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53403" w14:textId="77777777" w:rsidR="00CE3A22" w:rsidRPr="0092620A" w:rsidRDefault="00CE3A22" w:rsidP="00CE3A22">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r w:rsidRPr="0092620A">
        <w:rPr>
          <w:rFonts w:ascii="Times New Roman" w:eastAsia="Times New Roman" w:hAnsi="Times New Roman" w:cs="Times New Roman"/>
          <w:b/>
          <w:noProof/>
          <w:color w:val="000000" w:themeColor="text1"/>
          <w:sz w:val="32"/>
          <w:szCs w:val="32"/>
          <w:lang w:val="en-GB"/>
        </w:rPr>
        <w:drawing>
          <wp:inline distT="0" distB="0" distL="0" distR="0" wp14:anchorId="78E4BCC1" wp14:editId="7A2A3684">
            <wp:extent cx="2857500" cy="2857500"/>
            <wp:effectExtent l="0" t="0" r="0" b="0"/>
            <wp:docPr id="775344335" name="Picture 775344335" descr="A blue background with a black and yellow shield with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44335" name="Picture 775344335" descr="A blue background with a black and yellow shield with flowers and leaves&#10;&#10;Description automatically generated"/>
                    <pic:cNvPicPr/>
                  </pic:nvPicPr>
                  <pic:blipFill>
                    <a:blip r:embed="rId8"/>
                    <a:stretch>
                      <a:fillRect/>
                    </a:stretch>
                  </pic:blipFill>
                  <pic:spPr>
                    <a:xfrm>
                      <a:off x="0" y="0"/>
                      <a:ext cx="2857500" cy="2857500"/>
                    </a:xfrm>
                    <a:prstGeom prst="rect">
                      <a:avLst/>
                    </a:prstGeom>
                  </pic:spPr>
                </pic:pic>
              </a:graphicData>
            </a:graphic>
          </wp:inline>
        </w:drawing>
      </w:r>
    </w:p>
    <w:p w14:paraId="73194887" w14:textId="77777777" w:rsidR="00CE3A22" w:rsidRPr="0092620A" w:rsidRDefault="00CE3A22" w:rsidP="00CE3A22">
      <w:pPr>
        <w:pBdr>
          <w:top w:val="nil"/>
          <w:left w:val="nil"/>
          <w:bottom w:val="nil"/>
          <w:right w:val="nil"/>
          <w:between w:val="nil"/>
        </w:pBdr>
        <w:jc w:val="center"/>
        <w:rPr>
          <w:rFonts w:ascii="Times New Roman" w:eastAsia="Times New Roman" w:hAnsi="Times New Roman" w:cs="Times New Roman"/>
          <w:b/>
          <w:color w:val="000000" w:themeColor="text1"/>
          <w:sz w:val="32"/>
          <w:szCs w:val="32"/>
          <w:lang w:val="en-GB"/>
        </w:rPr>
      </w:pPr>
    </w:p>
    <w:p w14:paraId="41C35BCF" w14:textId="77777777" w:rsidR="00CE3A22" w:rsidRDefault="00CE3A22" w:rsidP="00CE3A22">
      <w:pPr>
        <w:jc w:val="center"/>
      </w:pPr>
      <w:r>
        <w:rPr>
          <w:color w:val="222222"/>
          <w:shd w:val="clear" w:color="auto" w:fill="FFFFFF"/>
        </w:rPr>
        <w:t>University name- University of Wales Trinity Saint David</w:t>
      </w:r>
    </w:p>
    <w:p w14:paraId="7EA5FD52" w14:textId="77777777" w:rsidR="00CE3A22" w:rsidRPr="0092620A" w:rsidRDefault="00CE3A22" w:rsidP="00CE3A22">
      <w:pPr>
        <w:jc w:val="center"/>
        <w:rPr>
          <w:rFonts w:ascii="Times New Roman" w:eastAsia="Times New Roman" w:hAnsi="Times New Roman" w:cs="Times New Roman"/>
          <w:sz w:val="24"/>
          <w:szCs w:val="24"/>
          <w:lang w:val="en-IN"/>
        </w:rPr>
      </w:pPr>
      <w:r>
        <w:rPr>
          <w:color w:val="222222"/>
        </w:rPr>
        <w:t>Student name:</w:t>
      </w:r>
      <w:r w:rsidRPr="0092620A">
        <w:rPr>
          <w:rFonts w:ascii="Roboto" w:hAnsi="Roboto"/>
          <w:color w:val="1F1F1F"/>
          <w:sz w:val="33"/>
          <w:szCs w:val="33"/>
          <w:shd w:val="clear" w:color="auto" w:fill="FFFFFF"/>
        </w:rPr>
        <w:t xml:space="preserve"> </w:t>
      </w:r>
      <w:r w:rsidRPr="0092620A">
        <w:rPr>
          <w:color w:val="222222"/>
        </w:rPr>
        <w:t>Cocea Florentin</w:t>
      </w:r>
    </w:p>
    <w:p w14:paraId="40F42CEC" w14:textId="77777777" w:rsidR="00CE3A22" w:rsidRDefault="00CE3A22" w:rsidP="00CE3A22">
      <w:pPr>
        <w:shd w:val="clear" w:color="auto" w:fill="FFFFFF"/>
        <w:jc w:val="center"/>
        <w:rPr>
          <w:color w:val="222222"/>
        </w:rPr>
      </w:pPr>
    </w:p>
    <w:p w14:paraId="726C3691" w14:textId="5F62630D" w:rsidR="00CE3A22" w:rsidRDefault="00CE3A22" w:rsidP="00CE3A22">
      <w:pPr>
        <w:shd w:val="clear" w:color="auto" w:fill="FFFFFF"/>
        <w:jc w:val="center"/>
        <w:rPr>
          <w:color w:val="222222"/>
        </w:rPr>
      </w:pPr>
      <w:r>
        <w:rPr>
          <w:color w:val="222222"/>
        </w:rPr>
        <w:t>Student ID:</w:t>
      </w:r>
      <w:r>
        <w:rPr>
          <w:color w:val="222222"/>
        </w:rPr>
        <w:t>2134124</w:t>
      </w:r>
    </w:p>
    <w:p w14:paraId="3C765AE7" w14:textId="77777777" w:rsidR="00CE3A22" w:rsidRDefault="00CE3A22" w:rsidP="00CE3A22">
      <w:pPr>
        <w:shd w:val="clear" w:color="auto" w:fill="FFFFFF"/>
        <w:jc w:val="center"/>
        <w:rPr>
          <w:color w:val="222222"/>
        </w:rPr>
      </w:pPr>
      <w:r>
        <w:rPr>
          <w:color w:val="222222"/>
        </w:rPr>
        <w:t xml:space="preserve">ID module: </w:t>
      </w:r>
      <w:r w:rsidRPr="0092620A">
        <w:rPr>
          <w:color w:val="222222"/>
        </w:rPr>
        <w:t>LCBB5000</w:t>
      </w:r>
    </w:p>
    <w:p w14:paraId="238A1E12" w14:textId="12181CFA" w:rsidR="00CE3A22" w:rsidRDefault="00CE3A22" w:rsidP="00CE3A22">
      <w:pPr>
        <w:shd w:val="clear" w:color="auto" w:fill="FFFFFF"/>
        <w:jc w:val="center"/>
        <w:rPr>
          <w:color w:val="222222"/>
        </w:rPr>
      </w:pPr>
      <w:r>
        <w:rPr>
          <w:color w:val="222222"/>
        </w:rPr>
        <w:t xml:space="preserve">Module Name: </w:t>
      </w:r>
      <w:r w:rsidRPr="0092620A">
        <w:rPr>
          <w:color w:val="222222"/>
        </w:rPr>
        <w:t>Data Handling and Business Intelligence</w:t>
      </w:r>
      <w:r>
        <w:rPr>
          <w:color w:val="222222"/>
        </w:rPr>
        <w:t xml:space="preserve"> A2</w:t>
      </w:r>
    </w:p>
    <w:p w14:paraId="04B05D54" w14:textId="77777777" w:rsidR="00CE3A22" w:rsidRDefault="00CE3A22" w:rsidP="00CE3A22">
      <w:pPr>
        <w:shd w:val="clear" w:color="auto" w:fill="FFFFFF"/>
        <w:jc w:val="center"/>
        <w:rPr>
          <w:color w:val="222222"/>
        </w:rPr>
      </w:pPr>
      <w:r>
        <w:rPr>
          <w:color w:val="222222"/>
        </w:rPr>
        <w:t>Lecturer name:</w:t>
      </w:r>
      <w:r w:rsidRPr="0092620A">
        <w:t xml:space="preserve"> </w:t>
      </w:r>
      <w:r w:rsidRPr="0092620A">
        <w:rPr>
          <w:color w:val="222222"/>
        </w:rPr>
        <w:t xml:space="preserve">Dr Xavier </w:t>
      </w:r>
      <w:proofErr w:type="spellStart"/>
      <w:r w:rsidRPr="0092620A">
        <w:rPr>
          <w:color w:val="222222"/>
        </w:rPr>
        <w:t>Matieni</w:t>
      </w:r>
      <w:proofErr w:type="spellEnd"/>
    </w:p>
    <w:p w14:paraId="66E52890" w14:textId="77777777" w:rsidR="00CD14EE" w:rsidRDefault="00CD14EE" w:rsidP="00CD14EE">
      <w:pPr>
        <w:spacing w:line="360" w:lineRule="auto"/>
        <w:jc w:val="center"/>
        <w:rPr>
          <w:rFonts w:ascii="Times New Roman" w:eastAsia="Times New Roman" w:hAnsi="Times New Roman" w:cs="Times New Roman"/>
          <w:b/>
          <w:sz w:val="32"/>
          <w:szCs w:val="24"/>
        </w:rPr>
      </w:pPr>
    </w:p>
    <w:p w14:paraId="005205BE" w14:textId="77777777" w:rsidR="00CD14EE" w:rsidRDefault="00CD14EE" w:rsidP="00CD14EE">
      <w:pPr>
        <w:spacing w:line="360" w:lineRule="auto"/>
        <w:jc w:val="center"/>
        <w:rPr>
          <w:rFonts w:ascii="Times New Roman" w:eastAsia="Times New Roman" w:hAnsi="Times New Roman" w:cs="Times New Roman"/>
          <w:b/>
          <w:sz w:val="32"/>
          <w:szCs w:val="24"/>
        </w:rPr>
      </w:pPr>
    </w:p>
    <w:p w14:paraId="65B2ECF0" w14:textId="77777777" w:rsidR="00CD14EE" w:rsidRDefault="00CD14EE" w:rsidP="00CD14EE">
      <w:pPr>
        <w:spacing w:line="360" w:lineRule="auto"/>
        <w:jc w:val="center"/>
        <w:rPr>
          <w:rFonts w:ascii="Times New Roman" w:eastAsia="Times New Roman" w:hAnsi="Times New Roman" w:cs="Times New Roman"/>
          <w:b/>
          <w:sz w:val="32"/>
          <w:szCs w:val="24"/>
        </w:rPr>
      </w:pPr>
    </w:p>
    <w:p w14:paraId="1C38A5C2" w14:textId="77777777" w:rsidR="00CD14EE" w:rsidRDefault="00CD14EE" w:rsidP="00CD14EE">
      <w:pPr>
        <w:spacing w:line="360" w:lineRule="auto"/>
        <w:jc w:val="center"/>
        <w:rPr>
          <w:rFonts w:ascii="Times New Roman" w:eastAsia="Times New Roman" w:hAnsi="Times New Roman" w:cs="Times New Roman"/>
          <w:b/>
          <w:sz w:val="32"/>
          <w:szCs w:val="24"/>
        </w:rPr>
      </w:pPr>
    </w:p>
    <w:p w14:paraId="443BBAEC" w14:textId="77777777" w:rsidR="00CD14EE" w:rsidRDefault="00CD14EE" w:rsidP="00CD14EE">
      <w:pPr>
        <w:spacing w:line="360" w:lineRule="auto"/>
        <w:jc w:val="center"/>
        <w:rPr>
          <w:rFonts w:ascii="Times New Roman" w:eastAsia="Times New Roman" w:hAnsi="Times New Roman" w:cs="Times New Roman"/>
          <w:b/>
          <w:sz w:val="32"/>
          <w:szCs w:val="24"/>
        </w:rPr>
      </w:pPr>
    </w:p>
    <w:p w14:paraId="427ED975" w14:textId="77777777" w:rsidR="00CD14EE" w:rsidRDefault="00CD14EE" w:rsidP="00CD14EE">
      <w:pPr>
        <w:spacing w:line="360" w:lineRule="auto"/>
        <w:jc w:val="center"/>
        <w:rPr>
          <w:rFonts w:ascii="Times New Roman" w:eastAsia="Times New Roman" w:hAnsi="Times New Roman" w:cs="Times New Roman"/>
          <w:b/>
          <w:sz w:val="32"/>
          <w:szCs w:val="24"/>
        </w:rPr>
      </w:pPr>
    </w:p>
    <w:p w14:paraId="176942A9" w14:textId="77777777" w:rsidR="00CD14EE" w:rsidRDefault="00CD14EE" w:rsidP="00CD14EE">
      <w:pPr>
        <w:spacing w:line="360" w:lineRule="auto"/>
        <w:jc w:val="center"/>
        <w:rPr>
          <w:rFonts w:ascii="Times New Roman" w:eastAsia="Times New Roman" w:hAnsi="Times New Roman" w:cs="Times New Roman"/>
          <w:b/>
          <w:sz w:val="32"/>
          <w:szCs w:val="24"/>
        </w:rPr>
      </w:pPr>
    </w:p>
    <w:p w14:paraId="3C2F091D" w14:textId="77777777" w:rsidR="00CD14EE" w:rsidRDefault="00CD14EE" w:rsidP="00CD14EE">
      <w:pPr>
        <w:spacing w:line="360" w:lineRule="auto"/>
        <w:jc w:val="center"/>
        <w:rPr>
          <w:rFonts w:ascii="Times New Roman" w:eastAsia="Times New Roman" w:hAnsi="Times New Roman" w:cs="Times New Roman"/>
          <w:b/>
          <w:sz w:val="32"/>
          <w:szCs w:val="24"/>
        </w:rPr>
      </w:pPr>
    </w:p>
    <w:p w14:paraId="737D6E74" w14:textId="77777777" w:rsidR="00CD14EE" w:rsidRDefault="00CD14EE" w:rsidP="00CD14EE">
      <w:pPr>
        <w:spacing w:line="360" w:lineRule="auto"/>
        <w:jc w:val="center"/>
        <w:rPr>
          <w:rFonts w:ascii="Times New Roman" w:eastAsia="Times New Roman" w:hAnsi="Times New Roman" w:cs="Times New Roman"/>
          <w:b/>
          <w:sz w:val="32"/>
          <w:szCs w:val="24"/>
        </w:rPr>
      </w:pPr>
    </w:p>
    <w:p w14:paraId="2E035EF0" w14:textId="77777777" w:rsidR="00CD14EE" w:rsidRDefault="00CD14EE" w:rsidP="00CD14EE">
      <w:pPr>
        <w:spacing w:line="360" w:lineRule="auto"/>
        <w:jc w:val="center"/>
        <w:rPr>
          <w:rFonts w:ascii="Times New Roman" w:eastAsia="Times New Roman" w:hAnsi="Times New Roman" w:cs="Times New Roman"/>
          <w:b/>
          <w:sz w:val="32"/>
          <w:szCs w:val="24"/>
        </w:rPr>
      </w:pPr>
    </w:p>
    <w:p w14:paraId="4B312F4A" w14:textId="77777777" w:rsidR="00CD14EE" w:rsidRDefault="00CD14EE" w:rsidP="00CD14EE">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color w:val="000000" w:themeColor="text1"/>
          <w:sz w:val="22"/>
          <w:szCs w:val="22"/>
          <w:lang w:val="en" w:eastAsia="en-IN"/>
        </w:rPr>
        <w:id w:val="-2124598205"/>
        <w:docPartObj>
          <w:docPartGallery w:val="Table of Contents"/>
          <w:docPartUnique/>
        </w:docPartObj>
      </w:sdtPr>
      <w:sdtEndPr>
        <w:rPr>
          <w:bCs/>
          <w:noProof/>
          <w:color w:val="auto"/>
        </w:rPr>
      </w:sdtEndPr>
      <w:sdtContent>
        <w:p w14:paraId="38F0157B" w14:textId="77777777" w:rsidR="008A710A" w:rsidRPr="008A710A" w:rsidRDefault="008A710A" w:rsidP="008A710A">
          <w:pPr>
            <w:pStyle w:val="TOCHeading"/>
            <w:jc w:val="center"/>
            <w:rPr>
              <w:rFonts w:ascii="Times New Roman" w:hAnsi="Times New Roman" w:cs="Times New Roman"/>
              <w:b/>
              <w:color w:val="000000" w:themeColor="text1"/>
              <w:sz w:val="24"/>
              <w:szCs w:val="24"/>
            </w:rPr>
          </w:pPr>
          <w:r w:rsidRPr="008A710A">
            <w:rPr>
              <w:rFonts w:ascii="Times New Roman" w:hAnsi="Times New Roman" w:cs="Times New Roman"/>
              <w:b/>
              <w:color w:val="000000" w:themeColor="text1"/>
              <w:sz w:val="24"/>
              <w:szCs w:val="24"/>
            </w:rPr>
            <w:t>Table of Contents</w:t>
          </w:r>
        </w:p>
        <w:p w14:paraId="6D74E33A" w14:textId="77777777" w:rsidR="008A710A" w:rsidRPr="008A710A" w:rsidRDefault="008A710A" w:rsidP="008A710A">
          <w:pPr>
            <w:pStyle w:val="TOC1"/>
            <w:tabs>
              <w:tab w:val="right" w:leader="dot" w:pos="9350"/>
            </w:tabs>
            <w:jc w:val="both"/>
            <w:rPr>
              <w:rFonts w:ascii="Times New Roman" w:hAnsi="Times New Roman" w:cs="Times New Roman"/>
              <w:noProof/>
              <w:sz w:val="24"/>
              <w:szCs w:val="24"/>
            </w:rPr>
          </w:pPr>
          <w:r w:rsidRPr="008A710A">
            <w:rPr>
              <w:rFonts w:ascii="Times New Roman" w:hAnsi="Times New Roman" w:cs="Times New Roman"/>
              <w:b/>
              <w:bCs/>
              <w:noProof/>
              <w:sz w:val="24"/>
              <w:szCs w:val="24"/>
            </w:rPr>
            <w:fldChar w:fldCharType="begin"/>
          </w:r>
          <w:r w:rsidRPr="008A710A">
            <w:rPr>
              <w:rFonts w:ascii="Times New Roman" w:hAnsi="Times New Roman" w:cs="Times New Roman"/>
              <w:b/>
              <w:bCs/>
              <w:noProof/>
              <w:sz w:val="24"/>
              <w:szCs w:val="24"/>
            </w:rPr>
            <w:instrText xml:space="preserve"> TOC \o "1-3" \h \z \u </w:instrText>
          </w:r>
          <w:r w:rsidRPr="008A710A">
            <w:rPr>
              <w:rFonts w:ascii="Times New Roman" w:hAnsi="Times New Roman" w:cs="Times New Roman"/>
              <w:b/>
              <w:bCs/>
              <w:noProof/>
              <w:sz w:val="24"/>
              <w:szCs w:val="24"/>
            </w:rPr>
            <w:fldChar w:fldCharType="separate"/>
          </w:r>
          <w:hyperlink w:anchor="_Toc162730530" w:history="1">
            <w:r w:rsidRPr="008A710A">
              <w:rPr>
                <w:rStyle w:val="Hyperlink"/>
                <w:rFonts w:ascii="Times New Roman" w:hAnsi="Times New Roman" w:cs="Times New Roman"/>
                <w:noProof/>
                <w:sz w:val="24"/>
                <w:szCs w:val="24"/>
              </w:rPr>
              <w:t>Part A</w:t>
            </w:r>
            <w:r w:rsidRPr="008A710A">
              <w:rPr>
                <w:rFonts w:ascii="Times New Roman" w:hAnsi="Times New Roman" w:cs="Times New Roman"/>
                <w:noProof/>
                <w:webHidden/>
                <w:sz w:val="24"/>
                <w:szCs w:val="24"/>
              </w:rPr>
              <w:tab/>
            </w:r>
            <w:r w:rsidRPr="008A710A">
              <w:rPr>
                <w:rFonts w:ascii="Times New Roman" w:hAnsi="Times New Roman" w:cs="Times New Roman"/>
                <w:noProof/>
                <w:webHidden/>
                <w:sz w:val="24"/>
                <w:szCs w:val="24"/>
              </w:rPr>
              <w:fldChar w:fldCharType="begin"/>
            </w:r>
            <w:r w:rsidRPr="008A710A">
              <w:rPr>
                <w:rFonts w:ascii="Times New Roman" w:hAnsi="Times New Roman" w:cs="Times New Roman"/>
                <w:noProof/>
                <w:webHidden/>
                <w:sz w:val="24"/>
                <w:szCs w:val="24"/>
              </w:rPr>
              <w:instrText xml:space="preserve"> PAGEREF _Toc162730530 \h </w:instrText>
            </w:r>
            <w:r w:rsidRPr="008A710A">
              <w:rPr>
                <w:rFonts w:ascii="Times New Roman" w:hAnsi="Times New Roman" w:cs="Times New Roman"/>
                <w:noProof/>
                <w:webHidden/>
                <w:sz w:val="24"/>
                <w:szCs w:val="24"/>
              </w:rPr>
            </w:r>
            <w:r w:rsidRPr="008A710A">
              <w:rPr>
                <w:rFonts w:ascii="Times New Roman" w:hAnsi="Times New Roman" w:cs="Times New Roman"/>
                <w:noProof/>
                <w:webHidden/>
                <w:sz w:val="24"/>
                <w:szCs w:val="24"/>
              </w:rPr>
              <w:fldChar w:fldCharType="separate"/>
            </w:r>
            <w:r w:rsidRPr="008A710A">
              <w:rPr>
                <w:rFonts w:ascii="Times New Roman" w:hAnsi="Times New Roman" w:cs="Times New Roman"/>
                <w:noProof/>
                <w:webHidden/>
                <w:sz w:val="24"/>
                <w:szCs w:val="24"/>
              </w:rPr>
              <w:t>3</w:t>
            </w:r>
            <w:r w:rsidRPr="008A710A">
              <w:rPr>
                <w:rFonts w:ascii="Times New Roman" w:hAnsi="Times New Roman" w:cs="Times New Roman"/>
                <w:noProof/>
                <w:webHidden/>
                <w:sz w:val="24"/>
                <w:szCs w:val="24"/>
              </w:rPr>
              <w:fldChar w:fldCharType="end"/>
            </w:r>
          </w:hyperlink>
        </w:p>
        <w:p w14:paraId="383E1637"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1" w:history="1">
            <w:r w:rsidR="008A710A" w:rsidRPr="008A710A">
              <w:rPr>
                <w:rStyle w:val="Hyperlink"/>
                <w:rFonts w:ascii="Times New Roman" w:hAnsi="Times New Roman" w:cs="Times New Roman"/>
                <w:noProof/>
                <w:sz w:val="24"/>
                <w:szCs w:val="24"/>
              </w:rPr>
              <w:t>Introduction</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_Toc162730531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3</w:t>
            </w:r>
            <w:r w:rsidR="008A710A" w:rsidRPr="008A710A">
              <w:rPr>
                <w:rFonts w:ascii="Times New Roman" w:hAnsi="Times New Roman" w:cs="Times New Roman"/>
                <w:noProof/>
                <w:webHidden/>
                <w:sz w:val="24"/>
                <w:szCs w:val="24"/>
              </w:rPr>
              <w:fldChar w:fldCharType="end"/>
            </w:r>
          </w:hyperlink>
        </w:p>
        <w:p w14:paraId="40E7166B"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2" w:history="1">
            <w:r w:rsidR="008A710A" w:rsidRPr="008A710A">
              <w:rPr>
                <w:rStyle w:val="Hyperlink"/>
                <w:rFonts w:ascii="Times New Roman" w:hAnsi="Times New Roman" w:cs="Times New Roman"/>
                <w:noProof/>
                <w:sz w:val="24"/>
                <w:szCs w:val="24"/>
              </w:rPr>
              <w:t>Background of the study</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_Toc162730532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3</w:t>
            </w:r>
            <w:r w:rsidR="008A710A" w:rsidRPr="008A710A">
              <w:rPr>
                <w:rFonts w:ascii="Times New Roman" w:hAnsi="Times New Roman" w:cs="Times New Roman"/>
                <w:noProof/>
                <w:webHidden/>
                <w:sz w:val="24"/>
                <w:szCs w:val="24"/>
              </w:rPr>
              <w:fldChar w:fldCharType="end"/>
            </w:r>
          </w:hyperlink>
        </w:p>
        <w:p w14:paraId="7C53E9EC"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3" w:history="1">
            <w:r w:rsidR="008A710A" w:rsidRPr="008A710A">
              <w:rPr>
                <w:rStyle w:val="Hyperlink"/>
                <w:rFonts w:ascii="Times New Roman" w:hAnsi="Times New Roman" w:cs="Times New Roman"/>
                <w:noProof/>
                <w:sz w:val="24"/>
                <w:szCs w:val="24"/>
              </w:rPr>
              <w:t>How was the sales trend over the months</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_Toc162730533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4</w:t>
            </w:r>
            <w:r w:rsidR="008A710A" w:rsidRPr="008A710A">
              <w:rPr>
                <w:rFonts w:ascii="Times New Roman" w:hAnsi="Times New Roman" w:cs="Times New Roman"/>
                <w:noProof/>
                <w:webHidden/>
                <w:sz w:val="24"/>
                <w:szCs w:val="24"/>
              </w:rPr>
              <w:fldChar w:fldCharType="end"/>
            </w:r>
          </w:hyperlink>
        </w:p>
        <w:p w14:paraId="3A4207E2"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4" w:history="1">
            <w:r w:rsidR="008A710A" w:rsidRPr="008A710A">
              <w:rPr>
                <w:rStyle w:val="Hyperlink"/>
                <w:rFonts w:ascii="Times New Roman" w:hAnsi="Times New Roman" w:cs="Times New Roman"/>
                <w:noProof/>
                <w:sz w:val="24"/>
                <w:szCs w:val="24"/>
              </w:rPr>
              <w:t>What are the most frequently purchased products</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_Toc162730534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5</w:t>
            </w:r>
            <w:r w:rsidR="008A710A" w:rsidRPr="008A710A">
              <w:rPr>
                <w:rFonts w:ascii="Times New Roman" w:hAnsi="Times New Roman" w:cs="Times New Roman"/>
                <w:noProof/>
                <w:webHidden/>
                <w:sz w:val="24"/>
                <w:szCs w:val="24"/>
              </w:rPr>
              <w:fldChar w:fldCharType="end"/>
            </w:r>
          </w:hyperlink>
        </w:p>
        <w:p w14:paraId="12353A67"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5" w:history="1">
            <w:r w:rsidR="008A710A" w:rsidRPr="008A710A">
              <w:rPr>
                <w:rStyle w:val="Hyperlink"/>
                <w:rFonts w:ascii="Times New Roman" w:hAnsi="Times New Roman" w:cs="Times New Roman"/>
                <w:noProof/>
                <w:sz w:val="24"/>
                <w:szCs w:val="24"/>
              </w:rPr>
              <w:t>How many products does the customer purchase in each transaction?</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_Toc162730535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7</w:t>
            </w:r>
            <w:r w:rsidR="008A710A" w:rsidRPr="008A710A">
              <w:rPr>
                <w:rFonts w:ascii="Times New Roman" w:hAnsi="Times New Roman" w:cs="Times New Roman"/>
                <w:noProof/>
                <w:webHidden/>
                <w:sz w:val="24"/>
                <w:szCs w:val="24"/>
              </w:rPr>
              <w:fldChar w:fldCharType="end"/>
            </w:r>
          </w:hyperlink>
        </w:p>
        <w:p w14:paraId="1F0E37F8"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6" w:history="1">
            <w:r w:rsidR="008A710A" w:rsidRPr="008A710A">
              <w:rPr>
                <w:rStyle w:val="Hyperlink"/>
                <w:rFonts w:ascii="Times New Roman" w:hAnsi="Times New Roman" w:cs="Times New Roman"/>
                <w:noProof/>
                <w:sz w:val="24"/>
                <w:szCs w:val="24"/>
              </w:rPr>
              <w:t>What are the most profitable segment customers?</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_Toc162730536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8</w:t>
            </w:r>
            <w:r w:rsidR="008A710A" w:rsidRPr="008A710A">
              <w:rPr>
                <w:rFonts w:ascii="Times New Roman" w:hAnsi="Times New Roman" w:cs="Times New Roman"/>
                <w:noProof/>
                <w:webHidden/>
                <w:sz w:val="24"/>
                <w:szCs w:val="24"/>
              </w:rPr>
              <w:fldChar w:fldCharType="end"/>
            </w:r>
          </w:hyperlink>
        </w:p>
        <w:p w14:paraId="7F85E18F"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7" w:history="1">
            <w:r w:rsidR="008A710A" w:rsidRPr="008A710A">
              <w:rPr>
                <w:rStyle w:val="Hyperlink"/>
                <w:rFonts w:ascii="Times New Roman" w:hAnsi="Times New Roman" w:cs="Times New Roman"/>
                <w:noProof/>
                <w:sz w:val="24"/>
                <w:szCs w:val="24"/>
              </w:rPr>
              <w:t>Based on your findings, what strategy could you recommend to the business to gain more profit</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_Toc162730537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9</w:t>
            </w:r>
            <w:r w:rsidR="008A710A" w:rsidRPr="008A710A">
              <w:rPr>
                <w:rFonts w:ascii="Times New Roman" w:hAnsi="Times New Roman" w:cs="Times New Roman"/>
                <w:noProof/>
                <w:webHidden/>
                <w:sz w:val="24"/>
                <w:szCs w:val="24"/>
              </w:rPr>
              <w:fldChar w:fldCharType="end"/>
            </w:r>
          </w:hyperlink>
        </w:p>
        <w:p w14:paraId="4E2B1B31" w14:textId="77777777" w:rsidR="008A710A" w:rsidRPr="008A710A" w:rsidRDefault="00000000" w:rsidP="008A710A">
          <w:pPr>
            <w:pStyle w:val="TOC1"/>
            <w:tabs>
              <w:tab w:val="right" w:leader="dot" w:pos="9350"/>
            </w:tabs>
            <w:jc w:val="both"/>
            <w:rPr>
              <w:rFonts w:ascii="Times New Roman" w:hAnsi="Times New Roman" w:cs="Times New Roman"/>
              <w:noProof/>
              <w:sz w:val="24"/>
              <w:szCs w:val="24"/>
            </w:rPr>
          </w:pPr>
          <w:hyperlink w:anchor="_Toc162730538" w:history="1">
            <w:r w:rsidR="008A710A" w:rsidRPr="008A710A">
              <w:rPr>
                <w:rStyle w:val="Hyperlink"/>
                <w:rFonts w:ascii="Times New Roman" w:hAnsi="Times New Roman" w:cs="Times New Roman"/>
                <w:noProof/>
                <w:sz w:val="24"/>
                <w:szCs w:val="24"/>
              </w:rPr>
              <w:t>Part B</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_Toc162730538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11</w:t>
            </w:r>
            <w:r w:rsidR="008A710A" w:rsidRPr="008A710A">
              <w:rPr>
                <w:rFonts w:ascii="Times New Roman" w:hAnsi="Times New Roman" w:cs="Times New Roman"/>
                <w:noProof/>
                <w:webHidden/>
                <w:sz w:val="24"/>
                <w:szCs w:val="24"/>
              </w:rPr>
              <w:fldChar w:fldCharType="end"/>
            </w:r>
          </w:hyperlink>
        </w:p>
        <w:p w14:paraId="66BF0489"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39" w:history="1">
            <w:r w:rsidR="008A710A" w:rsidRPr="008A710A">
              <w:rPr>
                <w:rStyle w:val="Hyperlink"/>
                <w:rFonts w:ascii="Times New Roman" w:hAnsi="Times New Roman" w:cs="Times New Roman"/>
                <w:noProof/>
                <w:sz w:val="24"/>
                <w:szCs w:val="24"/>
              </w:rPr>
              <w:t>Introduction</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_Toc162730539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11</w:t>
            </w:r>
            <w:r w:rsidR="008A710A" w:rsidRPr="008A710A">
              <w:rPr>
                <w:rFonts w:ascii="Times New Roman" w:hAnsi="Times New Roman" w:cs="Times New Roman"/>
                <w:noProof/>
                <w:webHidden/>
                <w:sz w:val="24"/>
                <w:szCs w:val="24"/>
              </w:rPr>
              <w:fldChar w:fldCharType="end"/>
            </w:r>
          </w:hyperlink>
        </w:p>
        <w:p w14:paraId="491DDE86"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40" w:history="1">
            <w:r w:rsidR="008A710A" w:rsidRPr="008A710A">
              <w:rPr>
                <w:rStyle w:val="Hyperlink"/>
                <w:rFonts w:ascii="Times New Roman" w:hAnsi="Times New Roman" w:cs="Times New Roman"/>
                <w:noProof/>
                <w:sz w:val="24"/>
                <w:szCs w:val="24"/>
              </w:rPr>
              <w:t>1.How many students are male and female?</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_Toc162730540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11</w:t>
            </w:r>
            <w:r w:rsidR="008A710A" w:rsidRPr="008A710A">
              <w:rPr>
                <w:rFonts w:ascii="Times New Roman" w:hAnsi="Times New Roman" w:cs="Times New Roman"/>
                <w:noProof/>
                <w:webHidden/>
                <w:sz w:val="24"/>
                <w:szCs w:val="24"/>
              </w:rPr>
              <w:fldChar w:fldCharType="end"/>
            </w:r>
          </w:hyperlink>
        </w:p>
        <w:p w14:paraId="19EEA3F5"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41" w:history="1">
            <w:r w:rsidR="008A710A" w:rsidRPr="008A710A">
              <w:rPr>
                <w:rStyle w:val="Hyperlink"/>
                <w:rFonts w:ascii="Times New Roman" w:hAnsi="Times New Roman" w:cs="Times New Roman"/>
                <w:noProof/>
                <w:sz w:val="24"/>
                <w:szCs w:val="24"/>
              </w:rPr>
              <w:t>2.How many students qualify and do not qualify for reduced/free lunch?</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_Toc162730541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11</w:t>
            </w:r>
            <w:r w:rsidR="008A710A" w:rsidRPr="008A710A">
              <w:rPr>
                <w:rFonts w:ascii="Times New Roman" w:hAnsi="Times New Roman" w:cs="Times New Roman"/>
                <w:noProof/>
                <w:webHidden/>
                <w:sz w:val="24"/>
                <w:szCs w:val="24"/>
              </w:rPr>
              <w:fldChar w:fldCharType="end"/>
            </w:r>
          </w:hyperlink>
        </w:p>
        <w:p w14:paraId="7314A958"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42" w:history="1">
            <w:r w:rsidR="008A710A" w:rsidRPr="008A710A">
              <w:rPr>
                <w:rStyle w:val="Hyperlink"/>
                <w:rFonts w:ascii="Times New Roman" w:hAnsi="Times New Roman" w:cs="Times New Roman"/>
                <w:noProof/>
                <w:sz w:val="24"/>
                <w:szCs w:val="24"/>
              </w:rPr>
              <w:t>3.What are the mean and median of students who qualify and do not qualify for reduced/free lunch?</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_Toc162730542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12</w:t>
            </w:r>
            <w:r w:rsidR="008A710A" w:rsidRPr="008A710A">
              <w:rPr>
                <w:rFonts w:ascii="Times New Roman" w:hAnsi="Times New Roman" w:cs="Times New Roman"/>
                <w:noProof/>
                <w:webHidden/>
                <w:sz w:val="24"/>
                <w:szCs w:val="24"/>
              </w:rPr>
              <w:fldChar w:fldCharType="end"/>
            </w:r>
          </w:hyperlink>
        </w:p>
        <w:p w14:paraId="7AB18FC6"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43" w:history="1">
            <w:r w:rsidR="008A710A" w:rsidRPr="008A710A">
              <w:rPr>
                <w:rStyle w:val="Hyperlink"/>
                <w:rFonts w:ascii="Times New Roman" w:hAnsi="Times New Roman" w:cs="Times New Roman"/>
                <w:noProof/>
                <w:sz w:val="24"/>
                <w:szCs w:val="24"/>
              </w:rPr>
              <w:t>4.</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_Toc162730543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13</w:t>
            </w:r>
            <w:r w:rsidR="008A710A" w:rsidRPr="008A710A">
              <w:rPr>
                <w:rFonts w:ascii="Times New Roman" w:hAnsi="Times New Roman" w:cs="Times New Roman"/>
                <w:noProof/>
                <w:webHidden/>
                <w:sz w:val="24"/>
                <w:szCs w:val="24"/>
              </w:rPr>
              <w:fldChar w:fldCharType="end"/>
            </w:r>
          </w:hyperlink>
        </w:p>
        <w:p w14:paraId="08E5940C" w14:textId="77777777" w:rsidR="008A710A" w:rsidRPr="008A710A" w:rsidRDefault="00000000" w:rsidP="008A710A">
          <w:pPr>
            <w:pStyle w:val="TOC2"/>
            <w:tabs>
              <w:tab w:val="right" w:leader="dot" w:pos="9350"/>
            </w:tabs>
            <w:jc w:val="both"/>
            <w:rPr>
              <w:rFonts w:ascii="Times New Roman" w:hAnsi="Times New Roman" w:cs="Times New Roman"/>
              <w:noProof/>
              <w:sz w:val="24"/>
              <w:szCs w:val="24"/>
            </w:rPr>
          </w:pPr>
          <w:hyperlink w:anchor="_Toc162730544" w:history="1">
            <w:r w:rsidR="008A710A" w:rsidRPr="008A710A">
              <w:rPr>
                <w:rStyle w:val="Hyperlink"/>
                <w:rFonts w:ascii="Times New Roman" w:hAnsi="Times New Roman" w:cs="Times New Roman"/>
                <w:noProof/>
                <w:sz w:val="24"/>
                <w:szCs w:val="24"/>
              </w:rPr>
              <w:t>5. Conclusion</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_Toc162730544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20</w:t>
            </w:r>
            <w:r w:rsidR="008A710A" w:rsidRPr="008A710A">
              <w:rPr>
                <w:rFonts w:ascii="Times New Roman" w:hAnsi="Times New Roman" w:cs="Times New Roman"/>
                <w:noProof/>
                <w:webHidden/>
                <w:sz w:val="24"/>
                <w:szCs w:val="24"/>
              </w:rPr>
              <w:fldChar w:fldCharType="end"/>
            </w:r>
          </w:hyperlink>
        </w:p>
        <w:p w14:paraId="6A6D403C" w14:textId="77777777" w:rsidR="008A710A" w:rsidRPr="008A710A" w:rsidRDefault="00000000" w:rsidP="008A710A">
          <w:pPr>
            <w:pStyle w:val="TOC1"/>
            <w:tabs>
              <w:tab w:val="right" w:leader="dot" w:pos="9350"/>
            </w:tabs>
            <w:jc w:val="both"/>
            <w:rPr>
              <w:rFonts w:ascii="Times New Roman" w:hAnsi="Times New Roman" w:cs="Times New Roman"/>
              <w:noProof/>
              <w:sz w:val="24"/>
              <w:szCs w:val="24"/>
            </w:rPr>
          </w:pPr>
          <w:hyperlink w:anchor="_Toc162730545" w:history="1">
            <w:r w:rsidR="008A710A" w:rsidRPr="008A710A">
              <w:rPr>
                <w:rStyle w:val="Hyperlink"/>
                <w:rFonts w:ascii="Times New Roman" w:hAnsi="Times New Roman" w:cs="Times New Roman"/>
                <w:noProof/>
                <w:sz w:val="24"/>
                <w:szCs w:val="24"/>
              </w:rPr>
              <w:t>Bibliography</w:t>
            </w:r>
            <w:r w:rsidR="008A710A" w:rsidRPr="008A710A">
              <w:rPr>
                <w:rFonts w:ascii="Times New Roman" w:hAnsi="Times New Roman" w:cs="Times New Roman"/>
                <w:noProof/>
                <w:webHidden/>
                <w:sz w:val="24"/>
                <w:szCs w:val="24"/>
              </w:rPr>
              <w:tab/>
            </w:r>
            <w:r w:rsidR="008A710A" w:rsidRPr="008A710A">
              <w:rPr>
                <w:rFonts w:ascii="Times New Roman" w:hAnsi="Times New Roman" w:cs="Times New Roman"/>
                <w:noProof/>
                <w:webHidden/>
                <w:sz w:val="24"/>
                <w:szCs w:val="24"/>
              </w:rPr>
              <w:fldChar w:fldCharType="begin"/>
            </w:r>
            <w:r w:rsidR="008A710A" w:rsidRPr="008A710A">
              <w:rPr>
                <w:rFonts w:ascii="Times New Roman" w:hAnsi="Times New Roman" w:cs="Times New Roman"/>
                <w:noProof/>
                <w:webHidden/>
                <w:sz w:val="24"/>
                <w:szCs w:val="24"/>
              </w:rPr>
              <w:instrText xml:space="preserve"> PAGEREF _Toc162730545 \h </w:instrText>
            </w:r>
            <w:r w:rsidR="008A710A" w:rsidRPr="008A710A">
              <w:rPr>
                <w:rFonts w:ascii="Times New Roman" w:hAnsi="Times New Roman" w:cs="Times New Roman"/>
                <w:noProof/>
                <w:webHidden/>
                <w:sz w:val="24"/>
                <w:szCs w:val="24"/>
              </w:rPr>
            </w:r>
            <w:r w:rsidR="008A710A" w:rsidRPr="008A710A">
              <w:rPr>
                <w:rFonts w:ascii="Times New Roman" w:hAnsi="Times New Roman" w:cs="Times New Roman"/>
                <w:noProof/>
                <w:webHidden/>
                <w:sz w:val="24"/>
                <w:szCs w:val="24"/>
              </w:rPr>
              <w:fldChar w:fldCharType="separate"/>
            </w:r>
            <w:r w:rsidR="008A710A" w:rsidRPr="008A710A">
              <w:rPr>
                <w:rFonts w:ascii="Times New Roman" w:hAnsi="Times New Roman" w:cs="Times New Roman"/>
                <w:noProof/>
                <w:webHidden/>
                <w:sz w:val="24"/>
                <w:szCs w:val="24"/>
              </w:rPr>
              <w:t>21</w:t>
            </w:r>
            <w:r w:rsidR="008A710A" w:rsidRPr="008A710A">
              <w:rPr>
                <w:rFonts w:ascii="Times New Roman" w:hAnsi="Times New Roman" w:cs="Times New Roman"/>
                <w:noProof/>
                <w:webHidden/>
                <w:sz w:val="24"/>
                <w:szCs w:val="24"/>
              </w:rPr>
              <w:fldChar w:fldCharType="end"/>
            </w:r>
          </w:hyperlink>
        </w:p>
        <w:p w14:paraId="7C46409E" w14:textId="77777777" w:rsidR="008A710A" w:rsidRDefault="008A710A" w:rsidP="008A710A">
          <w:pPr>
            <w:jc w:val="both"/>
          </w:pPr>
          <w:r w:rsidRPr="008A710A">
            <w:rPr>
              <w:rFonts w:ascii="Times New Roman" w:hAnsi="Times New Roman" w:cs="Times New Roman"/>
              <w:b/>
              <w:bCs/>
              <w:noProof/>
              <w:sz w:val="24"/>
              <w:szCs w:val="24"/>
            </w:rPr>
            <w:fldChar w:fldCharType="end"/>
          </w:r>
        </w:p>
      </w:sdtContent>
    </w:sdt>
    <w:p w14:paraId="2E29F326" w14:textId="77777777" w:rsidR="008A710A" w:rsidRDefault="008A710A">
      <w:pPr>
        <w:rPr>
          <w:rFonts w:ascii="Times New Roman" w:eastAsia="Times New Roman" w:hAnsi="Times New Roman" w:cs="Times New Roman"/>
          <w:b/>
          <w:sz w:val="28"/>
          <w:szCs w:val="24"/>
        </w:rPr>
      </w:pPr>
      <w:r>
        <w:br w:type="page"/>
      </w:r>
    </w:p>
    <w:p w14:paraId="1A61B520" w14:textId="77777777" w:rsidR="00536A46" w:rsidRPr="00CD14EE" w:rsidRDefault="00BF169F" w:rsidP="00CD14EE">
      <w:pPr>
        <w:pStyle w:val="Heading1"/>
        <w:spacing w:line="360" w:lineRule="auto"/>
      </w:pPr>
      <w:bookmarkStart w:id="0" w:name="_Toc162730530"/>
      <w:r w:rsidRPr="00CD14EE">
        <w:lastRenderedPageBreak/>
        <w:t>Part A</w:t>
      </w:r>
      <w:bookmarkEnd w:id="0"/>
      <w:r w:rsidRPr="00CD14EE">
        <w:t xml:space="preserve"> </w:t>
      </w:r>
    </w:p>
    <w:p w14:paraId="316E4892" w14:textId="77777777" w:rsidR="00536A46" w:rsidRPr="00CD14EE" w:rsidRDefault="00BF169F" w:rsidP="00CD14EE">
      <w:pPr>
        <w:pStyle w:val="Heading2"/>
      </w:pPr>
      <w:bookmarkStart w:id="1" w:name="_Toc162730531"/>
      <w:r w:rsidRPr="00CD14EE">
        <w:t>Introduction</w:t>
      </w:r>
      <w:bookmarkEnd w:id="1"/>
      <w:r w:rsidRPr="00CD14EE">
        <w:t xml:space="preserve"> </w:t>
      </w:r>
    </w:p>
    <w:p w14:paraId="6EE2C880"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report's presentation on arrange cancellations within the UK-based e-commerce dataset it gives sets the scene for understanding the importance of e-commerce within the headway of modern trade. E-commerce is portrayed as a key channel that makes a difference extend markets and alter the way shoppers carry on. The paper highlights the way that innovation advancements have permitted the move towards online buy, underlining the progressive impact of e-commerce on shopping designs. In particular, the data being inspected relates to a web retailer arranged in London that has been in commerce since 2007 and practices in blessings and domestic products. This firm serves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around the world clientele that incorporates person clients as well as little endeavors who purchase in bulk to exchange. In light of this, the consider endeavors to use Microsoft Exceed expectations for the dataset's pretreatment, investigation, and perception in arrange to supply knowledge into arrange cancellations, a significant marker for evaluating company victory within the e-commerce industry.</w:t>
      </w:r>
    </w:p>
    <w:p w14:paraId="0D32D0F0" w14:textId="77777777" w:rsidR="00536A46" w:rsidRDefault="00BF169F" w:rsidP="00CD14EE">
      <w:pPr>
        <w:pStyle w:val="Heading2"/>
      </w:pPr>
      <w:bookmarkStart w:id="2" w:name="_Toc162730532"/>
      <w:r>
        <w:t>Background of the study</w:t>
      </w:r>
      <w:bookmarkEnd w:id="2"/>
      <w:r>
        <w:t xml:space="preserve"> </w:t>
      </w:r>
    </w:p>
    <w:p w14:paraId="7186332B"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study's foundation gives more setting for the investigate and clarifies the thinking behind the examination of arrange cancellations within the UK-based e-commerce dataset that was given. E-commerce, as a quickly developing implies of corporate development, has definitely changed the nature of retail operations all through the world. Since arrange cancellations may have a critical </w:t>
      </w:r>
      <w:proofErr w:type="spellStart"/>
      <w:r>
        <w:rPr>
          <w:rFonts w:ascii="Times New Roman" w:eastAsia="Times New Roman" w:hAnsi="Times New Roman" w:cs="Times New Roman"/>
          <w:sz w:val="24"/>
          <w:szCs w:val="24"/>
        </w:rPr>
        <w:t>affect</w:t>
      </w:r>
      <w:proofErr w:type="spellEnd"/>
      <w:r>
        <w:rPr>
          <w:rFonts w:ascii="Times New Roman" w:eastAsia="Times New Roman" w:hAnsi="Times New Roman" w:cs="Times New Roman"/>
          <w:sz w:val="24"/>
          <w:szCs w:val="24"/>
        </w:rPr>
        <w:t xml:space="preserve"> on a company's income, client joy, and operational productivity, it is significant to comprehend their subtleties. The data being examined relates to an internet retailer with central command in London that has been serving a wide extend of clients since 2007. The shop caters to little companies who purchase in bulk for resale as well as person clients. It practices in presents and homewares for both grown-ups and children. The dataset gives a careful picture of e-commerce exchanges, highlighting the complex intelligent between shopper conduct, advertise request, and operational issues. Its clients are spread over numerous geographic areas.</w:t>
      </w:r>
    </w:p>
    <w:p w14:paraId="4465EA5D"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Arrange cancellations are an basic portion of e-commerce operations, hence it's imperative to carefully look at them in arrange to recognize basic patterns, designs, and conceivable zones for change. Businesses may make strides client encounters and decrease dangers by examining the causes that lead to arrange cancellations, such as item accessibility, shipment delays, or disappointed clients. In light of this, the inquire about points to utilize Microsoft Exceed </w:t>
      </w:r>
      <w:r>
        <w:rPr>
          <w:rFonts w:ascii="Times New Roman" w:eastAsia="Times New Roman" w:hAnsi="Times New Roman" w:cs="Times New Roman"/>
          <w:sz w:val="24"/>
          <w:szCs w:val="24"/>
        </w:rPr>
        <w:lastRenderedPageBreak/>
        <w:t xml:space="preserve">expectations as a adaptable device for the dataset's pretreatment, investigation, and representation. By carefully dissecting arrange cancellation trends, the ponder points to supply valuable data that will bolster key decision-making and increment the competitiveness and flexibility of e-commerce businesses in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always changing advanced environment.</w:t>
      </w:r>
    </w:p>
    <w:p w14:paraId="14DCC170" w14:textId="77777777" w:rsidR="00536A46" w:rsidRDefault="00BF169F" w:rsidP="00CD14EE">
      <w:pPr>
        <w:pStyle w:val="Heading2"/>
      </w:pPr>
      <w:bookmarkStart w:id="3" w:name="_Toc162730533"/>
      <w:r>
        <w:t>How was the sales trend over the months</w:t>
      </w:r>
      <w:bookmarkEnd w:id="3"/>
    </w:p>
    <w:p w14:paraId="73F59C62" w14:textId="77777777" w:rsidR="00536A46" w:rsidRDefault="00536A46" w:rsidP="00CD14EE">
      <w:pPr>
        <w:spacing w:line="360" w:lineRule="auto"/>
        <w:jc w:val="both"/>
        <w:rPr>
          <w:rFonts w:ascii="Times New Roman" w:eastAsia="Times New Roman" w:hAnsi="Times New Roman" w:cs="Times New Roman"/>
          <w:b/>
          <w:sz w:val="24"/>
          <w:szCs w:val="24"/>
        </w:rPr>
      </w:pPr>
    </w:p>
    <w:tbl>
      <w:tblPr>
        <w:tblStyle w:val="a"/>
        <w:tblW w:w="28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76"/>
        <w:gridCol w:w="1614"/>
      </w:tblGrid>
      <w:tr w:rsidR="00536A46" w14:paraId="3D146203" w14:textId="77777777" w:rsidTr="00CD14EE">
        <w:trPr>
          <w:trHeight w:val="485"/>
          <w:jc w:val="center"/>
        </w:trPr>
        <w:tc>
          <w:tcPr>
            <w:tcW w:w="1276" w:type="dxa"/>
            <w:tcMar>
              <w:top w:w="100" w:type="dxa"/>
              <w:left w:w="100" w:type="dxa"/>
              <w:bottom w:w="100" w:type="dxa"/>
              <w:right w:w="100" w:type="dxa"/>
            </w:tcMar>
          </w:tcPr>
          <w:p w14:paraId="307D4C5F"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 of Sales</w:t>
            </w:r>
          </w:p>
        </w:tc>
        <w:tc>
          <w:tcPr>
            <w:tcW w:w="1614" w:type="dxa"/>
            <w:tcMar>
              <w:top w:w="100" w:type="dxa"/>
              <w:left w:w="100" w:type="dxa"/>
              <w:bottom w:w="100" w:type="dxa"/>
              <w:right w:w="100" w:type="dxa"/>
            </w:tcMar>
          </w:tcPr>
          <w:p w14:paraId="51E79A39"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536A46" w14:paraId="49303B5C" w14:textId="77777777" w:rsidTr="00CD14EE">
        <w:trPr>
          <w:trHeight w:val="485"/>
          <w:jc w:val="center"/>
        </w:trPr>
        <w:tc>
          <w:tcPr>
            <w:tcW w:w="1276" w:type="dxa"/>
            <w:tcMar>
              <w:top w:w="100" w:type="dxa"/>
              <w:left w:w="100" w:type="dxa"/>
              <w:bottom w:w="100" w:type="dxa"/>
              <w:right w:w="100" w:type="dxa"/>
            </w:tcMar>
          </w:tcPr>
          <w:p w14:paraId="5200D6BE"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Month</w:t>
            </w:r>
          </w:p>
        </w:tc>
        <w:tc>
          <w:tcPr>
            <w:tcW w:w="1614" w:type="dxa"/>
            <w:tcMar>
              <w:top w:w="100" w:type="dxa"/>
              <w:left w:w="100" w:type="dxa"/>
              <w:bottom w:w="100" w:type="dxa"/>
              <w:right w:w="100" w:type="dxa"/>
            </w:tcMar>
          </w:tcPr>
          <w:p w14:paraId="053B2612"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w:t>
            </w:r>
          </w:p>
        </w:tc>
      </w:tr>
      <w:tr w:rsidR="00536A46" w14:paraId="3F44138D" w14:textId="77777777" w:rsidTr="00CD14EE">
        <w:trPr>
          <w:trHeight w:val="485"/>
          <w:jc w:val="center"/>
        </w:trPr>
        <w:tc>
          <w:tcPr>
            <w:tcW w:w="1276" w:type="dxa"/>
            <w:tcMar>
              <w:top w:w="100" w:type="dxa"/>
              <w:left w:w="100" w:type="dxa"/>
              <w:bottom w:w="100" w:type="dxa"/>
              <w:right w:w="100" w:type="dxa"/>
            </w:tcMar>
          </w:tcPr>
          <w:p w14:paraId="5A620273"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tc>
        <w:tc>
          <w:tcPr>
            <w:tcW w:w="1614" w:type="dxa"/>
            <w:tcMar>
              <w:top w:w="100" w:type="dxa"/>
              <w:left w:w="100" w:type="dxa"/>
              <w:bottom w:w="100" w:type="dxa"/>
              <w:right w:w="100" w:type="dxa"/>
            </w:tcMar>
          </w:tcPr>
          <w:p w14:paraId="7D04E14C"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172592.36</w:t>
            </w:r>
          </w:p>
        </w:tc>
      </w:tr>
      <w:tr w:rsidR="00536A46" w14:paraId="2C5DBF8E" w14:textId="77777777" w:rsidTr="00CD14EE">
        <w:trPr>
          <w:trHeight w:val="485"/>
          <w:jc w:val="center"/>
        </w:trPr>
        <w:tc>
          <w:tcPr>
            <w:tcW w:w="1276" w:type="dxa"/>
            <w:tcMar>
              <w:top w:w="100" w:type="dxa"/>
              <w:left w:w="100" w:type="dxa"/>
              <w:bottom w:w="100" w:type="dxa"/>
              <w:right w:w="100" w:type="dxa"/>
            </w:tcMar>
          </w:tcPr>
          <w:p w14:paraId="31AED447"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tc>
        <w:tc>
          <w:tcPr>
            <w:tcW w:w="1614" w:type="dxa"/>
            <w:tcMar>
              <w:top w:w="100" w:type="dxa"/>
              <w:left w:w="100" w:type="dxa"/>
              <w:bottom w:w="100" w:type="dxa"/>
              <w:right w:w="100" w:type="dxa"/>
            </w:tcMar>
          </w:tcPr>
          <w:p w14:paraId="1B126948"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179868.59</w:t>
            </w:r>
          </w:p>
        </w:tc>
      </w:tr>
      <w:tr w:rsidR="00536A46" w14:paraId="77A6E707" w14:textId="77777777" w:rsidTr="00CD14EE">
        <w:trPr>
          <w:trHeight w:val="485"/>
          <w:jc w:val="center"/>
        </w:trPr>
        <w:tc>
          <w:tcPr>
            <w:tcW w:w="1276" w:type="dxa"/>
            <w:tcMar>
              <w:top w:w="100" w:type="dxa"/>
              <w:left w:w="100" w:type="dxa"/>
              <w:bottom w:w="100" w:type="dxa"/>
              <w:right w:w="100" w:type="dxa"/>
            </w:tcMar>
          </w:tcPr>
          <w:p w14:paraId="238A809B"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p>
        </w:tc>
        <w:tc>
          <w:tcPr>
            <w:tcW w:w="1614" w:type="dxa"/>
            <w:tcMar>
              <w:top w:w="100" w:type="dxa"/>
              <w:left w:w="100" w:type="dxa"/>
              <w:bottom w:w="100" w:type="dxa"/>
              <w:right w:w="100" w:type="dxa"/>
            </w:tcMar>
          </w:tcPr>
          <w:p w14:paraId="137481DE"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79020.71</w:t>
            </w:r>
          </w:p>
        </w:tc>
      </w:tr>
      <w:tr w:rsidR="00536A46" w14:paraId="4092258F" w14:textId="77777777" w:rsidTr="00CD14EE">
        <w:trPr>
          <w:trHeight w:val="485"/>
          <w:jc w:val="center"/>
        </w:trPr>
        <w:tc>
          <w:tcPr>
            <w:tcW w:w="1276" w:type="dxa"/>
            <w:tcMar>
              <w:top w:w="100" w:type="dxa"/>
              <w:left w:w="100" w:type="dxa"/>
              <w:bottom w:w="100" w:type="dxa"/>
              <w:right w:w="100" w:type="dxa"/>
            </w:tcMar>
          </w:tcPr>
          <w:p w14:paraId="58F9FF63"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p>
        </w:tc>
        <w:tc>
          <w:tcPr>
            <w:tcW w:w="1614" w:type="dxa"/>
            <w:tcMar>
              <w:top w:w="100" w:type="dxa"/>
              <w:left w:w="100" w:type="dxa"/>
              <w:bottom w:w="100" w:type="dxa"/>
              <w:right w:w="100" w:type="dxa"/>
            </w:tcMar>
          </w:tcPr>
          <w:p w14:paraId="09C75EF2"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288295.47</w:t>
            </w:r>
          </w:p>
        </w:tc>
      </w:tr>
      <w:tr w:rsidR="00536A46" w14:paraId="10E814A8" w14:textId="77777777" w:rsidTr="00CD14EE">
        <w:trPr>
          <w:trHeight w:val="485"/>
          <w:jc w:val="center"/>
        </w:trPr>
        <w:tc>
          <w:tcPr>
            <w:tcW w:w="1276" w:type="dxa"/>
            <w:tcMar>
              <w:top w:w="100" w:type="dxa"/>
              <w:left w:w="100" w:type="dxa"/>
              <w:bottom w:w="100" w:type="dxa"/>
              <w:right w:w="100" w:type="dxa"/>
            </w:tcMar>
          </w:tcPr>
          <w:p w14:paraId="41B7A8E7"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w:t>
            </w:r>
          </w:p>
        </w:tc>
        <w:tc>
          <w:tcPr>
            <w:tcW w:w="1614" w:type="dxa"/>
            <w:tcMar>
              <w:top w:w="100" w:type="dxa"/>
              <w:left w:w="100" w:type="dxa"/>
              <w:bottom w:w="100" w:type="dxa"/>
              <w:right w:w="100" w:type="dxa"/>
            </w:tcMar>
          </w:tcPr>
          <w:p w14:paraId="3DD78A79"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190335.34</w:t>
            </w:r>
          </w:p>
        </w:tc>
      </w:tr>
      <w:tr w:rsidR="00536A46" w14:paraId="0EC2F7DA" w14:textId="77777777" w:rsidTr="00CD14EE">
        <w:trPr>
          <w:trHeight w:val="485"/>
          <w:jc w:val="center"/>
        </w:trPr>
        <w:tc>
          <w:tcPr>
            <w:tcW w:w="1276" w:type="dxa"/>
            <w:tcMar>
              <w:top w:w="100" w:type="dxa"/>
              <w:left w:w="100" w:type="dxa"/>
              <w:bottom w:w="100" w:type="dxa"/>
              <w:right w:w="100" w:type="dxa"/>
            </w:tcMar>
          </w:tcPr>
          <w:p w14:paraId="326D3C8F"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w:t>
            </w:r>
          </w:p>
        </w:tc>
        <w:tc>
          <w:tcPr>
            <w:tcW w:w="1614" w:type="dxa"/>
            <w:tcMar>
              <w:top w:w="100" w:type="dxa"/>
              <w:left w:w="100" w:type="dxa"/>
              <w:bottom w:w="100" w:type="dxa"/>
              <w:right w:w="100" w:type="dxa"/>
            </w:tcMar>
          </w:tcPr>
          <w:p w14:paraId="23B91763"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263611.26</w:t>
            </w:r>
          </w:p>
        </w:tc>
      </w:tr>
      <w:tr w:rsidR="00536A46" w14:paraId="4DCC1E53" w14:textId="77777777" w:rsidTr="00CD14EE">
        <w:trPr>
          <w:trHeight w:val="485"/>
          <w:jc w:val="center"/>
        </w:trPr>
        <w:tc>
          <w:tcPr>
            <w:tcW w:w="1276" w:type="dxa"/>
            <w:tcMar>
              <w:top w:w="100" w:type="dxa"/>
              <w:left w:w="100" w:type="dxa"/>
              <w:bottom w:w="100" w:type="dxa"/>
              <w:right w:w="100" w:type="dxa"/>
            </w:tcMar>
          </w:tcPr>
          <w:p w14:paraId="68AB133A"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c>
          <w:tcPr>
            <w:tcW w:w="1614" w:type="dxa"/>
            <w:tcMar>
              <w:top w:w="100" w:type="dxa"/>
              <w:left w:w="100" w:type="dxa"/>
              <w:bottom w:w="100" w:type="dxa"/>
              <w:right w:w="100" w:type="dxa"/>
            </w:tcMar>
          </w:tcPr>
          <w:p w14:paraId="060D7848"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215952.78</w:t>
            </w:r>
          </w:p>
        </w:tc>
      </w:tr>
      <w:tr w:rsidR="00536A46" w14:paraId="372A8F49" w14:textId="77777777" w:rsidTr="00CD14EE">
        <w:trPr>
          <w:trHeight w:val="485"/>
          <w:jc w:val="center"/>
        </w:trPr>
        <w:tc>
          <w:tcPr>
            <w:tcW w:w="1276" w:type="dxa"/>
            <w:tcMar>
              <w:top w:w="100" w:type="dxa"/>
              <w:left w:w="100" w:type="dxa"/>
              <w:bottom w:w="100" w:type="dxa"/>
              <w:right w:w="100" w:type="dxa"/>
            </w:tcMar>
          </w:tcPr>
          <w:p w14:paraId="2AB42A86"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9</w:t>
            </w:r>
          </w:p>
        </w:tc>
        <w:tc>
          <w:tcPr>
            <w:tcW w:w="1614" w:type="dxa"/>
            <w:tcMar>
              <w:top w:w="100" w:type="dxa"/>
              <w:left w:w="100" w:type="dxa"/>
              <w:bottom w:w="100" w:type="dxa"/>
              <w:right w:w="100" w:type="dxa"/>
            </w:tcMar>
          </w:tcPr>
          <w:p w14:paraId="5CD01E62"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604502.11</w:t>
            </w:r>
          </w:p>
        </w:tc>
      </w:tr>
      <w:tr w:rsidR="00536A46" w14:paraId="30E5D722" w14:textId="77777777" w:rsidTr="00CD14EE">
        <w:trPr>
          <w:trHeight w:val="485"/>
          <w:jc w:val="center"/>
        </w:trPr>
        <w:tc>
          <w:tcPr>
            <w:tcW w:w="1276" w:type="dxa"/>
            <w:tcMar>
              <w:top w:w="100" w:type="dxa"/>
              <w:left w:w="100" w:type="dxa"/>
              <w:bottom w:w="100" w:type="dxa"/>
              <w:right w:w="100" w:type="dxa"/>
            </w:tcMar>
          </w:tcPr>
          <w:p w14:paraId="76C7BCC2"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w:t>
            </w:r>
          </w:p>
        </w:tc>
        <w:tc>
          <w:tcPr>
            <w:tcW w:w="1614" w:type="dxa"/>
            <w:tcMar>
              <w:top w:w="100" w:type="dxa"/>
              <w:left w:w="100" w:type="dxa"/>
              <w:bottom w:w="100" w:type="dxa"/>
              <w:right w:w="100" w:type="dxa"/>
            </w:tcMar>
          </w:tcPr>
          <w:p w14:paraId="67A14520"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2739679.19</w:t>
            </w:r>
          </w:p>
        </w:tc>
      </w:tr>
      <w:tr w:rsidR="00536A46" w14:paraId="57445C68" w14:textId="77777777" w:rsidTr="00CD14EE">
        <w:trPr>
          <w:trHeight w:val="485"/>
          <w:jc w:val="center"/>
        </w:trPr>
        <w:tc>
          <w:tcPr>
            <w:tcW w:w="1276" w:type="dxa"/>
            <w:tcMar>
              <w:top w:w="100" w:type="dxa"/>
              <w:left w:w="100" w:type="dxa"/>
              <w:bottom w:w="100" w:type="dxa"/>
              <w:right w:w="100" w:type="dxa"/>
            </w:tcMar>
          </w:tcPr>
          <w:p w14:paraId="7C7B0C83"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Grand Total</w:t>
            </w:r>
          </w:p>
        </w:tc>
        <w:tc>
          <w:tcPr>
            <w:tcW w:w="1614" w:type="dxa"/>
            <w:tcMar>
              <w:top w:w="100" w:type="dxa"/>
              <w:left w:w="100" w:type="dxa"/>
              <w:bottom w:w="100" w:type="dxa"/>
              <w:right w:w="100" w:type="dxa"/>
            </w:tcMar>
          </w:tcPr>
          <w:p w14:paraId="179C03A4"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4733857.81</w:t>
            </w:r>
          </w:p>
        </w:tc>
      </w:tr>
    </w:tbl>
    <w:p w14:paraId="7499D39A" w14:textId="77777777" w:rsidR="00536A46" w:rsidRDefault="00536A46" w:rsidP="00CD14EE">
      <w:pPr>
        <w:spacing w:line="360" w:lineRule="auto"/>
        <w:jc w:val="both"/>
        <w:rPr>
          <w:rFonts w:ascii="Times New Roman" w:eastAsia="Times New Roman" w:hAnsi="Times New Roman" w:cs="Times New Roman"/>
          <w:b/>
          <w:sz w:val="24"/>
          <w:szCs w:val="24"/>
        </w:rPr>
      </w:pPr>
    </w:p>
    <w:p w14:paraId="4C57A245"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6226E651" wp14:editId="095E98E8">
            <wp:extent cx="5943600" cy="31750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175000"/>
                    </a:xfrm>
                    <a:prstGeom prst="rect">
                      <a:avLst/>
                    </a:prstGeom>
                    <a:ln w="25400">
                      <a:solidFill>
                        <a:srgbClr val="000000"/>
                      </a:solidFill>
                      <a:prstDash val="solid"/>
                    </a:ln>
                  </pic:spPr>
                </pic:pic>
              </a:graphicData>
            </a:graphic>
          </wp:inline>
        </w:drawing>
      </w:r>
    </w:p>
    <w:p w14:paraId="58F91D7D"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Sales vs month </w:t>
      </w:r>
    </w:p>
    <w:p w14:paraId="67ED17E1"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line chart appears that there has been vacillation within the deals slant all through the months. The blue line appears critical changes in deals volume all through the nine-month period, maybe reflecting the entire number of units sold each month. On the other hand, the green line appears an in general upward drift, showing a steady aggregation of deals over time and maybe speaking to the total amount of units sold up to each month. But the legend is hazy since it does not clearly recognize between "Add up to" and "Sum of Deals." It's conceivable that the green line appears the full deals of all things, whereas the blue line appears deals of a single item. Then again, the deals numbers appeared within the dataset may be spoken to by the green line as the aggregate add up to. The chart still underscores how vital it is to examine deals patterns in arrange to distinguish patterns and direct vital decision-making in e-commerce operations, in any case of the precise translation. By distinguishing these patterns, companies may adjust their plans to require advantage of tall focuses and reduce troubles at moo focuses, expanding their productivity and competitiveness within the ever-changing e-commerce advertise.</w:t>
      </w:r>
    </w:p>
    <w:p w14:paraId="0DB9F9EB" w14:textId="77777777" w:rsidR="00536A46" w:rsidRDefault="00BF169F" w:rsidP="00CD14EE">
      <w:pPr>
        <w:pStyle w:val="Heading2"/>
      </w:pPr>
      <w:bookmarkStart w:id="4" w:name="_Toc162730534"/>
      <w:r>
        <w:t>What are the most frequently purchased products</w:t>
      </w:r>
      <w:bookmarkEnd w:id="4"/>
    </w:p>
    <w:p w14:paraId="32B5646B"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0D1CA9D7" wp14:editId="1FAC615E">
            <wp:extent cx="5943600" cy="30226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3022600"/>
                    </a:xfrm>
                    <a:prstGeom prst="rect">
                      <a:avLst/>
                    </a:prstGeom>
                    <a:ln/>
                  </pic:spPr>
                </pic:pic>
              </a:graphicData>
            </a:graphic>
          </wp:inline>
        </w:drawing>
      </w:r>
    </w:p>
    <w:p w14:paraId="73DA319D"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Most frequently purchased prod</w:t>
      </w:r>
    </w:p>
    <w:p w14:paraId="14AE3E96" w14:textId="77777777" w:rsidR="00536A46" w:rsidRDefault="00536A46" w:rsidP="00CD14EE">
      <w:pPr>
        <w:spacing w:line="360" w:lineRule="auto"/>
        <w:jc w:val="both"/>
        <w:rPr>
          <w:rFonts w:ascii="Times New Roman" w:eastAsia="Times New Roman" w:hAnsi="Times New Roman" w:cs="Times New Roman"/>
          <w:b/>
          <w:sz w:val="24"/>
          <w:szCs w:val="24"/>
        </w:rPr>
      </w:pPr>
    </w:p>
    <w:p w14:paraId="7BA3BF5B"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information provided shows that a extend of things, counting stationery, fancy things, and domestic products, are the foremost commonly bought. The Rabbit Night Light, Gigantic Sack Apples, Flower People Stationery Set, Set of 72 </w:t>
      </w:r>
      <w:proofErr w:type="spellStart"/>
      <w:r>
        <w:rPr>
          <w:rFonts w:ascii="Times New Roman" w:eastAsia="Times New Roman" w:hAnsi="Times New Roman" w:cs="Times New Roman"/>
          <w:sz w:val="24"/>
          <w:szCs w:val="24"/>
        </w:rPr>
        <w:t>Retrospot</w:t>
      </w:r>
      <w:proofErr w:type="spellEnd"/>
      <w:r>
        <w:rPr>
          <w:rFonts w:ascii="Times New Roman" w:eastAsia="Times New Roman" w:hAnsi="Times New Roman" w:cs="Times New Roman"/>
          <w:sz w:val="24"/>
          <w:szCs w:val="24"/>
        </w:rPr>
        <w:t xml:space="preserve"> Markers, and 36 Ruddy and Dark Pencils Tube are a few of the best-selling merchandise. These items span a wide assortment of categories, showing that buyers are drawn to a combination of decorative and utilitarian products for their homes and individual utilization. The Card Announcement Text style, Sweetheart Winged creature House, Rule </w:t>
      </w:r>
      <w:proofErr w:type="spellStart"/>
      <w:r>
        <w:rPr>
          <w:rFonts w:ascii="Times New Roman" w:eastAsia="Times New Roman" w:hAnsi="Times New Roman" w:cs="Times New Roman"/>
          <w:sz w:val="24"/>
          <w:szCs w:val="24"/>
        </w:rPr>
        <w:t>Cakestand</w:t>
      </w:r>
      <w:proofErr w:type="spellEnd"/>
      <w:r>
        <w:rPr>
          <w:rFonts w:ascii="Times New Roman" w:eastAsia="Times New Roman" w:hAnsi="Times New Roman" w:cs="Times New Roman"/>
          <w:sz w:val="24"/>
          <w:szCs w:val="24"/>
        </w:rPr>
        <w:t xml:space="preserve"> 3 Level, and Chocolate Hot Water Bottle are among the other merchandise that are regularly bought. This reflects a crave for items that satisfy down to earth and tasteful needs, taking after the trend of clients seeking out for products that are a la mode and valuable at the same time.</w:t>
      </w:r>
    </w:p>
    <w:p w14:paraId="53F0EF1B"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list demonstrates a advertise for both year-round necessities just like the Cream Hanging Heart T-Light Holder and Conventional Choose Up Sticks Diversion, as well as regular items like Paper Chain Pack 50'S Christmas and Enormous Sack 50'S Christmas. Besides, the accessibility of craftsmanship materials such as the </w:t>
      </w:r>
      <w:proofErr w:type="spellStart"/>
      <w:r>
        <w:rPr>
          <w:rFonts w:ascii="Times New Roman" w:eastAsia="Times New Roman" w:hAnsi="Times New Roman" w:cs="Times New Roman"/>
          <w:sz w:val="24"/>
          <w:szCs w:val="24"/>
        </w:rPr>
        <w:t>Retrospot</w:t>
      </w:r>
      <w:proofErr w:type="spellEnd"/>
      <w:r>
        <w:rPr>
          <w:rFonts w:ascii="Times New Roman" w:eastAsia="Times New Roman" w:hAnsi="Times New Roman" w:cs="Times New Roman"/>
          <w:sz w:val="24"/>
          <w:szCs w:val="24"/>
        </w:rPr>
        <w:t xml:space="preserve"> Tea Set Ceramic 11 Pc and Set of 20 Vintage Christmas Napkins demonstrates a want for entertaining and creative tries. All things considered, a wide range of categories are spoken to among the foremost commonly bought </w:t>
      </w:r>
      <w:r>
        <w:rPr>
          <w:rFonts w:ascii="Times New Roman" w:eastAsia="Times New Roman" w:hAnsi="Times New Roman" w:cs="Times New Roman"/>
          <w:sz w:val="24"/>
          <w:szCs w:val="24"/>
        </w:rPr>
        <w:lastRenderedPageBreak/>
        <w:t xml:space="preserve">merchandise, proposing a differences of shopper tastes and a require for utilitarian and stylishly satisfying items for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assortment of employments.</w:t>
      </w:r>
    </w:p>
    <w:p w14:paraId="5D11D21F" w14:textId="77777777" w:rsidR="00CD14EE" w:rsidRDefault="00BF169F" w:rsidP="00CD14EE">
      <w:pPr>
        <w:pStyle w:val="Heading2"/>
      </w:pPr>
      <w:bookmarkStart w:id="5" w:name="_Toc162730535"/>
      <w:r>
        <w:t xml:space="preserve">How many products does the customer purchase in each </w:t>
      </w:r>
      <w:r w:rsidR="00CD14EE">
        <w:t>transaction?</w:t>
      </w:r>
      <w:bookmarkEnd w:id="5"/>
    </w:p>
    <w:p w14:paraId="0FB6DE02"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r>
      <w:r>
        <w:rPr>
          <w:rFonts w:ascii="Times New Roman" w:eastAsia="Times New Roman" w:hAnsi="Times New Roman" w:cs="Times New Roman"/>
          <w:b/>
          <w:noProof/>
          <w:sz w:val="24"/>
          <w:szCs w:val="24"/>
          <w:lang w:val="en-US" w:eastAsia="en-US"/>
        </w:rPr>
        <w:drawing>
          <wp:inline distT="114300" distB="114300" distL="114300" distR="114300" wp14:anchorId="332018D5" wp14:editId="71657A5E">
            <wp:extent cx="5943600" cy="31369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136900"/>
                    </a:xfrm>
                    <a:prstGeom prst="rect">
                      <a:avLst/>
                    </a:prstGeom>
                    <a:ln/>
                  </pic:spPr>
                </pic:pic>
              </a:graphicData>
            </a:graphic>
          </wp:inline>
        </w:drawing>
      </w:r>
    </w:p>
    <w:p w14:paraId="756FB808"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total transaction of the customers </w:t>
      </w:r>
    </w:p>
    <w:p w14:paraId="59F40BC8"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dataset given contains data on one or more merchandise connected with each exchange, which includes to the trouble of figuring out how numerous things were bought in each exchange. The information examiner looks at the "Tally of </w:t>
      </w:r>
      <w:proofErr w:type="spellStart"/>
      <w:r>
        <w:rPr>
          <w:rFonts w:ascii="Times New Roman" w:eastAsia="Times New Roman" w:hAnsi="Times New Roman" w:cs="Times New Roman"/>
          <w:sz w:val="24"/>
          <w:szCs w:val="24"/>
        </w:rPr>
        <w:t>ProductNo</w:t>
      </w:r>
      <w:proofErr w:type="spellEnd"/>
      <w:r>
        <w:rPr>
          <w:rFonts w:ascii="Times New Roman" w:eastAsia="Times New Roman" w:hAnsi="Times New Roman" w:cs="Times New Roman"/>
          <w:sz w:val="24"/>
          <w:szCs w:val="24"/>
        </w:rPr>
        <w:t xml:space="preserve">" column, which records the number of things acquired in each exchange, to decide this. The examiner finds that each exchange is extraordinarily perceived by a TransactionNo by going through the exchange records. As an case, Exchange No. 576892 reports the procurement of three partitioned things, to be specific "Bread Container Coffee shop Fashion Ivory," "Gigantic Sack Vintage Christmas," and "Pack Of 12 50'S Christmas Tissues," appearing that a add up to of three products were acquired. Comparative to this, diverse TransactionNo passages appear diverse numbers of products per exchange, which reflects the wide run of client buying propensities. Utilizing this information, the investigator looks over each TransactionNo thing in turn to construct a careful information of the item amounts for each exchange. By employing a deliberate approach, the examiner may viably disentangle the nuances of client buying propensities, driving to profitable understanding of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exchange elements within the e-commerce space.</w:t>
      </w:r>
    </w:p>
    <w:p w14:paraId="0274E1AF" w14:textId="77777777" w:rsidR="00536A46" w:rsidRDefault="00BF169F" w:rsidP="00CD14EE">
      <w:pPr>
        <w:pStyle w:val="Heading2"/>
      </w:pPr>
      <w:bookmarkStart w:id="6" w:name="_Toc162730536"/>
      <w:r>
        <w:lastRenderedPageBreak/>
        <w:t xml:space="preserve">What are the most profitable segment </w:t>
      </w:r>
      <w:r w:rsidR="00CD14EE">
        <w:t>customers?</w:t>
      </w:r>
      <w:bookmarkEnd w:id="6"/>
    </w:p>
    <w:p w14:paraId="5902AADF" w14:textId="77777777" w:rsidR="00536A46" w:rsidRDefault="00BF169F" w:rsidP="00CD14E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5D1463EE" wp14:editId="724A7DFF">
            <wp:extent cx="5943600" cy="288290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943600" cy="2882900"/>
                    </a:xfrm>
                    <a:prstGeom prst="rect">
                      <a:avLst/>
                    </a:prstGeom>
                    <a:ln/>
                  </pic:spPr>
                </pic:pic>
              </a:graphicData>
            </a:graphic>
          </wp:inline>
        </w:drawing>
      </w:r>
    </w:p>
    <w:p w14:paraId="566224F9"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Most Profitable Segment Customer</w:t>
      </w:r>
    </w:p>
    <w:p w14:paraId="0E314DE2"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Inside the UK-based e-commerce dataset, the line chart named "Most Productive Portion Client" offers a visual portrayal of the overall incomes created by distinctive client bunches. A unmistakable client number is utilized to identify each fragment along the x-axis, and the full deals sum is appeared in </w:t>
      </w:r>
      <w:r w:rsidR="00813E5F">
        <w:rPr>
          <w:rFonts w:ascii="Times New Roman" w:eastAsia="Times New Roman" w:hAnsi="Times New Roman" w:cs="Times New Roman"/>
          <w:sz w:val="24"/>
          <w:szCs w:val="24"/>
        </w:rPr>
        <w:t>pounds</w:t>
      </w:r>
      <w:r>
        <w:rPr>
          <w:rFonts w:ascii="Times New Roman" w:eastAsia="Times New Roman" w:hAnsi="Times New Roman" w:cs="Times New Roman"/>
          <w:sz w:val="24"/>
          <w:szCs w:val="24"/>
        </w:rPr>
        <w:t xml:space="preserve"> on the y-axis. The chart is noteworthy since it outlines the contrasts in use over different shopper bunches, with the foremost profitable section spoken to by the most noteworthy point on the line.</w:t>
      </w:r>
    </w:p>
    <w:p w14:paraId="1485A062"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doing a few examination, it turns out that client fragment 18172 is the foremost profitable, having went through a add up to of nearly </w:t>
      </w:r>
      <w:r w:rsidR="00D10755">
        <w:rPr>
          <w:rFonts w:ascii="Times New Roman" w:eastAsia="Times New Roman" w:hAnsi="Times New Roman" w:cs="Times New Roman"/>
          <w:sz w:val="24"/>
          <w:szCs w:val="24"/>
        </w:rPr>
        <w:t>£</w:t>
      </w:r>
      <w:r>
        <w:rPr>
          <w:rFonts w:ascii="Times New Roman" w:eastAsia="Times New Roman" w:hAnsi="Times New Roman" w:cs="Times New Roman"/>
          <w:sz w:val="24"/>
          <w:szCs w:val="24"/>
        </w:rPr>
        <w:t>181,720. Compared to other sections, this one appears a much more prominent sum of consumption, highlighting its importance in producing pay for the online retailer. The chart gives critical experiences into the relative commitments of each client category to add up to deals success, even on the off chance that it does not give comprehensive points of interest on the characteristics or practices of each customer segment.</w:t>
      </w:r>
    </w:p>
    <w:p w14:paraId="65669BCD"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arrange to supply advance setting for the significance of client section 18172, it is essential to require into consideration its impacts in connection to the bigger trade environment. The critical use that's credited to this bunch demonstrates a tall slant to purchase the items that the online retailer offers. Picking up knowledge into the slants, buying propensities, and socioeconomics of this market may give the company much-needed key center, permitting centered showcasing </w:t>
      </w:r>
      <w:r>
        <w:rPr>
          <w:rFonts w:ascii="Times New Roman" w:eastAsia="Times New Roman" w:hAnsi="Times New Roman" w:cs="Times New Roman"/>
          <w:sz w:val="24"/>
          <w:szCs w:val="24"/>
        </w:rPr>
        <w:lastRenderedPageBreak/>
        <w:t xml:space="preserve">campaigns and item upgrades to completely figure it out its potential. Moreover, prioritization and asset allotment strategies are made simpler by deciding which customer category is the foremost profitable. The company may boost profitability and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return on speculation by concentrating its endeavors on pulling in and keeping up shoppers inside this specific segment. Furthermore, the experiences gotten from this segment's consider may offer assistance direct client relationship management programs that look for to move forward client bliss and devotion, which is able bolster maintainable advancement over the long run.</w:t>
      </w:r>
    </w:p>
    <w:p w14:paraId="2C73FD43" w14:textId="77777777" w:rsidR="00536A46" w:rsidRPr="00CD14EE"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in spite of the fact that client fragment 18172 is the foremost profitable, it's critical to perceive that the client base is diverse which diverse clients contribute in an unexpected way to add up to deals. Each showcase specialty offers a particular chance to generate pay and draw in clients, in this way redone methodologies are required to cater to their person prerequisites and slants. The online retail firm may viably utilize the potential of each client category to create economical victory within the competitive e-commerce commercial center by executing division methodologies and doing intensive information investigation. Eventually, the disclosure of the foremost profitable client segment represented by client number 18172 within the dataset supplied highlights the significance of this bunch in affecting deals and generally company victory. The online retailer may make centered plans to utilize this segment's qualities whereas cultivating ties with other buyer bunches to advance </w:t>
      </w:r>
      <w:proofErr w:type="spellStart"/>
      <w:r>
        <w:rPr>
          <w:rFonts w:ascii="Times New Roman" w:eastAsia="Times New Roman" w:hAnsi="Times New Roman" w:cs="Times New Roman"/>
          <w:sz w:val="24"/>
          <w:szCs w:val="24"/>
        </w:rPr>
        <w:t>all encompassing</w:t>
      </w:r>
      <w:proofErr w:type="spellEnd"/>
      <w:r>
        <w:rPr>
          <w:rFonts w:ascii="Times New Roman" w:eastAsia="Times New Roman" w:hAnsi="Times New Roman" w:cs="Times New Roman"/>
          <w:sz w:val="24"/>
          <w:szCs w:val="24"/>
        </w:rPr>
        <w:t xml:space="preserve"> improvement and maintainability by utilizing the data from this inquire about.</w:t>
      </w:r>
    </w:p>
    <w:p w14:paraId="78C7BB7E" w14:textId="77777777" w:rsidR="00536A46" w:rsidRDefault="00BF169F" w:rsidP="00CD14EE">
      <w:pPr>
        <w:pStyle w:val="Heading2"/>
      </w:pPr>
      <w:bookmarkStart w:id="7" w:name="_Toc162730537"/>
      <w:r>
        <w:t>Based on your findings, what strategy could you recommend to the business to gain more profit</w:t>
      </w:r>
      <w:bookmarkEnd w:id="7"/>
    </w:p>
    <w:p w14:paraId="2170CDE8" w14:textId="77777777" w:rsidR="00536A46" w:rsidRDefault="00BF169F" w:rsidP="00CD14E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Inside the UK-based e-commerce dataset, the line chart named "Most Productive Portion Client" offers a visual portrayal of the overall incomes created by distinctive client bunches. A unmistakable client number is utilized to identify each fragment along the x-axis, and the full deals sum is appeared in </w:t>
      </w:r>
      <w:r w:rsidR="00813E5F">
        <w:rPr>
          <w:rFonts w:ascii="Times New Roman" w:eastAsia="Times New Roman" w:hAnsi="Times New Roman" w:cs="Times New Roman"/>
          <w:sz w:val="24"/>
          <w:szCs w:val="24"/>
        </w:rPr>
        <w:t>pounds</w:t>
      </w:r>
      <w:r>
        <w:rPr>
          <w:rFonts w:ascii="Times New Roman" w:eastAsia="Times New Roman" w:hAnsi="Times New Roman" w:cs="Times New Roman"/>
          <w:sz w:val="24"/>
          <w:szCs w:val="24"/>
        </w:rPr>
        <w:t xml:space="preserve"> on the y-axis. The chart is noteworthy since it outlines the contrasts in use over different shopper bunches, with the foremost profitable section spoken to by the most noteworthy point on the line.</w:t>
      </w:r>
    </w:p>
    <w:p w14:paraId="7F97FDF1" w14:textId="77777777" w:rsidR="00536A46" w:rsidRDefault="00BF169F" w:rsidP="00CD14E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doing a few examination, it turns out that client fragment 18172 is the foremost profitable, having went through a add up to of nearly </w:t>
      </w:r>
      <w:r w:rsidR="00D1075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181,720. Compared to other sections, this one appears a much more prominent sum of consumption, highlighting its importance in producing pay for the online retailer. The chart gives critical experiences </w:t>
      </w:r>
      <w:r>
        <w:rPr>
          <w:rFonts w:ascii="Times New Roman" w:eastAsia="Times New Roman" w:hAnsi="Times New Roman" w:cs="Times New Roman"/>
          <w:sz w:val="24"/>
          <w:szCs w:val="24"/>
        </w:rPr>
        <w:lastRenderedPageBreak/>
        <w:t>into the relative commitments of each client category to add up to deals success, even on the off chance that it does not give comprehensive points of interest on the characteristics or practices of each customer segment.</w:t>
      </w:r>
    </w:p>
    <w:p w14:paraId="04F5FD64" w14:textId="77777777" w:rsidR="00536A46" w:rsidRDefault="00BF169F" w:rsidP="00CD14E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arrange to supply advance setting for the significance of client section 18172, it is essential to require into consideration its impacts in connection to the bigger trade environment. The critical use that's credited to this bunch demonstrates a tall slant to purchase the items that the online retailer offers. Picking up knowledge into the slants, buying propensities, and socioeconomics of this market may give the company much-needed key center, permitting centered showcasing campaigns and item upgrades to completely figure it out its potential.</w:t>
      </w:r>
    </w:p>
    <w:p w14:paraId="6C069C19" w14:textId="77777777" w:rsidR="00536A46" w:rsidRDefault="00BF169F" w:rsidP="00CD14E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prioritization and asset allotment strategies are made simpler by deciding which customer category is the foremost profitable. The company may boost profitability and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return on speculation by concentrating its endeavors on pulling in and keeping up shoppers inside this specific segment. Furthermore, the experiences gotten from this segment's consider may offer assistance direct client relationship management programs that look for to move forward client bliss and devotion, which is able bolster maintainable advancement over the long run.</w:t>
      </w:r>
    </w:p>
    <w:p w14:paraId="549F62D1" w14:textId="77777777" w:rsidR="00536A46" w:rsidRDefault="00BF169F" w:rsidP="00CD14EE">
      <w:pPr>
        <w:spacing w:line="360" w:lineRule="auto"/>
        <w:jc w:val="both"/>
        <w:rPr>
          <w:rFonts w:ascii="Times New Roman" w:eastAsia="Times New Roman" w:hAnsi="Times New Roman" w:cs="Times New Roman"/>
          <w:b/>
          <w:sz w:val="24"/>
          <w:szCs w:val="24"/>
        </w:rPr>
      </w:pPr>
      <w:r>
        <w:br w:type="page"/>
      </w:r>
    </w:p>
    <w:p w14:paraId="019ECFF6" w14:textId="77777777" w:rsidR="00536A46" w:rsidRDefault="00BF169F" w:rsidP="00CD14EE">
      <w:pPr>
        <w:pStyle w:val="Heading1"/>
        <w:spacing w:line="360" w:lineRule="auto"/>
      </w:pPr>
      <w:bookmarkStart w:id="8" w:name="_Toc162730538"/>
      <w:r>
        <w:lastRenderedPageBreak/>
        <w:t>Part B</w:t>
      </w:r>
      <w:bookmarkEnd w:id="8"/>
      <w:r>
        <w:t xml:space="preserve"> </w:t>
      </w:r>
    </w:p>
    <w:p w14:paraId="449CB049" w14:textId="77777777" w:rsidR="00536A46" w:rsidRDefault="00BF169F" w:rsidP="00CD14EE">
      <w:pPr>
        <w:pStyle w:val="Heading2"/>
      </w:pPr>
      <w:bookmarkStart w:id="9" w:name="_Toc162730539"/>
      <w:r>
        <w:t>Introduction</w:t>
      </w:r>
      <w:bookmarkEnd w:id="9"/>
      <w:r>
        <w:t xml:space="preserve"> </w:t>
      </w:r>
    </w:p>
    <w:p w14:paraId="4A23C8E5"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analyzes the relationships among students' sex, pre-test and post-test comes about, and their qualification for decreased or free snacks in a neighborhood school setting. The objective is to assess the impacts of reduced/free lunch supply on scholastic achievement and sexual orientation dispersion employing a dataset of 2133 school students. The school has exchanged from utilizing Microsoft Exceed expectations to the open-source SPSS information mining program in order to do more in-depth information investigation. The most objective of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information investigator is to form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intensive investigation of the information utilizing SPSS in arrange to distinguish any designs or associations that might exist between the scholarly execution of kids some time recently and after mediation, their sex, and their status as lunch qualified. This report will give bits of knowledge to direct the school's asset assignment and guidelines jones.</w:t>
      </w:r>
    </w:p>
    <w:p w14:paraId="59DEDF78" w14:textId="77777777" w:rsidR="00536A46" w:rsidRDefault="00BF169F" w:rsidP="00CD14EE">
      <w:pPr>
        <w:pStyle w:val="Heading2"/>
      </w:pPr>
      <w:bookmarkStart w:id="10" w:name="_Toc162730540"/>
      <w:r>
        <w:t>1.How many students are male and female?</w:t>
      </w:r>
      <w:bookmarkEnd w:id="10"/>
      <w:r>
        <w:t xml:space="preserve"> </w:t>
      </w:r>
    </w:p>
    <w:p w14:paraId="562FD61C"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2ED085FD" wp14:editId="10B1198C">
            <wp:extent cx="5943600" cy="299720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2997200"/>
                    </a:xfrm>
                    <a:prstGeom prst="rect">
                      <a:avLst/>
                    </a:prstGeom>
                    <a:ln w="12700">
                      <a:solidFill>
                        <a:srgbClr val="000000"/>
                      </a:solidFill>
                      <a:prstDash val="solid"/>
                    </a:ln>
                  </pic:spPr>
                </pic:pic>
              </a:graphicData>
            </a:graphic>
          </wp:inline>
        </w:drawing>
      </w:r>
    </w:p>
    <w:p w14:paraId="0435D002"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5:Chart for no of males and females</w:t>
      </w:r>
    </w:p>
    <w:p w14:paraId="1F799C6B"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 above shows the no of male and females the figure shows there are 1056 no of females and 1077 no of males. </w:t>
      </w:r>
    </w:p>
    <w:p w14:paraId="1772777C" w14:textId="77777777" w:rsidR="00536A46" w:rsidRDefault="00BF169F" w:rsidP="00CD14EE">
      <w:pPr>
        <w:pStyle w:val="Heading2"/>
      </w:pPr>
      <w:bookmarkStart w:id="11" w:name="_Toc162730541"/>
      <w:r>
        <w:t>2.How many students qualify and do not qualify for reduced/free lunch?</w:t>
      </w:r>
      <w:bookmarkEnd w:id="11"/>
      <w:r>
        <w:t xml:space="preserve"> </w:t>
      </w:r>
    </w:p>
    <w:p w14:paraId="1D5E95E2"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752DD324" wp14:editId="7A0A10A0">
            <wp:extent cx="5943600" cy="2692400"/>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2692400"/>
                    </a:xfrm>
                    <a:prstGeom prst="rect">
                      <a:avLst/>
                    </a:prstGeom>
                    <a:ln w="12700">
                      <a:solidFill>
                        <a:srgbClr val="000000"/>
                      </a:solidFill>
                      <a:prstDash val="solid"/>
                    </a:ln>
                  </pic:spPr>
                </pic:pic>
              </a:graphicData>
            </a:graphic>
          </wp:inline>
        </w:drawing>
      </w:r>
    </w:p>
    <w:p w14:paraId="50A8BDAA"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6: no of students that have qualify </w:t>
      </w:r>
    </w:p>
    <w:p w14:paraId="7481164B"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 shows the number of the  students that qualify, here the number that the students that have not been qualified are more </w:t>
      </w:r>
    </w:p>
    <w:p w14:paraId="17413EE6" w14:textId="77777777" w:rsidR="00536A46" w:rsidRDefault="00BF169F" w:rsidP="00CD14EE">
      <w:pPr>
        <w:pStyle w:val="Heading2"/>
      </w:pPr>
      <w:bookmarkStart w:id="12" w:name="_Toc162730542"/>
      <w:r>
        <w:t>3.What are the mean and median of students who qualify and do not qualify for reduced/free lunch?</w:t>
      </w:r>
      <w:bookmarkEnd w:id="12"/>
    </w:p>
    <w:p w14:paraId="3D16B693"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6F2CB066" wp14:editId="20783703">
            <wp:extent cx="5943600" cy="334010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340100"/>
                    </a:xfrm>
                    <a:prstGeom prst="rect">
                      <a:avLst/>
                    </a:prstGeom>
                    <a:ln w="12700">
                      <a:solidFill>
                        <a:srgbClr val="000000"/>
                      </a:solidFill>
                      <a:prstDash val="solid"/>
                    </a:ln>
                  </pic:spPr>
                </pic:pic>
              </a:graphicData>
            </a:graphic>
          </wp:inline>
        </w:drawing>
      </w:r>
    </w:p>
    <w:p w14:paraId="2B670802"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Statistics of qualify and do not qualify </w:t>
      </w:r>
    </w:p>
    <w:p w14:paraId="2AAB1011"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assortment of factual measurements, counting least, greatest, check, kurtosis, skewness, change, cruel, middle, mode, standard deviation, and certainty level, are appeared within the picture. Values appear properties of information sets, counting certainty interims, scattering, and central propensity. These measures offer assistance to clarify the inconstancy and dispersion of the information.</w:t>
      </w:r>
    </w:p>
    <w:p w14:paraId="7F941FC2" w14:textId="77777777" w:rsidR="00536A46" w:rsidRDefault="00BF169F" w:rsidP="00CD14EE">
      <w:pPr>
        <w:pStyle w:val="Heading2"/>
      </w:pPr>
      <w:bookmarkStart w:id="13" w:name="_Toc162730543"/>
      <w:r>
        <w:t>4.</w:t>
      </w:r>
      <w:bookmarkEnd w:id="13"/>
    </w:p>
    <w:p w14:paraId="70934F88"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3EE32E9A" wp14:editId="2C7FB2D9">
            <wp:extent cx="5153025" cy="5133975"/>
            <wp:effectExtent l="12700" t="12700" r="12700" b="1270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5153025" cy="5133975"/>
                    </a:xfrm>
                    <a:prstGeom prst="rect">
                      <a:avLst/>
                    </a:prstGeom>
                    <a:ln w="12700">
                      <a:solidFill>
                        <a:srgbClr val="000000"/>
                      </a:solidFill>
                      <a:prstDash val="solid"/>
                    </a:ln>
                  </pic:spPr>
                </pic:pic>
              </a:graphicData>
            </a:graphic>
          </wp:inline>
        </w:drawing>
      </w:r>
    </w:p>
    <w:p w14:paraId="5E5F1090"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8:  Descriptive Statistics </w:t>
      </w:r>
    </w:p>
    <w:p w14:paraId="000B3D68"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Descriptive information for a pretest and posttest given to 2133 students are shown within Figure 7. Vital metrics for each test are highlighted, including the run, least, greatest, add up to, cruel, and standard deviation. The extension for the pretest is 17 points, from 14 to 31, whereas the range for the posttest is 71 points, from 22 to 93. With a standard deviation of 4.229, the normal </w:t>
      </w:r>
      <w:r>
        <w:rPr>
          <w:rFonts w:ascii="Times New Roman" w:eastAsia="Times New Roman" w:hAnsi="Times New Roman" w:cs="Times New Roman"/>
          <w:sz w:val="24"/>
          <w:szCs w:val="24"/>
        </w:rPr>
        <w:lastRenderedPageBreak/>
        <w:t>pretest score is 22.80, and the normal posttest score is 54.96, with a standard deviation of 13.563. The dispersion and central tendency of understudy execution are revealed by this information.</w:t>
      </w:r>
    </w:p>
    <w:p w14:paraId="4A3F7122"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39FCEDB3" wp14:editId="3737AEB7">
            <wp:extent cx="3438525" cy="5724525"/>
            <wp:effectExtent l="12700" t="12700" r="12700" b="1270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3438525" cy="5724525"/>
                    </a:xfrm>
                    <a:prstGeom prst="rect">
                      <a:avLst/>
                    </a:prstGeom>
                    <a:ln w="12700">
                      <a:solidFill>
                        <a:srgbClr val="000000"/>
                      </a:solidFill>
                      <a:prstDash val="solid"/>
                    </a:ln>
                  </pic:spPr>
                </pic:pic>
              </a:graphicData>
            </a:graphic>
          </wp:inline>
        </w:drawing>
      </w:r>
    </w:p>
    <w:p w14:paraId="7EE40196"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K-Means Clustering with k=2</w:t>
      </w:r>
    </w:p>
    <w:p w14:paraId="0C1DD5FA"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 of K-Means Clustering created by the "Quick Cluster" program is shown in the figure. The starting cluster centers and the history of cycles are shown.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Student_No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(Pretest) are the beginning centers for each of the two clusters that are found.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(Student No) starts at 1.23 and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(Pretest) at -2.36 for Cluster 1;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(Student No) starts at -1.37 and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(Pretest) at 2.80 for Cluster 2. Changes for every variable are recorded </w:t>
      </w:r>
      <w:r>
        <w:rPr>
          <w:rFonts w:ascii="Times New Roman" w:eastAsia="Times New Roman" w:hAnsi="Times New Roman" w:cs="Times New Roman"/>
          <w:sz w:val="24"/>
          <w:szCs w:val="24"/>
        </w:rPr>
        <w:lastRenderedPageBreak/>
        <w:t>within the emphasis history, which shows how these centers vary over time. When the number of iterations comes to its greatest, the procedure ends.</w:t>
      </w:r>
    </w:p>
    <w:p w14:paraId="6FA67C4F"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6E366F48" wp14:editId="3957FDF7">
            <wp:extent cx="5943600" cy="3505200"/>
            <wp:effectExtent l="12700" t="12700" r="12700" b="12700"/>
            <wp:docPr id="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943600" cy="3505200"/>
                    </a:xfrm>
                    <a:prstGeom prst="rect">
                      <a:avLst/>
                    </a:prstGeom>
                    <a:ln w="12700">
                      <a:solidFill>
                        <a:srgbClr val="000000"/>
                      </a:solidFill>
                      <a:prstDash val="solid"/>
                    </a:ln>
                  </pic:spPr>
                </pic:pic>
              </a:graphicData>
            </a:graphic>
          </wp:inline>
        </w:drawing>
      </w:r>
    </w:p>
    <w:p w14:paraId="60FBCE25"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Final cluster plot  at k=2</w:t>
      </w:r>
    </w:p>
    <w:p w14:paraId="37204D90"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cluster centers produced by a K-Means algorithm for clustering is shown in Figure 10. A plot of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(Student No) vs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(Pretest) appears in two distinctive clusters, assigned "Cluster 1" and "Cluster 2". Each cluster is symbolized by a circle, the centroid of which is shown in the middle. The centroid of Cluster 1 is roughly arranged at (-0.75, -0.5), recommending that the normal </w:t>
      </w:r>
      <w:proofErr w:type="spellStart"/>
      <w:r>
        <w:rPr>
          <w:rFonts w:ascii="Times New Roman" w:eastAsia="Times New Roman" w:hAnsi="Times New Roman" w:cs="Times New Roman"/>
          <w:sz w:val="24"/>
          <w:szCs w:val="24"/>
        </w:rPr>
        <w:t>Zscores</w:t>
      </w:r>
      <w:proofErr w:type="spellEnd"/>
      <w:r>
        <w:rPr>
          <w:rFonts w:ascii="Times New Roman" w:eastAsia="Times New Roman" w:hAnsi="Times New Roman" w:cs="Times New Roman"/>
          <w:sz w:val="24"/>
          <w:szCs w:val="24"/>
        </w:rPr>
        <w:t xml:space="preserve"> for both factors are lower than the cruel. The circles' sizes infer that Cluster 2 may incorporate the next number of information focuses.</w:t>
      </w:r>
    </w:p>
    <w:p w14:paraId="6D4C6B45"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7FB6BA47" wp14:editId="201535EC">
            <wp:extent cx="3495675" cy="2743200"/>
            <wp:effectExtent l="12700" t="12700" r="12700" b="1270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3495675" cy="2743200"/>
                    </a:xfrm>
                    <a:prstGeom prst="rect">
                      <a:avLst/>
                    </a:prstGeom>
                    <a:ln w="12700">
                      <a:solidFill>
                        <a:srgbClr val="000000"/>
                      </a:solidFill>
                      <a:prstDash val="solid"/>
                    </a:ln>
                  </pic:spPr>
                </pic:pic>
              </a:graphicData>
            </a:graphic>
          </wp:inline>
        </w:drawing>
      </w:r>
    </w:p>
    <w:p w14:paraId="27BC2DBB"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Number of cases in each cluster at k=2</w:t>
      </w:r>
    </w:p>
    <w:p w14:paraId="7933158E"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a K-Means clustering algorithm with k=2 are shown in Figure 11. Out of a total of 2133 instances, it outwardly speaks to two clusters, Cluster 1 and Cluster 2, with 1036 and 1097 cases, individually. A full dataset is one in which there are no lost values. To minimize within-cluster variety and gather comparable information points together, K-Means over and over refines cluster centroids. Even though the perfect number of clusters isn't indicated, this strategy partitions the information into discrete bunches and makes a difference with design distinguishing proof and investigation.</w:t>
      </w:r>
    </w:p>
    <w:p w14:paraId="37CED263"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68C26996" wp14:editId="05598AF1">
            <wp:extent cx="3895725" cy="5695950"/>
            <wp:effectExtent l="12700" t="12700" r="12700" b="1270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3895725" cy="5695950"/>
                    </a:xfrm>
                    <a:prstGeom prst="rect">
                      <a:avLst/>
                    </a:prstGeom>
                    <a:ln w="12700">
                      <a:solidFill>
                        <a:srgbClr val="000000"/>
                      </a:solidFill>
                      <a:prstDash val="solid"/>
                    </a:ln>
                  </pic:spPr>
                </pic:pic>
              </a:graphicData>
            </a:graphic>
          </wp:inline>
        </w:drawing>
      </w:r>
    </w:p>
    <w:p w14:paraId="1469E5BA"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K-Means Clustering with k=3</w:t>
      </w:r>
    </w:p>
    <w:p w14:paraId="3D9EC82B"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starting cluster centers for the K-Means clustering think about are shown in Figure 12. The table showing the centroids chosen for the three clusters, Cluster 1, Cluster 2, and Cluster 3 are shown within the picture. Coordinates on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Student_No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(Pretest) factors indicate the initial center of each cluster. The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 esteem speaks to the number of standard deviations from the cruel, and these numbers appear where the calculation begins. These centroids will be moved to reduce within-cluster variety as K-Means clustering propels more than once, possibly changing their position.</w:t>
      </w:r>
    </w:p>
    <w:p w14:paraId="0F71EAEC"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57340528" wp14:editId="01B6C5EC">
            <wp:extent cx="4314825" cy="1866900"/>
            <wp:effectExtent l="12700" t="12700" r="12700" b="1270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4314825" cy="1866900"/>
                    </a:xfrm>
                    <a:prstGeom prst="rect">
                      <a:avLst/>
                    </a:prstGeom>
                    <a:ln w="12700">
                      <a:solidFill>
                        <a:srgbClr val="000000"/>
                      </a:solidFill>
                      <a:prstDash val="solid"/>
                    </a:ln>
                  </pic:spPr>
                </pic:pic>
              </a:graphicData>
            </a:graphic>
          </wp:inline>
        </w:drawing>
      </w:r>
    </w:p>
    <w:p w14:paraId="204E1649"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Final K-Means Clustering with k=3</w:t>
      </w:r>
    </w:p>
    <w:p w14:paraId="6EB9AAFC"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cluster centers from a K-Means clustering technique are shown in Figure 13. The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Student_No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Zscore</w:t>
      </w:r>
      <w:proofErr w:type="spellEnd"/>
      <w:r>
        <w:rPr>
          <w:rFonts w:ascii="Times New Roman" w:eastAsia="Times New Roman" w:hAnsi="Times New Roman" w:cs="Times New Roman"/>
          <w:sz w:val="24"/>
          <w:szCs w:val="24"/>
        </w:rPr>
        <w:t xml:space="preserve">(Pretest) values for each cluster center are shown within the graphic. The centroid appears as a circle for each cluster and appears as the normal values of the factors for that cluster. As an outline, the centroid of Cluster 1 is found around (-0.75, -0.5), showing lower normal </w:t>
      </w:r>
      <w:proofErr w:type="spellStart"/>
      <w:r>
        <w:rPr>
          <w:rFonts w:ascii="Times New Roman" w:eastAsia="Times New Roman" w:hAnsi="Times New Roman" w:cs="Times New Roman"/>
          <w:sz w:val="24"/>
          <w:szCs w:val="24"/>
        </w:rPr>
        <w:t>Zscores</w:t>
      </w:r>
      <w:proofErr w:type="spellEnd"/>
      <w:r>
        <w:rPr>
          <w:rFonts w:ascii="Times New Roman" w:eastAsia="Times New Roman" w:hAnsi="Times New Roman" w:cs="Times New Roman"/>
          <w:sz w:val="24"/>
          <w:szCs w:val="24"/>
        </w:rPr>
        <w:t xml:space="preserve"> for Student No and Pretest than for the cruel. The circles' varied diameters recommend that there may be varieties within the distribution of data points; Cluster 4's greater size recommends that it may incorporate more data points.</w:t>
      </w:r>
    </w:p>
    <w:p w14:paraId="63E175CA"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5BD3A1E9" wp14:editId="60F743CF">
            <wp:extent cx="5943600" cy="3505200"/>
            <wp:effectExtent l="12700" t="12700" r="12700" b="1270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943600" cy="3505200"/>
                    </a:xfrm>
                    <a:prstGeom prst="rect">
                      <a:avLst/>
                    </a:prstGeom>
                    <a:ln w="12700">
                      <a:solidFill>
                        <a:srgbClr val="000000"/>
                      </a:solidFill>
                      <a:prstDash val="solid"/>
                    </a:ln>
                  </pic:spPr>
                </pic:pic>
              </a:graphicData>
            </a:graphic>
          </wp:inline>
        </w:drawing>
      </w:r>
    </w:p>
    <w:p w14:paraId="5B70A41E"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14: Final K-Means Clustering plot with k=3</w:t>
      </w:r>
    </w:p>
    <w:p w14:paraId="0B54F5A8"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line graph showing the results of a K-Means clustering think about is shown in Figure 14. The silhouette coefficient is plotted on the chart against the entire number of clusters (k) that the strategy employments. Superior cluster division is shown by silhouette coefficient values closer to 1, while a worse partition can be predicted by values closer to or -1. Interests, the outline coefficient crests at k=3, recommending the perfect removal between clusters. Beyond silhouette coefficient, even though, it's critical to consider other angles like cluster interpretability. Since datasets vary so much, finding the ideal number of clusters frequently requires iterative trials.</w:t>
      </w:r>
    </w:p>
    <w:p w14:paraId="5560F0F1"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08F136B7" wp14:editId="28CCCE24">
            <wp:extent cx="5943600" cy="47752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943600" cy="4775200"/>
                    </a:xfrm>
                    <a:prstGeom prst="rect">
                      <a:avLst/>
                    </a:prstGeom>
                    <a:ln w="12700">
                      <a:solidFill>
                        <a:srgbClr val="000000"/>
                      </a:solidFill>
                      <a:prstDash val="solid"/>
                    </a:ln>
                  </pic:spPr>
                </pic:pic>
              </a:graphicData>
            </a:graphic>
          </wp:inline>
        </w:drawing>
      </w:r>
    </w:p>
    <w:p w14:paraId="03082F43" w14:textId="77777777" w:rsidR="00536A46" w:rsidRDefault="00BF169F" w:rsidP="00CD14E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15: ANOVA and Number of cases in each cluster at k=3</w:t>
      </w:r>
    </w:p>
    <w:p w14:paraId="6C09CB6B" w14:textId="77777777" w:rsidR="00536A46" w:rsidRPr="00CD14EE"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table showing the final cluster centers' separations from a K-Means clustering consideration is shown in Figure 15. A cluster is demonstrated by each row, which appears as the separations between its centroid and the centroids of neighboring clusters. Interpretation is helped by labeled clusters (Cluster 1 through Cluster 3). A higher similarity is shown by smaller inter-cluster separations, while a more prominent difference is demonstrated by greater separations. This </w:t>
      </w:r>
      <w:r>
        <w:rPr>
          <w:rFonts w:ascii="Times New Roman" w:eastAsia="Times New Roman" w:hAnsi="Times New Roman" w:cs="Times New Roman"/>
          <w:sz w:val="24"/>
          <w:szCs w:val="24"/>
        </w:rPr>
        <w:lastRenderedPageBreak/>
        <w:t>makes it conceivable for eyewitnesses to decide which clusters, concurring to the remove degree utilized, are more comparable. Making choices in information examination employment is made less demanding and the clustering structure is better caught on with the assistance of such a visual illustration.</w:t>
      </w:r>
    </w:p>
    <w:p w14:paraId="4ECDBCE9" w14:textId="77777777" w:rsidR="00536A46" w:rsidRDefault="00BF169F" w:rsidP="00CD14EE">
      <w:pPr>
        <w:pStyle w:val="Heading2"/>
      </w:pPr>
      <w:bookmarkStart w:id="14" w:name="_Toc162730544"/>
      <w:r>
        <w:t>5. Conclusion</w:t>
      </w:r>
      <w:bookmarkEnd w:id="14"/>
    </w:p>
    <w:p w14:paraId="45D51CEC" w14:textId="77777777" w:rsidR="00536A46" w:rsidRDefault="00BF169F" w:rsidP="00CD14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which switches from Excel to SPSS for deeper insights, analyzes the impacts of reduced/free lunch supply on academic achievement and gender dispersion among 2133 students. K-Means clustering makes a difference in resource allocation and approach arrangement within the school by recognizing unique student groups based on pretest results and student numbers.</w:t>
      </w:r>
    </w:p>
    <w:p w14:paraId="1BC36141" w14:textId="77777777" w:rsidR="00536A46" w:rsidRDefault="00536A46" w:rsidP="00CD14EE">
      <w:pPr>
        <w:spacing w:line="360" w:lineRule="auto"/>
        <w:jc w:val="both"/>
        <w:rPr>
          <w:rFonts w:ascii="Times New Roman" w:eastAsia="Times New Roman" w:hAnsi="Times New Roman" w:cs="Times New Roman"/>
          <w:b/>
          <w:sz w:val="24"/>
          <w:szCs w:val="24"/>
        </w:rPr>
      </w:pPr>
    </w:p>
    <w:p w14:paraId="3176B416" w14:textId="77777777" w:rsidR="00536A46" w:rsidRDefault="00BF169F" w:rsidP="00CD14EE">
      <w:pPr>
        <w:spacing w:line="360" w:lineRule="auto"/>
        <w:jc w:val="both"/>
        <w:rPr>
          <w:rFonts w:ascii="Times New Roman" w:eastAsia="Times New Roman" w:hAnsi="Times New Roman" w:cs="Times New Roman"/>
          <w:b/>
          <w:sz w:val="24"/>
          <w:szCs w:val="24"/>
        </w:rPr>
      </w:pPr>
      <w:r>
        <w:br w:type="page"/>
      </w:r>
    </w:p>
    <w:p w14:paraId="31E76FAF" w14:textId="77777777" w:rsidR="00536A46" w:rsidRDefault="00BF169F" w:rsidP="00CD14EE">
      <w:pPr>
        <w:pStyle w:val="Heading1"/>
        <w:spacing w:line="360" w:lineRule="auto"/>
      </w:pPr>
      <w:bookmarkStart w:id="15" w:name="_Toc162730545"/>
      <w:r>
        <w:lastRenderedPageBreak/>
        <w:t>Bibliography</w:t>
      </w:r>
      <w:bookmarkEnd w:id="15"/>
      <w:r>
        <w:t xml:space="preserve">  </w:t>
      </w:r>
    </w:p>
    <w:p w14:paraId="16B44F30" w14:textId="77777777" w:rsidR="00CD14EE" w:rsidRDefault="00CD14EE" w:rsidP="00CD14EE">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Apriani</w:t>
      </w:r>
      <w:proofErr w:type="spellEnd"/>
      <w:r>
        <w:rPr>
          <w:rFonts w:ascii="Times New Roman" w:eastAsia="Times New Roman" w:hAnsi="Times New Roman" w:cs="Times New Roman"/>
          <w:color w:val="222222"/>
          <w:sz w:val="24"/>
          <w:szCs w:val="24"/>
          <w:highlight w:val="white"/>
        </w:rPr>
        <w:t xml:space="preserve">, A. and Heikal, J., 2024. Segmentation Analysis Using K-Means Clustering Model with SPSS Case Study of Backpacker Jakarta Community Members.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Indonesia </w:t>
      </w:r>
      <w:proofErr w:type="spellStart"/>
      <w:r>
        <w:rPr>
          <w:rFonts w:ascii="Times New Roman" w:eastAsia="Times New Roman" w:hAnsi="Times New Roman" w:cs="Times New Roman"/>
          <w:i/>
          <w:color w:val="222222"/>
          <w:sz w:val="24"/>
          <w:szCs w:val="24"/>
          <w:highlight w:val="white"/>
        </w:rPr>
        <w:t>Sosial</w:t>
      </w:r>
      <w:proofErr w:type="spellEnd"/>
      <w:r>
        <w:rPr>
          <w:rFonts w:ascii="Times New Roman" w:eastAsia="Times New Roman" w:hAnsi="Times New Roman" w:cs="Times New Roman"/>
          <w:i/>
          <w:color w:val="222222"/>
          <w:sz w:val="24"/>
          <w:szCs w:val="24"/>
          <w:highlight w:val="white"/>
        </w:rPr>
        <w:t xml:space="preserve"> Sains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(03), pp.441-460.</w:t>
      </w:r>
    </w:p>
    <w:p w14:paraId="1E4EAA46" w14:textId="77777777" w:rsidR="00CD14EE" w:rsidRDefault="00CD14EE" w:rsidP="00CD14EE">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Apriani</w:t>
      </w:r>
      <w:proofErr w:type="spellEnd"/>
      <w:r>
        <w:rPr>
          <w:rFonts w:ascii="Times New Roman" w:eastAsia="Times New Roman" w:hAnsi="Times New Roman" w:cs="Times New Roman"/>
          <w:color w:val="222222"/>
          <w:sz w:val="24"/>
          <w:szCs w:val="24"/>
          <w:highlight w:val="white"/>
        </w:rPr>
        <w:t xml:space="preserve">, E., Arsyad, S.,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Supardan</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Gusmuliana</w:t>
      </w:r>
      <w:proofErr w:type="spellEnd"/>
      <w:r>
        <w:rPr>
          <w:rFonts w:ascii="Times New Roman" w:eastAsia="Times New Roman" w:hAnsi="Times New Roman" w:cs="Times New Roman"/>
          <w:color w:val="222222"/>
          <w:sz w:val="24"/>
          <w:szCs w:val="24"/>
          <w:highlight w:val="white"/>
        </w:rPr>
        <w:t xml:space="preserve">, P. and Santiana, S., 2022. ICT platforms for Indonesian EFL students viewed from gender during the COVID-19 pandemic. </w:t>
      </w:r>
      <w:r>
        <w:rPr>
          <w:rFonts w:ascii="Times New Roman" w:eastAsia="Times New Roman" w:hAnsi="Times New Roman" w:cs="Times New Roman"/>
          <w:i/>
          <w:color w:val="222222"/>
          <w:sz w:val="24"/>
          <w:szCs w:val="24"/>
          <w:highlight w:val="white"/>
        </w:rPr>
        <w:t>Studies in English Language and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pp.187-202.</w:t>
      </w:r>
    </w:p>
    <w:p w14:paraId="4AE6FDFF" w14:textId="77777777" w:rsidR="00CD14EE" w:rsidRPr="00CE3A22" w:rsidRDefault="00CD14EE" w:rsidP="00CD14EE">
      <w:pPr>
        <w:spacing w:line="360" w:lineRule="auto"/>
        <w:jc w:val="both"/>
        <w:rPr>
          <w:rFonts w:ascii="Times New Roman" w:eastAsia="Times New Roman" w:hAnsi="Times New Roman" w:cs="Times New Roman"/>
          <w:color w:val="222222"/>
          <w:sz w:val="24"/>
          <w:szCs w:val="24"/>
          <w:highlight w:val="white"/>
          <w:lang w:val="es-ES"/>
        </w:rPr>
      </w:pPr>
      <w:r>
        <w:rPr>
          <w:rFonts w:ascii="Times New Roman" w:eastAsia="Times New Roman" w:hAnsi="Times New Roman" w:cs="Times New Roman"/>
          <w:color w:val="222222"/>
          <w:sz w:val="24"/>
          <w:szCs w:val="24"/>
          <w:highlight w:val="white"/>
        </w:rPr>
        <w:t xml:space="preserve">Ben </w:t>
      </w:r>
      <w:proofErr w:type="spellStart"/>
      <w:r>
        <w:rPr>
          <w:rFonts w:ascii="Times New Roman" w:eastAsia="Times New Roman" w:hAnsi="Times New Roman" w:cs="Times New Roman"/>
          <w:color w:val="222222"/>
          <w:sz w:val="24"/>
          <w:szCs w:val="24"/>
          <w:highlight w:val="white"/>
        </w:rPr>
        <w:t>Ouahi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Ait</w:t>
      </w:r>
      <w:proofErr w:type="spellEnd"/>
      <w:r>
        <w:rPr>
          <w:rFonts w:ascii="Times New Roman" w:eastAsia="Times New Roman" w:hAnsi="Times New Roman" w:cs="Times New Roman"/>
          <w:color w:val="222222"/>
          <w:sz w:val="24"/>
          <w:szCs w:val="24"/>
          <w:highlight w:val="white"/>
        </w:rPr>
        <w:t xml:space="preserve"> Hou, M., </w:t>
      </w:r>
      <w:proofErr w:type="spellStart"/>
      <w:r>
        <w:rPr>
          <w:rFonts w:ascii="Times New Roman" w:eastAsia="Times New Roman" w:hAnsi="Times New Roman" w:cs="Times New Roman"/>
          <w:color w:val="222222"/>
          <w:sz w:val="24"/>
          <w:szCs w:val="24"/>
          <w:highlight w:val="white"/>
        </w:rPr>
        <w:t>Bliya</w:t>
      </w:r>
      <w:proofErr w:type="spellEnd"/>
      <w:r>
        <w:rPr>
          <w:rFonts w:ascii="Times New Roman" w:eastAsia="Times New Roman" w:hAnsi="Times New Roman" w:cs="Times New Roman"/>
          <w:color w:val="222222"/>
          <w:sz w:val="24"/>
          <w:szCs w:val="24"/>
          <w:highlight w:val="white"/>
        </w:rPr>
        <w:t xml:space="preserve">, A., Hassouni, T. and Al </w:t>
      </w:r>
      <w:proofErr w:type="spellStart"/>
      <w:r>
        <w:rPr>
          <w:rFonts w:ascii="Times New Roman" w:eastAsia="Times New Roman" w:hAnsi="Times New Roman" w:cs="Times New Roman"/>
          <w:color w:val="222222"/>
          <w:sz w:val="24"/>
          <w:szCs w:val="24"/>
          <w:highlight w:val="white"/>
        </w:rPr>
        <w:t>Ibrahmi</w:t>
      </w:r>
      <w:proofErr w:type="spellEnd"/>
      <w:r>
        <w:rPr>
          <w:rFonts w:ascii="Times New Roman" w:eastAsia="Times New Roman" w:hAnsi="Times New Roman" w:cs="Times New Roman"/>
          <w:color w:val="222222"/>
          <w:sz w:val="24"/>
          <w:szCs w:val="24"/>
          <w:highlight w:val="white"/>
        </w:rPr>
        <w:t xml:space="preserve">, E.M., 2021. The effect of using computer simulation on students’ performance in teaching and learning physics: are there any gender and area gaps?. </w:t>
      </w:r>
      <w:proofErr w:type="spellStart"/>
      <w:r w:rsidRPr="00CE3A22">
        <w:rPr>
          <w:rFonts w:ascii="Times New Roman" w:eastAsia="Times New Roman" w:hAnsi="Times New Roman" w:cs="Times New Roman"/>
          <w:i/>
          <w:color w:val="222222"/>
          <w:sz w:val="24"/>
          <w:szCs w:val="24"/>
          <w:highlight w:val="white"/>
          <w:lang w:val="es-ES"/>
        </w:rPr>
        <w:t>Education</w:t>
      </w:r>
      <w:proofErr w:type="spellEnd"/>
      <w:r w:rsidRPr="00CE3A22">
        <w:rPr>
          <w:rFonts w:ascii="Times New Roman" w:eastAsia="Times New Roman" w:hAnsi="Times New Roman" w:cs="Times New Roman"/>
          <w:i/>
          <w:color w:val="222222"/>
          <w:sz w:val="24"/>
          <w:szCs w:val="24"/>
          <w:highlight w:val="white"/>
          <w:lang w:val="es-ES"/>
        </w:rPr>
        <w:t xml:space="preserve"> </w:t>
      </w:r>
      <w:proofErr w:type="spellStart"/>
      <w:r w:rsidRPr="00CE3A22">
        <w:rPr>
          <w:rFonts w:ascii="Times New Roman" w:eastAsia="Times New Roman" w:hAnsi="Times New Roman" w:cs="Times New Roman"/>
          <w:i/>
          <w:color w:val="222222"/>
          <w:sz w:val="24"/>
          <w:szCs w:val="24"/>
          <w:highlight w:val="white"/>
          <w:lang w:val="es-ES"/>
        </w:rPr>
        <w:t>Research</w:t>
      </w:r>
      <w:proofErr w:type="spellEnd"/>
      <w:r w:rsidRPr="00CE3A22">
        <w:rPr>
          <w:rFonts w:ascii="Times New Roman" w:eastAsia="Times New Roman" w:hAnsi="Times New Roman" w:cs="Times New Roman"/>
          <w:i/>
          <w:color w:val="222222"/>
          <w:sz w:val="24"/>
          <w:szCs w:val="24"/>
          <w:highlight w:val="white"/>
          <w:lang w:val="es-ES"/>
        </w:rPr>
        <w:t xml:space="preserve"> International</w:t>
      </w:r>
      <w:r w:rsidRPr="00CE3A22">
        <w:rPr>
          <w:rFonts w:ascii="Times New Roman" w:eastAsia="Times New Roman" w:hAnsi="Times New Roman" w:cs="Times New Roman"/>
          <w:color w:val="222222"/>
          <w:sz w:val="24"/>
          <w:szCs w:val="24"/>
          <w:highlight w:val="white"/>
          <w:lang w:val="es-ES"/>
        </w:rPr>
        <w:t xml:space="preserve">, </w:t>
      </w:r>
      <w:r w:rsidRPr="00CE3A22">
        <w:rPr>
          <w:rFonts w:ascii="Times New Roman" w:eastAsia="Times New Roman" w:hAnsi="Times New Roman" w:cs="Times New Roman"/>
          <w:i/>
          <w:color w:val="222222"/>
          <w:sz w:val="24"/>
          <w:szCs w:val="24"/>
          <w:highlight w:val="white"/>
          <w:lang w:val="es-ES"/>
        </w:rPr>
        <w:t>2021</w:t>
      </w:r>
      <w:r w:rsidRPr="00CE3A22">
        <w:rPr>
          <w:rFonts w:ascii="Times New Roman" w:eastAsia="Times New Roman" w:hAnsi="Times New Roman" w:cs="Times New Roman"/>
          <w:color w:val="222222"/>
          <w:sz w:val="24"/>
          <w:szCs w:val="24"/>
          <w:highlight w:val="white"/>
          <w:lang w:val="es-ES"/>
        </w:rPr>
        <w:t>, pp.1-10.</w:t>
      </w:r>
    </w:p>
    <w:p w14:paraId="1AAAECD1" w14:textId="77777777" w:rsidR="00CD14EE" w:rsidRDefault="00CD14EE" w:rsidP="00CD14EE">
      <w:pPr>
        <w:spacing w:line="360" w:lineRule="auto"/>
        <w:jc w:val="both"/>
        <w:rPr>
          <w:rFonts w:ascii="Times New Roman" w:eastAsia="Times New Roman" w:hAnsi="Times New Roman" w:cs="Times New Roman"/>
          <w:color w:val="222222"/>
          <w:sz w:val="24"/>
          <w:szCs w:val="24"/>
          <w:highlight w:val="white"/>
        </w:rPr>
      </w:pPr>
      <w:r w:rsidRPr="00CE3A22">
        <w:rPr>
          <w:rFonts w:ascii="Times New Roman" w:eastAsia="Times New Roman" w:hAnsi="Times New Roman" w:cs="Times New Roman"/>
          <w:color w:val="222222"/>
          <w:sz w:val="24"/>
          <w:szCs w:val="24"/>
          <w:highlight w:val="white"/>
          <w:lang w:val="es-ES"/>
        </w:rPr>
        <w:t xml:space="preserve">Granero-Gallegos, A., Baños, R., Baena-Extremera, A. and Martínez-Molina, M., 2020. </w:t>
      </w:r>
      <w:r>
        <w:rPr>
          <w:rFonts w:ascii="Times New Roman" w:eastAsia="Times New Roman" w:hAnsi="Times New Roman" w:cs="Times New Roman"/>
          <w:color w:val="222222"/>
          <w:sz w:val="24"/>
          <w:szCs w:val="24"/>
          <w:highlight w:val="white"/>
        </w:rPr>
        <w:t xml:space="preserve">Analysis of misbehaviors and satisfaction with school in secondary education according to student gender and teaching competence.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p.511760.</w:t>
      </w:r>
    </w:p>
    <w:p w14:paraId="2A4BC4DA" w14:textId="77777777" w:rsidR="00CD14EE" w:rsidRDefault="00CD14EE" w:rsidP="00CD14E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Mulyono, R., </w:t>
      </w:r>
      <w:proofErr w:type="spellStart"/>
      <w:r>
        <w:rPr>
          <w:rFonts w:ascii="Times New Roman" w:eastAsia="Times New Roman" w:hAnsi="Times New Roman" w:cs="Times New Roman"/>
          <w:color w:val="222222"/>
          <w:sz w:val="24"/>
          <w:szCs w:val="24"/>
          <w:highlight w:val="white"/>
        </w:rPr>
        <w:t>Ndini</w:t>
      </w:r>
      <w:proofErr w:type="spellEnd"/>
      <w:r>
        <w:rPr>
          <w:rFonts w:ascii="Times New Roman" w:eastAsia="Times New Roman" w:hAnsi="Times New Roman" w:cs="Times New Roman"/>
          <w:color w:val="222222"/>
          <w:sz w:val="24"/>
          <w:szCs w:val="24"/>
          <w:highlight w:val="white"/>
        </w:rPr>
        <w:t xml:space="preserve">, A.S., Kharisma, G. and Heikal, J., 2023. Segmentation K-Means Clustering Model With SPSS Program Case Study Customer The Park Mall </w:t>
      </w:r>
      <w:proofErr w:type="spellStart"/>
      <w:r>
        <w:rPr>
          <w:rFonts w:ascii="Times New Roman" w:eastAsia="Times New Roman" w:hAnsi="Times New Roman" w:cs="Times New Roman"/>
          <w:color w:val="222222"/>
          <w:sz w:val="24"/>
          <w:szCs w:val="24"/>
          <w:highlight w:val="white"/>
        </w:rPr>
        <w:t>Sawangan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Syntax Literate;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Ilmiah</w:t>
      </w:r>
      <w:proofErr w:type="spellEnd"/>
      <w:r>
        <w:rPr>
          <w:rFonts w:ascii="Times New Roman" w:eastAsia="Times New Roman" w:hAnsi="Times New Roman" w:cs="Times New Roman"/>
          <w:i/>
          <w:color w:val="222222"/>
          <w:sz w:val="24"/>
          <w:szCs w:val="24"/>
          <w:highlight w:val="white"/>
        </w:rPr>
        <w:t xml:space="preserve"> Indonesia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 pp.1300-1314.</w:t>
      </w:r>
    </w:p>
    <w:p w14:paraId="37CB9824" w14:textId="77777777" w:rsidR="00CD14EE" w:rsidRDefault="00CD14EE" w:rsidP="00CD14E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Rahman, A. and </w:t>
      </w:r>
      <w:proofErr w:type="spellStart"/>
      <w:r>
        <w:rPr>
          <w:rFonts w:ascii="Times New Roman" w:eastAsia="Times New Roman" w:hAnsi="Times New Roman" w:cs="Times New Roman"/>
          <w:color w:val="222222"/>
          <w:sz w:val="24"/>
          <w:szCs w:val="24"/>
          <w:highlight w:val="white"/>
        </w:rPr>
        <w:t>Muktadir</w:t>
      </w:r>
      <w:proofErr w:type="spellEnd"/>
      <w:r>
        <w:rPr>
          <w:rFonts w:ascii="Times New Roman" w:eastAsia="Times New Roman" w:hAnsi="Times New Roman" w:cs="Times New Roman"/>
          <w:color w:val="222222"/>
          <w:sz w:val="24"/>
          <w:szCs w:val="24"/>
          <w:highlight w:val="white"/>
        </w:rPr>
        <w:t xml:space="preserve">, M.G., 2021. SPSS: An imperative quantitative data analysis tool for social science research. </w:t>
      </w:r>
      <w:r>
        <w:rPr>
          <w:rFonts w:ascii="Times New Roman" w:eastAsia="Times New Roman" w:hAnsi="Times New Roman" w:cs="Times New Roman"/>
          <w:i/>
          <w:color w:val="222222"/>
          <w:sz w:val="24"/>
          <w:szCs w:val="24"/>
          <w:highlight w:val="white"/>
        </w:rPr>
        <w:t>International Journal of Research and Innovation in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(10), pp.300-302.</w:t>
      </w:r>
    </w:p>
    <w:p w14:paraId="189878B8" w14:textId="77777777" w:rsidR="00CD14EE" w:rsidRDefault="00CD14EE" w:rsidP="00CD14EE">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Watkins, M.W., 2021. </w:t>
      </w:r>
      <w:r>
        <w:rPr>
          <w:rFonts w:ascii="Times New Roman" w:eastAsia="Times New Roman" w:hAnsi="Times New Roman" w:cs="Times New Roman"/>
          <w:i/>
          <w:color w:val="222222"/>
          <w:sz w:val="24"/>
          <w:szCs w:val="24"/>
          <w:highlight w:val="white"/>
        </w:rPr>
        <w:t>A step-by-step guide to exploratory factor analysis with SPSS</w:t>
      </w:r>
      <w:r>
        <w:rPr>
          <w:rFonts w:ascii="Times New Roman" w:eastAsia="Times New Roman" w:hAnsi="Times New Roman" w:cs="Times New Roman"/>
          <w:color w:val="222222"/>
          <w:sz w:val="24"/>
          <w:szCs w:val="24"/>
          <w:highlight w:val="white"/>
        </w:rPr>
        <w:t>. Routledge</w:t>
      </w:r>
      <w:r>
        <w:rPr>
          <w:rFonts w:ascii="Times New Roman" w:eastAsia="Times New Roman" w:hAnsi="Times New Roman" w:cs="Times New Roman"/>
          <w:b/>
          <w:color w:val="222222"/>
          <w:sz w:val="24"/>
          <w:szCs w:val="24"/>
          <w:highlight w:val="white"/>
        </w:rPr>
        <w:t>.</w:t>
      </w:r>
    </w:p>
    <w:p w14:paraId="2C5BE3F1" w14:textId="77777777" w:rsidR="00536A46" w:rsidRDefault="00536A46" w:rsidP="00CD14EE">
      <w:pPr>
        <w:spacing w:line="360" w:lineRule="auto"/>
        <w:jc w:val="both"/>
        <w:rPr>
          <w:rFonts w:ascii="Times New Roman" w:eastAsia="Times New Roman" w:hAnsi="Times New Roman" w:cs="Times New Roman"/>
          <w:b/>
          <w:sz w:val="24"/>
          <w:szCs w:val="24"/>
        </w:rPr>
      </w:pPr>
    </w:p>
    <w:p w14:paraId="5C4457C3" w14:textId="77777777" w:rsidR="00536A46" w:rsidRDefault="00536A46" w:rsidP="00CD14EE">
      <w:pPr>
        <w:spacing w:line="360" w:lineRule="auto"/>
        <w:jc w:val="both"/>
        <w:rPr>
          <w:rFonts w:ascii="Times New Roman" w:eastAsia="Times New Roman" w:hAnsi="Times New Roman" w:cs="Times New Roman"/>
          <w:b/>
          <w:sz w:val="24"/>
          <w:szCs w:val="24"/>
        </w:rPr>
      </w:pPr>
    </w:p>
    <w:p w14:paraId="44E7AB0E" w14:textId="77777777" w:rsidR="00536A46" w:rsidRDefault="00536A46" w:rsidP="00CD14EE">
      <w:pPr>
        <w:spacing w:line="360" w:lineRule="auto"/>
        <w:jc w:val="both"/>
        <w:rPr>
          <w:rFonts w:ascii="Times New Roman" w:eastAsia="Times New Roman" w:hAnsi="Times New Roman" w:cs="Times New Roman"/>
          <w:b/>
          <w:sz w:val="24"/>
          <w:szCs w:val="24"/>
        </w:rPr>
      </w:pPr>
    </w:p>
    <w:p w14:paraId="069A226A" w14:textId="77777777" w:rsidR="00536A46" w:rsidRDefault="00536A46" w:rsidP="00CD14EE">
      <w:pPr>
        <w:spacing w:line="360" w:lineRule="auto"/>
        <w:rPr>
          <w:rFonts w:ascii="Times New Roman" w:eastAsia="Times New Roman" w:hAnsi="Times New Roman" w:cs="Times New Roman"/>
          <w:b/>
          <w:sz w:val="24"/>
          <w:szCs w:val="24"/>
        </w:rPr>
      </w:pPr>
    </w:p>
    <w:sectPr w:rsidR="00536A46" w:rsidSect="00CD14EE">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30889" w14:textId="77777777" w:rsidR="00FB7BDE" w:rsidRDefault="00FB7BDE" w:rsidP="00CD14EE">
      <w:pPr>
        <w:spacing w:line="240" w:lineRule="auto"/>
      </w:pPr>
      <w:r>
        <w:separator/>
      </w:r>
    </w:p>
  </w:endnote>
  <w:endnote w:type="continuationSeparator" w:id="0">
    <w:p w14:paraId="420F8998" w14:textId="77777777" w:rsidR="00FB7BDE" w:rsidRDefault="00FB7BDE" w:rsidP="00CD14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51508"/>
      <w:docPartObj>
        <w:docPartGallery w:val="Page Numbers (Bottom of Page)"/>
        <w:docPartUnique/>
      </w:docPartObj>
    </w:sdtPr>
    <w:sdtEndPr>
      <w:rPr>
        <w:rFonts w:ascii="Times New Roman" w:hAnsi="Times New Roman" w:cs="Times New Roman"/>
        <w:noProof/>
        <w:sz w:val="20"/>
      </w:rPr>
    </w:sdtEndPr>
    <w:sdtContent>
      <w:p w14:paraId="391E1F8F" w14:textId="77777777" w:rsidR="00CD14EE" w:rsidRPr="00CD14EE" w:rsidRDefault="00CD14EE" w:rsidP="00CD14EE">
        <w:pPr>
          <w:pStyle w:val="Footer"/>
          <w:spacing w:line="360" w:lineRule="auto"/>
          <w:jc w:val="right"/>
          <w:rPr>
            <w:rFonts w:ascii="Times New Roman" w:hAnsi="Times New Roman" w:cs="Times New Roman"/>
            <w:sz w:val="20"/>
          </w:rPr>
        </w:pPr>
        <w:r w:rsidRPr="00CD14EE">
          <w:rPr>
            <w:rFonts w:ascii="Times New Roman" w:hAnsi="Times New Roman" w:cs="Times New Roman"/>
            <w:sz w:val="20"/>
          </w:rPr>
          <w:fldChar w:fldCharType="begin"/>
        </w:r>
        <w:r w:rsidRPr="00CD14EE">
          <w:rPr>
            <w:rFonts w:ascii="Times New Roman" w:hAnsi="Times New Roman" w:cs="Times New Roman"/>
            <w:sz w:val="20"/>
          </w:rPr>
          <w:instrText xml:space="preserve"> PAGE   \* MERGEFORMAT </w:instrText>
        </w:r>
        <w:r w:rsidRPr="00CD14EE">
          <w:rPr>
            <w:rFonts w:ascii="Times New Roman" w:hAnsi="Times New Roman" w:cs="Times New Roman"/>
            <w:sz w:val="20"/>
          </w:rPr>
          <w:fldChar w:fldCharType="separate"/>
        </w:r>
        <w:r w:rsidR="00813E5F">
          <w:rPr>
            <w:rFonts w:ascii="Times New Roman" w:hAnsi="Times New Roman" w:cs="Times New Roman"/>
            <w:noProof/>
            <w:sz w:val="20"/>
          </w:rPr>
          <w:t>10</w:t>
        </w:r>
        <w:r w:rsidRPr="00CD14EE">
          <w:rPr>
            <w:rFonts w:ascii="Times New Roman" w:hAnsi="Times New Roman" w:cs="Times New Roman"/>
            <w:noProof/>
            <w:sz w:val="20"/>
          </w:rPr>
          <w:fldChar w:fldCharType="end"/>
        </w:r>
      </w:p>
    </w:sdtContent>
  </w:sdt>
  <w:p w14:paraId="53AD8372" w14:textId="77777777" w:rsidR="00CD14EE" w:rsidRDefault="00CD1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BDBF1" w14:textId="77777777" w:rsidR="00FB7BDE" w:rsidRDefault="00FB7BDE" w:rsidP="00CD14EE">
      <w:pPr>
        <w:spacing w:line="240" w:lineRule="auto"/>
      </w:pPr>
      <w:r>
        <w:separator/>
      </w:r>
    </w:p>
  </w:footnote>
  <w:footnote w:type="continuationSeparator" w:id="0">
    <w:p w14:paraId="285573BA" w14:textId="77777777" w:rsidR="00FB7BDE" w:rsidRDefault="00FB7BDE" w:rsidP="00CD14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D1789"/>
    <w:multiLevelType w:val="multilevel"/>
    <w:tmpl w:val="41E41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079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36A46"/>
    <w:rsid w:val="00536A46"/>
    <w:rsid w:val="00813E5F"/>
    <w:rsid w:val="008A710A"/>
    <w:rsid w:val="00BF169F"/>
    <w:rsid w:val="00CD14EE"/>
    <w:rsid w:val="00CE3A22"/>
    <w:rsid w:val="00D10755"/>
    <w:rsid w:val="00DC363E"/>
    <w:rsid w:val="00F55CF0"/>
    <w:rsid w:val="00FB7B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77199"/>
  <w15:docId w15:val="{29F838B8-AD6D-44C1-AD68-F59C0E80C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D14EE"/>
    <w:pPr>
      <w:outlineLvl w:val="0"/>
    </w:pPr>
    <w:rPr>
      <w:rFonts w:ascii="Times New Roman" w:eastAsia="Times New Roman" w:hAnsi="Times New Roman" w:cs="Times New Roman"/>
      <w:b/>
      <w:sz w:val="28"/>
      <w:szCs w:val="24"/>
    </w:rPr>
  </w:style>
  <w:style w:type="paragraph" w:styleId="Heading2">
    <w:name w:val="heading 2"/>
    <w:basedOn w:val="Normal"/>
    <w:next w:val="Normal"/>
    <w:rsid w:val="00CD14EE"/>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D14EE"/>
    <w:pPr>
      <w:tabs>
        <w:tab w:val="center" w:pos="4513"/>
        <w:tab w:val="right" w:pos="9026"/>
      </w:tabs>
      <w:spacing w:line="240" w:lineRule="auto"/>
    </w:pPr>
  </w:style>
  <w:style w:type="character" w:customStyle="1" w:styleId="HeaderChar">
    <w:name w:val="Header Char"/>
    <w:basedOn w:val="DefaultParagraphFont"/>
    <w:link w:val="Header"/>
    <w:uiPriority w:val="99"/>
    <w:rsid w:val="00CD14EE"/>
  </w:style>
  <w:style w:type="paragraph" w:styleId="Footer">
    <w:name w:val="footer"/>
    <w:basedOn w:val="Normal"/>
    <w:link w:val="FooterChar"/>
    <w:uiPriority w:val="99"/>
    <w:unhideWhenUsed/>
    <w:rsid w:val="00CD14EE"/>
    <w:pPr>
      <w:tabs>
        <w:tab w:val="center" w:pos="4513"/>
        <w:tab w:val="right" w:pos="9026"/>
      </w:tabs>
      <w:spacing w:line="240" w:lineRule="auto"/>
    </w:pPr>
  </w:style>
  <w:style w:type="character" w:customStyle="1" w:styleId="FooterChar">
    <w:name w:val="Footer Char"/>
    <w:basedOn w:val="DefaultParagraphFont"/>
    <w:link w:val="Footer"/>
    <w:uiPriority w:val="99"/>
    <w:rsid w:val="00CD14EE"/>
  </w:style>
  <w:style w:type="paragraph" w:styleId="TOCHeading">
    <w:name w:val="TOC Heading"/>
    <w:basedOn w:val="Heading1"/>
    <w:next w:val="Normal"/>
    <w:uiPriority w:val="39"/>
    <w:unhideWhenUsed/>
    <w:qFormat/>
    <w:rsid w:val="008A710A"/>
    <w:pPr>
      <w:keepNext/>
      <w:keepLines/>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A710A"/>
    <w:pPr>
      <w:spacing w:after="100"/>
    </w:pPr>
  </w:style>
  <w:style w:type="paragraph" w:styleId="TOC2">
    <w:name w:val="toc 2"/>
    <w:basedOn w:val="Normal"/>
    <w:next w:val="Normal"/>
    <w:autoRedefine/>
    <w:uiPriority w:val="39"/>
    <w:unhideWhenUsed/>
    <w:rsid w:val="008A710A"/>
    <w:pPr>
      <w:spacing w:after="100"/>
      <w:ind w:left="220"/>
    </w:pPr>
  </w:style>
  <w:style w:type="character" w:styleId="Hyperlink">
    <w:name w:val="Hyperlink"/>
    <w:basedOn w:val="DefaultParagraphFont"/>
    <w:uiPriority w:val="99"/>
    <w:unhideWhenUsed/>
    <w:rsid w:val="008A710A"/>
    <w:rPr>
      <w:color w:val="0000FF" w:themeColor="hyperlink"/>
      <w:u w:val="single"/>
    </w:rPr>
  </w:style>
  <w:style w:type="paragraph" w:styleId="BalloonText">
    <w:name w:val="Balloon Text"/>
    <w:basedOn w:val="Normal"/>
    <w:link w:val="BalloonTextChar"/>
    <w:uiPriority w:val="99"/>
    <w:semiHidden/>
    <w:unhideWhenUsed/>
    <w:rsid w:val="00813E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3E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AFFD26-9591-47B2-B47E-B534A845A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3286</Words>
  <Characters>21162</Characters>
  <Application>Microsoft Office Word</Application>
  <DocSecurity>0</DocSecurity>
  <Lines>364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 Cocea</cp:lastModifiedBy>
  <cp:revision>2</cp:revision>
  <dcterms:created xsi:type="dcterms:W3CDTF">2024-04-23T07:57:00Z</dcterms:created>
  <dcterms:modified xsi:type="dcterms:W3CDTF">2024-04-23T07:57:00Z</dcterms:modified>
</cp:coreProperties>
</file>