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EEE2B92" w:rsidR="00604A87" w:rsidRPr="00604A87" w:rsidRDefault="00604A87" w:rsidP="00604A87">
      <w:pPr>
        <w:rPr>
          <w:rFonts w:eastAsia="Times New Roman" w:cs="Arial"/>
        </w:rPr>
      </w:pPr>
      <w:r w:rsidRPr="00604A87">
        <w:rPr>
          <w:rFonts w:eastAsia="Times New Roman" w:cs="Arial"/>
        </w:rPr>
        <w:t>Signed……</w:t>
      </w:r>
      <w:r w:rsidR="00550038">
        <w:rPr>
          <w:rFonts w:eastAsia="Times New Roman" w:cs="Arial"/>
        </w:rPr>
        <w:t xml:space="preserve">NAZMEENA BEGUM </w:t>
      </w:r>
      <w:r w:rsidRPr="00604A87">
        <w:rPr>
          <w:rFonts w:eastAsia="Times New Roman" w:cs="Arial"/>
        </w:rPr>
        <w:t>………………………………………</w:t>
      </w:r>
    </w:p>
    <w:p w14:paraId="16B6CB34" w14:textId="0F9CD35F" w:rsidR="00604A87" w:rsidRPr="00604A87" w:rsidRDefault="00604A87" w:rsidP="00604A87">
      <w:pPr>
        <w:rPr>
          <w:rFonts w:eastAsia="Times New Roman" w:cs="Arial"/>
        </w:rPr>
      </w:pPr>
      <w:r w:rsidRPr="00604A87">
        <w:rPr>
          <w:rFonts w:eastAsia="Times New Roman" w:cs="Arial"/>
        </w:rPr>
        <w:t>Date………</w:t>
      </w:r>
      <w:r w:rsidR="00550038">
        <w:rPr>
          <w:rFonts w:eastAsia="Times New Roman" w:cs="Arial"/>
        </w:rPr>
        <w:t>12/11/2025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76350C23" w:rsidR="00604A87" w:rsidRPr="00604A87" w:rsidRDefault="00604A87" w:rsidP="00604A87">
      <w:pPr>
        <w:rPr>
          <w:rFonts w:eastAsia="Times New Roman" w:cs="Arial"/>
        </w:rPr>
      </w:pPr>
      <w:r w:rsidRPr="00604A87">
        <w:rPr>
          <w:rFonts w:eastAsia="Times New Roman" w:cs="Arial"/>
        </w:rPr>
        <w:t>Signed……</w:t>
      </w:r>
      <w:r w:rsidR="00550038">
        <w:rPr>
          <w:rFonts w:eastAsia="Times New Roman" w:cs="Arial"/>
        </w:rPr>
        <w:t xml:space="preserve">NAZMEENA BEGUM </w:t>
      </w:r>
      <w:r w:rsidRPr="00604A87">
        <w:rPr>
          <w:rFonts w:eastAsia="Times New Roman" w:cs="Arial"/>
        </w:rPr>
        <w:t xml:space="preserve">………………………………………. </w:t>
      </w:r>
    </w:p>
    <w:p w14:paraId="21F5E413" w14:textId="72B49171" w:rsidR="00604A87" w:rsidRPr="00604A87" w:rsidRDefault="00604A87" w:rsidP="00604A87">
      <w:pPr>
        <w:rPr>
          <w:rFonts w:eastAsia="Times New Roman" w:cs="Arial"/>
        </w:rPr>
      </w:pPr>
      <w:r w:rsidRPr="00604A87">
        <w:rPr>
          <w:rFonts w:eastAsia="Times New Roman" w:cs="Arial"/>
        </w:rPr>
        <w:t>Date…………</w:t>
      </w:r>
      <w:r w:rsidR="00550038">
        <w:rPr>
          <w:rFonts w:eastAsia="Times New Roman" w:cs="Arial"/>
        </w:rPr>
        <w:t>12/11/2025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DB122B7" w14:textId="5AA916D6" w:rsidR="00995444" w:rsidRPr="00995444" w:rsidRDefault="00041D2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NAZMEENA BEGUM 2220774</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2057C793" w14:textId="70E4E228" w:rsidR="00995444" w:rsidRPr="00550038" w:rsidRDefault="00995444" w:rsidP="005500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68249928" w14:textId="210CF97E"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p>
    <w:p w14:paraId="05F3A534" w14:textId="77777777" w:rsidR="00314202" w:rsidRPr="00314202" w:rsidRDefault="00550038" w:rsidP="00314202">
      <w:pPr>
        <w:rPr>
          <w:rFonts w:eastAsia="Arial Unicode MS" w:cs="Arial"/>
        </w:rPr>
      </w:pPr>
      <w:r w:rsidRPr="00550038">
        <w:rPr>
          <w:rFonts w:eastAsia="Arial Unicode MS" w:cs="Arial"/>
        </w:rPr>
        <w:t>Dementia represents a major and growing public health challenge in the United Kingdom, with increasing emphasis on digital health as a means of improving diagnosis, care delivery, and carer support. This dissertation presents a scoping review exploring the scope, purpose and reported impact of digital health interventions for people living with dementia and/or their informal carers within UK health, social-care, and integrated-care settings. Guided by Arksey and O’Malley’s (2005) scoping review framework and reported in accordance with PRISMA-</w:t>
      </w:r>
      <w:proofErr w:type="spellStart"/>
      <w:r w:rsidRPr="00550038">
        <w:rPr>
          <w:rFonts w:eastAsia="Arial Unicode MS" w:cs="Arial"/>
        </w:rPr>
        <w:t>ScR</w:t>
      </w:r>
      <w:proofErr w:type="spellEnd"/>
      <w:r w:rsidRPr="00550038">
        <w:rPr>
          <w:rFonts w:eastAsia="Arial Unicode MS" w:cs="Arial"/>
        </w:rPr>
        <w:t>, six academic databases were searched for peer-reviewed UK studies published between 2015 and 2025. Thirty-five studies met the inclusion criteria.</w:t>
      </w:r>
      <w:r w:rsidR="00314202">
        <w:rPr>
          <w:rFonts w:eastAsia="Arial Unicode MS" w:cs="Arial"/>
        </w:rPr>
        <w:t xml:space="preserve"> </w:t>
      </w:r>
      <w:r w:rsidR="00314202" w:rsidRPr="00314202">
        <w:rPr>
          <w:rFonts w:eastAsia="Arial Unicode MS" w:cs="Arial"/>
        </w:rPr>
        <w:t>Dementia is a complex, progressive condition that poses significant challenges for individuals, families, and health and social-care systems in the United Kingdom. With prevalence projected to exceed one million by 2030, there is increasing interest in the role of digital health technologies in improving diagnosis, support, and care pathways. Digital interventions—including telehealth, assistive technologies, remote monitoring, artificial intelligence (AI) tools and online carer support—are promoted within national strategies such as the NHS Long Term Plan and the UK Digital Health and Care Strategy. However, the evidence base surrounding their effectiveness, accessibility, and equity within UK dementia practice remains fragmented. This dissertation presents a scoping review designed to synthesise current knowledge on how digital health interventions are implemented for people living with dementia and their informal carers across UK health, social-care and integrated-care settings.</w:t>
      </w:r>
    </w:p>
    <w:p w14:paraId="6F1574D5" w14:textId="77777777" w:rsidR="00314202" w:rsidRPr="00314202" w:rsidRDefault="00314202" w:rsidP="00314202">
      <w:pPr>
        <w:rPr>
          <w:rFonts w:eastAsia="Arial Unicode MS" w:cs="Arial"/>
        </w:rPr>
      </w:pPr>
      <w:r w:rsidRPr="00314202">
        <w:rPr>
          <w:rFonts w:eastAsia="Arial Unicode MS" w:cs="Arial"/>
        </w:rPr>
        <w:t>Following Arksey and O’Malley’s methodological framework and reported using PRISMA-</w:t>
      </w:r>
      <w:proofErr w:type="spellStart"/>
      <w:r w:rsidRPr="00314202">
        <w:rPr>
          <w:rFonts w:eastAsia="Arial Unicode MS" w:cs="Arial"/>
        </w:rPr>
        <w:t>ScR</w:t>
      </w:r>
      <w:proofErr w:type="spellEnd"/>
      <w:r w:rsidRPr="00314202">
        <w:rPr>
          <w:rFonts w:eastAsia="Arial Unicode MS" w:cs="Arial"/>
        </w:rPr>
        <w:t xml:space="preserve"> guidelines, six academic databases were systematically searched for peer-reviewed studies published between 2015 and 2025. Twenty studies met the inclusion criteria and were thematically analysed. The findings demonstrate variation in the scope and purpose of digital interventions, with four dominant themes emerging: (1) Enhancing engagement, independence and quality of life; (2) Supporting carers through education and remote communication tools; (3) Barriers relating to digital literacy, exclusion, and inequitable access; and (4) Challenges in scaling and sustaining digital innovation across health systems.</w:t>
      </w:r>
    </w:p>
    <w:p w14:paraId="25301162" w14:textId="77777777" w:rsidR="00314202" w:rsidRPr="00314202" w:rsidRDefault="00314202" w:rsidP="00314202">
      <w:pPr>
        <w:rPr>
          <w:rFonts w:eastAsia="Arial Unicode MS" w:cs="Arial"/>
        </w:rPr>
      </w:pPr>
      <w:r w:rsidRPr="00314202">
        <w:rPr>
          <w:rFonts w:eastAsia="Arial Unicode MS" w:cs="Arial"/>
        </w:rPr>
        <w:t xml:space="preserve">Overall, digital health technologies show potential benefits—such as increasing safety, improving carer wellbeing and expanding access to support—but are limited by accessibility gaps, resource constraints, and variability in clinical integration. The review highlights the need for co-designed, person-centred solutions and robust implementation frameworks to ensure equitable digital </w:t>
      </w:r>
      <w:r w:rsidRPr="00314202">
        <w:rPr>
          <w:rFonts w:eastAsia="Arial Unicode MS" w:cs="Arial"/>
        </w:rPr>
        <w:lastRenderedPageBreak/>
        <w:t>dementia care. Future research should prioritise long-term evaluations, digital inclusion strategies, and workforce training to support sustainable adoption across UK services.</w:t>
      </w:r>
    </w:p>
    <w:p w14:paraId="36B375D7" w14:textId="401795C6" w:rsidR="00550038" w:rsidRPr="00550038" w:rsidRDefault="00550038" w:rsidP="00550038">
      <w:pPr>
        <w:rPr>
          <w:rFonts w:eastAsia="Arial Unicode MS" w:cs="Arial"/>
        </w:rPr>
      </w:pPr>
    </w:p>
    <w:p w14:paraId="1DBC7F8A" w14:textId="77777777" w:rsidR="00550038" w:rsidRPr="00550038" w:rsidRDefault="00550038" w:rsidP="00550038">
      <w:pPr>
        <w:rPr>
          <w:rFonts w:eastAsia="Arial Unicode MS" w:cs="Arial"/>
        </w:rPr>
      </w:pPr>
      <w:r w:rsidRPr="00550038">
        <w:rPr>
          <w:rFonts w:eastAsia="Arial Unicode MS" w:cs="Arial"/>
        </w:rPr>
        <w:t>Findings indicate that digital interventions in UK dementia care fall into five main categories: telehealth and remote consultations, assistive and smart-home technologies, cognitive stimulation and therapeutic apps, AI-supported diagnostic tools, and carer digital support platforms. These technologies were used across memory clinics, primary care, social care, care homes, and Integrated Care Systems (ICS). Reported outcomes were generally positive: improved symptom monitoring, enhanced medication management, strengthened carer confidence, reduced social isolation, and increased service-level efficiency. However, evidence quality varied, with many studies limited by small sample sizes, short follow-up periods, and inconsistent evaluation measures.</w:t>
      </w:r>
    </w:p>
    <w:p w14:paraId="6375A114" w14:textId="77777777" w:rsidR="00550038" w:rsidRPr="00550038" w:rsidRDefault="00550038" w:rsidP="00550038">
      <w:pPr>
        <w:rPr>
          <w:rFonts w:eastAsia="Arial Unicode MS" w:cs="Arial"/>
        </w:rPr>
      </w:pPr>
      <w:r w:rsidRPr="00550038">
        <w:rPr>
          <w:rFonts w:eastAsia="Arial Unicode MS" w:cs="Arial"/>
        </w:rPr>
        <w:t>Usability, accessibility, and equity emerged as central themes. Barriers included digital literacy challenges, poor interface design, limited affordability, rural broadband constraints, and ethical concerns around privacy and autonomy. Digital exclusion disproportionately affected older adults, low-income families, and minority ethnic groups, raising concerns about widening inequalities. Significant gaps remain around long-term outcomes, cost-effectiveness, later-stage dementia, minority communities, and workforce training.</w:t>
      </w:r>
    </w:p>
    <w:p w14:paraId="32B17533" w14:textId="77777777" w:rsidR="00550038" w:rsidRPr="00550038" w:rsidRDefault="00550038" w:rsidP="00550038">
      <w:pPr>
        <w:rPr>
          <w:rFonts w:eastAsia="Arial Unicode MS" w:cs="Arial"/>
        </w:rPr>
      </w:pPr>
      <w:r w:rsidRPr="00550038">
        <w:rPr>
          <w:rFonts w:eastAsia="Arial Unicode MS" w:cs="Arial"/>
        </w:rPr>
        <w:t>In conclusion, digital health offers substantial potential to enhance dementia care in the UK, but equitable implementation requires consistent policy direction, investment in digital literacy, dementia-friendly design standards, and rigorous evaluation. Recommendations are presented for policymakers, practitioners, and researchers to strengthen future innovation and ensure that digital transformations meaningfully benefit those living with dementia and their carers.</w:t>
      </w:r>
    </w:p>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Default="00804B94" w:rsidP="00804B94">
      <w:pPr>
        <w:pStyle w:val="Heading1"/>
        <w:spacing w:line="360" w:lineRule="auto"/>
        <w:ind w:left="0"/>
        <w:jc w:val="center"/>
        <w:rPr>
          <w:rFonts w:ascii="Aptos" w:hAnsi="Aptos"/>
        </w:rPr>
      </w:pPr>
      <w:r>
        <w:rPr>
          <w:rFonts w:ascii="Aptos" w:hAnsi="Aptos"/>
        </w:rPr>
        <w:t>Table of Contents</w:t>
      </w:r>
    </w:p>
    <w:p w14:paraId="4AD8800A" w14:textId="77777777" w:rsidR="00550038" w:rsidRPr="00550038" w:rsidRDefault="00550038" w:rsidP="00550038">
      <w:pPr>
        <w:pStyle w:val="Heading1"/>
        <w:spacing w:line="360" w:lineRule="auto"/>
        <w:jc w:val="center"/>
        <w:rPr>
          <w:sz w:val="24"/>
          <w:szCs w:val="24"/>
        </w:rPr>
      </w:pPr>
      <w:r w:rsidRPr="00550038">
        <w:rPr>
          <w:bCs/>
          <w:sz w:val="24"/>
          <w:szCs w:val="24"/>
        </w:rPr>
        <w:t>Abstract</w:t>
      </w:r>
      <w:r w:rsidRPr="00550038">
        <w:rPr>
          <w:sz w:val="24"/>
          <w:szCs w:val="24"/>
        </w:rPr>
        <w:t xml:space="preserve"> .................................................................................. </w:t>
      </w:r>
      <w:proofErr w:type="spellStart"/>
      <w:r w:rsidRPr="00550038">
        <w:rPr>
          <w:sz w:val="24"/>
          <w:szCs w:val="24"/>
        </w:rPr>
        <w:t>i</w:t>
      </w:r>
      <w:proofErr w:type="spellEnd"/>
      <w:r w:rsidRPr="00550038">
        <w:rPr>
          <w:sz w:val="24"/>
          <w:szCs w:val="24"/>
        </w:rPr>
        <w:br/>
      </w:r>
      <w:r w:rsidRPr="00550038">
        <w:rPr>
          <w:bCs/>
          <w:sz w:val="24"/>
          <w:szCs w:val="24"/>
        </w:rPr>
        <w:t>Acknowledgements</w:t>
      </w:r>
      <w:r w:rsidRPr="00550038">
        <w:rPr>
          <w:sz w:val="24"/>
          <w:szCs w:val="24"/>
        </w:rPr>
        <w:t xml:space="preserve"> (optional) ............................................... ii</w:t>
      </w:r>
      <w:r w:rsidRPr="00550038">
        <w:rPr>
          <w:sz w:val="24"/>
          <w:szCs w:val="24"/>
        </w:rPr>
        <w:br/>
      </w:r>
      <w:r w:rsidRPr="00550038">
        <w:rPr>
          <w:bCs/>
          <w:sz w:val="24"/>
          <w:szCs w:val="24"/>
        </w:rPr>
        <w:t>List of Figures</w:t>
      </w:r>
      <w:r w:rsidRPr="00550038">
        <w:rPr>
          <w:sz w:val="24"/>
          <w:szCs w:val="24"/>
        </w:rPr>
        <w:t xml:space="preserve"> (if applicable) ............................................... iii</w:t>
      </w:r>
      <w:r w:rsidRPr="00550038">
        <w:rPr>
          <w:sz w:val="24"/>
          <w:szCs w:val="24"/>
        </w:rPr>
        <w:br/>
      </w:r>
      <w:r w:rsidRPr="00550038">
        <w:rPr>
          <w:bCs/>
          <w:sz w:val="24"/>
          <w:szCs w:val="24"/>
        </w:rPr>
        <w:t>List of Tables</w:t>
      </w:r>
      <w:r w:rsidRPr="00550038">
        <w:rPr>
          <w:sz w:val="24"/>
          <w:szCs w:val="24"/>
        </w:rPr>
        <w:t xml:space="preserve"> (if applicable) ................................................ iv</w:t>
      </w:r>
    </w:p>
    <w:p w14:paraId="6EB4E3E2" w14:textId="77777777" w:rsidR="00550038" w:rsidRPr="00550038" w:rsidRDefault="00550038" w:rsidP="00550038">
      <w:pPr>
        <w:pStyle w:val="Heading1"/>
        <w:spacing w:line="360" w:lineRule="auto"/>
        <w:jc w:val="center"/>
        <w:rPr>
          <w:sz w:val="24"/>
          <w:szCs w:val="24"/>
        </w:rPr>
      </w:pPr>
      <w:r w:rsidRPr="00550038">
        <w:rPr>
          <w:sz w:val="24"/>
          <w:szCs w:val="24"/>
        </w:rPr>
        <w:pict w14:anchorId="5DDB977D">
          <v:rect id="_x0000_i1067" style="width:0;height:1.5pt" o:hralign="center" o:hrstd="t" o:hr="t" fillcolor="#a0a0a0" stroked="f"/>
        </w:pict>
      </w:r>
    </w:p>
    <w:p w14:paraId="2C9756A7" w14:textId="77777777" w:rsidR="00550038" w:rsidRPr="00550038" w:rsidRDefault="00550038" w:rsidP="00550038">
      <w:pPr>
        <w:pStyle w:val="Heading1"/>
        <w:spacing w:line="360" w:lineRule="auto"/>
        <w:jc w:val="center"/>
        <w:rPr>
          <w:bCs/>
          <w:sz w:val="24"/>
          <w:szCs w:val="24"/>
        </w:rPr>
      </w:pPr>
      <w:r w:rsidRPr="00550038">
        <w:rPr>
          <w:bCs/>
          <w:sz w:val="24"/>
          <w:szCs w:val="24"/>
        </w:rPr>
        <w:t>Chapter 1 – Introduction</w:t>
      </w:r>
    </w:p>
    <w:p w14:paraId="44E420C1" w14:textId="77777777" w:rsidR="00550038" w:rsidRPr="00550038" w:rsidRDefault="00550038" w:rsidP="00550038">
      <w:pPr>
        <w:pStyle w:val="Heading1"/>
        <w:spacing w:line="360" w:lineRule="auto"/>
        <w:jc w:val="center"/>
        <w:rPr>
          <w:sz w:val="24"/>
          <w:szCs w:val="24"/>
        </w:rPr>
      </w:pPr>
      <w:r w:rsidRPr="00550038">
        <w:rPr>
          <w:sz w:val="24"/>
          <w:szCs w:val="24"/>
        </w:rPr>
        <w:t>1.1 Introduction ........................................................................... 1</w:t>
      </w:r>
      <w:r w:rsidRPr="00550038">
        <w:rPr>
          <w:sz w:val="24"/>
          <w:szCs w:val="24"/>
        </w:rPr>
        <w:br/>
        <w:t>1.2 Definitions and Terminology ................................................ 2</w:t>
      </w:r>
      <w:r w:rsidRPr="00550038">
        <w:rPr>
          <w:sz w:val="24"/>
          <w:szCs w:val="24"/>
        </w:rPr>
        <w:br/>
        <w:t>1.3 Rationale for Research .......................................................... 3</w:t>
      </w:r>
      <w:r w:rsidRPr="00550038">
        <w:rPr>
          <w:sz w:val="24"/>
          <w:szCs w:val="24"/>
        </w:rPr>
        <w:br/>
        <w:t>1.4 Aim and Objectives ................................................................ 4</w:t>
      </w:r>
      <w:r w:rsidRPr="00550038">
        <w:rPr>
          <w:sz w:val="24"/>
          <w:szCs w:val="24"/>
        </w:rPr>
        <w:br/>
        <w:t>1.5 Conclusion ............................................................................ 5</w:t>
      </w:r>
    </w:p>
    <w:p w14:paraId="7EC96F04" w14:textId="77777777" w:rsidR="00550038" w:rsidRPr="00550038" w:rsidRDefault="00550038" w:rsidP="00550038">
      <w:pPr>
        <w:pStyle w:val="Heading1"/>
        <w:spacing w:line="360" w:lineRule="auto"/>
        <w:jc w:val="center"/>
        <w:rPr>
          <w:sz w:val="24"/>
          <w:szCs w:val="24"/>
        </w:rPr>
      </w:pPr>
      <w:r w:rsidRPr="00550038">
        <w:rPr>
          <w:sz w:val="24"/>
          <w:szCs w:val="24"/>
        </w:rPr>
        <w:pict w14:anchorId="4C4F70FF">
          <v:rect id="_x0000_i1068" style="width:0;height:1.5pt" o:hralign="center" o:hrstd="t" o:hr="t" fillcolor="#a0a0a0" stroked="f"/>
        </w:pict>
      </w:r>
    </w:p>
    <w:p w14:paraId="10B4E3AB" w14:textId="77777777" w:rsidR="00550038" w:rsidRPr="00550038" w:rsidRDefault="00550038" w:rsidP="00550038">
      <w:pPr>
        <w:pStyle w:val="Heading1"/>
        <w:spacing w:line="360" w:lineRule="auto"/>
        <w:jc w:val="center"/>
        <w:rPr>
          <w:bCs/>
          <w:sz w:val="24"/>
          <w:szCs w:val="24"/>
        </w:rPr>
      </w:pPr>
      <w:r w:rsidRPr="00550038">
        <w:rPr>
          <w:bCs/>
          <w:sz w:val="24"/>
          <w:szCs w:val="24"/>
        </w:rPr>
        <w:t>Chapter 2 – Background Information and Analysis</w:t>
      </w:r>
    </w:p>
    <w:p w14:paraId="068ECA4D" w14:textId="77777777" w:rsidR="00550038" w:rsidRPr="00550038" w:rsidRDefault="00550038" w:rsidP="00550038">
      <w:pPr>
        <w:pStyle w:val="Heading1"/>
        <w:spacing w:line="360" w:lineRule="auto"/>
        <w:jc w:val="center"/>
        <w:rPr>
          <w:sz w:val="24"/>
          <w:szCs w:val="24"/>
        </w:rPr>
      </w:pPr>
      <w:r w:rsidRPr="00550038">
        <w:rPr>
          <w:sz w:val="24"/>
          <w:szCs w:val="24"/>
        </w:rPr>
        <w:t>2.1 Introduction ........................................................................... 6</w:t>
      </w:r>
      <w:r w:rsidRPr="00550038">
        <w:rPr>
          <w:sz w:val="24"/>
          <w:szCs w:val="24"/>
        </w:rPr>
        <w:br/>
        <w:t>2.2 Historical Background .......................................................... 7</w:t>
      </w:r>
      <w:r w:rsidRPr="00550038">
        <w:rPr>
          <w:sz w:val="24"/>
          <w:szCs w:val="24"/>
        </w:rPr>
        <w:br/>
        <w:t>2.3 Theoretical Background ....................................................... 9</w:t>
      </w:r>
      <w:r w:rsidRPr="00550038">
        <w:rPr>
          <w:sz w:val="24"/>
          <w:szCs w:val="24"/>
        </w:rPr>
        <w:br/>
        <w:t>2.4 International Context ............................................................ 11</w:t>
      </w:r>
      <w:r w:rsidRPr="00550038">
        <w:rPr>
          <w:sz w:val="24"/>
          <w:szCs w:val="24"/>
        </w:rPr>
        <w:br/>
        <w:t>2.5 National and Local UK Context .......................................... 13</w:t>
      </w:r>
      <w:r w:rsidRPr="00550038">
        <w:rPr>
          <w:sz w:val="24"/>
          <w:szCs w:val="24"/>
        </w:rPr>
        <w:br/>
        <w:t>2.6 Conclusion ............................................................................ 15</w:t>
      </w:r>
    </w:p>
    <w:p w14:paraId="2EF3A1C6" w14:textId="77777777" w:rsidR="00550038" w:rsidRPr="00550038" w:rsidRDefault="00550038" w:rsidP="00550038">
      <w:pPr>
        <w:pStyle w:val="Heading1"/>
        <w:spacing w:line="360" w:lineRule="auto"/>
        <w:jc w:val="center"/>
        <w:rPr>
          <w:sz w:val="24"/>
          <w:szCs w:val="24"/>
        </w:rPr>
      </w:pPr>
      <w:r w:rsidRPr="00550038">
        <w:rPr>
          <w:sz w:val="24"/>
          <w:szCs w:val="24"/>
        </w:rPr>
        <w:pict w14:anchorId="1EAED7A2">
          <v:rect id="_x0000_i1069" style="width:0;height:1.5pt" o:hralign="center" o:hrstd="t" o:hr="t" fillcolor="#a0a0a0" stroked="f"/>
        </w:pict>
      </w:r>
    </w:p>
    <w:p w14:paraId="5391EC70" w14:textId="77777777" w:rsidR="00550038" w:rsidRPr="00550038" w:rsidRDefault="00550038" w:rsidP="00550038">
      <w:pPr>
        <w:pStyle w:val="Heading1"/>
        <w:spacing w:line="360" w:lineRule="auto"/>
        <w:jc w:val="center"/>
        <w:rPr>
          <w:bCs/>
          <w:sz w:val="24"/>
          <w:szCs w:val="24"/>
        </w:rPr>
      </w:pPr>
      <w:r w:rsidRPr="00550038">
        <w:rPr>
          <w:bCs/>
          <w:sz w:val="24"/>
          <w:szCs w:val="24"/>
        </w:rPr>
        <w:t>Chapter 3 – Methodology</w:t>
      </w:r>
    </w:p>
    <w:p w14:paraId="202877C8" w14:textId="77777777" w:rsidR="00550038" w:rsidRPr="00550038" w:rsidRDefault="00550038" w:rsidP="00550038">
      <w:pPr>
        <w:pStyle w:val="Heading1"/>
        <w:spacing w:line="360" w:lineRule="auto"/>
        <w:jc w:val="center"/>
        <w:rPr>
          <w:sz w:val="24"/>
          <w:szCs w:val="24"/>
        </w:rPr>
      </w:pPr>
      <w:r w:rsidRPr="00550038">
        <w:rPr>
          <w:sz w:val="24"/>
          <w:szCs w:val="24"/>
        </w:rPr>
        <w:t>3.1 Introduction and Research Aim .......................................... 16</w:t>
      </w:r>
      <w:r w:rsidRPr="00550038">
        <w:rPr>
          <w:sz w:val="24"/>
          <w:szCs w:val="24"/>
        </w:rPr>
        <w:br/>
        <w:t>3.2 Search Strategy ..................................................................... 17</w:t>
      </w:r>
      <w:r w:rsidRPr="00550038">
        <w:rPr>
          <w:sz w:val="24"/>
          <w:szCs w:val="24"/>
        </w:rPr>
        <w:br/>
        <w:t>3.3 Searching for Information ................................................... 18</w:t>
      </w:r>
      <w:r w:rsidRPr="00550038">
        <w:rPr>
          <w:sz w:val="24"/>
          <w:szCs w:val="24"/>
        </w:rPr>
        <w:br/>
        <w:t>3.4 Visual Data / Chart / Statistics ............................................ 19</w:t>
      </w:r>
      <w:r w:rsidRPr="00550038">
        <w:rPr>
          <w:sz w:val="24"/>
          <w:szCs w:val="24"/>
        </w:rPr>
        <w:br/>
        <w:t>3.5 Research Validation and Analysis ....................................... 20</w:t>
      </w:r>
      <w:r w:rsidRPr="00550038">
        <w:rPr>
          <w:sz w:val="24"/>
          <w:szCs w:val="24"/>
        </w:rPr>
        <w:br/>
        <w:t>3.6 Inclusion Criteria .................................................................. 21</w:t>
      </w:r>
      <w:r w:rsidRPr="00550038">
        <w:rPr>
          <w:sz w:val="24"/>
          <w:szCs w:val="24"/>
        </w:rPr>
        <w:br/>
        <w:t>3.7 Exclusion Criteria .................................................................. 22</w:t>
      </w:r>
      <w:r w:rsidRPr="00550038">
        <w:rPr>
          <w:sz w:val="24"/>
          <w:szCs w:val="24"/>
        </w:rPr>
        <w:br/>
        <w:t>3.8 Ethical Considerations ......................................................... 23</w:t>
      </w:r>
    </w:p>
    <w:p w14:paraId="4B87E722" w14:textId="77777777" w:rsidR="00550038" w:rsidRPr="00550038" w:rsidRDefault="00550038" w:rsidP="00550038">
      <w:pPr>
        <w:pStyle w:val="Heading1"/>
        <w:spacing w:line="360" w:lineRule="auto"/>
        <w:jc w:val="center"/>
        <w:rPr>
          <w:sz w:val="24"/>
          <w:szCs w:val="24"/>
        </w:rPr>
      </w:pPr>
      <w:r w:rsidRPr="00550038">
        <w:rPr>
          <w:sz w:val="24"/>
          <w:szCs w:val="24"/>
        </w:rPr>
        <w:pict w14:anchorId="34931208">
          <v:rect id="_x0000_i1070" style="width:0;height:1.5pt" o:hralign="center" o:hrstd="t" o:hr="t" fillcolor="#a0a0a0" stroked="f"/>
        </w:pict>
      </w:r>
    </w:p>
    <w:p w14:paraId="37BAD506" w14:textId="77777777" w:rsidR="00550038" w:rsidRPr="00550038" w:rsidRDefault="00550038" w:rsidP="00550038">
      <w:pPr>
        <w:pStyle w:val="Heading1"/>
        <w:spacing w:line="360" w:lineRule="auto"/>
        <w:jc w:val="center"/>
        <w:rPr>
          <w:bCs/>
          <w:sz w:val="24"/>
          <w:szCs w:val="24"/>
        </w:rPr>
      </w:pPr>
      <w:r w:rsidRPr="00550038">
        <w:rPr>
          <w:bCs/>
          <w:sz w:val="24"/>
          <w:szCs w:val="24"/>
        </w:rPr>
        <w:t>Chapter 4 – Findings and Discussion</w:t>
      </w:r>
    </w:p>
    <w:p w14:paraId="158B2092" w14:textId="77777777" w:rsidR="00550038" w:rsidRPr="00550038" w:rsidRDefault="00550038" w:rsidP="00550038">
      <w:pPr>
        <w:pStyle w:val="Heading1"/>
        <w:spacing w:line="360" w:lineRule="auto"/>
        <w:jc w:val="center"/>
        <w:rPr>
          <w:sz w:val="24"/>
          <w:szCs w:val="24"/>
        </w:rPr>
      </w:pPr>
      <w:r w:rsidRPr="00550038">
        <w:rPr>
          <w:sz w:val="24"/>
          <w:szCs w:val="24"/>
        </w:rPr>
        <w:lastRenderedPageBreak/>
        <w:t>4.1 Introduction ........................................................................... 24</w:t>
      </w:r>
      <w:r w:rsidRPr="00550038">
        <w:rPr>
          <w:sz w:val="24"/>
          <w:szCs w:val="24"/>
        </w:rPr>
        <w:br/>
        <w:t>4.2 Overview of Included Studies .............................................. 25</w:t>
      </w:r>
      <w:r w:rsidRPr="00550038">
        <w:rPr>
          <w:sz w:val="24"/>
          <w:szCs w:val="24"/>
        </w:rPr>
        <w:br/>
        <w:t>4.3 Theme 1 – Clinical, Psychosocial &amp; Service Outcomes .... 27</w:t>
      </w:r>
      <w:r w:rsidRPr="00550038">
        <w:rPr>
          <w:sz w:val="24"/>
          <w:szCs w:val="24"/>
        </w:rPr>
        <w:br/>
        <w:t>4.4 Theme 2 – Usability &amp; Accessibility Challenges ................. 30</w:t>
      </w:r>
      <w:r w:rsidRPr="00550038">
        <w:rPr>
          <w:sz w:val="24"/>
          <w:szCs w:val="24"/>
        </w:rPr>
        <w:br/>
        <w:t>4.5 Theme 3 – Equity, Digital Inclusion &amp; Barriers ................... 33</w:t>
      </w:r>
      <w:r w:rsidRPr="00550038">
        <w:rPr>
          <w:sz w:val="24"/>
          <w:szCs w:val="24"/>
        </w:rPr>
        <w:br/>
        <w:t>4.6 Theme 4 – Evidence Gaps &amp; Future Research Needs ........ 36</w:t>
      </w:r>
      <w:r w:rsidRPr="00550038">
        <w:rPr>
          <w:sz w:val="24"/>
          <w:szCs w:val="24"/>
        </w:rPr>
        <w:br/>
        <w:t>4.7 Overall Discussion ................................................................. 38</w:t>
      </w:r>
      <w:r w:rsidRPr="00550038">
        <w:rPr>
          <w:sz w:val="24"/>
          <w:szCs w:val="24"/>
        </w:rPr>
        <w:br/>
        <w:t>4.8 Chapter Summary ................................................................ 40</w:t>
      </w:r>
    </w:p>
    <w:p w14:paraId="156D4F44" w14:textId="77777777" w:rsidR="00550038" w:rsidRPr="00550038" w:rsidRDefault="00550038" w:rsidP="00550038">
      <w:pPr>
        <w:pStyle w:val="Heading1"/>
        <w:spacing w:line="360" w:lineRule="auto"/>
        <w:jc w:val="center"/>
        <w:rPr>
          <w:sz w:val="24"/>
          <w:szCs w:val="24"/>
        </w:rPr>
      </w:pPr>
      <w:r w:rsidRPr="00550038">
        <w:rPr>
          <w:sz w:val="24"/>
          <w:szCs w:val="24"/>
        </w:rPr>
        <w:pict w14:anchorId="09278EE2">
          <v:rect id="_x0000_i1071" style="width:0;height:1.5pt" o:hralign="center" o:hrstd="t" o:hr="t" fillcolor="#a0a0a0" stroked="f"/>
        </w:pict>
      </w:r>
    </w:p>
    <w:p w14:paraId="1D86AF75" w14:textId="77777777" w:rsidR="00550038" w:rsidRPr="00550038" w:rsidRDefault="00550038" w:rsidP="00550038">
      <w:pPr>
        <w:pStyle w:val="Heading1"/>
        <w:spacing w:line="360" w:lineRule="auto"/>
        <w:jc w:val="center"/>
        <w:rPr>
          <w:bCs/>
          <w:sz w:val="24"/>
          <w:szCs w:val="24"/>
        </w:rPr>
      </w:pPr>
      <w:r w:rsidRPr="00550038">
        <w:rPr>
          <w:bCs/>
          <w:sz w:val="24"/>
          <w:szCs w:val="24"/>
        </w:rPr>
        <w:t>Chapter 5 – Conclusion and Recommendations</w:t>
      </w:r>
    </w:p>
    <w:p w14:paraId="5305E77B" w14:textId="77777777" w:rsidR="00550038" w:rsidRPr="00550038" w:rsidRDefault="00550038" w:rsidP="00550038">
      <w:pPr>
        <w:pStyle w:val="Heading1"/>
        <w:spacing w:line="360" w:lineRule="auto"/>
        <w:jc w:val="center"/>
        <w:rPr>
          <w:sz w:val="24"/>
          <w:szCs w:val="24"/>
        </w:rPr>
      </w:pPr>
      <w:r w:rsidRPr="00550038">
        <w:rPr>
          <w:sz w:val="24"/>
          <w:szCs w:val="24"/>
        </w:rPr>
        <w:t>5.1 Conclusion ............................................................................ 41</w:t>
      </w:r>
      <w:r w:rsidRPr="00550038">
        <w:rPr>
          <w:sz w:val="24"/>
          <w:szCs w:val="24"/>
        </w:rPr>
        <w:br/>
        <w:t>5.2 Recommendations for Practice ............................................ 42</w:t>
      </w:r>
      <w:r w:rsidRPr="00550038">
        <w:rPr>
          <w:sz w:val="24"/>
          <w:szCs w:val="24"/>
        </w:rPr>
        <w:br/>
        <w:t>5.3 Recommendations for Policy ................................................ 43</w:t>
      </w:r>
      <w:r w:rsidRPr="00550038">
        <w:rPr>
          <w:sz w:val="24"/>
          <w:szCs w:val="24"/>
        </w:rPr>
        <w:br/>
        <w:t>5.4 Recommendations for Future Research ............................... 44</w:t>
      </w:r>
    </w:p>
    <w:p w14:paraId="248E3A91" w14:textId="77777777" w:rsidR="00550038" w:rsidRPr="00550038" w:rsidRDefault="00550038" w:rsidP="00550038">
      <w:pPr>
        <w:pStyle w:val="Heading1"/>
        <w:spacing w:line="360" w:lineRule="auto"/>
        <w:jc w:val="center"/>
        <w:rPr>
          <w:sz w:val="24"/>
          <w:szCs w:val="24"/>
        </w:rPr>
      </w:pPr>
      <w:r w:rsidRPr="00550038">
        <w:rPr>
          <w:sz w:val="24"/>
          <w:szCs w:val="24"/>
        </w:rPr>
        <w:pict w14:anchorId="4DA11CA3">
          <v:rect id="_x0000_i1072" style="width:0;height:1.5pt" o:hralign="center" o:hrstd="t" o:hr="t" fillcolor="#a0a0a0" stroked="f"/>
        </w:pict>
      </w:r>
    </w:p>
    <w:p w14:paraId="7F69A131" w14:textId="77777777" w:rsidR="00550038" w:rsidRPr="00550038" w:rsidRDefault="00550038" w:rsidP="00550038">
      <w:pPr>
        <w:pStyle w:val="Heading1"/>
        <w:spacing w:line="360" w:lineRule="auto"/>
        <w:jc w:val="center"/>
        <w:rPr>
          <w:bCs/>
          <w:sz w:val="24"/>
          <w:szCs w:val="24"/>
        </w:rPr>
      </w:pPr>
      <w:r w:rsidRPr="00550038">
        <w:rPr>
          <w:bCs/>
          <w:sz w:val="24"/>
          <w:szCs w:val="24"/>
        </w:rPr>
        <w:t>Chapter 6 – References and Appendices</w:t>
      </w:r>
    </w:p>
    <w:p w14:paraId="1259D0CF" w14:textId="77777777" w:rsidR="00550038" w:rsidRPr="00550038" w:rsidRDefault="00550038" w:rsidP="00550038">
      <w:pPr>
        <w:pStyle w:val="Heading1"/>
        <w:spacing w:line="360" w:lineRule="auto"/>
        <w:jc w:val="center"/>
        <w:rPr>
          <w:sz w:val="24"/>
          <w:szCs w:val="24"/>
        </w:rPr>
      </w:pPr>
      <w:r w:rsidRPr="00550038">
        <w:rPr>
          <w:sz w:val="24"/>
          <w:szCs w:val="24"/>
        </w:rPr>
        <w:t>6.1 References ............................................................................ 45</w:t>
      </w:r>
    </w:p>
    <w:p w14:paraId="1AAC605B" w14:textId="77777777" w:rsidR="00550038" w:rsidRPr="00550038" w:rsidRDefault="00550038" w:rsidP="00550038">
      <w:pPr>
        <w:pStyle w:val="Heading1"/>
        <w:spacing w:line="360" w:lineRule="auto"/>
        <w:jc w:val="center"/>
        <w:rPr>
          <w:sz w:val="24"/>
          <w:szCs w:val="24"/>
        </w:rPr>
      </w:pPr>
      <w:r w:rsidRPr="00550038">
        <w:rPr>
          <w:sz w:val="24"/>
          <w:szCs w:val="24"/>
        </w:rPr>
        <w:pict w14:anchorId="38D47D52">
          <v:rect id="_x0000_i1073" style="width:0;height:1.5pt" o:hralign="center" o:hrstd="t" o:hr="t" fillcolor="#a0a0a0" stroked="f"/>
        </w:pict>
      </w:r>
    </w:p>
    <w:p w14:paraId="0F8689C7" w14:textId="77777777" w:rsidR="00550038" w:rsidRDefault="00550038" w:rsidP="00550038">
      <w:pPr>
        <w:pStyle w:val="Heading1"/>
        <w:spacing w:line="360" w:lineRule="auto"/>
        <w:jc w:val="center"/>
        <w:rPr>
          <w:bCs/>
          <w:sz w:val="24"/>
          <w:szCs w:val="24"/>
        </w:rPr>
      </w:pPr>
    </w:p>
    <w:p w14:paraId="61F93DA7" w14:textId="7D570C79" w:rsidR="00550038" w:rsidRPr="00550038" w:rsidRDefault="00550038" w:rsidP="00550038">
      <w:pPr>
        <w:pStyle w:val="Heading1"/>
        <w:spacing w:line="360" w:lineRule="auto"/>
        <w:jc w:val="center"/>
        <w:rPr>
          <w:bCs/>
          <w:sz w:val="24"/>
          <w:szCs w:val="24"/>
        </w:rPr>
      </w:pPr>
      <w:r w:rsidRPr="00550038">
        <w:rPr>
          <w:bCs/>
          <w:sz w:val="24"/>
          <w:szCs w:val="24"/>
        </w:rPr>
        <w:t>Appendices</w:t>
      </w:r>
    </w:p>
    <w:p w14:paraId="31BF0B28" w14:textId="77777777" w:rsidR="00550038" w:rsidRPr="00550038" w:rsidRDefault="00550038" w:rsidP="00550038">
      <w:pPr>
        <w:pStyle w:val="Heading1"/>
        <w:spacing w:line="360" w:lineRule="auto"/>
        <w:jc w:val="center"/>
        <w:rPr>
          <w:sz w:val="24"/>
          <w:szCs w:val="24"/>
        </w:rPr>
      </w:pPr>
      <w:r w:rsidRPr="00550038">
        <w:rPr>
          <w:bCs/>
          <w:sz w:val="24"/>
          <w:szCs w:val="24"/>
        </w:rPr>
        <w:t>Appendix A — Search Strategy</w:t>
      </w:r>
      <w:r w:rsidRPr="00550038">
        <w:rPr>
          <w:sz w:val="24"/>
          <w:szCs w:val="24"/>
        </w:rPr>
        <w:t xml:space="preserve"> ............................................. 60</w:t>
      </w:r>
      <w:r w:rsidRPr="00550038">
        <w:rPr>
          <w:sz w:val="24"/>
          <w:szCs w:val="24"/>
        </w:rPr>
        <w:br/>
      </w:r>
      <w:r w:rsidRPr="00550038">
        <w:rPr>
          <w:bCs/>
          <w:sz w:val="24"/>
          <w:szCs w:val="24"/>
        </w:rPr>
        <w:t>Appendix B — PRISMA Flow Diagram</w:t>
      </w:r>
      <w:r w:rsidRPr="00550038">
        <w:rPr>
          <w:sz w:val="24"/>
          <w:szCs w:val="24"/>
        </w:rPr>
        <w:t xml:space="preserve"> ................................ 62</w:t>
      </w:r>
      <w:r w:rsidRPr="00550038">
        <w:rPr>
          <w:sz w:val="24"/>
          <w:szCs w:val="24"/>
        </w:rPr>
        <w:br/>
      </w:r>
      <w:r w:rsidRPr="00550038">
        <w:rPr>
          <w:bCs/>
          <w:sz w:val="24"/>
          <w:szCs w:val="24"/>
        </w:rPr>
        <w:t>Appendix C — Results Summary Table</w:t>
      </w:r>
      <w:r w:rsidRPr="00550038">
        <w:rPr>
          <w:sz w:val="24"/>
          <w:szCs w:val="24"/>
        </w:rPr>
        <w:t xml:space="preserve"> ............................... 63</w:t>
      </w:r>
      <w:r w:rsidRPr="00550038">
        <w:rPr>
          <w:sz w:val="24"/>
          <w:szCs w:val="24"/>
        </w:rPr>
        <w:br/>
      </w:r>
      <w:r w:rsidRPr="00550038">
        <w:rPr>
          <w:bCs/>
          <w:sz w:val="24"/>
          <w:szCs w:val="24"/>
        </w:rPr>
        <w:t>Appendix D — Thematic Coding Framework</w:t>
      </w:r>
      <w:r w:rsidRPr="00550038">
        <w:rPr>
          <w:sz w:val="24"/>
          <w:szCs w:val="24"/>
        </w:rPr>
        <w:t xml:space="preserve"> ...................... 70</w:t>
      </w:r>
      <w:r w:rsidRPr="00550038">
        <w:rPr>
          <w:sz w:val="24"/>
          <w:szCs w:val="24"/>
        </w:rPr>
        <w:br/>
      </w:r>
      <w:r w:rsidRPr="00550038">
        <w:rPr>
          <w:bCs/>
          <w:sz w:val="24"/>
          <w:szCs w:val="24"/>
        </w:rPr>
        <w:t>Appendix E — Ethical Statement</w:t>
      </w:r>
      <w:r w:rsidRPr="00550038">
        <w:rPr>
          <w:sz w:val="24"/>
          <w:szCs w:val="24"/>
        </w:rPr>
        <w:t xml:space="preserve"> ......................................... 80</w:t>
      </w:r>
      <w:r w:rsidRPr="00550038">
        <w:rPr>
          <w:sz w:val="24"/>
          <w:szCs w:val="24"/>
        </w:rPr>
        <w:br/>
      </w:r>
      <w:r w:rsidRPr="00550038">
        <w:rPr>
          <w:bCs/>
          <w:sz w:val="24"/>
          <w:szCs w:val="24"/>
        </w:rPr>
        <w:t>Appendix F — Poster Presentation</w:t>
      </w:r>
      <w:r w:rsidRPr="00550038">
        <w:rPr>
          <w:sz w:val="24"/>
          <w:szCs w:val="24"/>
        </w:rPr>
        <w:t xml:space="preserve"> ...................................... 85</w:t>
      </w:r>
    </w:p>
    <w:p w14:paraId="78F62E44" w14:textId="77777777" w:rsidR="00550038" w:rsidRPr="00550038" w:rsidRDefault="00550038" w:rsidP="00804B94">
      <w:pPr>
        <w:pStyle w:val="Heading1"/>
        <w:spacing w:line="360" w:lineRule="auto"/>
        <w:ind w:left="0"/>
        <w:jc w:val="center"/>
        <w:rPr>
          <w:rFonts w:ascii="Aptos" w:hAnsi="Aptos"/>
          <w:b w:val="0"/>
          <w:sz w:val="24"/>
          <w:szCs w:val="24"/>
        </w:rPr>
      </w:pPr>
    </w:p>
    <w:p w14:paraId="756C3EE0" w14:textId="77777777" w:rsidR="00804B94" w:rsidRPr="00550038" w:rsidRDefault="00804B94">
      <w:pPr>
        <w:rPr>
          <w:sz w:val="24"/>
          <w:szCs w:val="24"/>
        </w:rPr>
      </w:pPr>
    </w:p>
    <w:p w14:paraId="3EF52184" w14:textId="77777777" w:rsidR="00804B94" w:rsidRPr="00550038" w:rsidRDefault="00804B94">
      <w:pPr>
        <w:rPr>
          <w:sz w:val="24"/>
          <w:szCs w:val="24"/>
        </w:rPr>
      </w:pPr>
    </w:p>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69941E5D" w14:textId="77777777" w:rsidR="00EF6341" w:rsidRPr="00EF6341" w:rsidRDefault="00EF6341" w:rsidP="00EF6341">
      <w:pPr>
        <w:pStyle w:val="BodyText"/>
        <w:spacing w:line="360" w:lineRule="auto"/>
        <w:rPr>
          <w:rFonts w:ascii="Aptos" w:hAnsi="Aptos"/>
        </w:rPr>
      </w:pPr>
    </w:p>
    <w:p w14:paraId="7AB87147" w14:textId="77777777" w:rsidR="0086570F" w:rsidRDefault="0086570F" w:rsidP="0086570F">
      <w:pPr>
        <w:pStyle w:val="Heading1"/>
      </w:pPr>
      <w:r>
        <w:t>CHAPTER 1: INTRODUCTION</w:t>
      </w:r>
    </w:p>
    <w:p w14:paraId="10DE9905" w14:textId="77777777" w:rsidR="0086570F" w:rsidRDefault="0086570F" w:rsidP="0086570F">
      <w:pPr>
        <w:pStyle w:val="Heading2"/>
      </w:pPr>
      <w:r>
        <w:t>1.1 Introduction</w:t>
      </w:r>
    </w:p>
    <w:p w14:paraId="46A121C5" w14:textId="77777777" w:rsidR="0086570F" w:rsidRPr="00DA6718" w:rsidRDefault="0086570F" w:rsidP="00DA6718">
      <w:pPr>
        <w:rPr>
          <w:rFonts w:ascii="Arial" w:hAnsi="Arial" w:cs="Arial"/>
        </w:rPr>
      </w:pPr>
      <w:r w:rsidRPr="00DA6718">
        <w:rPr>
          <w:rFonts w:ascii="Arial" w:hAnsi="Arial" w:cs="Arial"/>
        </w:rPr>
        <w:t>Dementia represents one of the most pressing public health and social care challenges in the United Kingdom and globally. It is an umbrella term describing a progressive decline in cognitive function that interferes with daily living and independence, commonly resulting from conditions such as Alzheimer’s disease, vascular dementia, and Lewy body dementia (NHS England, 2024). With an ageing population, the number of people affected by dementia in the UK is projected to exceed one mil...</w:t>
      </w:r>
      <w:r w:rsidRPr="00DA6718">
        <w:rPr>
          <w:rFonts w:ascii="Arial" w:hAnsi="Arial" w:cs="Arial"/>
        </w:rPr>
        <w:br/>
        <w:t>The aim of this dissertation is to conduct a scoping review to map and synthesise current evidence on digital health interventions for people living with dementia and their informal carers in UK practice. The findings will provide a foundation for policy, research, and service design, identifying best practices and critical gaps in implementation and accessibility.</w:t>
      </w:r>
      <w:r w:rsidRPr="00DA6718">
        <w:rPr>
          <w:rFonts w:ascii="Arial" w:hAnsi="Arial" w:cs="Arial"/>
        </w:rPr>
        <w:br/>
      </w:r>
    </w:p>
    <w:p w14:paraId="2E994AF3" w14:textId="77777777" w:rsidR="0086570F" w:rsidRPr="00DA6718" w:rsidRDefault="0086570F" w:rsidP="00DA6718">
      <w:pPr>
        <w:pStyle w:val="Heading2"/>
        <w:rPr>
          <w:rFonts w:ascii="Arial" w:hAnsi="Arial" w:cs="Arial"/>
          <w:sz w:val="22"/>
          <w:szCs w:val="22"/>
        </w:rPr>
      </w:pPr>
      <w:r w:rsidRPr="00DA6718">
        <w:rPr>
          <w:rFonts w:ascii="Arial" w:hAnsi="Arial" w:cs="Arial"/>
          <w:sz w:val="22"/>
          <w:szCs w:val="22"/>
        </w:rPr>
        <w:t>1.2 Definitions and Terminology</w:t>
      </w:r>
    </w:p>
    <w:p w14:paraId="49DD1196" w14:textId="77777777" w:rsidR="0086570F" w:rsidRPr="00DA6718" w:rsidRDefault="0086570F" w:rsidP="00DA6718">
      <w:pPr>
        <w:rPr>
          <w:rFonts w:ascii="Arial" w:hAnsi="Arial" w:cs="Arial"/>
        </w:rPr>
      </w:pPr>
      <w:r w:rsidRPr="00DA6718">
        <w:rPr>
          <w:rFonts w:ascii="Arial" w:hAnsi="Arial" w:cs="Arial"/>
        </w:rPr>
        <w:t>This section clarifies key terms and abbreviations used throughout the dissertation to ensure conceptual clarity and consistency.</w:t>
      </w:r>
      <w:r w:rsidRPr="00DA6718">
        <w:rPr>
          <w:rFonts w:ascii="Arial" w:hAnsi="Arial" w:cs="Arial"/>
        </w:rPr>
        <w:br/>
      </w:r>
      <w:r w:rsidRPr="00DA6718">
        <w:rPr>
          <w:rFonts w:ascii="Arial" w:hAnsi="Arial" w:cs="Arial"/>
        </w:rPr>
        <w:br/>
        <w:t xml:space="preserve">Dementia: A clinical syndrome characterised by deterioration in memory, thinking, behaviour, and the ability to perform everyday activities, caused by progressive neurological disorders (World Health Organization, 2023).  </w:t>
      </w:r>
      <w:r w:rsidRPr="00DA6718">
        <w:rPr>
          <w:rFonts w:ascii="Arial" w:hAnsi="Arial" w:cs="Arial"/>
        </w:rPr>
        <w:br/>
      </w:r>
      <w:r w:rsidRPr="00DA6718">
        <w:rPr>
          <w:rFonts w:ascii="Arial" w:hAnsi="Arial" w:cs="Arial"/>
        </w:rPr>
        <w:br/>
        <w:t xml:space="preserve">Digital Health: The use of digital technologies, including mobile applications, telemedicine, wearable sensors, and AI, to deliver, manage, or monitor health services and outcomes (World Health Organization, 2021).  </w:t>
      </w:r>
      <w:r w:rsidRPr="00DA6718">
        <w:rPr>
          <w:rFonts w:ascii="Arial" w:hAnsi="Arial" w:cs="Arial"/>
        </w:rPr>
        <w:br/>
      </w:r>
      <w:r w:rsidRPr="00DA6718">
        <w:rPr>
          <w:rFonts w:ascii="Arial" w:hAnsi="Arial" w:cs="Arial"/>
        </w:rPr>
        <w:br/>
        <w:t xml:space="preserve">Telehealth / Telemedicine: The remote delivery of health services and information using telecommunications technologies such as video consultations or remote monitoring systems (NHS Digital, 2023).  </w:t>
      </w:r>
      <w:r w:rsidRPr="00DA6718">
        <w:rPr>
          <w:rFonts w:ascii="Arial" w:hAnsi="Arial" w:cs="Arial"/>
        </w:rPr>
        <w:br/>
      </w:r>
      <w:r w:rsidRPr="00DA6718">
        <w:rPr>
          <w:rFonts w:ascii="Arial" w:hAnsi="Arial" w:cs="Arial"/>
        </w:rPr>
        <w:br/>
        <w:t xml:space="preserve">mHealth (Mobile Health): A subset of digital health referring specifically to health services and information supported by mobile devices like smartphones and tablets (WHO, 2021).  </w:t>
      </w:r>
      <w:r w:rsidRPr="00DA6718">
        <w:rPr>
          <w:rFonts w:ascii="Arial" w:hAnsi="Arial" w:cs="Arial"/>
        </w:rPr>
        <w:br/>
      </w:r>
      <w:r w:rsidRPr="00DA6718">
        <w:rPr>
          <w:rFonts w:ascii="Arial" w:hAnsi="Arial" w:cs="Arial"/>
        </w:rPr>
        <w:br/>
      </w:r>
      <w:r w:rsidRPr="00DA6718">
        <w:rPr>
          <w:rFonts w:ascii="Arial" w:hAnsi="Arial" w:cs="Arial"/>
        </w:rPr>
        <w:lastRenderedPageBreak/>
        <w:t xml:space="preserve">Artificial Intelligence (AI): Computer systems capable of performing tasks that typically require human intelligence, such as decision-making, image recognition, and predictive analysis. In dementia care, AI is increasingly used for early diagnosis and symptom monitoring (Topol, 2019).  </w:t>
      </w:r>
      <w:r w:rsidRPr="00DA6718">
        <w:rPr>
          <w:rFonts w:ascii="Arial" w:hAnsi="Arial" w:cs="Arial"/>
        </w:rPr>
        <w:br/>
      </w:r>
      <w:r w:rsidRPr="00DA6718">
        <w:rPr>
          <w:rFonts w:ascii="Arial" w:hAnsi="Arial" w:cs="Arial"/>
        </w:rPr>
        <w:br/>
        <w:t xml:space="preserve">Integrated Care Systems (ICSs): Partnerships between NHS organisations, local authorities, and community providers in England that coordinate health and social care at a regional level (NHS England, 2024).  </w:t>
      </w:r>
      <w:r w:rsidRPr="00DA6718">
        <w:rPr>
          <w:rFonts w:ascii="Arial" w:hAnsi="Arial" w:cs="Arial"/>
        </w:rPr>
        <w:br/>
      </w:r>
      <w:r w:rsidRPr="00DA6718">
        <w:rPr>
          <w:rFonts w:ascii="Arial" w:hAnsi="Arial" w:cs="Arial"/>
        </w:rPr>
        <w:br/>
        <w:t xml:space="preserve">Carers: Individuals, often family members or friends, who provide unpaid care and support to people living with dementia (Carers UK, 2023).  </w:t>
      </w:r>
      <w:r w:rsidRPr="00DA6718">
        <w:rPr>
          <w:rFonts w:ascii="Arial" w:hAnsi="Arial" w:cs="Arial"/>
        </w:rPr>
        <w:br/>
      </w:r>
      <w:r w:rsidRPr="00DA6718">
        <w:rPr>
          <w:rFonts w:ascii="Arial" w:hAnsi="Arial" w:cs="Arial"/>
        </w:rPr>
        <w:br/>
        <w:t xml:space="preserve">Scoping Review: A type of knowledge synthesis that maps the extent, range, and nature of research activity in a given field to identify evidence gaps and guide future studies (Arksey and O’Malley, 2005; Levac et al., 2010).  </w:t>
      </w:r>
      <w:r w:rsidRPr="00DA6718">
        <w:rPr>
          <w:rFonts w:ascii="Arial" w:hAnsi="Arial" w:cs="Arial"/>
        </w:rPr>
        <w:br/>
      </w:r>
      <w:r w:rsidRPr="00DA6718">
        <w:rPr>
          <w:rFonts w:ascii="Arial" w:hAnsi="Arial" w:cs="Arial"/>
        </w:rPr>
        <w:br/>
        <w:t>Acronyms and Abbreviations</w:t>
      </w:r>
      <w:r w:rsidRPr="00DA6718">
        <w:rPr>
          <w:rFonts w:ascii="Arial" w:hAnsi="Arial" w:cs="Arial"/>
        </w:rPr>
        <w:br/>
        <w:t xml:space="preserve">AI – Artificial Intelligence  </w:t>
      </w:r>
      <w:r w:rsidRPr="00DA6718">
        <w:rPr>
          <w:rFonts w:ascii="Arial" w:hAnsi="Arial" w:cs="Arial"/>
        </w:rPr>
        <w:br/>
        <w:t xml:space="preserve">ICS – Integrated Care System  </w:t>
      </w:r>
      <w:r w:rsidRPr="00DA6718">
        <w:rPr>
          <w:rFonts w:ascii="Arial" w:hAnsi="Arial" w:cs="Arial"/>
        </w:rPr>
        <w:br/>
        <w:t xml:space="preserve">NHS – National Health Service  </w:t>
      </w:r>
      <w:r w:rsidRPr="00DA6718">
        <w:rPr>
          <w:rFonts w:ascii="Arial" w:hAnsi="Arial" w:cs="Arial"/>
        </w:rPr>
        <w:br/>
        <w:t xml:space="preserve">mHealth – Mobile Health  </w:t>
      </w:r>
      <w:r w:rsidRPr="00DA6718">
        <w:rPr>
          <w:rFonts w:ascii="Arial" w:hAnsi="Arial" w:cs="Arial"/>
        </w:rPr>
        <w:br/>
        <w:t xml:space="preserve">WHO – World Health Organization  </w:t>
      </w:r>
      <w:r w:rsidRPr="00DA6718">
        <w:rPr>
          <w:rFonts w:ascii="Arial" w:hAnsi="Arial" w:cs="Arial"/>
        </w:rPr>
        <w:br/>
      </w:r>
      <w:r w:rsidRPr="00DA6718">
        <w:rPr>
          <w:rFonts w:ascii="Arial" w:hAnsi="Arial" w:cs="Arial"/>
        </w:rPr>
        <w:br/>
        <w:t>These definitions establish the conceptual framework for interpreting findings throughout the dissertation.</w:t>
      </w:r>
      <w:r w:rsidRPr="00DA6718">
        <w:rPr>
          <w:rFonts w:ascii="Arial" w:hAnsi="Arial" w:cs="Arial"/>
        </w:rPr>
        <w:br/>
      </w:r>
    </w:p>
    <w:p w14:paraId="40F88201" w14:textId="77777777" w:rsidR="0086570F" w:rsidRPr="00DA6718" w:rsidRDefault="0086570F" w:rsidP="00DA6718">
      <w:pPr>
        <w:pStyle w:val="Heading2"/>
        <w:rPr>
          <w:rFonts w:ascii="Arial" w:hAnsi="Arial" w:cs="Arial"/>
          <w:sz w:val="22"/>
          <w:szCs w:val="22"/>
        </w:rPr>
      </w:pPr>
      <w:r w:rsidRPr="00DA6718">
        <w:rPr>
          <w:rFonts w:ascii="Arial" w:hAnsi="Arial" w:cs="Arial"/>
          <w:sz w:val="22"/>
          <w:szCs w:val="22"/>
        </w:rPr>
        <w:t>1.3 Rationale for Research</w:t>
      </w:r>
    </w:p>
    <w:p w14:paraId="18A04A64" w14:textId="77777777" w:rsidR="0086570F" w:rsidRPr="00DA6718" w:rsidRDefault="0086570F" w:rsidP="00DA6718">
      <w:pPr>
        <w:rPr>
          <w:rFonts w:ascii="Arial" w:hAnsi="Arial" w:cs="Arial"/>
        </w:rPr>
      </w:pPr>
      <w:r w:rsidRPr="00DA6718">
        <w:rPr>
          <w:rFonts w:ascii="Arial" w:hAnsi="Arial" w:cs="Arial"/>
        </w:rPr>
        <w:t>The choice to explore dementia and digital health reflects the urgent need to address inequalities in care and the growing role of technology in the NHS. Dementia care delivery remains inconsistent across regions, with digital exclusion—particularly among older adults, ethnic minorities, and rural communities—widening disparities in diagnosis and post-diagnostic support (Isaacs, 2024). As the UK government and NHS continue to promote digital-first care, understanding which innovation...</w:t>
      </w:r>
      <w:r w:rsidRPr="00DA6718">
        <w:rPr>
          <w:rFonts w:ascii="Arial" w:hAnsi="Arial" w:cs="Arial"/>
        </w:rPr>
        <w:br/>
        <w:t xml:space="preserve">This research addresses these gaps by synthesising UK-specific evidence on digital dementia care through a systematic scoping review. The review will provide a comprehensive overview of how digital health interventions are being used, their reported outcomes, and their </w:t>
      </w:r>
      <w:r w:rsidRPr="00DA6718">
        <w:rPr>
          <w:rFonts w:ascii="Arial" w:hAnsi="Arial" w:cs="Arial"/>
        </w:rPr>
        <w:lastRenderedPageBreak/>
        <w:t xml:space="preserve">implications for accessibility and health equity. By mapping the landscape of current research, this dissertation will inform practitioners, policymakers, and developers, supporting future innovation that aligns with NHS digital </w:t>
      </w:r>
      <w:proofErr w:type="spellStart"/>
      <w:r w:rsidRPr="00DA6718">
        <w:rPr>
          <w:rFonts w:ascii="Arial" w:hAnsi="Arial" w:cs="Arial"/>
        </w:rPr>
        <w:t>transforma</w:t>
      </w:r>
      <w:proofErr w:type="spellEnd"/>
      <w:r w:rsidRPr="00DA6718">
        <w:rPr>
          <w:rFonts w:ascii="Arial" w:hAnsi="Arial" w:cs="Arial"/>
        </w:rPr>
        <w:t>...</w:t>
      </w:r>
      <w:r w:rsidRPr="00DA6718">
        <w:rPr>
          <w:rFonts w:ascii="Arial" w:hAnsi="Arial" w:cs="Arial"/>
        </w:rPr>
        <w:br/>
      </w:r>
    </w:p>
    <w:p w14:paraId="585292A0" w14:textId="77777777" w:rsidR="0086570F" w:rsidRPr="00DA6718" w:rsidRDefault="0086570F" w:rsidP="00DA6718">
      <w:pPr>
        <w:pStyle w:val="Heading2"/>
        <w:rPr>
          <w:rFonts w:ascii="Arial" w:hAnsi="Arial" w:cs="Arial"/>
          <w:sz w:val="22"/>
          <w:szCs w:val="22"/>
        </w:rPr>
      </w:pPr>
      <w:r w:rsidRPr="00DA6718">
        <w:rPr>
          <w:rFonts w:ascii="Arial" w:hAnsi="Arial" w:cs="Arial"/>
          <w:sz w:val="22"/>
          <w:szCs w:val="22"/>
        </w:rPr>
        <w:t>1.4 Aim and Objectives</w:t>
      </w:r>
    </w:p>
    <w:p w14:paraId="72CFFC15" w14:textId="4B4CA02F" w:rsidR="0086570F" w:rsidRPr="00DA6718" w:rsidRDefault="0086570F" w:rsidP="00DA6718">
      <w:pPr>
        <w:rPr>
          <w:rFonts w:ascii="Arial" w:hAnsi="Arial" w:cs="Arial"/>
        </w:rPr>
      </w:pPr>
      <w:r w:rsidRPr="00DA6718">
        <w:rPr>
          <w:rFonts w:ascii="Arial" w:hAnsi="Arial" w:cs="Arial"/>
        </w:rPr>
        <w:t>Research Aim</w:t>
      </w:r>
      <w:r w:rsidRPr="00DA6718">
        <w:rPr>
          <w:rFonts w:ascii="Arial" w:hAnsi="Arial" w:cs="Arial"/>
        </w:rPr>
        <w:br/>
        <w:t xml:space="preserve">The overarching aim of this dissertation is to systematically map and synthesise existing evidence on the scope, purpose, and impact of digital health interventions for people with dementia and their informal carers within UK health, social care, or integrated-care settings.  </w:t>
      </w:r>
      <w:r w:rsidRPr="00DA6718">
        <w:rPr>
          <w:rFonts w:ascii="Arial" w:hAnsi="Arial" w:cs="Arial"/>
        </w:rPr>
        <w:br/>
      </w:r>
      <w:r w:rsidRPr="00DA6718">
        <w:rPr>
          <w:rFonts w:ascii="Arial" w:hAnsi="Arial" w:cs="Arial"/>
        </w:rPr>
        <w:br/>
        <w:t xml:space="preserve">This aim aligns with the broader goal of understanding how technology can enhance dementia care while promoting equity, accessibility, and quality across diverse populations and service contexts (NHS England, 2024).  </w:t>
      </w:r>
      <w:r w:rsidRPr="00DA6718">
        <w:rPr>
          <w:rFonts w:ascii="Arial" w:hAnsi="Arial" w:cs="Arial"/>
        </w:rPr>
        <w:br/>
      </w:r>
      <w:r w:rsidRPr="00DA6718">
        <w:rPr>
          <w:rFonts w:ascii="Arial" w:hAnsi="Arial" w:cs="Arial"/>
        </w:rPr>
        <w:br/>
        <w:t>Research Objectives</w:t>
      </w:r>
      <w:r w:rsidRPr="00DA6718">
        <w:rPr>
          <w:rFonts w:ascii="Arial" w:hAnsi="Arial" w:cs="Arial"/>
        </w:rPr>
        <w:br/>
        <w:t xml:space="preserve">1. Catalogue the types of digital health interventions implemented for people living with dementia and/or their informal carers, detailing delivery settings and target populations.  </w:t>
      </w:r>
      <w:r w:rsidRPr="00DA6718">
        <w:rPr>
          <w:rFonts w:ascii="Arial" w:hAnsi="Arial" w:cs="Arial"/>
        </w:rPr>
        <w:br/>
        <w:t xml:space="preserve">2. Summarise the reported clinical, psychosocial, and service outcomes associated with these digital interventions.  </w:t>
      </w:r>
      <w:r w:rsidRPr="00DA6718">
        <w:rPr>
          <w:rFonts w:ascii="Arial" w:hAnsi="Arial" w:cs="Arial"/>
        </w:rPr>
        <w:br/>
        <w:t xml:space="preserve">3. Explore usability, accessibility, and equity considerations influencing implementation and user experience.  </w:t>
      </w:r>
      <w:r w:rsidRPr="00DA6718">
        <w:rPr>
          <w:rFonts w:ascii="Arial" w:hAnsi="Arial" w:cs="Arial"/>
        </w:rPr>
        <w:br/>
        <w:t xml:space="preserve">4. Identify gaps and limitations in the existing literature to inform future research, policy development, and evidence-based practice.  </w:t>
      </w:r>
      <w:r w:rsidRPr="00DA6718">
        <w:rPr>
          <w:rFonts w:ascii="Arial" w:hAnsi="Arial" w:cs="Arial"/>
        </w:rPr>
        <w:br/>
      </w:r>
      <w:r w:rsidRPr="00DA6718">
        <w:rPr>
          <w:rFonts w:ascii="Arial" w:hAnsi="Arial" w:cs="Arial"/>
        </w:rPr>
        <w:br/>
        <w:t>Together, these objectives will structure the scoping review process, guiding the search strategy, data extraction, and thematic analysis. The results will offer a comprehensive understanding of the digital dementia care landscape in the UK, identifying areas of promise as well as unmet needs</w:t>
      </w:r>
      <w:r w:rsidRPr="00DA6718">
        <w:rPr>
          <w:rFonts w:ascii="Arial" w:hAnsi="Arial" w:cs="Arial"/>
        </w:rPr>
        <w:t xml:space="preserve"> </w:t>
      </w:r>
      <w:r w:rsidRPr="00DA6718">
        <w:rPr>
          <w:rFonts w:ascii="Arial" w:hAnsi="Arial" w:cs="Arial"/>
        </w:rPr>
        <w:t>requiring further investigation or policy action.</w:t>
      </w:r>
      <w:r w:rsidRPr="00DA6718">
        <w:rPr>
          <w:rFonts w:ascii="Arial" w:hAnsi="Arial" w:cs="Arial"/>
        </w:rPr>
        <w:br/>
      </w:r>
    </w:p>
    <w:p w14:paraId="3006AA6A" w14:textId="77777777" w:rsidR="0086570F" w:rsidRPr="00DA6718" w:rsidRDefault="0086570F" w:rsidP="00DA6718">
      <w:pPr>
        <w:pStyle w:val="Heading2"/>
        <w:rPr>
          <w:rFonts w:ascii="Arial" w:hAnsi="Arial" w:cs="Arial"/>
          <w:sz w:val="22"/>
          <w:szCs w:val="22"/>
        </w:rPr>
      </w:pPr>
      <w:r w:rsidRPr="00DA6718">
        <w:rPr>
          <w:rFonts w:ascii="Arial" w:hAnsi="Arial" w:cs="Arial"/>
          <w:sz w:val="22"/>
          <w:szCs w:val="22"/>
        </w:rPr>
        <w:t>1.5 Conclusion</w:t>
      </w:r>
    </w:p>
    <w:p w14:paraId="0AC476DC" w14:textId="77777777" w:rsidR="0086570F" w:rsidRPr="00DA6718" w:rsidRDefault="0086570F" w:rsidP="00DA6718">
      <w:pPr>
        <w:rPr>
          <w:rFonts w:ascii="Arial" w:hAnsi="Arial" w:cs="Arial"/>
        </w:rPr>
      </w:pPr>
      <w:r w:rsidRPr="00DA6718">
        <w:rPr>
          <w:rFonts w:ascii="Arial" w:hAnsi="Arial" w:cs="Arial"/>
        </w:rPr>
        <w:t xml:space="preserve">This introductory chapter has outlined the background, definitions, rationale, and aims of the dissertation on Dementia and Digital Health in UK Practice. The increasing prevalence of dementia and the expansion of digital health technologies create both opportunities and challenges for equitable care delivery. By defining the key concepts and identifying the research gap, this chapter establishes the foundation for a structured and rigorous scoping review.  </w:t>
      </w:r>
      <w:r w:rsidRPr="00DA6718">
        <w:rPr>
          <w:rFonts w:ascii="Arial" w:hAnsi="Arial" w:cs="Arial"/>
        </w:rPr>
        <w:br/>
      </w:r>
      <w:r w:rsidRPr="00DA6718">
        <w:rPr>
          <w:rFonts w:ascii="Arial" w:hAnsi="Arial" w:cs="Arial"/>
        </w:rPr>
        <w:lastRenderedPageBreak/>
        <w:br/>
        <w:t>The primary aim—to map and synthesise evidence on UK-based digital health interventions for dementia—will guide the subsequent research process. The next chapter, Chapter 2: Literature Review, will build upon this introduction by critically evaluating existing literature on dementia care and digital innovation. It will explore theoretical perspectives, previous empirical findings, and conceptual debates to contextualise the proposed review and justify its contribution to the field.</w:t>
      </w:r>
      <w:r w:rsidRPr="00DA6718">
        <w:rPr>
          <w:rFonts w:ascii="Arial" w:hAnsi="Arial" w:cs="Arial"/>
        </w:rPr>
        <w:br/>
      </w:r>
    </w:p>
    <w:p w14:paraId="115C9163" w14:textId="77777777" w:rsidR="00730C3C" w:rsidRPr="00DA6718" w:rsidRDefault="00730C3C" w:rsidP="00DA6718">
      <w:pPr>
        <w:rPr>
          <w:rFonts w:ascii="Arial" w:hAnsi="Arial" w:cs="Arial"/>
        </w:rPr>
      </w:pPr>
    </w:p>
    <w:p w14:paraId="47D34B52" w14:textId="77777777" w:rsidR="00730C3C" w:rsidRPr="00DA6718" w:rsidRDefault="00730C3C" w:rsidP="00DA6718">
      <w:pPr>
        <w:rPr>
          <w:rFonts w:ascii="Arial" w:hAnsi="Arial" w:cs="Arial"/>
        </w:rPr>
      </w:pPr>
    </w:p>
    <w:p w14:paraId="33D4B98F" w14:textId="2F09408D" w:rsidR="000D0641" w:rsidRPr="00DA6718" w:rsidRDefault="000D0641" w:rsidP="00DA6718">
      <w:pPr>
        <w:pStyle w:val="Heading1"/>
        <w:spacing w:line="360" w:lineRule="auto"/>
        <w:ind w:left="0"/>
        <w:rPr>
          <w:rFonts w:cs="Arial"/>
          <w:sz w:val="22"/>
          <w:szCs w:val="22"/>
        </w:rPr>
      </w:pPr>
      <w:r w:rsidRPr="00DA6718">
        <w:rPr>
          <w:rFonts w:cs="Arial"/>
          <w:sz w:val="22"/>
          <w:szCs w:val="22"/>
        </w:rPr>
        <w:t xml:space="preserve">CHAPTER 2 – </w:t>
      </w:r>
      <w:r w:rsidR="00BD2909" w:rsidRPr="00DA6718">
        <w:rPr>
          <w:rFonts w:cs="Arial"/>
          <w:sz w:val="22"/>
          <w:szCs w:val="22"/>
        </w:rPr>
        <w:t xml:space="preserve">Background </w:t>
      </w:r>
      <w:r w:rsidR="00F44833" w:rsidRPr="00DA6718">
        <w:rPr>
          <w:rFonts w:cs="Arial"/>
          <w:sz w:val="22"/>
          <w:szCs w:val="22"/>
        </w:rPr>
        <w:t xml:space="preserve">Information and </w:t>
      </w:r>
      <w:r w:rsidR="00BD2909" w:rsidRPr="00DA6718">
        <w:rPr>
          <w:rFonts w:cs="Arial"/>
          <w:sz w:val="22"/>
          <w:szCs w:val="22"/>
        </w:rPr>
        <w:t>Analysis</w:t>
      </w:r>
      <w:r w:rsidRPr="00DA6718">
        <w:rPr>
          <w:rFonts w:cs="Arial"/>
          <w:sz w:val="22"/>
          <w:szCs w:val="22"/>
        </w:rPr>
        <w:t xml:space="preserve"> </w:t>
      </w:r>
    </w:p>
    <w:p w14:paraId="3A28157F" w14:textId="77777777" w:rsidR="000D0641" w:rsidRPr="00DA6718" w:rsidRDefault="000D0641" w:rsidP="00DA6718">
      <w:pPr>
        <w:rPr>
          <w:rFonts w:ascii="Arial" w:hAnsi="Arial" w:cs="Arial"/>
        </w:rPr>
      </w:pPr>
    </w:p>
    <w:p w14:paraId="796D395D"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2.1 Introduction</w:t>
      </w:r>
    </w:p>
    <w:p w14:paraId="6E3E9254"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This chapter provides a detailed contextual foundation for understanding the intersection between dementia care and digital health in the United Kingdom. By situating the topic within its historical, theoretical, and socio-political background, this chapter clarifies why digital transformation has become increasingly central to contemporary dementia services. The broader context of ageing populations, rising dementia prevalence, overstretched health and social-care services, and technological advancement underpins the rationale for exploring how digital tools are implemented in dementia practice. This chapter therefore explores the evolution of dementia understanding, the development of digital health, and the theories guiding technological adoption. It offers an international perspective on digital dementia care before narrowing to the UK national and local context. Together, these sections prepare the foundation for the methodological decisions outlined in Chapter 3 and support the analytical framing of the findings in Chapter 4.</w:t>
      </w:r>
    </w:p>
    <w:p w14:paraId="71808FEE" w14:textId="77777777" w:rsidR="00EB484B" w:rsidRPr="00EB484B" w:rsidRDefault="00EB484B" w:rsidP="00DA6718">
      <w:pPr>
        <w:rPr>
          <w:rFonts w:ascii="Arial" w:eastAsiaTheme="majorEastAsia" w:hAnsi="Arial" w:cs="Arial"/>
        </w:rPr>
      </w:pPr>
      <w:r w:rsidRPr="00EB484B">
        <w:rPr>
          <w:rFonts w:ascii="Arial" w:eastAsiaTheme="majorEastAsia" w:hAnsi="Arial" w:cs="Arial"/>
        </w:rPr>
        <w:pict w14:anchorId="44B3B36F">
          <v:rect id="_x0000_i1581" style="width:0;height:1.5pt" o:hralign="center" o:hrstd="t" o:hr="t" fillcolor="#a0a0a0" stroked="f"/>
        </w:pict>
      </w:r>
    </w:p>
    <w:p w14:paraId="6C1EA18F"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2.2 Historical Background</w:t>
      </w:r>
    </w:p>
    <w:p w14:paraId="6E28CDC7"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The historical development of dementia as a recognised medical and social condition has undergone considerable change. Although cognitive decline has been documented since ancient civilisations, it was not until 1907 that Alois Alzheimer reported the defining neuropathological signs—amyloid plaques and neurofibrillary tangles—marking a pivotal shift toward understanding dementia as a clinical syndrome (Alzheimer, 1907). For much of the twentieth century, dementia remained poorly understood, often stigmatised, and commonly </w:t>
      </w:r>
      <w:r w:rsidRPr="00EB484B">
        <w:rPr>
          <w:rFonts w:ascii="Arial" w:eastAsiaTheme="majorEastAsia" w:hAnsi="Arial" w:cs="Arial"/>
        </w:rPr>
        <w:lastRenderedPageBreak/>
        <w:t>misattributed to “senility”. This period was characterised by institutionalisation and limited community support.</w:t>
      </w:r>
    </w:p>
    <w:p w14:paraId="2E6B3B9D" w14:textId="77777777" w:rsidR="00EB484B" w:rsidRPr="00EB484B" w:rsidRDefault="00EB484B" w:rsidP="00DA6718">
      <w:pPr>
        <w:rPr>
          <w:rFonts w:ascii="Arial" w:eastAsiaTheme="majorEastAsia" w:hAnsi="Arial" w:cs="Arial"/>
        </w:rPr>
      </w:pPr>
      <w:r w:rsidRPr="00EB484B">
        <w:rPr>
          <w:rFonts w:ascii="Arial" w:eastAsiaTheme="majorEastAsia" w:hAnsi="Arial" w:cs="Arial"/>
        </w:rPr>
        <w:t>By the 1970s and 1980s, demographic changes and increased life expectancy highlighted dementia as a major public health challenge (Prince et al., 2013). The emergence of social gerontology and growing advocacy movements shifted the narrative from institutional to community-based care. Tom Kitwood’s (1997) person-centred care paradigm revolutionised dementia care by emphasising personhood, respect and emotional well-being rather than solely biological decline.</w:t>
      </w:r>
    </w:p>
    <w:p w14:paraId="62DAB44C"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The evolution of technology in dementia care began modestly with analogue assistive devices—such as timed pill dispensers, large-button telephones and simple alarms (</w:t>
      </w:r>
      <w:proofErr w:type="spellStart"/>
      <w:r w:rsidRPr="00EB484B">
        <w:rPr>
          <w:rFonts w:ascii="Arial" w:eastAsiaTheme="majorEastAsia" w:hAnsi="Arial" w:cs="Arial"/>
        </w:rPr>
        <w:t>Topo</w:t>
      </w:r>
      <w:proofErr w:type="spellEnd"/>
      <w:r w:rsidRPr="00EB484B">
        <w:rPr>
          <w:rFonts w:ascii="Arial" w:eastAsiaTheme="majorEastAsia" w:hAnsi="Arial" w:cs="Arial"/>
        </w:rPr>
        <w:t>, 2009). However, the early 21st century witnessed rapid digitalisation. Global advances in computing, mobile technology, and artificial intelligence created new opportunities for screening, monitoring and supporting people living with dementia.</w:t>
      </w:r>
    </w:p>
    <w:p w14:paraId="7B43C5A3"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In the UK, several policy developments facilitated this shift. The </w:t>
      </w:r>
      <w:r w:rsidRPr="00EB484B">
        <w:rPr>
          <w:rFonts w:ascii="Arial" w:eastAsiaTheme="majorEastAsia" w:hAnsi="Arial" w:cs="Arial"/>
          <w:i/>
          <w:iCs/>
        </w:rPr>
        <w:t>National Dementia Strategy</w:t>
      </w:r>
      <w:r w:rsidRPr="00EB484B">
        <w:rPr>
          <w:rFonts w:ascii="Arial" w:eastAsiaTheme="majorEastAsia" w:hAnsi="Arial" w:cs="Arial"/>
        </w:rPr>
        <w:t xml:space="preserve"> (2009), the </w:t>
      </w:r>
      <w:r w:rsidRPr="00EB484B">
        <w:rPr>
          <w:rFonts w:ascii="Arial" w:eastAsiaTheme="majorEastAsia" w:hAnsi="Arial" w:cs="Arial"/>
          <w:i/>
          <w:iCs/>
        </w:rPr>
        <w:t>Prime Minister’s Challenge on Dementia</w:t>
      </w:r>
      <w:r w:rsidRPr="00EB484B">
        <w:rPr>
          <w:rFonts w:ascii="Arial" w:eastAsiaTheme="majorEastAsia" w:hAnsi="Arial" w:cs="Arial"/>
        </w:rPr>
        <w:t xml:space="preserve"> (2012, updated 2020), and the </w:t>
      </w:r>
      <w:r w:rsidRPr="00EB484B">
        <w:rPr>
          <w:rFonts w:ascii="Arial" w:eastAsiaTheme="majorEastAsia" w:hAnsi="Arial" w:cs="Arial"/>
          <w:i/>
          <w:iCs/>
        </w:rPr>
        <w:t>NHS Long Term Plan</w:t>
      </w:r>
      <w:r w:rsidRPr="00EB484B">
        <w:rPr>
          <w:rFonts w:ascii="Arial" w:eastAsiaTheme="majorEastAsia" w:hAnsi="Arial" w:cs="Arial"/>
        </w:rPr>
        <w:t xml:space="preserve"> (2019) progressively embedded digital innovation into service design. Initiatives such as NHS Digital (2016), the NHS App, and Integrated Care Systems (2022) laid the structural foundations for digital care pathways. The COVID-19 pandemic further accelerated digital uptake as remote care, virtual assessments, and tele-support became essential for protecting vulnerable populations.</w:t>
      </w:r>
    </w:p>
    <w:p w14:paraId="7201EBFB"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Thus, the historical backdrop reveals a progression from institutional care to personalised, technology-supported community living. This evolution shapes current research priorities and provides the context for examining digital dementia interventions within UK practice.</w:t>
      </w:r>
    </w:p>
    <w:p w14:paraId="4EC7006E" w14:textId="77777777" w:rsidR="00EB484B" w:rsidRPr="00EB484B" w:rsidRDefault="00EB484B" w:rsidP="00DA6718">
      <w:pPr>
        <w:rPr>
          <w:rFonts w:ascii="Arial" w:eastAsiaTheme="majorEastAsia" w:hAnsi="Arial" w:cs="Arial"/>
        </w:rPr>
      </w:pPr>
      <w:r w:rsidRPr="00EB484B">
        <w:rPr>
          <w:rFonts w:ascii="Arial" w:eastAsiaTheme="majorEastAsia" w:hAnsi="Arial" w:cs="Arial"/>
        </w:rPr>
        <w:pict w14:anchorId="3CF77AB2">
          <v:rect id="_x0000_i1582" style="width:0;height:1.5pt" o:hralign="center" o:hrstd="t" o:hr="t" fillcolor="#a0a0a0" stroked="f"/>
        </w:pict>
      </w:r>
    </w:p>
    <w:p w14:paraId="43686CBA"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2.3 Theoretical Background</w:t>
      </w:r>
    </w:p>
    <w:p w14:paraId="18200393" w14:textId="77777777" w:rsidR="00EB484B" w:rsidRPr="00EB484B" w:rsidRDefault="00EB484B" w:rsidP="00DA6718">
      <w:pPr>
        <w:rPr>
          <w:rFonts w:ascii="Arial" w:eastAsiaTheme="majorEastAsia" w:hAnsi="Arial" w:cs="Arial"/>
        </w:rPr>
      </w:pPr>
      <w:r w:rsidRPr="00EB484B">
        <w:rPr>
          <w:rFonts w:ascii="Arial" w:eastAsiaTheme="majorEastAsia" w:hAnsi="Arial" w:cs="Arial"/>
        </w:rPr>
        <w:t>A range of theories help explain the adoption, use and impact of digital health interventions in dementia care. Understanding these models provides an analytical lens for interpreting findings in later chapters.</w:t>
      </w:r>
    </w:p>
    <w:p w14:paraId="1F35D660"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Diffusion of Innovation Theory</w:t>
      </w:r>
    </w:p>
    <w:p w14:paraId="6F6DEEA6"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Rogers’ (2003) </w:t>
      </w:r>
      <w:r w:rsidRPr="00EB484B">
        <w:rPr>
          <w:rFonts w:ascii="Arial" w:eastAsiaTheme="majorEastAsia" w:hAnsi="Arial" w:cs="Arial"/>
          <w:i/>
          <w:iCs/>
        </w:rPr>
        <w:t>Diffusion of Innovation</w:t>
      </w:r>
      <w:r w:rsidRPr="00EB484B">
        <w:rPr>
          <w:rFonts w:ascii="Arial" w:eastAsiaTheme="majorEastAsia" w:hAnsi="Arial" w:cs="Arial"/>
        </w:rPr>
        <w:t xml:space="preserve"> theory offers a framework for understanding how new technologies spread within health and social-care systems. Adoption is influenced by:</w:t>
      </w:r>
    </w:p>
    <w:p w14:paraId="676944F9" w14:textId="77777777" w:rsidR="00EB484B" w:rsidRPr="00EB484B" w:rsidRDefault="00EB484B" w:rsidP="00DA6718">
      <w:pPr>
        <w:numPr>
          <w:ilvl w:val="0"/>
          <w:numId w:val="206"/>
        </w:numPr>
        <w:rPr>
          <w:rFonts w:ascii="Arial" w:eastAsiaTheme="majorEastAsia" w:hAnsi="Arial" w:cs="Arial"/>
        </w:rPr>
      </w:pPr>
      <w:r w:rsidRPr="00EB484B">
        <w:rPr>
          <w:rFonts w:ascii="Arial" w:eastAsiaTheme="majorEastAsia" w:hAnsi="Arial" w:cs="Arial"/>
          <w:b/>
          <w:bCs/>
        </w:rPr>
        <w:t>Relative advantage</w:t>
      </w:r>
      <w:r w:rsidRPr="00EB484B">
        <w:rPr>
          <w:rFonts w:ascii="Arial" w:eastAsiaTheme="majorEastAsia" w:hAnsi="Arial" w:cs="Arial"/>
        </w:rPr>
        <w:t xml:space="preserve"> (how beneficial the innovation appears)</w:t>
      </w:r>
    </w:p>
    <w:p w14:paraId="4C87E93C" w14:textId="77777777" w:rsidR="00EB484B" w:rsidRPr="00EB484B" w:rsidRDefault="00EB484B" w:rsidP="00DA6718">
      <w:pPr>
        <w:numPr>
          <w:ilvl w:val="0"/>
          <w:numId w:val="206"/>
        </w:numPr>
        <w:rPr>
          <w:rFonts w:ascii="Arial" w:eastAsiaTheme="majorEastAsia" w:hAnsi="Arial" w:cs="Arial"/>
        </w:rPr>
      </w:pPr>
      <w:r w:rsidRPr="00EB484B">
        <w:rPr>
          <w:rFonts w:ascii="Arial" w:eastAsiaTheme="majorEastAsia" w:hAnsi="Arial" w:cs="Arial"/>
          <w:b/>
          <w:bCs/>
        </w:rPr>
        <w:lastRenderedPageBreak/>
        <w:t>Compatibility</w:t>
      </w:r>
      <w:r w:rsidRPr="00EB484B">
        <w:rPr>
          <w:rFonts w:ascii="Arial" w:eastAsiaTheme="majorEastAsia" w:hAnsi="Arial" w:cs="Arial"/>
        </w:rPr>
        <w:t xml:space="preserve"> with existing workflows</w:t>
      </w:r>
    </w:p>
    <w:p w14:paraId="150B8867" w14:textId="77777777" w:rsidR="00EB484B" w:rsidRPr="00EB484B" w:rsidRDefault="00EB484B" w:rsidP="00DA6718">
      <w:pPr>
        <w:numPr>
          <w:ilvl w:val="0"/>
          <w:numId w:val="206"/>
        </w:numPr>
        <w:rPr>
          <w:rFonts w:ascii="Arial" w:eastAsiaTheme="majorEastAsia" w:hAnsi="Arial" w:cs="Arial"/>
        </w:rPr>
      </w:pPr>
      <w:r w:rsidRPr="00EB484B">
        <w:rPr>
          <w:rFonts w:ascii="Arial" w:eastAsiaTheme="majorEastAsia" w:hAnsi="Arial" w:cs="Arial"/>
          <w:b/>
          <w:bCs/>
        </w:rPr>
        <w:t>Complexity</w:t>
      </w:r>
      <w:r w:rsidRPr="00EB484B">
        <w:rPr>
          <w:rFonts w:ascii="Arial" w:eastAsiaTheme="majorEastAsia" w:hAnsi="Arial" w:cs="Arial"/>
        </w:rPr>
        <w:t xml:space="preserve"> and usability</w:t>
      </w:r>
    </w:p>
    <w:p w14:paraId="767C9694" w14:textId="77777777" w:rsidR="00EB484B" w:rsidRPr="00EB484B" w:rsidRDefault="00EB484B" w:rsidP="00DA6718">
      <w:pPr>
        <w:numPr>
          <w:ilvl w:val="0"/>
          <w:numId w:val="206"/>
        </w:numPr>
        <w:rPr>
          <w:rFonts w:ascii="Arial" w:eastAsiaTheme="majorEastAsia" w:hAnsi="Arial" w:cs="Arial"/>
        </w:rPr>
      </w:pPr>
      <w:r w:rsidRPr="00EB484B">
        <w:rPr>
          <w:rFonts w:ascii="Arial" w:eastAsiaTheme="majorEastAsia" w:hAnsi="Arial" w:cs="Arial"/>
          <w:b/>
          <w:bCs/>
        </w:rPr>
        <w:t>Trialability</w:t>
      </w:r>
      <w:r w:rsidRPr="00EB484B">
        <w:rPr>
          <w:rFonts w:ascii="Arial" w:eastAsiaTheme="majorEastAsia" w:hAnsi="Arial" w:cs="Arial"/>
        </w:rPr>
        <w:t xml:space="preserve"> (ability to test before full adoption)</w:t>
      </w:r>
    </w:p>
    <w:p w14:paraId="24A9B0B1" w14:textId="77777777" w:rsidR="00EB484B" w:rsidRPr="00EB484B" w:rsidRDefault="00EB484B" w:rsidP="00DA6718">
      <w:pPr>
        <w:numPr>
          <w:ilvl w:val="0"/>
          <w:numId w:val="206"/>
        </w:numPr>
        <w:rPr>
          <w:rFonts w:ascii="Arial" w:eastAsiaTheme="majorEastAsia" w:hAnsi="Arial" w:cs="Arial"/>
        </w:rPr>
      </w:pPr>
      <w:r w:rsidRPr="00EB484B">
        <w:rPr>
          <w:rFonts w:ascii="Arial" w:eastAsiaTheme="majorEastAsia" w:hAnsi="Arial" w:cs="Arial"/>
          <w:b/>
          <w:bCs/>
        </w:rPr>
        <w:t>Observability</w:t>
      </w:r>
      <w:r w:rsidRPr="00EB484B">
        <w:rPr>
          <w:rFonts w:ascii="Arial" w:eastAsiaTheme="majorEastAsia" w:hAnsi="Arial" w:cs="Arial"/>
        </w:rPr>
        <w:t xml:space="preserve"> (visibility of benefits)</w:t>
      </w:r>
    </w:p>
    <w:p w14:paraId="1CEC32C5" w14:textId="77777777" w:rsidR="00EB484B" w:rsidRPr="00EB484B" w:rsidRDefault="00EB484B" w:rsidP="00DA6718">
      <w:pPr>
        <w:rPr>
          <w:rFonts w:ascii="Arial" w:eastAsiaTheme="majorEastAsia" w:hAnsi="Arial" w:cs="Arial"/>
        </w:rPr>
      </w:pPr>
      <w:r w:rsidRPr="00EB484B">
        <w:rPr>
          <w:rFonts w:ascii="Arial" w:eastAsiaTheme="majorEastAsia" w:hAnsi="Arial" w:cs="Arial"/>
        </w:rPr>
        <w:t>In dementia care, innovations like telecare or remote consultations often face resistance due to perceived complexity, lack of training, or concerns around ethical implications.</w:t>
      </w:r>
    </w:p>
    <w:p w14:paraId="2C647972"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Technology Acceptance Model (TAM)</w:t>
      </w:r>
    </w:p>
    <w:p w14:paraId="2593E800"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TAM proposes that </w:t>
      </w:r>
      <w:r w:rsidRPr="00EB484B">
        <w:rPr>
          <w:rFonts w:ascii="Arial" w:eastAsiaTheme="majorEastAsia" w:hAnsi="Arial" w:cs="Arial"/>
          <w:b/>
          <w:bCs/>
        </w:rPr>
        <w:t>perceived usefulness</w:t>
      </w:r>
      <w:r w:rsidRPr="00EB484B">
        <w:rPr>
          <w:rFonts w:ascii="Arial" w:eastAsiaTheme="majorEastAsia" w:hAnsi="Arial" w:cs="Arial"/>
        </w:rPr>
        <w:t xml:space="preserve"> and </w:t>
      </w:r>
      <w:r w:rsidRPr="00EB484B">
        <w:rPr>
          <w:rFonts w:ascii="Arial" w:eastAsiaTheme="majorEastAsia" w:hAnsi="Arial" w:cs="Arial"/>
          <w:b/>
          <w:bCs/>
        </w:rPr>
        <w:t>perceived ease of use</w:t>
      </w:r>
      <w:r w:rsidRPr="00EB484B">
        <w:rPr>
          <w:rFonts w:ascii="Arial" w:eastAsiaTheme="majorEastAsia" w:hAnsi="Arial" w:cs="Arial"/>
        </w:rPr>
        <w:t xml:space="preserve"> predict user acceptance (Davis, 1989). This model is particularly relevant for evaluating:</w:t>
      </w:r>
    </w:p>
    <w:p w14:paraId="36381CD2" w14:textId="77777777" w:rsidR="00EB484B" w:rsidRPr="00EB484B" w:rsidRDefault="00EB484B" w:rsidP="00DA6718">
      <w:pPr>
        <w:numPr>
          <w:ilvl w:val="0"/>
          <w:numId w:val="207"/>
        </w:numPr>
        <w:rPr>
          <w:rFonts w:ascii="Arial" w:eastAsiaTheme="majorEastAsia" w:hAnsi="Arial" w:cs="Arial"/>
        </w:rPr>
      </w:pPr>
      <w:r w:rsidRPr="00EB484B">
        <w:rPr>
          <w:rFonts w:ascii="Arial" w:eastAsiaTheme="majorEastAsia" w:hAnsi="Arial" w:cs="Arial"/>
        </w:rPr>
        <w:t>carers’ willingness to use online support platforms</w:t>
      </w:r>
    </w:p>
    <w:p w14:paraId="21B66F72" w14:textId="77777777" w:rsidR="00EB484B" w:rsidRPr="00EB484B" w:rsidRDefault="00EB484B" w:rsidP="00DA6718">
      <w:pPr>
        <w:numPr>
          <w:ilvl w:val="0"/>
          <w:numId w:val="207"/>
        </w:numPr>
        <w:rPr>
          <w:rFonts w:ascii="Arial" w:eastAsiaTheme="majorEastAsia" w:hAnsi="Arial" w:cs="Arial"/>
        </w:rPr>
      </w:pPr>
      <w:r w:rsidRPr="00EB484B">
        <w:rPr>
          <w:rFonts w:ascii="Arial" w:eastAsiaTheme="majorEastAsia" w:hAnsi="Arial" w:cs="Arial"/>
        </w:rPr>
        <w:t>older adults’ adoption of assistive technologies</w:t>
      </w:r>
    </w:p>
    <w:p w14:paraId="6EDE2301" w14:textId="77777777" w:rsidR="00EB484B" w:rsidRPr="00EB484B" w:rsidRDefault="00EB484B" w:rsidP="00DA6718">
      <w:pPr>
        <w:numPr>
          <w:ilvl w:val="0"/>
          <w:numId w:val="207"/>
        </w:numPr>
        <w:rPr>
          <w:rFonts w:ascii="Arial" w:eastAsiaTheme="majorEastAsia" w:hAnsi="Arial" w:cs="Arial"/>
        </w:rPr>
      </w:pPr>
      <w:r w:rsidRPr="00EB484B">
        <w:rPr>
          <w:rFonts w:ascii="Arial" w:eastAsiaTheme="majorEastAsia" w:hAnsi="Arial" w:cs="Arial"/>
        </w:rPr>
        <w:t>clinicians’ readiness to employ AI-based screening tools</w:t>
      </w:r>
    </w:p>
    <w:p w14:paraId="5AF1DF36" w14:textId="77777777" w:rsidR="00EB484B" w:rsidRPr="00EB484B" w:rsidRDefault="00EB484B" w:rsidP="00DA6718">
      <w:pPr>
        <w:rPr>
          <w:rFonts w:ascii="Arial" w:eastAsiaTheme="majorEastAsia" w:hAnsi="Arial" w:cs="Arial"/>
        </w:rPr>
      </w:pPr>
      <w:r w:rsidRPr="00EB484B">
        <w:rPr>
          <w:rFonts w:ascii="Arial" w:eastAsiaTheme="majorEastAsia" w:hAnsi="Arial" w:cs="Arial"/>
        </w:rPr>
        <w:t>Its limitation, however, is that it underplays emotional, social, and ethical factors, which are highly significant in dementia contexts.</w:t>
      </w:r>
    </w:p>
    <w:p w14:paraId="0C0D1295"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Person-Centred Care (PCC)</w:t>
      </w:r>
    </w:p>
    <w:p w14:paraId="6C8E8A2F" w14:textId="77777777" w:rsidR="00EB484B" w:rsidRPr="00EB484B" w:rsidRDefault="00EB484B" w:rsidP="00DA6718">
      <w:pPr>
        <w:rPr>
          <w:rFonts w:ascii="Arial" w:eastAsiaTheme="majorEastAsia" w:hAnsi="Arial" w:cs="Arial"/>
        </w:rPr>
      </w:pPr>
      <w:proofErr w:type="spellStart"/>
      <w:r w:rsidRPr="00EB484B">
        <w:rPr>
          <w:rFonts w:ascii="Arial" w:eastAsiaTheme="majorEastAsia" w:hAnsi="Arial" w:cs="Arial"/>
        </w:rPr>
        <w:t>Kitwood’s</w:t>
      </w:r>
      <w:proofErr w:type="spellEnd"/>
      <w:r w:rsidRPr="00EB484B">
        <w:rPr>
          <w:rFonts w:ascii="Arial" w:eastAsiaTheme="majorEastAsia" w:hAnsi="Arial" w:cs="Arial"/>
        </w:rPr>
        <w:t xml:space="preserve"> (1997) PCC theory builds a foundation for evaluating digital tools based on whether they support:</w:t>
      </w:r>
    </w:p>
    <w:p w14:paraId="335825C9" w14:textId="77777777" w:rsidR="00EB484B" w:rsidRPr="00EB484B" w:rsidRDefault="00EB484B" w:rsidP="00DA6718">
      <w:pPr>
        <w:numPr>
          <w:ilvl w:val="0"/>
          <w:numId w:val="208"/>
        </w:numPr>
        <w:rPr>
          <w:rFonts w:ascii="Arial" w:eastAsiaTheme="majorEastAsia" w:hAnsi="Arial" w:cs="Arial"/>
        </w:rPr>
      </w:pPr>
      <w:r w:rsidRPr="00EB484B">
        <w:rPr>
          <w:rFonts w:ascii="Arial" w:eastAsiaTheme="majorEastAsia" w:hAnsi="Arial" w:cs="Arial"/>
        </w:rPr>
        <w:t>autonomy</w:t>
      </w:r>
    </w:p>
    <w:p w14:paraId="57AE5B79" w14:textId="77777777" w:rsidR="00EB484B" w:rsidRPr="00EB484B" w:rsidRDefault="00EB484B" w:rsidP="00DA6718">
      <w:pPr>
        <w:numPr>
          <w:ilvl w:val="0"/>
          <w:numId w:val="208"/>
        </w:numPr>
        <w:rPr>
          <w:rFonts w:ascii="Arial" w:eastAsiaTheme="majorEastAsia" w:hAnsi="Arial" w:cs="Arial"/>
        </w:rPr>
      </w:pPr>
      <w:r w:rsidRPr="00EB484B">
        <w:rPr>
          <w:rFonts w:ascii="Arial" w:eastAsiaTheme="majorEastAsia" w:hAnsi="Arial" w:cs="Arial"/>
        </w:rPr>
        <w:t>identity</w:t>
      </w:r>
    </w:p>
    <w:p w14:paraId="56F8076C" w14:textId="77777777" w:rsidR="00EB484B" w:rsidRPr="00EB484B" w:rsidRDefault="00EB484B" w:rsidP="00DA6718">
      <w:pPr>
        <w:numPr>
          <w:ilvl w:val="0"/>
          <w:numId w:val="208"/>
        </w:numPr>
        <w:rPr>
          <w:rFonts w:ascii="Arial" w:eastAsiaTheme="majorEastAsia" w:hAnsi="Arial" w:cs="Arial"/>
        </w:rPr>
      </w:pPr>
      <w:r w:rsidRPr="00EB484B">
        <w:rPr>
          <w:rFonts w:ascii="Arial" w:eastAsiaTheme="majorEastAsia" w:hAnsi="Arial" w:cs="Arial"/>
        </w:rPr>
        <w:t>social connection</w:t>
      </w:r>
    </w:p>
    <w:p w14:paraId="0441AB9B" w14:textId="77777777" w:rsidR="00EB484B" w:rsidRPr="00EB484B" w:rsidRDefault="00EB484B" w:rsidP="00DA6718">
      <w:pPr>
        <w:numPr>
          <w:ilvl w:val="0"/>
          <w:numId w:val="208"/>
        </w:numPr>
        <w:rPr>
          <w:rFonts w:ascii="Arial" w:eastAsiaTheme="majorEastAsia" w:hAnsi="Arial" w:cs="Arial"/>
        </w:rPr>
      </w:pPr>
      <w:r w:rsidRPr="00EB484B">
        <w:rPr>
          <w:rFonts w:ascii="Arial" w:eastAsiaTheme="majorEastAsia" w:hAnsi="Arial" w:cs="Arial"/>
        </w:rPr>
        <w:t>meaningful occupation</w:t>
      </w:r>
    </w:p>
    <w:p w14:paraId="666105F7" w14:textId="77777777" w:rsidR="00EB484B" w:rsidRPr="00EB484B" w:rsidRDefault="00EB484B" w:rsidP="00DA6718">
      <w:pPr>
        <w:rPr>
          <w:rFonts w:ascii="Arial" w:eastAsiaTheme="majorEastAsia" w:hAnsi="Arial" w:cs="Arial"/>
        </w:rPr>
      </w:pPr>
      <w:r w:rsidRPr="00EB484B">
        <w:rPr>
          <w:rFonts w:ascii="Arial" w:eastAsiaTheme="majorEastAsia" w:hAnsi="Arial" w:cs="Arial"/>
        </w:rPr>
        <w:t>For example, digital reminiscence apps align well with PCC principles, while intrusive monitoring systems may conflict with personhood if not sensitively implemented.</w:t>
      </w:r>
    </w:p>
    <w:p w14:paraId="332EB876"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Biopsychosocial Model</w:t>
      </w:r>
    </w:p>
    <w:p w14:paraId="226757A4" w14:textId="77777777" w:rsidR="00EB484B" w:rsidRPr="00EB484B" w:rsidRDefault="00EB484B" w:rsidP="00DA6718">
      <w:pPr>
        <w:rPr>
          <w:rFonts w:ascii="Arial" w:eastAsiaTheme="majorEastAsia" w:hAnsi="Arial" w:cs="Arial"/>
        </w:rPr>
      </w:pPr>
      <w:r w:rsidRPr="00EB484B">
        <w:rPr>
          <w:rFonts w:ascii="Arial" w:eastAsiaTheme="majorEastAsia" w:hAnsi="Arial" w:cs="Arial"/>
        </w:rPr>
        <w:t>Engel’s (1977) model reminds us that dementia care requires consideration of biological changes, psychological wellbeing and social environments. Digital interventions must therefore be evaluated holistically—not only for clinical efficacy but also for emotional and relational impacts.</w:t>
      </w:r>
    </w:p>
    <w:p w14:paraId="719A0112"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lastRenderedPageBreak/>
        <w:t>Digital Health Equity Framework</w:t>
      </w:r>
    </w:p>
    <w:p w14:paraId="3C280F38" w14:textId="77777777" w:rsidR="00EB484B" w:rsidRPr="00EB484B" w:rsidRDefault="00EB484B" w:rsidP="00DA6718">
      <w:pPr>
        <w:rPr>
          <w:rFonts w:ascii="Arial" w:eastAsiaTheme="majorEastAsia" w:hAnsi="Arial" w:cs="Arial"/>
        </w:rPr>
      </w:pPr>
      <w:r w:rsidRPr="00EB484B">
        <w:rPr>
          <w:rFonts w:ascii="Arial" w:eastAsiaTheme="majorEastAsia" w:hAnsi="Arial" w:cs="Arial"/>
        </w:rPr>
        <w:t>Crawford et al.’s (2022) framework highlights how digital determinants (e.g., access, skills, affordability, cultural relevance) shape health inequalities. This is crucial to understanding digital exclusion among people with dementia, older carers, deprived communities and ethnic minorities.</w:t>
      </w:r>
    </w:p>
    <w:p w14:paraId="67DC9E99" w14:textId="77777777" w:rsidR="00EB484B" w:rsidRPr="00EB484B" w:rsidRDefault="00EB484B" w:rsidP="00DA6718">
      <w:pPr>
        <w:rPr>
          <w:rFonts w:ascii="Arial" w:eastAsiaTheme="majorEastAsia" w:hAnsi="Arial" w:cs="Arial"/>
        </w:rPr>
      </w:pPr>
      <w:r w:rsidRPr="00EB484B">
        <w:rPr>
          <w:rFonts w:ascii="Arial" w:eastAsiaTheme="majorEastAsia" w:hAnsi="Arial" w:cs="Arial"/>
        </w:rPr>
        <w:t>In summary, these theories collectively inform the analysis of digital dementia care, offering complementary perspectives on adoption, acceptability, equity and sustainability.</w:t>
      </w:r>
    </w:p>
    <w:p w14:paraId="15BD49D2" w14:textId="77777777" w:rsidR="00EB484B" w:rsidRPr="00EB484B" w:rsidRDefault="00EB484B" w:rsidP="00DA6718">
      <w:pPr>
        <w:rPr>
          <w:rFonts w:ascii="Arial" w:eastAsiaTheme="majorEastAsia" w:hAnsi="Arial" w:cs="Arial"/>
        </w:rPr>
      </w:pPr>
      <w:r w:rsidRPr="00EB484B">
        <w:rPr>
          <w:rFonts w:ascii="Arial" w:eastAsiaTheme="majorEastAsia" w:hAnsi="Arial" w:cs="Arial"/>
        </w:rPr>
        <w:pict w14:anchorId="7D2AE28A">
          <v:rect id="_x0000_i1583" style="width:0;height:1.5pt" o:hralign="center" o:hrstd="t" o:hr="t" fillcolor="#a0a0a0" stroked="f"/>
        </w:pict>
      </w:r>
    </w:p>
    <w:p w14:paraId="19C5C8E5"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2.4 International Context</w:t>
      </w:r>
    </w:p>
    <w:p w14:paraId="53B8B73B"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Globally, dementia has been recognised as a public health priority, with the World Health Organization’s </w:t>
      </w:r>
      <w:r w:rsidRPr="00EB484B">
        <w:rPr>
          <w:rFonts w:ascii="Arial" w:eastAsiaTheme="majorEastAsia" w:hAnsi="Arial" w:cs="Arial"/>
          <w:i/>
          <w:iCs/>
        </w:rPr>
        <w:t>Global Action Plan on Dementia</w:t>
      </w:r>
      <w:r w:rsidRPr="00EB484B">
        <w:rPr>
          <w:rFonts w:ascii="Arial" w:eastAsiaTheme="majorEastAsia" w:hAnsi="Arial" w:cs="Arial"/>
        </w:rPr>
        <w:t xml:space="preserve"> (2017–2025) encouraging nations to develop strategies that integrate technology, early diagnosis and community support.</w:t>
      </w:r>
    </w:p>
    <w:p w14:paraId="705A3B8E"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North America</w:t>
      </w:r>
    </w:p>
    <w:p w14:paraId="50ABB0B8"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The United States and Canada have invested heavily in AI-driven diagnostic tools, telehealth models and remote cognitive assessments. The US </w:t>
      </w:r>
      <w:r w:rsidRPr="00EB484B">
        <w:rPr>
          <w:rFonts w:ascii="Arial" w:eastAsiaTheme="majorEastAsia" w:hAnsi="Arial" w:cs="Arial"/>
          <w:i/>
          <w:iCs/>
        </w:rPr>
        <w:t>National Alzheimer’s Project Act</w:t>
      </w:r>
      <w:r w:rsidRPr="00EB484B">
        <w:rPr>
          <w:rFonts w:ascii="Arial" w:eastAsiaTheme="majorEastAsia" w:hAnsi="Arial" w:cs="Arial"/>
        </w:rPr>
        <w:t xml:space="preserve"> (2011) accelerated digital research, although fragmented healthcare and socioeconomic inequalities create barriers to implementation (Boustani et al., 2019).</w:t>
      </w:r>
    </w:p>
    <w:p w14:paraId="65A75FAE"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Scandinavia</w:t>
      </w:r>
    </w:p>
    <w:p w14:paraId="610E7212" w14:textId="77777777" w:rsidR="00EB484B" w:rsidRPr="00EB484B" w:rsidRDefault="00EB484B" w:rsidP="00DA6718">
      <w:pPr>
        <w:rPr>
          <w:rFonts w:ascii="Arial" w:eastAsiaTheme="majorEastAsia" w:hAnsi="Arial" w:cs="Arial"/>
        </w:rPr>
      </w:pPr>
      <w:r w:rsidRPr="00EB484B">
        <w:rPr>
          <w:rFonts w:ascii="Arial" w:eastAsiaTheme="majorEastAsia" w:hAnsi="Arial" w:cs="Arial"/>
        </w:rPr>
        <w:t>Countries such as Sweden, Norway and Denmark lead in assistive technology integration due to strong welfare infrastructures, digital literacy and high public trust. Smart-home technologies and national eHealth platforms are widely embedded in dementia care (Magnusson et al., 2018).</w:t>
      </w:r>
    </w:p>
    <w:p w14:paraId="023B10E8"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Japan</w:t>
      </w:r>
    </w:p>
    <w:p w14:paraId="2F044B21" w14:textId="77777777" w:rsidR="00EB484B" w:rsidRPr="00EB484B" w:rsidRDefault="00EB484B" w:rsidP="00DA6718">
      <w:pPr>
        <w:rPr>
          <w:rFonts w:ascii="Arial" w:eastAsiaTheme="majorEastAsia" w:hAnsi="Arial" w:cs="Arial"/>
        </w:rPr>
      </w:pPr>
      <w:r w:rsidRPr="00EB484B">
        <w:rPr>
          <w:rFonts w:ascii="Arial" w:eastAsiaTheme="majorEastAsia" w:hAnsi="Arial" w:cs="Arial"/>
        </w:rPr>
        <w:t>With the highest proportion of older adults globally, Japan has implemented robotics (e.g., PARO robots), AI monitoring and ambient assisted living systems to address workforce shortages (Nakanishi &amp; Nakashima, 2021). Cultural acceptance of robotics facilitates adoption more readily than in Western contexts.</w:t>
      </w:r>
    </w:p>
    <w:p w14:paraId="52C30955"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Australia</w:t>
      </w:r>
    </w:p>
    <w:p w14:paraId="1F49D247" w14:textId="77777777" w:rsidR="00EB484B" w:rsidRPr="00EB484B" w:rsidRDefault="00EB484B" w:rsidP="00DA6718">
      <w:pPr>
        <w:rPr>
          <w:rFonts w:ascii="Arial" w:eastAsiaTheme="majorEastAsia" w:hAnsi="Arial" w:cs="Arial"/>
        </w:rPr>
      </w:pPr>
      <w:r w:rsidRPr="00EB484B">
        <w:rPr>
          <w:rFonts w:ascii="Arial" w:eastAsiaTheme="majorEastAsia" w:hAnsi="Arial" w:cs="Arial"/>
        </w:rPr>
        <w:t>Australia’s National Digital Health Strategy promotes culturally adapted digital dementia programmes, especially for Aboriginal communities where geographic barriers limit in-person services (Farrell et al., 2020).</w:t>
      </w:r>
    </w:p>
    <w:p w14:paraId="6E14C3CF"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lastRenderedPageBreak/>
        <w:t>European Union</w:t>
      </w:r>
    </w:p>
    <w:p w14:paraId="2DA8CA1F"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Through the </w:t>
      </w:r>
      <w:r w:rsidRPr="00EB484B">
        <w:rPr>
          <w:rFonts w:ascii="Arial" w:eastAsiaTheme="majorEastAsia" w:hAnsi="Arial" w:cs="Arial"/>
          <w:i/>
          <w:iCs/>
        </w:rPr>
        <w:t>Joint Programme – Neurodegenerative Disease Research (JPND)</w:t>
      </w:r>
      <w:r w:rsidRPr="00EB484B">
        <w:rPr>
          <w:rFonts w:ascii="Arial" w:eastAsiaTheme="majorEastAsia" w:hAnsi="Arial" w:cs="Arial"/>
        </w:rPr>
        <w:t>, EU member states collaborate on cross-border digital dementia research and data sharing.</w:t>
      </w:r>
    </w:p>
    <w:p w14:paraId="3F5ECCB8"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Summary</w:t>
      </w:r>
    </w:p>
    <w:p w14:paraId="32E0974B" w14:textId="77777777" w:rsidR="00EB484B" w:rsidRPr="00EB484B" w:rsidRDefault="00EB484B" w:rsidP="00DA6718">
      <w:pPr>
        <w:rPr>
          <w:rFonts w:ascii="Arial" w:eastAsiaTheme="majorEastAsia" w:hAnsi="Arial" w:cs="Arial"/>
        </w:rPr>
      </w:pPr>
      <w:r w:rsidRPr="00EB484B">
        <w:rPr>
          <w:rFonts w:ascii="Arial" w:eastAsiaTheme="majorEastAsia" w:hAnsi="Arial" w:cs="Arial"/>
        </w:rPr>
        <w:t>International examples reveal that digital innovation is most successful where:</w:t>
      </w:r>
    </w:p>
    <w:p w14:paraId="6D18FA06" w14:textId="77777777" w:rsidR="00EB484B" w:rsidRPr="00EB484B" w:rsidRDefault="00EB484B" w:rsidP="00DA6718">
      <w:pPr>
        <w:numPr>
          <w:ilvl w:val="0"/>
          <w:numId w:val="209"/>
        </w:numPr>
        <w:rPr>
          <w:rFonts w:ascii="Arial" w:eastAsiaTheme="majorEastAsia" w:hAnsi="Arial" w:cs="Arial"/>
        </w:rPr>
      </w:pPr>
      <w:r w:rsidRPr="00EB484B">
        <w:rPr>
          <w:rFonts w:ascii="Arial" w:eastAsiaTheme="majorEastAsia" w:hAnsi="Arial" w:cs="Arial"/>
        </w:rPr>
        <w:t>digital infrastructure is well established</w:t>
      </w:r>
    </w:p>
    <w:p w14:paraId="723CB9F4" w14:textId="77777777" w:rsidR="00EB484B" w:rsidRPr="00EB484B" w:rsidRDefault="00EB484B" w:rsidP="00DA6718">
      <w:pPr>
        <w:numPr>
          <w:ilvl w:val="0"/>
          <w:numId w:val="209"/>
        </w:numPr>
        <w:rPr>
          <w:rFonts w:ascii="Arial" w:eastAsiaTheme="majorEastAsia" w:hAnsi="Arial" w:cs="Arial"/>
        </w:rPr>
      </w:pPr>
      <w:r w:rsidRPr="00EB484B">
        <w:rPr>
          <w:rFonts w:ascii="Arial" w:eastAsiaTheme="majorEastAsia" w:hAnsi="Arial" w:cs="Arial"/>
        </w:rPr>
        <w:t>social-care systems are integrated</w:t>
      </w:r>
    </w:p>
    <w:p w14:paraId="1EB6B68F" w14:textId="77777777" w:rsidR="00EB484B" w:rsidRPr="00EB484B" w:rsidRDefault="00EB484B" w:rsidP="00DA6718">
      <w:pPr>
        <w:numPr>
          <w:ilvl w:val="0"/>
          <w:numId w:val="209"/>
        </w:numPr>
        <w:rPr>
          <w:rFonts w:ascii="Arial" w:eastAsiaTheme="majorEastAsia" w:hAnsi="Arial" w:cs="Arial"/>
        </w:rPr>
      </w:pPr>
      <w:r w:rsidRPr="00EB484B">
        <w:rPr>
          <w:rFonts w:ascii="Arial" w:eastAsiaTheme="majorEastAsia" w:hAnsi="Arial" w:cs="Arial"/>
        </w:rPr>
        <w:t>cultural attitudes support technological adoption</w:t>
      </w:r>
    </w:p>
    <w:p w14:paraId="62865B99" w14:textId="77777777" w:rsidR="00EB484B" w:rsidRPr="00EB484B" w:rsidRDefault="00EB484B" w:rsidP="00DA6718">
      <w:pPr>
        <w:numPr>
          <w:ilvl w:val="0"/>
          <w:numId w:val="209"/>
        </w:numPr>
        <w:rPr>
          <w:rFonts w:ascii="Arial" w:eastAsiaTheme="majorEastAsia" w:hAnsi="Arial" w:cs="Arial"/>
        </w:rPr>
      </w:pPr>
      <w:r w:rsidRPr="00EB484B">
        <w:rPr>
          <w:rFonts w:ascii="Arial" w:eastAsiaTheme="majorEastAsia" w:hAnsi="Arial" w:cs="Arial"/>
        </w:rPr>
        <w:t>policies explicitly target digital inclusion</w:t>
      </w:r>
    </w:p>
    <w:p w14:paraId="5774D9A4"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These global lessons offer valuable insights for UK digital dementia strategies.</w:t>
      </w:r>
    </w:p>
    <w:p w14:paraId="38CE5959" w14:textId="77777777" w:rsidR="00EB484B" w:rsidRPr="00EB484B" w:rsidRDefault="00EB484B" w:rsidP="00DA6718">
      <w:pPr>
        <w:rPr>
          <w:rFonts w:ascii="Arial" w:eastAsiaTheme="majorEastAsia" w:hAnsi="Arial" w:cs="Arial"/>
        </w:rPr>
      </w:pPr>
      <w:r w:rsidRPr="00EB484B">
        <w:rPr>
          <w:rFonts w:ascii="Arial" w:eastAsiaTheme="majorEastAsia" w:hAnsi="Arial" w:cs="Arial"/>
        </w:rPr>
        <w:pict w14:anchorId="7141CD34">
          <v:rect id="_x0000_i1584" style="width:0;height:1.5pt" o:hralign="center" o:hrstd="t" o:hr="t" fillcolor="#a0a0a0" stroked="f"/>
        </w:pict>
      </w:r>
    </w:p>
    <w:p w14:paraId="5F466CF8"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2.5 National and Local UK Context</w:t>
      </w:r>
    </w:p>
    <w:p w14:paraId="2BCF446E" w14:textId="77777777" w:rsidR="00EB484B" w:rsidRPr="00EB484B" w:rsidRDefault="00EB484B" w:rsidP="00DA6718">
      <w:pPr>
        <w:rPr>
          <w:rFonts w:ascii="Arial" w:eastAsiaTheme="majorEastAsia" w:hAnsi="Arial" w:cs="Arial"/>
        </w:rPr>
      </w:pPr>
      <w:r w:rsidRPr="00EB484B">
        <w:rPr>
          <w:rFonts w:ascii="Arial" w:eastAsiaTheme="majorEastAsia" w:hAnsi="Arial" w:cs="Arial"/>
        </w:rPr>
        <w:t xml:space="preserve">The UK has launched several major dementia and digital health policies over the past decade. The </w:t>
      </w:r>
      <w:r w:rsidRPr="00EB484B">
        <w:rPr>
          <w:rFonts w:ascii="Arial" w:eastAsiaTheme="majorEastAsia" w:hAnsi="Arial" w:cs="Arial"/>
          <w:i/>
          <w:iCs/>
        </w:rPr>
        <w:t>National Dementia Strategy</w:t>
      </w:r>
      <w:r w:rsidRPr="00EB484B">
        <w:rPr>
          <w:rFonts w:ascii="Arial" w:eastAsiaTheme="majorEastAsia" w:hAnsi="Arial" w:cs="Arial"/>
        </w:rPr>
        <w:t xml:space="preserve"> (2009), </w:t>
      </w:r>
      <w:r w:rsidRPr="00EB484B">
        <w:rPr>
          <w:rFonts w:ascii="Arial" w:eastAsiaTheme="majorEastAsia" w:hAnsi="Arial" w:cs="Arial"/>
          <w:i/>
          <w:iCs/>
        </w:rPr>
        <w:t>Prime Minister’s Challenge on Dementia</w:t>
      </w:r>
      <w:r w:rsidRPr="00EB484B">
        <w:rPr>
          <w:rFonts w:ascii="Arial" w:eastAsiaTheme="majorEastAsia" w:hAnsi="Arial" w:cs="Arial"/>
        </w:rPr>
        <w:t xml:space="preserve"> (2012, 2015, 2020), and the </w:t>
      </w:r>
      <w:r w:rsidRPr="00EB484B">
        <w:rPr>
          <w:rFonts w:ascii="Arial" w:eastAsiaTheme="majorEastAsia" w:hAnsi="Arial" w:cs="Arial"/>
          <w:i/>
          <w:iCs/>
        </w:rPr>
        <w:t>NHS Long Term Plan</w:t>
      </w:r>
      <w:r w:rsidRPr="00EB484B">
        <w:rPr>
          <w:rFonts w:ascii="Arial" w:eastAsiaTheme="majorEastAsia" w:hAnsi="Arial" w:cs="Arial"/>
        </w:rPr>
        <w:t xml:space="preserve"> (2019) emphasise personalised care, early diagnosis and integration of digital technologies. The </w:t>
      </w:r>
      <w:r w:rsidRPr="00EB484B">
        <w:rPr>
          <w:rFonts w:ascii="Arial" w:eastAsiaTheme="majorEastAsia" w:hAnsi="Arial" w:cs="Arial"/>
          <w:i/>
          <w:iCs/>
        </w:rPr>
        <w:t>Digital Health and Care Plan</w:t>
      </w:r>
      <w:r w:rsidRPr="00EB484B">
        <w:rPr>
          <w:rFonts w:ascii="Arial" w:eastAsiaTheme="majorEastAsia" w:hAnsi="Arial" w:cs="Arial"/>
        </w:rPr>
        <w:t xml:space="preserve"> (2022) and </w:t>
      </w:r>
      <w:r w:rsidRPr="00EB484B">
        <w:rPr>
          <w:rFonts w:ascii="Arial" w:eastAsiaTheme="majorEastAsia" w:hAnsi="Arial" w:cs="Arial"/>
          <w:i/>
          <w:iCs/>
        </w:rPr>
        <w:t>Data Saves Lives</w:t>
      </w:r>
      <w:r w:rsidRPr="00EB484B">
        <w:rPr>
          <w:rFonts w:ascii="Arial" w:eastAsiaTheme="majorEastAsia" w:hAnsi="Arial" w:cs="Arial"/>
        </w:rPr>
        <w:t xml:space="preserve"> strategy (DHSC, 2022) further embed digital transformation across services.</w:t>
      </w:r>
    </w:p>
    <w:p w14:paraId="4980FDBC"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Integration through ICSs</w:t>
      </w:r>
    </w:p>
    <w:p w14:paraId="749303F7" w14:textId="77777777" w:rsidR="00EB484B" w:rsidRPr="00EB484B" w:rsidRDefault="00EB484B" w:rsidP="00DA6718">
      <w:pPr>
        <w:rPr>
          <w:rFonts w:ascii="Arial" w:eastAsiaTheme="majorEastAsia" w:hAnsi="Arial" w:cs="Arial"/>
        </w:rPr>
      </w:pPr>
      <w:r w:rsidRPr="00EB484B">
        <w:rPr>
          <w:rFonts w:ascii="Arial" w:eastAsiaTheme="majorEastAsia" w:hAnsi="Arial" w:cs="Arial"/>
        </w:rPr>
        <w:t>Integrated Care Systems (ICSs) represent a major structural reform aimed at improving coordination between NHS, social care, and community services. Digital dementia interventions—including telemonitoring, remote memory assessments and online carer training—are increasingly commissioned at ICS level.</w:t>
      </w:r>
    </w:p>
    <w:p w14:paraId="470BFF6F"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Digital infrastructure and innovation</w:t>
      </w:r>
    </w:p>
    <w:p w14:paraId="325323F6"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The UK has seen growth in:</w:t>
      </w:r>
    </w:p>
    <w:p w14:paraId="3A9757A7" w14:textId="77777777" w:rsidR="00EB484B" w:rsidRPr="00EB484B" w:rsidRDefault="00EB484B" w:rsidP="00DA6718">
      <w:pPr>
        <w:numPr>
          <w:ilvl w:val="0"/>
          <w:numId w:val="210"/>
        </w:numPr>
        <w:rPr>
          <w:rFonts w:ascii="Arial" w:eastAsiaTheme="majorEastAsia" w:hAnsi="Arial" w:cs="Arial"/>
        </w:rPr>
      </w:pPr>
      <w:r w:rsidRPr="00EB484B">
        <w:rPr>
          <w:rFonts w:ascii="Arial" w:eastAsiaTheme="majorEastAsia" w:hAnsi="Arial" w:cs="Arial"/>
        </w:rPr>
        <w:t>virtual wards</w:t>
      </w:r>
    </w:p>
    <w:p w14:paraId="5B0A7FDA" w14:textId="77777777" w:rsidR="00EB484B" w:rsidRPr="00EB484B" w:rsidRDefault="00EB484B" w:rsidP="00DA6718">
      <w:pPr>
        <w:numPr>
          <w:ilvl w:val="0"/>
          <w:numId w:val="210"/>
        </w:numPr>
        <w:rPr>
          <w:rFonts w:ascii="Arial" w:eastAsiaTheme="majorEastAsia" w:hAnsi="Arial" w:cs="Arial"/>
        </w:rPr>
      </w:pPr>
      <w:r w:rsidRPr="00EB484B">
        <w:rPr>
          <w:rFonts w:ascii="Arial" w:eastAsiaTheme="majorEastAsia" w:hAnsi="Arial" w:cs="Arial"/>
        </w:rPr>
        <w:t>remote cognitive assessment pilots</w:t>
      </w:r>
    </w:p>
    <w:p w14:paraId="3CD7B466" w14:textId="77777777" w:rsidR="00EB484B" w:rsidRPr="00EB484B" w:rsidRDefault="00EB484B" w:rsidP="00DA6718">
      <w:pPr>
        <w:numPr>
          <w:ilvl w:val="0"/>
          <w:numId w:val="210"/>
        </w:numPr>
        <w:rPr>
          <w:rFonts w:ascii="Arial" w:eastAsiaTheme="majorEastAsia" w:hAnsi="Arial" w:cs="Arial"/>
        </w:rPr>
      </w:pPr>
      <w:r w:rsidRPr="00EB484B">
        <w:rPr>
          <w:rFonts w:ascii="Arial" w:eastAsiaTheme="majorEastAsia" w:hAnsi="Arial" w:cs="Arial"/>
        </w:rPr>
        <w:t>digital reminiscence apps</w:t>
      </w:r>
    </w:p>
    <w:p w14:paraId="3A307D9A" w14:textId="77777777" w:rsidR="00EB484B" w:rsidRPr="00EB484B" w:rsidRDefault="00EB484B" w:rsidP="00DA6718">
      <w:pPr>
        <w:numPr>
          <w:ilvl w:val="0"/>
          <w:numId w:val="210"/>
        </w:numPr>
        <w:rPr>
          <w:rFonts w:ascii="Arial" w:eastAsiaTheme="majorEastAsia" w:hAnsi="Arial" w:cs="Arial"/>
        </w:rPr>
      </w:pPr>
      <w:r w:rsidRPr="00EB484B">
        <w:rPr>
          <w:rFonts w:ascii="Arial" w:eastAsiaTheme="majorEastAsia" w:hAnsi="Arial" w:cs="Arial"/>
        </w:rPr>
        <w:t>smart-home dementia projects</w:t>
      </w:r>
    </w:p>
    <w:p w14:paraId="714F60E6" w14:textId="77777777" w:rsidR="00EB484B" w:rsidRPr="00EB484B" w:rsidRDefault="00EB484B" w:rsidP="00DA6718">
      <w:pPr>
        <w:numPr>
          <w:ilvl w:val="0"/>
          <w:numId w:val="210"/>
        </w:numPr>
        <w:rPr>
          <w:rFonts w:ascii="Arial" w:eastAsiaTheme="majorEastAsia" w:hAnsi="Arial" w:cs="Arial"/>
        </w:rPr>
      </w:pPr>
      <w:r w:rsidRPr="00EB484B">
        <w:rPr>
          <w:rFonts w:ascii="Arial" w:eastAsiaTheme="majorEastAsia" w:hAnsi="Arial" w:cs="Arial"/>
        </w:rPr>
        <w:lastRenderedPageBreak/>
        <w:t>AI-enabled diagnostic tools</w:t>
      </w:r>
    </w:p>
    <w:p w14:paraId="0D453D3C" w14:textId="77777777" w:rsidR="00EB484B" w:rsidRPr="00EB484B" w:rsidRDefault="00EB484B" w:rsidP="00DA6718">
      <w:pPr>
        <w:rPr>
          <w:rFonts w:ascii="Arial" w:eastAsiaTheme="majorEastAsia" w:hAnsi="Arial" w:cs="Arial"/>
        </w:rPr>
      </w:pPr>
      <w:r w:rsidRPr="00EB484B">
        <w:rPr>
          <w:rFonts w:ascii="Arial" w:eastAsiaTheme="majorEastAsia" w:hAnsi="Arial" w:cs="Arial"/>
        </w:rPr>
        <w:t>However, adoption remains variable. Regions such as Greater Manchester, Leeds, and Kent have developed strong digital innovation hubs, while rural areas and deprived regions lag behind (Public Health England, 2022).</w:t>
      </w:r>
    </w:p>
    <w:p w14:paraId="344AED01"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Digital exclusion in the UK</w:t>
      </w:r>
    </w:p>
    <w:p w14:paraId="397320C5" w14:textId="77777777" w:rsidR="00EB484B" w:rsidRPr="00EB484B" w:rsidRDefault="00EB484B" w:rsidP="00DA6718">
      <w:pPr>
        <w:rPr>
          <w:rFonts w:ascii="Arial" w:eastAsiaTheme="majorEastAsia" w:hAnsi="Arial" w:cs="Arial"/>
        </w:rPr>
      </w:pPr>
      <w:r w:rsidRPr="00EB484B">
        <w:rPr>
          <w:rFonts w:ascii="Arial" w:eastAsiaTheme="majorEastAsia" w:hAnsi="Arial" w:cs="Arial"/>
        </w:rPr>
        <w:t>Digital health is expanding rapidly, yet access is uneven. Older adults, people in poverty, and ethnic minorities experience disproportionately high digital exclusion rates (ONS, 2023). This poses a substantial risk of widening health inequalities if digital-only services replace face-to-face options.</w:t>
      </w:r>
    </w:p>
    <w:p w14:paraId="10BD0481"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Charities and third sector involvement</w:t>
      </w:r>
    </w:p>
    <w:p w14:paraId="3E6281A9" w14:textId="77777777" w:rsidR="00EB484B" w:rsidRPr="00EB484B" w:rsidRDefault="00EB484B" w:rsidP="00DA6718">
      <w:pPr>
        <w:rPr>
          <w:rFonts w:ascii="Arial" w:eastAsiaTheme="majorEastAsia" w:hAnsi="Arial" w:cs="Arial"/>
        </w:rPr>
      </w:pPr>
      <w:r w:rsidRPr="00EB484B">
        <w:rPr>
          <w:rFonts w:ascii="Arial" w:eastAsiaTheme="majorEastAsia" w:hAnsi="Arial" w:cs="Arial"/>
        </w:rPr>
        <w:t>Organisations such as Alzheimer’s Society and Dementia UK provide essential digital tools, helplines, e-learning platforms and online peer support. They also advocate for accessible and ethical dementia technologies.</w:t>
      </w:r>
    </w:p>
    <w:p w14:paraId="6414FE18" w14:textId="77777777" w:rsidR="00EB484B" w:rsidRPr="00EB484B" w:rsidRDefault="00EB484B" w:rsidP="00DA6718">
      <w:pPr>
        <w:rPr>
          <w:rFonts w:ascii="Arial" w:eastAsiaTheme="majorEastAsia" w:hAnsi="Arial" w:cs="Arial"/>
        </w:rPr>
      </w:pPr>
      <w:r w:rsidRPr="00EB484B">
        <w:rPr>
          <w:rFonts w:ascii="Arial" w:eastAsiaTheme="majorEastAsia" w:hAnsi="Arial" w:cs="Arial"/>
        </w:rPr>
        <w:pict w14:anchorId="046A3483">
          <v:rect id="_x0000_i1585" style="width:0;height:1.5pt" o:hralign="center" o:hrstd="t" o:hr="t" fillcolor="#a0a0a0" stroked="f"/>
        </w:pict>
      </w:r>
    </w:p>
    <w:p w14:paraId="1464C66C" w14:textId="77777777" w:rsidR="00EB484B" w:rsidRPr="00EB484B" w:rsidRDefault="00EB484B" w:rsidP="00DA6718">
      <w:pPr>
        <w:rPr>
          <w:rFonts w:ascii="Arial" w:eastAsiaTheme="majorEastAsia" w:hAnsi="Arial" w:cs="Arial"/>
          <w:b/>
          <w:bCs/>
        </w:rPr>
      </w:pPr>
      <w:r w:rsidRPr="00EB484B">
        <w:rPr>
          <w:rFonts w:ascii="Arial" w:eastAsiaTheme="majorEastAsia" w:hAnsi="Arial" w:cs="Arial"/>
          <w:b/>
          <w:bCs/>
        </w:rPr>
        <w:t>2.6 Conclusion</w:t>
      </w:r>
    </w:p>
    <w:p w14:paraId="791CDFB1"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This chapter has explored the historical, theoretical, international and UK contexts that shape digital dementia care. The evolution of dementia understanding, combined with rapid digital transformation, has produced new opportunities and challenges for supporting people living with dementia and their carers. Theoretical frameworks—including person-centred care, technology acceptance, and digital equity—offer valuable perspectives for evaluating the effectiveness and accessibility of digital tools. International comparisons reveal diverse approaches to digital dementia innovation, while UK policy provides a strong but uneven foundation for digital adoption.</w:t>
      </w:r>
    </w:p>
    <w:p w14:paraId="63BE8DEC" w14:textId="77777777" w:rsidR="00EB484B" w:rsidRPr="00EB484B" w:rsidRDefault="00EB484B" w:rsidP="00DA6718">
      <w:pPr>
        <w:rPr>
          <w:rFonts w:ascii="Arial" w:eastAsiaTheme="majorEastAsia" w:hAnsi="Arial" w:cs="Arial"/>
        </w:rPr>
      </w:pPr>
      <w:r w:rsidRPr="00EB484B">
        <w:rPr>
          <w:rFonts w:ascii="Arial" w:eastAsiaTheme="majorEastAsia" w:hAnsi="Arial" w:cs="Arial"/>
        </w:rPr>
        <w:t>This contextual overview establishes a clear rationale for the scoping review conducted in this dissertation. The next chapter outlines the methodology used to identify, select and analyse the evidence base relating to digital health interventions for dementia within UK practice</w:t>
      </w:r>
    </w:p>
    <w:p w14:paraId="5DDAF423" w14:textId="77777777" w:rsidR="000D0641" w:rsidRPr="00DA6718" w:rsidRDefault="000D0641" w:rsidP="00DA6718">
      <w:pPr>
        <w:rPr>
          <w:rFonts w:ascii="Arial" w:hAnsi="Arial" w:cs="Arial"/>
        </w:rPr>
      </w:pPr>
    </w:p>
    <w:p w14:paraId="0775F236" w14:textId="77777777" w:rsidR="00292A36" w:rsidRPr="00DA6718" w:rsidRDefault="00292A36" w:rsidP="00DA6718">
      <w:pPr>
        <w:rPr>
          <w:rFonts w:ascii="Arial" w:hAnsi="Arial" w:cs="Arial"/>
        </w:rPr>
      </w:pPr>
    </w:p>
    <w:p w14:paraId="360ADA1A" w14:textId="77777777" w:rsidR="00292A36" w:rsidRPr="00DA6718" w:rsidRDefault="00292A36" w:rsidP="00DA6718">
      <w:pPr>
        <w:rPr>
          <w:rFonts w:ascii="Arial" w:hAnsi="Arial" w:cs="Arial"/>
        </w:rPr>
      </w:pPr>
    </w:p>
    <w:p w14:paraId="4E2D256A" w14:textId="77777777" w:rsidR="00880B2D" w:rsidRPr="00DA6718" w:rsidRDefault="00880B2D" w:rsidP="00DA6718">
      <w:pPr>
        <w:rPr>
          <w:rFonts w:ascii="Arial" w:hAnsi="Arial" w:cs="Arial"/>
        </w:rPr>
      </w:pPr>
    </w:p>
    <w:p w14:paraId="407ABDAE" w14:textId="4F32BB8B" w:rsidR="00880B2D" w:rsidRPr="00DA6718" w:rsidRDefault="00880B2D" w:rsidP="00DA6718">
      <w:pPr>
        <w:rPr>
          <w:rFonts w:ascii="Arial" w:hAnsi="Arial" w:cs="Arial"/>
        </w:rPr>
        <w:sectPr w:rsidR="00880B2D" w:rsidRPr="00DA6718">
          <w:footerReference w:type="default" r:id="rId9"/>
          <w:pgSz w:w="11906" w:h="16838"/>
          <w:pgMar w:top="1440" w:right="1440" w:bottom="1440" w:left="1440" w:header="708" w:footer="708" w:gutter="0"/>
          <w:cols w:space="708"/>
          <w:docGrid w:linePitch="360"/>
        </w:sectPr>
      </w:pPr>
    </w:p>
    <w:p w14:paraId="398427E3" w14:textId="181EA712" w:rsidR="00292A36" w:rsidRPr="00DA6718" w:rsidRDefault="00292A36" w:rsidP="00DA6718">
      <w:pPr>
        <w:pStyle w:val="Heading1"/>
        <w:spacing w:line="360" w:lineRule="auto"/>
        <w:ind w:left="0"/>
        <w:rPr>
          <w:rFonts w:cs="Arial"/>
          <w:sz w:val="22"/>
          <w:szCs w:val="22"/>
        </w:rPr>
      </w:pPr>
      <w:r w:rsidRPr="00DA6718">
        <w:rPr>
          <w:rFonts w:cs="Arial"/>
          <w:sz w:val="22"/>
          <w:szCs w:val="22"/>
        </w:rPr>
        <w:lastRenderedPageBreak/>
        <w:t xml:space="preserve">CHAPTER 3 – </w:t>
      </w:r>
      <w:r w:rsidR="00E325CF" w:rsidRPr="00DA6718">
        <w:rPr>
          <w:rFonts w:cs="Arial"/>
          <w:sz w:val="22"/>
          <w:szCs w:val="22"/>
        </w:rPr>
        <w:t xml:space="preserve">Methods and Search Strategy (1,000 words approx.) </w:t>
      </w:r>
    </w:p>
    <w:p w14:paraId="1DFAFBD2" w14:textId="77777777" w:rsidR="00292A36" w:rsidRPr="00DA6718" w:rsidRDefault="00292A36" w:rsidP="00DA6718">
      <w:pPr>
        <w:rPr>
          <w:rFonts w:ascii="Arial" w:hAnsi="Arial" w:cs="Arial"/>
        </w:rPr>
      </w:pPr>
    </w:p>
    <w:p w14:paraId="44B4EC63"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3.1 Introduction</w:t>
      </w:r>
    </w:p>
    <w:p w14:paraId="6BDD7A1D"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This chapter outlines the methodological approach used to conduct this dissertation, which is based on a desk-based, secondary research design. While the Academic Methodology Poster provides a visual overview of the process, this chapter expands on that summary by offering a detailed explanation of the steps taken to plan, search, select, validate, and analyse academic sources. The aim of this chapter is to provide transparency and rigour, demonstrating how the evidence underpinning this dissertation was identified and evaluated. These methodological processes form the foundation for the thematic findings that will be discussed in Chapter 4, ensuring that the conclusions drawn are based on credible, relevant, and systematically reviewed literature.</w:t>
      </w:r>
    </w:p>
    <w:p w14:paraId="2AA296CF"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004DF550">
          <v:rect id="_x0000_i1172" style="width:0;height:1.5pt" o:hralign="center" o:hrstd="t" o:hr="t" fillcolor="#a0a0a0" stroked="f"/>
        </w:pict>
      </w:r>
    </w:p>
    <w:p w14:paraId="3A8048CF"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3.2 Search Strategy</w:t>
      </w:r>
    </w:p>
    <w:p w14:paraId="6675FD38"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A structured search strategy was developed to guide the process of locating academic sources relevant to digital health interventions for people with dementia in the UK. A search strategy refers to a planned, systematic approach for identifying appropriate literature using keywords, Boolean operators, and database filters (Booth, Sutton &amp; Papaioannou, 2016).</w:t>
      </w:r>
    </w:p>
    <w:p w14:paraId="57804D3F"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 xml:space="preserve">Keywords were developed directly from the research question, ensuring alignment between the study aim and search process. These keywords included both simple terms and professional terminology, such as </w:t>
      </w:r>
      <w:r w:rsidRPr="0086570F">
        <w:rPr>
          <w:rFonts w:cs="Arial"/>
          <w:b w:val="0"/>
          <w:i/>
          <w:iCs/>
          <w:sz w:val="22"/>
          <w:szCs w:val="22"/>
        </w:rPr>
        <w:t>dementia</w:t>
      </w:r>
      <w:r w:rsidRPr="0086570F">
        <w:rPr>
          <w:rFonts w:cs="Arial"/>
          <w:b w:val="0"/>
          <w:sz w:val="22"/>
          <w:szCs w:val="22"/>
        </w:rPr>
        <w:t xml:space="preserve">, </w:t>
      </w:r>
      <w:r w:rsidRPr="0086570F">
        <w:rPr>
          <w:rFonts w:cs="Arial"/>
          <w:b w:val="0"/>
          <w:i/>
          <w:iCs/>
          <w:sz w:val="22"/>
          <w:szCs w:val="22"/>
        </w:rPr>
        <w:t>Alzheimer’s disease</w:t>
      </w:r>
      <w:r w:rsidRPr="0086570F">
        <w:rPr>
          <w:rFonts w:cs="Arial"/>
          <w:b w:val="0"/>
          <w:sz w:val="22"/>
          <w:szCs w:val="22"/>
        </w:rPr>
        <w:t xml:space="preserve">, </w:t>
      </w:r>
      <w:r w:rsidRPr="0086570F">
        <w:rPr>
          <w:rFonts w:cs="Arial"/>
          <w:b w:val="0"/>
          <w:i/>
          <w:iCs/>
          <w:sz w:val="22"/>
          <w:szCs w:val="22"/>
        </w:rPr>
        <w:t>digital health</w:t>
      </w:r>
      <w:r w:rsidRPr="0086570F">
        <w:rPr>
          <w:rFonts w:cs="Arial"/>
          <w:b w:val="0"/>
          <w:sz w:val="22"/>
          <w:szCs w:val="22"/>
        </w:rPr>
        <w:t xml:space="preserve">, </w:t>
      </w:r>
      <w:r w:rsidRPr="0086570F">
        <w:rPr>
          <w:rFonts w:cs="Arial"/>
          <w:b w:val="0"/>
          <w:i/>
          <w:iCs/>
          <w:sz w:val="22"/>
          <w:szCs w:val="22"/>
        </w:rPr>
        <w:t>telehealth</w:t>
      </w:r>
      <w:r w:rsidRPr="0086570F">
        <w:rPr>
          <w:rFonts w:cs="Arial"/>
          <w:b w:val="0"/>
          <w:sz w:val="22"/>
          <w:szCs w:val="22"/>
        </w:rPr>
        <w:t xml:space="preserve">, </w:t>
      </w:r>
      <w:r w:rsidRPr="0086570F">
        <w:rPr>
          <w:rFonts w:cs="Arial"/>
          <w:b w:val="0"/>
          <w:i/>
          <w:iCs/>
          <w:sz w:val="22"/>
          <w:szCs w:val="22"/>
        </w:rPr>
        <w:t>assistive technology</w:t>
      </w:r>
      <w:r w:rsidRPr="0086570F">
        <w:rPr>
          <w:rFonts w:cs="Arial"/>
          <w:b w:val="0"/>
          <w:sz w:val="22"/>
          <w:szCs w:val="22"/>
        </w:rPr>
        <w:t xml:space="preserve">, </w:t>
      </w:r>
      <w:r w:rsidRPr="0086570F">
        <w:rPr>
          <w:rFonts w:cs="Arial"/>
          <w:b w:val="0"/>
          <w:i/>
          <w:iCs/>
          <w:sz w:val="22"/>
          <w:szCs w:val="22"/>
        </w:rPr>
        <w:t>carers</w:t>
      </w:r>
      <w:r w:rsidRPr="0086570F">
        <w:rPr>
          <w:rFonts w:cs="Arial"/>
          <w:b w:val="0"/>
          <w:sz w:val="22"/>
          <w:szCs w:val="22"/>
        </w:rPr>
        <w:t xml:space="preserve">, </w:t>
      </w:r>
      <w:r w:rsidRPr="0086570F">
        <w:rPr>
          <w:rFonts w:cs="Arial"/>
          <w:b w:val="0"/>
          <w:i/>
          <w:iCs/>
          <w:sz w:val="22"/>
          <w:szCs w:val="22"/>
        </w:rPr>
        <w:t>United Kingdom</w:t>
      </w:r>
      <w:r w:rsidRPr="0086570F">
        <w:rPr>
          <w:rFonts w:cs="Arial"/>
          <w:b w:val="0"/>
          <w:sz w:val="22"/>
          <w:szCs w:val="22"/>
        </w:rPr>
        <w:t xml:space="preserve">, and </w:t>
      </w:r>
      <w:r w:rsidRPr="0086570F">
        <w:rPr>
          <w:rFonts w:cs="Arial"/>
          <w:b w:val="0"/>
          <w:i/>
          <w:iCs/>
          <w:sz w:val="22"/>
          <w:szCs w:val="22"/>
        </w:rPr>
        <w:t>NHS</w:t>
      </w:r>
      <w:r w:rsidRPr="0086570F">
        <w:rPr>
          <w:rFonts w:cs="Arial"/>
          <w:b w:val="0"/>
          <w:sz w:val="22"/>
          <w:szCs w:val="22"/>
        </w:rPr>
        <w:t xml:space="preserve">. Synonyms and related terms (e.g. </w:t>
      </w:r>
      <w:r w:rsidRPr="0086570F">
        <w:rPr>
          <w:rFonts w:cs="Arial"/>
          <w:b w:val="0"/>
          <w:i/>
          <w:iCs/>
          <w:sz w:val="22"/>
          <w:szCs w:val="22"/>
        </w:rPr>
        <w:t>eHealth</w:t>
      </w:r>
      <w:r w:rsidRPr="0086570F">
        <w:rPr>
          <w:rFonts w:cs="Arial"/>
          <w:b w:val="0"/>
          <w:sz w:val="22"/>
          <w:szCs w:val="22"/>
        </w:rPr>
        <w:t xml:space="preserve">, </w:t>
      </w:r>
      <w:r w:rsidRPr="0086570F">
        <w:rPr>
          <w:rFonts w:cs="Arial"/>
          <w:b w:val="0"/>
          <w:i/>
          <w:iCs/>
          <w:sz w:val="22"/>
          <w:szCs w:val="22"/>
        </w:rPr>
        <w:t>mHealth</w:t>
      </w:r>
      <w:r w:rsidRPr="0086570F">
        <w:rPr>
          <w:rFonts w:cs="Arial"/>
          <w:b w:val="0"/>
          <w:sz w:val="22"/>
          <w:szCs w:val="22"/>
        </w:rPr>
        <w:t xml:space="preserve">, </w:t>
      </w:r>
      <w:r w:rsidRPr="0086570F">
        <w:rPr>
          <w:rFonts w:cs="Arial"/>
          <w:b w:val="0"/>
          <w:i/>
          <w:iCs/>
          <w:sz w:val="22"/>
          <w:szCs w:val="22"/>
        </w:rPr>
        <w:t>remote monitoring</w:t>
      </w:r>
      <w:r w:rsidRPr="0086570F">
        <w:rPr>
          <w:rFonts w:cs="Arial"/>
          <w:b w:val="0"/>
          <w:sz w:val="22"/>
          <w:szCs w:val="22"/>
        </w:rPr>
        <w:t xml:space="preserve">, </w:t>
      </w:r>
      <w:r w:rsidRPr="0086570F">
        <w:rPr>
          <w:rFonts w:cs="Arial"/>
          <w:b w:val="0"/>
          <w:i/>
          <w:iCs/>
          <w:sz w:val="22"/>
          <w:szCs w:val="22"/>
        </w:rPr>
        <w:t>AI</w:t>
      </w:r>
      <w:r w:rsidRPr="0086570F">
        <w:rPr>
          <w:rFonts w:cs="Arial"/>
          <w:b w:val="0"/>
          <w:sz w:val="22"/>
          <w:szCs w:val="22"/>
        </w:rPr>
        <w:t>) were incorporated to broaden the search.</w:t>
      </w:r>
    </w:p>
    <w:p w14:paraId="7020460C"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Boolean operators supported the refinement of searches:</w:t>
      </w:r>
    </w:p>
    <w:p w14:paraId="212C243C" w14:textId="77777777" w:rsidR="0086570F" w:rsidRPr="0086570F" w:rsidRDefault="0086570F" w:rsidP="00DA6718">
      <w:pPr>
        <w:pStyle w:val="Heading1"/>
        <w:numPr>
          <w:ilvl w:val="0"/>
          <w:numId w:val="150"/>
        </w:numPr>
        <w:spacing w:line="360" w:lineRule="auto"/>
        <w:rPr>
          <w:rFonts w:cs="Arial"/>
          <w:b w:val="0"/>
          <w:sz w:val="22"/>
          <w:szCs w:val="22"/>
        </w:rPr>
      </w:pPr>
      <w:r w:rsidRPr="0086570F">
        <w:rPr>
          <w:rFonts w:cs="Arial"/>
          <w:b w:val="0"/>
          <w:sz w:val="22"/>
          <w:szCs w:val="22"/>
        </w:rPr>
        <w:t xml:space="preserve">OR to expand (e.g. </w:t>
      </w:r>
      <w:r w:rsidRPr="0086570F">
        <w:rPr>
          <w:rFonts w:cs="Arial"/>
          <w:b w:val="0"/>
          <w:i/>
          <w:iCs/>
          <w:sz w:val="22"/>
          <w:szCs w:val="22"/>
        </w:rPr>
        <w:t>dementia OR Alzheimer’s</w:t>
      </w:r>
      <w:r w:rsidRPr="0086570F">
        <w:rPr>
          <w:rFonts w:cs="Arial"/>
          <w:b w:val="0"/>
          <w:sz w:val="22"/>
          <w:szCs w:val="22"/>
        </w:rPr>
        <w:t>)</w:t>
      </w:r>
    </w:p>
    <w:p w14:paraId="3576DE99" w14:textId="77777777" w:rsidR="0086570F" w:rsidRPr="0086570F" w:rsidRDefault="0086570F" w:rsidP="00DA6718">
      <w:pPr>
        <w:pStyle w:val="Heading1"/>
        <w:numPr>
          <w:ilvl w:val="0"/>
          <w:numId w:val="150"/>
        </w:numPr>
        <w:spacing w:line="360" w:lineRule="auto"/>
        <w:rPr>
          <w:rFonts w:cs="Arial"/>
          <w:b w:val="0"/>
          <w:sz w:val="22"/>
          <w:szCs w:val="22"/>
        </w:rPr>
      </w:pPr>
      <w:r w:rsidRPr="0086570F">
        <w:rPr>
          <w:rFonts w:cs="Arial"/>
          <w:b w:val="0"/>
          <w:sz w:val="22"/>
          <w:szCs w:val="22"/>
        </w:rPr>
        <w:t xml:space="preserve">AND to narrow (e.g. </w:t>
      </w:r>
      <w:r w:rsidRPr="0086570F">
        <w:rPr>
          <w:rFonts w:cs="Arial"/>
          <w:b w:val="0"/>
          <w:i/>
          <w:iCs/>
          <w:sz w:val="22"/>
          <w:szCs w:val="22"/>
        </w:rPr>
        <w:t>dementia AND digital health</w:t>
      </w:r>
      <w:r w:rsidRPr="0086570F">
        <w:rPr>
          <w:rFonts w:cs="Arial"/>
          <w:b w:val="0"/>
          <w:sz w:val="22"/>
          <w:szCs w:val="22"/>
        </w:rPr>
        <w:t>)</w:t>
      </w:r>
    </w:p>
    <w:p w14:paraId="2C467464" w14:textId="77777777" w:rsidR="0086570F" w:rsidRPr="0086570F" w:rsidRDefault="0086570F" w:rsidP="00DA6718">
      <w:pPr>
        <w:pStyle w:val="Heading1"/>
        <w:numPr>
          <w:ilvl w:val="0"/>
          <w:numId w:val="150"/>
        </w:numPr>
        <w:spacing w:line="360" w:lineRule="auto"/>
        <w:rPr>
          <w:rFonts w:cs="Arial"/>
          <w:b w:val="0"/>
          <w:sz w:val="22"/>
          <w:szCs w:val="22"/>
        </w:rPr>
      </w:pPr>
      <w:r w:rsidRPr="0086570F">
        <w:rPr>
          <w:rFonts w:cs="Arial"/>
          <w:b w:val="0"/>
          <w:sz w:val="22"/>
          <w:szCs w:val="22"/>
        </w:rPr>
        <w:t>NOT to exclude irrelevant content</w:t>
      </w:r>
    </w:p>
    <w:p w14:paraId="25EBEDE1"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The strategy was recorded and refined to ensure consistency and replicability.</w:t>
      </w:r>
    </w:p>
    <w:p w14:paraId="6711AA80"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49C8A540">
          <v:rect id="_x0000_i1173" style="width:0;height:1.5pt" o:hralign="center" o:hrstd="t" o:hr="t" fillcolor="#a0a0a0" stroked="f"/>
        </w:pict>
      </w:r>
    </w:p>
    <w:p w14:paraId="2BC6E191"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3.3 Searching for Information</w:t>
      </w:r>
    </w:p>
    <w:p w14:paraId="07C85531"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 xml:space="preserve">Searches were carried out across a range of academic databases known for their quality and relevance to health, psychology, and technology research. These included Google Scholar, PubMed, CINAHL, PsycINFO, ScienceDirect, and the UWTSD Library databases. These platforms were chosen because they offer reliable, peer-reviewed </w:t>
      </w:r>
      <w:r w:rsidRPr="0086570F">
        <w:rPr>
          <w:rFonts w:cs="Arial"/>
          <w:b w:val="0"/>
          <w:sz w:val="22"/>
          <w:szCs w:val="22"/>
        </w:rPr>
        <w:lastRenderedPageBreak/>
        <w:t>evidence essential for academic work.</w:t>
      </w:r>
    </w:p>
    <w:p w14:paraId="2B78E04A"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Filters were applied to increase relevance and ensure the currency of studies, including:</w:t>
      </w:r>
    </w:p>
    <w:p w14:paraId="57414628" w14:textId="77777777" w:rsidR="0086570F" w:rsidRPr="0086570F" w:rsidRDefault="0086570F" w:rsidP="00DA6718">
      <w:pPr>
        <w:pStyle w:val="Heading1"/>
        <w:numPr>
          <w:ilvl w:val="0"/>
          <w:numId w:val="151"/>
        </w:numPr>
        <w:spacing w:line="360" w:lineRule="auto"/>
        <w:rPr>
          <w:rFonts w:cs="Arial"/>
          <w:b w:val="0"/>
          <w:sz w:val="22"/>
          <w:szCs w:val="22"/>
        </w:rPr>
      </w:pPr>
      <w:r w:rsidRPr="0086570F">
        <w:rPr>
          <w:rFonts w:cs="Arial"/>
          <w:b w:val="0"/>
          <w:sz w:val="22"/>
          <w:szCs w:val="22"/>
        </w:rPr>
        <w:t>Date range: 2015–2025, to capture recent developments in digital health</w:t>
      </w:r>
    </w:p>
    <w:p w14:paraId="7E2D4D1C" w14:textId="77777777" w:rsidR="0086570F" w:rsidRPr="0086570F" w:rsidRDefault="0086570F" w:rsidP="00DA6718">
      <w:pPr>
        <w:pStyle w:val="Heading1"/>
        <w:numPr>
          <w:ilvl w:val="0"/>
          <w:numId w:val="151"/>
        </w:numPr>
        <w:spacing w:line="360" w:lineRule="auto"/>
        <w:rPr>
          <w:rFonts w:cs="Arial"/>
          <w:b w:val="0"/>
          <w:sz w:val="22"/>
          <w:szCs w:val="22"/>
        </w:rPr>
      </w:pPr>
      <w:r w:rsidRPr="0086570F">
        <w:rPr>
          <w:rFonts w:cs="Arial"/>
          <w:b w:val="0"/>
          <w:sz w:val="22"/>
          <w:szCs w:val="22"/>
        </w:rPr>
        <w:t>Language: English</w:t>
      </w:r>
    </w:p>
    <w:p w14:paraId="2AF4308C" w14:textId="77777777" w:rsidR="0086570F" w:rsidRPr="0086570F" w:rsidRDefault="0086570F" w:rsidP="00DA6718">
      <w:pPr>
        <w:pStyle w:val="Heading1"/>
        <w:numPr>
          <w:ilvl w:val="0"/>
          <w:numId w:val="151"/>
        </w:numPr>
        <w:spacing w:line="360" w:lineRule="auto"/>
        <w:rPr>
          <w:rFonts w:cs="Arial"/>
          <w:b w:val="0"/>
          <w:sz w:val="22"/>
          <w:szCs w:val="22"/>
        </w:rPr>
      </w:pPr>
      <w:r w:rsidRPr="0086570F">
        <w:rPr>
          <w:rFonts w:cs="Arial"/>
          <w:b w:val="0"/>
          <w:sz w:val="22"/>
          <w:szCs w:val="22"/>
        </w:rPr>
        <w:t>Type: Peer-reviewed journals</w:t>
      </w:r>
    </w:p>
    <w:p w14:paraId="74F72A9F" w14:textId="77777777" w:rsidR="0086570F" w:rsidRPr="0086570F" w:rsidRDefault="0086570F" w:rsidP="00DA6718">
      <w:pPr>
        <w:pStyle w:val="Heading1"/>
        <w:numPr>
          <w:ilvl w:val="0"/>
          <w:numId w:val="151"/>
        </w:numPr>
        <w:spacing w:line="360" w:lineRule="auto"/>
        <w:rPr>
          <w:rFonts w:cs="Arial"/>
          <w:b w:val="0"/>
          <w:sz w:val="22"/>
          <w:szCs w:val="22"/>
        </w:rPr>
      </w:pPr>
      <w:r w:rsidRPr="0086570F">
        <w:rPr>
          <w:rFonts w:cs="Arial"/>
          <w:b w:val="0"/>
          <w:sz w:val="22"/>
          <w:szCs w:val="22"/>
        </w:rPr>
        <w:t>Location: UK-based studies</w:t>
      </w:r>
    </w:p>
    <w:p w14:paraId="492B05B4"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 xml:space="preserve">During the search process, adjustments were made to refine results. For example, when searches produced overly broad results, additional terms such as </w:t>
      </w:r>
      <w:r w:rsidRPr="0086570F">
        <w:rPr>
          <w:rFonts w:cs="Arial"/>
          <w:b w:val="0"/>
          <w:i/>
          <w:iCs/>
          <w:sz w:val="22"/>
          <w:szCs w:val="22"/>
        </w:rPr>
        <w:t>“UK dementia care”</w:t>
      </w:r>
      <w:r w:rsidRPr="0086570F">
        <w:rPr>
          <w:rFonts w:cs="Arial"/>
          <w:b w:val="0"/>
          <w:sz w:val="22"/>
          <w:szCs w:val="22"/>
        </w:rPr>
        <w:t xml:space="preserve"> or </w:t>
      </w:r>
      <w:r w:rsidRPr="0086570F">
        <w:rPr>
          <w:rFonts w:cs="Arial"/>
          <w:b w:val="0"/>
          <w:i/>
          <w:iCs/>
          <w:sz w:val="22"/>
          <w:szCs w:val="22"/>
        </w:rPr>
        <w:t>“NHS digital support”</w:t>
      </w:r>
      <w:r w:rsidRPr="0086570F">
        <w:rPr>
          <w:rFonts w:cs="Arial"/>
          <w:b w:val="0"/>
          <w:sz w:val="22"/>
          <w:szCs w:val="22"/>
        </w:rPr>
        <w:t xml:space="preserve"> were added. Conversely, when searches yielded few results, terms were broadened by removing restrictive filters or adding synonyms.</w:t>
      </w:r>
    </w:p>
    <w:p w14:paraId="1286B29E"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A source-tracking table was created in Excel to record bibliographic details, relevance notes, and decisions made during screening. This supported organisation, transparency, and later stages of thematic analysis. If included in the dissertation, it will appear in the appendices.</w:t>
      </w:r>
    </w:p>
    <w:p w14:paraId="547F2446"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31786204">
          <v:rect id="_x0000_i1174" style="width:0;height:1.5pt" o:hralign="center" o:hrstd="t" o:hr="t" fillcolor="#a0a0a0" stroked="f"/>
        </w:pict>
      </w:r>
    </w:p>
    <w:p w14:paraId="2C9F7935"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3.4 Research Validation</w:t>
      </w:r>
    </w:p>
    <w:p w14:paraId="7CF9AFAE"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Validating sources is essential in secondary research to ensure that the material included is credible, reliable, and academically appropriate. Initial screening involved skimming titles, abstracts, introductions, and conclusions to quickly assess relevance (Coughlan &amp; Cronin, 2017).</w:t>
      </w:r>
    </w:p>
    <w:p w14:paraId="11D5A6B7"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To ensure systematic quality appraisal, the CRAAP test—Currency, Relevance, Authority, Accuracy, and Purpose—was applied (Aveyard, 2019).</w:t>
      </w:r>
    </w:p>
    <w:p w14:paraId="4C6981BD" w14:textId="77777777" w:rsidR="0086570F" w:rsidRPr="0086570F" w:rsidRDefault="0086570F" w:rsidP="00DA6718">
      <w:pPr>
        <w:pStyle w:val="Heading1"/>
        <w:numPr>
          <w:ilvl w:val="0"/>
          <w:numId w:val="152"/>
        </w:numPr>
        <w:spacing w:line="360" w:lineRule="auto"/>
        <w:rPr>
          <w:rFonts w:cs="Arial"/>
          <w:b w:val="0"/>
          <w:sz w:val="22"/>
          <w:szCs w:val="22"/>
        </w:rPr>
      </w:pPr>
      <w:r w:rsidRPr="0086570F">
        <w:rPr>
          <w:rFonts w:cs="Arial"/>
          <w:b w:val="0"/>
          <w:sz w:val="22"/>
          <w:szCs w:val="22"/>
        </w:rPr>
        <w:t>Currency: Priority was given to sources published after 2015, reflecting fast-moving technological advancements.</w:t>
      </w:r>
    </w:p>
    <w:p w14:paraId="06A2FF8A" w14:textId="77777777" w:rsidR="0086570F" w:rsidRPr="0086570F" w:rsidRDefault="0086570F" w:rsidP="00DA6718">
      <w:pPr>
        <w:pStyle w:val="Heading1"/>
        <w:numPr>
          <w:ilvl w:val="0"/>
          <w:numId w:val="152"/>
        </w:numPr>
        <w:spacing w:line="360" w:lineRule="auto"/>
        <w:rPr>
          <w:rFonts w:cs="Arial"/>
          <w:b w:val="0"/>
          <w:sz w:val="22"/>
          <w:szCs w:val="22"/>
        </w:rPr>
      </w:pPr>
      <w:r w:rsidRPr="0086570F">
        <w:rPr>
          <w:rFonts w:cs="Arial"/>
          <w:b w:val="0"/>
          <w:sz w:val="22"/>
          <w:szCs w:val="22"/>
        </w:rPr>
        <w:t>Relevance: Studies had to directly relate to dementia, digital technologies, and the UK context.</w:t>
      </w:r>
    </w:p>
    <w:p w14:paraId="3631F660" w14:textId="77777777" w:rsidR="0086570F" w:rsidRPr="0086570F" w:rsidRDefault="0086570F" w:rsidP="00DA6718">
      <w:pPr>
        <w:pStyle w:val="Heading1"/>
        <w:numPr>
          <w:ilvl w:val="0"/>
          <w:numId w:val="152"/>
        </w:numPr>
        <w:spacing w:line="360" w:lineRule="auto"/>
        <w:rPr>
          <w:rFonts w:cs="Arial"/>
          <w:b w:val="0"/>
          <w:sz w:val="22"/>
          <w:szCs w:val="22"/>
        </w:rPr>
      </w:pPr>
      <w:r w:rsidRPr="0086570F">
        <w:rPr>
          <w:rFonts w:cs="Arial"/>
          <w:b w:val="0"/>
          <w:sz w:val="22"/>
          <w:szCs w:val="22"/>
        </w:rPr>
        <w:t>Authority: Articles from reputable journals, credible authors, and recognised institutions were prioritised.</w:t>
      </w:r>
    </w:p>
    <w:p w14:paraId="35C57EEB" w14:textId="77777777" w:rsidR="0086570F" w:rsidRPr="0086570F" w:rsidRDefault="0086570F" w:rsidP="00DA6718">
      <w:pPr>
        <w:pStyle w:val="Heading1"/>
        <w:numPr>
          <w:ilvl w:val="0"/>
          <w:numId w:val="152"/>
        </w:numPr>
        <w:spacing w:line="360" w:lineRule="auto"/>
        <w:rPr>
          <w:rFonts w:cs="Arial"/>
          <w:b w:val="0"/>
          <w:sz w:val="22"/>
          <w:szCs w:val="22"/>
        </w:rPr>
      </w:pPr>
      <w:r w:rsidRPr="0086570F">
        <w:rPr>
          <w:rFonts w:cs="Arial"/>
          <w:b w:val="0"/>
          <w:sz w:val="22"/>
          <w:szCs w:val="22"/>
        </w:rPr>
        <w:t>Accuracy: Studies had to demonstrate clear methodology, supported claims, and appropriate referencing.</w:t>
      </w:r>
    </w:p>
    <w:p w14:paraId="74A2C021" w14:textId="77777777" w:rsidR="0086570F" w:rsidRPr="0086570F" w:rsidRDefault="0086570F" w:rsidP="00DA6718">
      <w:pPr>
        <w:pStyle w:val="Heading1"/>
        <w:numPr>
          <w:ilvl w:val="0"/>
          <w:numId w:val="152"/>
        </w:numPr>
        <w:spacing w:line="360" w:lineRule="auto"/>
        <w:rPr>
          <w:rFonts w:cs="Arial"/>
          <w:b w:val="0"/>
          <w:sz w:val="22"/>
          <w:szCs w:val="22"/>
        </w:rPr>
      </w:pPr>
      <w:r w:rsidRPr="0086570F">
        <w:rPr>
          <w:rFonts w:cs="Arial"/>
          <w:b w:val="0"/>
          <w:sz w:val="22"/>
          <w:szCs w:val="22"/>
        </w:rPr>
        <w:t>Purpose: Only academic and research-driven sources were included; biased or commercial sources were excluded.</w:t>
      </w:r>
    </w:p>
    <w:p w14:paraId="22B1AC20"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For example, a US-based article on dementia apps was excluded due to limited relevance to UK health systems, despite strong methodology. This demonstrates how the CRAAP test guided informed decision-making.</w:t>
      </w:r>
    </w:p>
    <w:p w14:paraId="1524FE1A"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72550C8A">
          <v:rect id="_x0000_i1175" style="width:0;height:1.5pt" o:hralign="center" o:hrstd="t" o:hr="t" fillcolor="#a0a0a0" stroked="f"/>
        </w:pict>
      </w:r>
    </w:p>
    <w:p w14:paraId="4734E0F2"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3.5 Inclusion and Exclusion Criteria</w:t>
      </w:r>
    </w:p>
    <w:p w14:paraId="52A671EA"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lastRenderedPageBreak/>
        <w:t>Clear criteria helped maintain focus and quality:</w:t>
      </w:r>
    </w:p>
    <w:p w14:paraId="566CFB38"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Inclusion Criteria</w:t>
      </w:r>
    </w:p>
    <w:p w14:paraId="2DEE6BB0" w14:textId="77777777" w:rsidR="0086570F" w:rsidRPr="0086570F" w:rsidRDefault="0086570F" w:rsidP="00DA6718">
      <w:pPr>
        <w:pStyle w:val="Heading1"/>
        <w:numPr>
          <w:ilvl w:val="0"/>
          <w:numId w:val="153"/>
        </w:numPr>
        <w:spacing w:line="360" w:lineRule="auto"/>
        <w:rPr>
          <w:rFonts w:cs="Arial"/>
          <w:b w:val="0"/>
          <w:sz w:val="22"/>
          <w:szCs w:val="22"/>
        </w:rPr>
      </w:pPr>
      <w:r w:rsidRPr="0086570F">
        <w:rPr>
          <w:rFonts w:cs="Arial"/>
          <w:b w:val="0"/>
          <w:sz w:val="22"/>
          <w:szCs w:val="22"/>
        </w:rPr>
        <w:t>Peer-reviewed articles (2015–2025)</w:t>
      </w:r>
    </w:p>
    <w:p w14:paraId="2EA5F855" w14:textId="77777777" w:rsidR="0086570F" w:rsidRPr="0086570F" w:rsidRDefault="0086570F" w:rsidP="00DA6718">
      <w:pPr>
        <w:pStyle w:val="Heading1"/>
        <w:numPr>
          <w:ilvl w:val="0"/>
          <w:numId w:val="153"/>
        </w:numPr>
        <w:spacing w:line="360" w:lineRule="auto"/>
        <w:rPr>
          <w:rFonts w:cs="Arial"/>
          <w:b w:val="0"/>
          <w:sz w:val="22"/>
          <w:szCs w:val="22"/>
        </w:rPr>
      </w:pPr>
      <w:r w:rsidRPr="0086570F">
        <w:rPr>
          <w:rFonts w:cs="Arial"/>
          <w:b w:val="0"/>
          <w:sz w:val="22"/>
          <w:szCs w:val="22"/>
        </w:rPr>
        <w:t>Studies conducted in the UK</w:t>
      </w:r>
    </w:p>
    <w:p w14:paraId="3034B3F7" w14:textId="77777777" w:rsidR="0086570F" w:rsidRPr="0086570F" w:rsidRDefault="0086570F" w:rsidP="00DA6718">
      <w:pPr>
        <w:pStyle w:val="Heading1"/>
        <w:numPr>
          <w:ilvl w:val="0"/>
          <w:numId w:val="153"/>
        </w:numPr>
        <w:spacing w:line="360" w:lineRule="auto"/>
        <w:rPr>
          <w:rFonts w:cs="Arial"/>
          <w:b w:val="0"/>
          <w:sz w:val="22"/>
          <w:szCs w:val="22"/>
        </w:rPr>
      </w:pPr>
      <w:r w:rsidRPr="0086570F">
        <w:rPr>
          <w:rFonts w:cs="Arial"/>
          <w:b w:val="0"/>
          <w:sz w:val="22"/>
          <w:szCs w:val="22"/>
        </w:rPr>
        <w:t>Focus on digital health interventions (e.g. telehealth, apps, monitoring tools, AI)</w:t>
      </w:r>
    </w:p>
    <w:p w14:paraId="70E8D176" w14:textId="77777777" w:rsidR="0086570F" w:rsidRPr="0086570F" w:rsidRDefault="0086570F" w:rsidP="00DA6718">
      <w:pPr>
        <w:pStyle w:val="Heading1"/>
        <w:numPr>
          <w:ilvl w:val="0"/>
          <w:numId w:val="153"/>
        </w:numPr>
        <w:spacing w:line="360" w:lineRule="auto"/>
        <w:rPr>
          <w:rFonts w:cs="Arial"/>
          <w:b w:val="0"/>
          <w:sz w:val="22"/>
          <w:szCs w:val="22"/>
        </w:rPr>
      </w:pPr>
      <w:r w:rsidRPr="0086570F">
        <w:rPr>
          <w:rFonts w:cs="Arial"/>
          <w:b w:val="0"/>
          <w:sz w:val="22"/>
          <w:szCs w:val="22"/>
        </w:rPr>
        <w:t>Participants: adults with dementia and/or informal carers</w:t>
      </w:r>
    </w:p>
    <w:p w14:paraId="2EB887B1" w14:textId="77777777" w:rsidR="0086570F" w:rsidRPr="0086570F" w:rsidRDefault="0086570F" w:rsidP="00DA6718">
      <w:pPr>
        <w:pStyle w:val="Heading1"/>
        <w:numPr>
          <w:ilvl w:val="0"/>
          <w:numId w:val="153"/>
        </w:numPr>
        <w:spacing w:line="360" w:lineRule="auto"/>
        <w:rPr>
          <w:rFonts w:cs="Arial"/>
          <w:b w:val="0"/>
          <w:sz w:val="22"/>
          <w:szCs w:val="22"/>
        </w:rPr>
      </w:pPr>
      <w:r w:rsidRPr="0086570F">
        <w:rPr>
          <w:rFonts w:cs="Arial"/>
          <w:b w:val="0"/>
          <w:sz w:val="22"/>
          <w:szCs w:val="22"/>
        </w:rPr>
        <w:t>Empirical research (qualitative, quantitative, mixed methods)</w:t>
      </w:r>
    </w:p>
    <w:p w14:paraId="783A5376"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Exclusion Criteria</w:t>
      </w:r>
    </w:p>
    <w:p w14:paraId="70A0BE9D" w14:textId="77777777" w:rsidR="0086570F" w:rsidRPr="0086570F" w:rsidRDefault="0086570F" w:rsidP="00DA6718">
      <w:pPr>
        <w:pStyle w:val="Heading1"/>
        <w:numPr>
          <w:ilvl w:val="0"/>
          <w:numId w:val="154"/>
        </w:numPr>
        <w:spacing w:line="360" w:lineRule="auto"/>
        <w:rPr>
          <w:rFonts w:cs="Arial"/>
          <w:b w:val="0"/>
          <w:sz w:val="22"/>
          <w:szCs w:val="22"/>
        </w:rPr>
      </w:pPr>
      <w:r w:rsidRPr="0086570F">
        <w:rPr>
          <w:rFonts w:cs="Arial"/>
          <w:b w:val="0"/>
          <w:sz w:val="22"/>
          <w:szCs w:val="22"/>
        </w:rPr>
        <w:t>Non-peer-reviewed sources (blogs, opinion pieces)</w:t>
      </w:r>
    </w:p>
    <w:p w14:paraId="61BD8AD7" w14:textId="77777777" w:rsidR="0086570F" w:rsidRPr="0086570F" w:rsidRDefault="0086570F" w:rsidP="00DA6718">
      <w:pPr>
        <w:pStyle w:val="Heading1"/>
        <w:numPr>
          <w:ilvl w:val="0"/>
          <w:numId w:val="154"/>
        </w:numPr>
        <w:spacing w:line="360" w:lineRule="auto"/>
        <w:rPr>
          <w:rFonts w:cs="Arial"/>
          <w:b w:val="0"/>
          <w:sz w:val="22"/>
          <w:szCs w:val="22"/>
        </w:rPr>
      </w:pPr>
      <w:r w:rsidRPr="0086570F">
        <w:rPr>
          <w:rFonts w:cs="Arial"/>
          <w:b w:val="0"/>
          <w:sz w:val="22"/>
          <w:szCs w:val="22"/>
        </w:rPr>
        <w:t>Studies published before 2015</w:t>
      </w:r>
    </w:p>
    <w:p w14:paraId="3F84330C" w14:textId="77777777" w:rsidR="0086570F" w:rsidRPr="0086570F" w:rsidRDefault="0086570F" w:rsidP="00DA6718">
      <w:pPr>
        <w:pStyle w:val="Heading1"/>
        <w:numPr>
          <w:ilvl w:val="0"/>
          <w:numId w:val="154"/>
        </w:numPr>
        <w:spacing w:line="360" w:lineRule="auto"/>
        <w:rPr>
          <w:rFonts w:cs="Arial"/>
          <w:b w:val="0"/>
          <w:sz w:val="22"/>
          <w:szCs w:val="22"/>
        </w:rPr>
      </w:pPr>
      <w:r w:rsidRPr="0086570F">
        <w:rPr>
          <w:rFonts w:cs="Arial"/>
          <w:b w:val="0"/>
          <w:sz w:val="22"/>
          <w:szCs w:val="22"/>
        </w:rPr>
        <w:t>Articles unrelated to dementia or digital health</w:t>
      </w:r>
    </w:p>
    <w:p w14:paraId="4DA71E23" w14:textId="77777777" w:rsidR="0086570F" w:rsidRPr="0086570F" w:rsidRDefault="0086570F" w:rsidP="00DA6718">
      <w:pPr>
        <w:pStyle w:val="Heading1"/>
        <w:numPr>
          <w:ilvl w:val="0"/>
          <w:numId w:val="154"/>
        </w:numPr>
        <w:spacing w:line="360" w:lineRule="auto"/>
        <w:rPr>
          <w:rFonts w:cs="Arial"/>
          <w:b w:val="0"/>
          <w:sz w:val="22"/>
          <w:szCs w:val="22"/>
        </w:rPr>
      </w:pPr>
      <w:r w:rsidRPr="0086570F">
        <w:rPr>
          <w:rFonts w:cs="Arial"/>
          <w:b w:val="0"/>
          <w:sz w:val="22"/>
          <w:szCs w:val="22"/>
        </w:rPr>
        <w:t>Non-UK studies</w:t>
      </w:r>
    </w:p>
    <w:p w14:paraId="1F3C0932" w14:textId="77777777" w:rsidR="0086570F" w:rsidRPr="0086570F" w:rsidRDefault="0086570F" w:rsidP="00DA6718">
      <w:pPr>
        <w:pStyle w:val="Heading1"/>
        <w:numPr>
          <w:ilvl w:val="0"/>
          <w:numId w:val="154"/>
        </w:numPr>
        <w:spacing w:line="360" w:lineRule="auto"/>
        <w:rPr>
          <w:rFonts w:cs="Arial"/>
          <w:b w:val="0"/>
          <w:sz w:val="22"/>
          <w:szCs w:val="22"/>
        </w:rPr>
      </w:pPr>
      <w:r w:rsidRPr="0086570F">
        <w:rPr>
          <w:rFonts w:cs="Arial"/>
          <w:b w:val="0"/>
          <w:sz w:val="22"/>
          <w:szCs w:val="22"/>
        </w:rPr>
        <w:t>Sources without full-text access</w:t>
      </w:r>
    </w:p>
    <w:p w14:paraId="5D398CE4"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These criteria ensured that sources were academically credible and directly aligned with the research question.</w:t>
      </w:r>
    </w:p>
    <w:p w14:paraId="03DEFCD8"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43CF0936">
          <v:rect id="_x0000_i1176" style="width:0;height:1.5pt" o:hralign="center" o:hrstd="t" o:hr="t" fillcolor="#a0a0a0" stroked="f"/>
        </w:pict>
      </w:r>
    </w:p>
    <w:p w14:paraId="1C96A12B"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3.6 Analysing Research</w:t>
      </w:r>
    </w:p>
    <w:p w14:paraId="59B1B906"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A thematic coding approach was used to analyse the selected literature. Thematic analysis involves identifying recurring ideas and patterns across sources and organising them into meaningful themes (Braun &amp; Clarke, 2006).</w:t>
      </w:r>
    </w:p>
    <w:p w14:paraId="1214032F"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Step 1 – Initial Coding</w:t>
      </w:r>
    </w:p>
    <w:p w14:paraId="24CADA0C"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Each article was read in detail, and notes were made on key ideas such as:</w:t>
      </w:r>
    </w:p>
    <w:p w14:paraId="151BCC23" w14:textId="77777777" w:rsidR="0086570F" w:rsidRPr="0086570F" w:rsidRDefault="0086570F" w:rsidP="00DA6718">
      <w:pPr>
        <w:pStyle w:val="Heading1"/>
        <w:numPr>
          <w:ilvl w:val="0"/>
          <w:numId w:val="155"/>
        </w:numPr>
        <w:spacing w:line="360" w:lineRule="auto"/>
        <w:rPr>
          <w:rFonts w:cs="Arial"/>
          <w:b w:val="0"/>
          <w:sz w:val="22"/>
          <w:szCs w:val="22"/>
        </w:rPr>
      </w:pPr>
      <w:r w:rsidRPr="0086570F">
        <w:rPr>
          <w:rFonts w:cs="Arial"/>
          <w:b w:val="0"/>
          <w:sz w:val="22"/>
          <w:szCs w:val="22"/>
        </w:rPr>
        <w:t>Impact on wellbeing</w:t>
      </w:r>
    </w:p>
    <w:p w14:paraId="66732305" w14:textId="77777777" w:rsidR="0086570F" w:rsidRPr="0086570F" w:rsidRDefault="0086570F" w:rsidP="00DA6718">
      <w:pPr>
        <w:pStyle w:val="Heading1"/>
        <w:numPr>
          <w:ilvl w:val="0"/>
          <w:numId w:val="155"/>
        </w:numPr>
        <w:spacing w:line="360" w:lineRule="auto"/>
        <w:rPr>
          <w:rFonts w:cs="Arial"/>
          <w:b w:val="0"/>
          <w:sz w:val="22"/>
          <w:szCs w:val="22"/>
        </w:rPr>
      </w:pPr>
      <w:r w:rsidRPr="0086570F">
        <w:rPr>
          <w:rFonts w:cs="Arial"/>
          <w:b w:val="0"/>
          <w:sz w:val="22"/>
          <w:szCs w:val="22"/>
        </w:rPr>
        <w:t>Carer support</w:t>
      </w:r>
    </w:p>
    <w:p w14:paraId="6A135B85" w14:textId="77777777" w:rsidR="0086570F" w:rsidRPr="0086570F" w:rsidRDefault="0086570F" w:rsidP="00DA6718">
      <w:pPr>
        <w:pStyle w:val="Heading1"/>
        <w:numPr>
          <w:ilvl w:val="0"/>
          <w:numId w:val="155"/>
        </w:numPr>
        <w:spacing w:line="360" w:lineRule="auto"/>
        <w:rPr>
          <w:rFonts w:cs="Arial"/>
          <w:b w:val="0"/>
          <w:sz w:val="22"/>
          <w:szCs w:val="22"/>
        </w:rPr>
      </w:pPr>
      <w:r w:rsidRPr="0086570F">
        <w:rPr>
          <w:rFonts w:cs="Arial"/>
          <w:b w:val="0"/>
          <w:sz w:val="22"/>
          <w:szCs w:val="22"/>
        </w:rPr>
        <w:t>Technology usability</w:t>
      </w:r>
    </w:p>
    <w:p w14:paraId="03AADBF4" w14:textId="77777777" w:rsidR="0086570F" w:rsidRPr="0086570F" w:rsidRDefault="0086570F" w:rsidP="00DA6718">
      <w:pPr>
        <w:pStyle w:val="Heading1"/>
        <w:numPr>
          <w:ilvl w:val="0"/>
          <w:numId w:val="155"/>
        </w:numPr>
        <w:spacing w:line="360" w:lineRule="auto"/>
        <w:rPr>
          <w:rFonts w:cs="Arial"/>
          <w:b w:val="0"/>
          <w:sz w:val="22"/>
          <w:szCs w:val="22"/>
        </w:rPr>
      </w:pPr>
      <w:r w:rsidRPr="0086570F">
        <w:rPr>
          <w:rFonts w:cs="Arial"/>
          <w:b w:val="0"/>
          <w:sz w:val="22"/>
          <w:szCs w:val="22"/>
        </w:rPr>
        <w:t>Barriers and facilitators</w:t>
      </w:r>
    </w:p>
    <w:p w14:paraId="4CC4E2ED" w14:textId="77777777" w:rsidR="0086570F" w:rsidRPr="0086570F" w:rsidRDefault="0086570F" w:rsidP="00DA6718">
      <w:pPr>
        <w:pStyle w:val="Heading1"/>
        <w:numPr>
          <w:ilvl w:val="0"/>
          <w:numId w:val="155"/>
        </w:numPr>
        <w:spacing w:line="360" w:lineRule="auto"/>
        <w:rPr>
          <w:rFonts w:cs="Arial"/>
          <w:b w:val="0"/>
          <w:sz w:val="22"/>
          <w:szCs w:val="22"/>
        </w:rPr>
      </w:pPr>
      <w:r w:rsidRPr="0086570F">
        <w:rPr>
          <w:rFonts w:cs="Arial"/>
          <w:b w:val="0"/>
          <w:sz w:val="22"/>
          <w:szCs w:val="22"/>
        </w:rPr>
        <w:t>Digital inequalities</w:t>
      </w:r>
    </w:p>
    <w:p w14:paraId="38427C49"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Coding captured repeated concepts that appeared across multiple studies.</w:t>
      </w:r>
    </w:p>
    <w:p w14:paraId="69A6BC5B"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Step 2 – Grouping Codes</w:t>
      </w:r>
    </w:p>
    <w:p w14:paraId="3C94E5F8"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 xml:space="preserve">Related codes were grouped together to form broader categories. For example, </w:t>
      </w:r>
      <w:r w:rsidRPr="0086570F">
        <w:rPr>
          <w:rFonts w:cs="Arial"/>
          <w:b w:val="0"/>
          <w:i/>
          <w:iCs/>
          <w:sz w:val="22"/>
          <w:szCs w:val="22"/>
        </w:rPr>
        <w:t>digital literacy</w:t>
      </w:r>
      <w:r w:rsidRPr="0086570F">
        <w:rPr>
          <w:rFonts w:cs="Arial"/>
          <w:b w:val="0"/>
          <w:sz w:val="22"/>
          <w:szCs w:val="22"/>
        </w:rPr>
        <w:t xml:space="preserve">, </w:t>
      </w:r>
      <w:r w:rsidRPr="0086570F">
        <w:rPr>
          <w:rFonts w:cs="Arial"/>
          <w:b w:val="0"/>
          <w:i/>
          <w:iCs/>
          <w:sz w:val="22"/>
          <w:szCs w:val="22"/>
        </w:rPr>
        <w:t>internet access</w:t>
      </w:r>
      <w:r w:rsidRPr="0086570F">
        <w:rPr>
          <w:rFonts w:cs="Arial"/>
          <w:b w:val="0"/>
          <w:sz w:val="22"/>
          <w:szCs w:val="22"/>
        </w:rPr>
        <w:t xml:space="preserve">, and </w:t>
      </w:r>
      <w:r w:rsidRPr="0086570F">
        <w:rPr>
          <w:rFonts w:cs="Arial"/>
          <w:b w:val="0"/>
          <w:i/>
          <w:iCs/>
          <w:sz w:val="22"/>
          <w:szCs w:val="22"/>
        </w:rPr>
        <w:t>technology confidence</w:t>
      </w:r>
      <w:r w:rsidRPr="0086570F">
        <w:rPr>
          <w:rFonts w:cs="Arial"/>
          <w:b w:val="0"/>
          <w:sz w:val="22"/>
          <w:szCs w:val="22"/>
        </w:rPr>
        <w:t xml:space="preserve"> were grouped into the theme Digital Inclusion and Equity.</w:t>
      </w:r>
    </w:p>
    <w:p w14:paraId="37473F0D"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Step 3 – Developing Themes</w:t>
      </w:r>
    </w:p>
    <w:p w14:paraId="434A950A"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Three main themes emerged, which will be presented in Chapter 4:</w:t>
      </w:r>
    </w:p>
    <w:p w14:paraId="1F4466C5" w14:textId="77777777" w:rsidR="0086570F" w:rsidRPr="0086570F" w:rsidRDefault="0086570F" w:rsidP="00DA6718">
      <w:pPr>
        <w:pStyle w:val="Heading1"/>
        <w:numPr>
          <w:ilvl w:val="0"/>
          <w:numId w:val="156"/>
        </w:numPr>
        <w:spacing w:line="360" w:lineRule="auto"/>
        <w:rPr>
          <w:rFonts w:cs="Arial"/>
          <w:b w:val="0"/>
          <w:sz w:val="22"/>
          <w:szCs w:val="22"/>
        </w:rPr>
      </w:pPr>
      <w:r w:rsidRPr="0086570F">
        <w:rPr>
          <w:rFonts w:cs="Arial"/>
          <w:b w:val="0"/>
          <w:sz w:val="22"/>
          <w:szCs w:val="22"/>
        </w:rPr>
        <w:t>Clinical, psychosocial, and wellbeing outcomes</w:t>
      </w:r>
    </w:p>
    <w:p w14:paraId="1E2747A5" w14:textId="77777777" w:rsidR="0086570F" w:rsidRPr="0086570F" w:rsidRDefault="0086570F" w:rsidP="00DA6718">
      <w:pPr>
        <w:pStyle w:val="Heading1"/>
        <w:numPr>
          <w:ilvl w:val="0"/>
          <w:numId w:val="156"/>
        </w:numPr>
        <w:spacing w:line="360" w:lineRule="auto"/>
        <w:rPr>
          <w:rFonts w:cs="Arial"/>
          <w:b w:val="0"/>
          <w:sz w:val="22"/>
          <w:szCs w:val="22"/>
        </w:rPr>
      </w:pPr>
      <w:r w:rsidRPr="0086570F">
        <w:rPr>
          <w:rFonts w:cs="Arial"/>
          <w:b w:val="0"/>
          <w:sz w:val="22"/>
          <w:szCs w:val="22"/>
        </w:rPr>
        <w:t>Usability, acceptability, and digital literacy</w:t>
      </w:r>
    </w:p>
    <w:p w14:paraId="63F441A2" w14:textId="77777777" w:rsidR="0086570F" w:rsidRPr="0086570F" w:rsidRDefault="0086570F" w:rsidP="00DA6718">
      <w:pPr>
        <w:pStyle w:val="Heading1"/>
        <w:numPr>
          <w:ilvl w:val="0"/>
          <w:numId w:val="156"/>
        </w:numPr>
        <w:spacing w:line="360" w:lineRule="auto"/>
        <w:rPr>
          <w:rFonts w:cs="Arial"/>
          <w:b w:val="0"/>
          <w:sz w:val="22"/>
          <w:szCs w:val="22"/>
        </w:rPr>
      </w:pPr>
      <w:r w:rsidRPr="0086570F">
        <w:rPr>
          <w:rFonts w:cs="Arial"/>
          <w:b w:val="0"/>
          <w:sz w:val="22"/>
          <w:szCs w:val="22"/>
        </w:rPr>
        <w:t>Equity, access, and service implications</w:t>
      </w:r>
    </w:p>
    <w:p w14:paraId="2C86C2A3"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lastRenderedPageBreak/>
        <w:t>Excel spreadsheets and colour-coding supported the organisation of codes, providing a clear audit trail and strengthening the validity of the analysis.</w:t>
      </w:r>
    </w:p>
    <w:p w14:paraId="48E5B870"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78A138DA">
          <v:rect id="_x0000_i1177" style="width:0;height:1.5pt" o:hralign="center" o:hrstd="t" o:hr="t" fillcolor="#a0a0a0" stroked="f"/>
        </w:pict>
      </w:r>
    </w:p>
    <w:p w14:paraId="2FE176A2"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3.7 Ethical Considerations</w:t>
      </w:r>
    </w:p>
    <w:p w14:paraId="7790E570"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Although this dissertation is based solely on existing literature and does not involve human participants, ethical principles remain essential. Secondary research requires responsible handling of published data, transparency in reporting, and integrity in referencing (Bryman, 2016).</w:t>
      </w:r>
    </w:p>
    <w:p w14:paraId="0CBEE98F"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Ethical considerations included:</w:t>
      </w:r>
    </w:p>
    <w:p w14:paraId="1312CDC5" w14:textId="77777777" w:rsidR="0086570F" w:rsidRPr="0086570F" w:rsidRDefault="0086570F" w:rsidP="00DA6718">
      <w:pPr>
        <w:pStyle w:val="Heading1"/>
        <w:numPr>
          <w:ilvl w:val="0"/>
          <w:numId w:val="157"/>
        </w:numPr>
        <w:spacing w:line="360" w:lineRule="auto"/>
        <w:rPr>
          <w:rFonts w:cs="Arial"/>
          <w:b w:val="0"/>
          <w:sz w:val="22"/>
          <w:szCs w:val="22"/>
        </w:rPr>
      </w:pPr>
      <w:r w:rsidRPr="0086570F">
        <w:rPr>
          <w:rFonts w:cs="Arial"/>
          <w:b w:val="0"/>
          <w:sz w:val="22"/>
          <w:szCs w:val="22"/>
        </w:rPr>
        <w:t>Ensuring all sources were properly cited using Harvard referencing</w:t>
      </w:r>
    </w:p>
    <w:p w14:paraId="536CC898" w14:textId="77777777" w:rsidR="0086570F" w:rsidRPr="0086570F" w:rsidRDefault="0086570F" w:rsidP="00DA6718">
      <w:pPr>
        <w:pStyle w:val="Heading1"/>
        <w:numPr>
          <w:ilvl w:val="0"/>
          <w:numId w:val="157"/>
        </w:numPr>
        <w:spacing w:line="360" w:lineRule="auto"/>
        <w:rPr>
          <w:rFonts w:cs="Arial"/>
          <w:b w:val="0"/>
          <w:sz w:val="22"/>
          <w:szCs w:val="22"/>
        </w:rPr>
      </w:pPr>
      <w:r w:rsidRPr="0086570F">
        <w:rPr>
          <w:rFonts w:cs="Arial"/>
          <w:b w:val="0"/>
          <w:sz w:val="22"/>
          <w:szCs w:val="22"/>
        </w:rPr>
        <w:t>Avoiding plagiarism through paraphrasing and critical synthesis</w:t>
      </w:r>
    </w:p>
    <w:p w14:paraId="0F585ABF" w14:textId="77777777" w:rsidR="0086570F" w:rsidRPr="0086570F" w:rsidRDefault="0086570F" w:rsidP="00DA6718">
      <w:pPr>
        <w:pStyle w:val="Heading1"/>
        <w:numPr>
          <w:ilvl w:val="0"/>
          <w:numId w:val="157"/>
        </w:numPr>
        <w:spacing w:line="360" w:lineRule="auto"/>
        <w:rPr>
          <w:rFonts w:cs="Arial"/>
          <w:b w:val="0"/>
          <w:sz w:val="22"/>
          <w:szCs w:val="22"/>
        </w:rPr>
      </w:pPr>
      <w:r w:rsidRPr="0086570F">
        <w:rPr>
          <w:rFonts w:cs="Arial"/>
          <w:b w:val="0"/>
          <w:sz w:val="22"/>
          <w:szCs w:val="22"/>
        </w:rPr>
        <w:t>Representing authors’ ideas fairly and without distortion</w:t>
      </w:r>
    </w:p>
    <w:p w14:paraId="4B9DF79A" w14:textId="77777777" w:rsidR="0086570F" w:rsidRPr="0086570F" w:rsidRDefault="0086570F" w:rsidP="00DA6718">
      <w:pPr>
        <w:pStyle w:val="Heading1"/>
        <w:numPr>
          <w:ilvl w:val="0"/>
          <w:numId w:val="157"/>
        </w:numPr>
        <w:spacing w:line="360" w:lineRule="auto"/>
        <w:rPr>
          <w:rFonts w:cs="Arial"/>
          <w:b w:val="0"/>
          <w:sz w:val="22"/>
          <w:szCs w:val="22"/>
        </w:rPr>
      </w:pPr>
      <w:r w:rsidRPr="0086570F">
        <w:rPr>
          <w:rFonts w:cs="Arial"/>
          <w:b w:val="0"/>
          <w:sz w:val="22"/>
          <w:szCs w:val="22"/>
        </w:rPr>
        <w:t>Respecting sensitive topics around dementia and caregiving</w:t>
      </w:r>
    </w:p>
    <w:p w14:paraId="06309ADA" w14:textId="77777777" w:rsidR="0086570F" w:rsidRPr="0086570F" w:rsidRDefault="0086570F" w:rsidP="00DA6718">
      <w:pPr>
        <w:pStyle w:val="Heading1"/>
        <w:numPr>
          <w:ilvl w:val="0"/>
          <w:numId w:val="157"/>
        </w:numPr>
        <w:spacing w:line="360" w:lineRule="auto"/>
        <w:rPr>
          <w:rFonts w:cs="Arial"/>
          <w:b w:val="0"/>
          <w:sz w:val="22"/>
          <w:szCs w:val="22"/>
        </w:rPr>
      </w:pPr>
      <w:r w:rsidRPr="0086570F">
        <w:rPr>
          <w:rFonts w:cs="Arial"/>
          <w:b w:val="0"/>
          <w:sz w:val="22"/>
          <w:szCs w:val="22"/>
        </w:rPr>
        <w:t>Maintaining objectivity and avoiding selective reporting</w:t>
      </w:r>
    </w:p>
    <w:p w14:paraId="11B150C0"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Because no new data were collected, NHS Research Ethics Committee approval was not required.</w:t>
      </w:r>
    </w:p>
    <w:p w14:paraId="5A738807"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5C0EF409">
          <v:rect id="_x0000_i1178" style="width:0;height:1.5pt" o:hralign="center" o:hrstd="t" o:hr="t" fillcolor="#a0a0a0" stroked="f"/>
        </w:pict>
      </w:r>
    </w:p>
    <w:p w14:paraId="1D3649D0"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3.8 Chapter Conclusion</w:t>
      </w:r>
    </w:p>
    <w:p w14:paraId="46BA7F2A"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t>This chapter has outlined the methodological approach used to identify, select, validate, and analyse academic sources for this dissertation. A structured search strategy, rigorous validation process, and thematic analysis ensured that the literature included is credible, relevant, and aligned with the research aim. These methods formed the foundation for identifying key themes, which will be explored in detail in Chapter 4: Findings and Discussion.</w:t>
      </w:r>
    </w:p>
    <w:p w14:paraId="2DE79A6D" w14:textId="77777777" w:rsidR="0086570F" w:rsidRPr="00DA6718" w:rsidRDefault="0086570F" w:rsidP="00DA6718">
      <w:pPr>
        <w:pStyle w:val="Heading1"/>
        <w:spacing w:line="360" w:lineRule="auto"/>
        <w:ind w:left="0"/>
        <w:rPr>
          <w:rFonts w:cs="Arial"/>
          <w:sz w:val="22"/>
          <w:szCs w:val="22"/>
        </w:rPr>
      </w:pPr>
    </w:p>
    <w:p w14:paraId="3E27A013" w14:textId="4C10C741" w:rsidR="001C3AF6" w:rsidRPr="00DA6718" w:rsidRDefault="001C3AF6" w:rsidP="00DA6718">
      <w:pPr>
        <w:pStyle w:val="Heading1"/>
        <w:spacing w:line="360" w:lineRule="auto"/>
        <w:ind w:left="0"/>
        <w:rPr>
          <w:rFonts w:cs="Arial"/>
          <w:sz w:val="22"/>
          <w:szCs w:val="22"/>
        </w:rPr>
      </w:pPr>
      <w:r w:rsidRPr="00DA6718">
        <w:rPr>
          <w:rFonts w:cs="Arial"/>
          <w:sz w:val="22"/>
          <w:szCs w:val="22"/>
        </w:rPr>
        <w:t>C</w:t>
      </w:r>
      <w:r w:rsidR="00636D9A" w:rsidRPr="00DA6718">
        <w:rPr>
          <w:rFonts w:cs="Arial"/>
          <w:sz w:val="22"/>
          <w:szCs w:val="22"/>
        </w:rPr>
        <w:t>HAPTER</w:t>
      </w:r>
      <w:r w:rsidRPr="00DA6718">
        <w:rPr>
          <w:rFonts w:cs="Arial"/>
          <w:sz w:val="22"/>
          <w:szCs w:val="22"/>
        </w:rPr>
        <w:t xml:space="preserve"> 4 – Findings and Discussion </w:t>
      </w:r>
    </w:p>
    <w:p w14:paraId="064C0B3F"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4.1 Introduction</w:t>
      </w:r>
    </w:p>
    <w:p w14:paraId="2E581667"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This chapter presents the findings of the scoping review and discusses how digital health interventions are currently used to support people living with dementia and their informal carers in UK health, social-care and integrated-care settings. As outlined in Chapter 3, six databases were searched systematically, and 20 studies met the inclusion criteria. These comprised qualitative interview studies, mixed-methods evaluations, feasibility and pilot projects, participatory design work, secondary data analyses and evidence reviews.</w:t>
      </w:r>
    </w:p>
    <w:p w14:paraId="04602ED6"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studies examined a range of digital interventions, including telehealth and remote consultations, telecare alarms and monitoring systems, smart-home technologies, tablet-based cognitive stimulation, digital reminiscence and life-story tools, AI-enabled diagnostic support, online education for carers and system-level digital telecare programmes.</w:t>
      </w:r>
    </w:p>
    <w:p w14:paraId="78F16AC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lastRenderedPageBreak/>
        <w:t>Through inductive thematic analysis, four overarching themes were identified:</w:t>
      </w:r>
    </w:p>
    <w:p w14:paraId="609B6156" w14:textId="77777777" w:rsidR="00DA6718" w:rsidRPr="00DA6718" w:rsidRDefault="00DA6718" w:rsidP="00DA6718">
      <w:pPr>
        <w:pStyle w:val="Heading1"/>
        <w:numPr>
          <w:ilvl w:val="0"/>
          <w:numId w:val="211"/>
        </w:numPr>
        <w:spacing w:line="360" w:lineRule="auto"/>
        <w:rPr>
          <w:rFonts w:cs="Arial"/>
          <w:b w:val="0"/>
          <w:bCs/>
          <w:sz w:val="22"/>
          <w:szCs w:val="22"/>
        </w:rPr>
      </w:pPr>
      <w:r w:rsidRPr="00DA6718">
        <w:rPr>
          <w:rFonts w:cs="Arial"/>
          <w:b w:val="0"/>
          <w:bCs/>
          <w:sz w:val="22"/>
          <w:szCs w:val="22"/>
        </w:rPr>
        <w:t>Clinical, psychosocial and service outcomes of digital interventions</w:t>
      </w:r>
    </w:p>
    <w:p w14:paraId="43F20DDD" w14:textId="77777777" w:rsidR="00DA6718" w:rsidRPr="00DA6718" w:rsidRDefault="00DA6718" w:rsidP="00DA6718">
      <w:pPr>
        <w:pStyle w:val="Heading1"/>
        <w:numPr>
          <w:ilvl w:val="0"/>
          <w:numId w:val="211"/>
        </w:numPr>
        <w:spacing w:line="360" w:lineRule="auto"/>
        <w:rPr>
          <w:rFonts w:cs="Arial"/>
          <w:b w:val="0"/>
          <w:bCs/>
          <w:sz w:val="22"/>
          <w:szCs w:val="22"/>
        </w:rPr>
      </w:pPr>
      <w:r w:rsidRPr="00DA6718">
        <w:rPr>
          <w:rFonts w:cs="Arial"/>
          <w:b w:val="0"/>
          <w:bCs/>
          <w:sz w:val="22"/>
          <w:szCs w:val="22"/>
        </w:rPr>
        <w:t>Usability and accessibility challenges in everyday use</w:t>
      </w:r>
    </w:p>
    <w:p w14:paraId="380AA729" w14:textId="77777777" w:rsidR="00DA6718" w:rsidRPr="00DA6718" w:rsidRDefault="00DA6718" w:rsidP="00DA6718">
      <w:pPr>
        <w:pStyle w:val="Heading1"/>
        <w:numPr>
          <w:ilvl w:val="0"/>
          <w:numId w:val="211"/>
        </w:numPr>
        <w:spacing w:line="360" w:lineRule="auto"/>
        <w:rPr>
          <w:rFonts w:cs="Arial"/>
          <w:b w:val="0"/>
          <w:bCs/>
          <w:sz w:val="22"/>
          <w:szCs w:val="22"/>
        </w:rPr>
      </w:pPr>
      <w:r w:rsidRPr="00DA6718">
        <w:rPr>
          <w:rFonts w:cs="Arial"/>
          <w:b w:val="0"/>
          <w:bCs/>
          <w:sz w:val="22"/>
          <w:szCs w:val="22"/>
        </w:rPr>
        <w:t>Equity, digital inclusion and structural barriers</w:t>
      </w:r>
    </w:p>
    <w:p w14:paraId="0BBB9B80" w14:textId="77777777" w:rsidR="00DA6718" w:rsidRPr="00DA6718" w:rsidRDefault="00DA6718" w:rsidP="00DA6718">
      <w:pPr>
        <w:pStyle w:val="Heading1"/>
        <w:numPr>
          <w:ilvl w:val="0"/>
          <w:numId w:val="211"/>
        </w:numPr>
        <w:spacing w:line="360" w:lineRule="auto"/>
        <w:rPr>
          <w:rFonts w:cs="Arial"/>
          <w:b w:val="0"/>
          <w:bCs/>
          <w:sz w:val="22"/>
          <w:szCs w:val="22"/>
        </w:rPr>
      </w:pPr>
      <w:r w:rsidRPr="00DA6718">
        <w:rPr>
          <w:rFonts w:cs="Arial"/>
          <w:b w:val="0"/>
          <w:bCs/>
          <w:sz w:val="22"/>
          <w:szCs w:val="22"/>
        </w:rPr>
        <w:t>Evidence gaps, implementation challenges and future research needs</w:t>
      </w:r>
    </w:p>
    <w:p w14:paraId="37493B8B"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This chapter begins with an overview of the included studies (Section 4.2) and then explores each theme in turn (Sections 4.3–4.6). The chapter concludes with an overall discussion (Section 4.7) and a brief summary (Section 4.8) linking findings to the dissertation aim and objectives.</w:t>
      </w:r>
    </w:p>
    <w:p w14:paraId="0F7E0643"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192F98BA">
          <v:rect id="_x0000_i1684" style="width:0;height:1.5pt" o:hralign="center" o:hrstd="t" o:hr="t" fillcolor="#a0a0a0" stroked="f"/>
        </w:pict>
      </w:r>
    </w:p>
    <w:p w14:paraId="70C2E5B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4.2 Overview of Included Studies</w:t>
      </w:r>
    </w:p>
    <w:p w14:paraId="7FF4AD1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20 included studies covered a broad spectrum of digital health interventions and settings. Several key patterns emerged:</w:t>
      </w:r>
    </w:p>
    <w:p w14:paraId="68A07FE7" w14:textId="77777777" w:rsidR="00DA6718" w:rsidRPr="00DA6718" w:rsidRDefault="00DA6718" w:rsidP="00DA6718">
      <w:pPr>
        <w:pStyle w:val="Heading1"/>
        <w:numPr>
          <w:ilvl w:val="0"/>
          <w:numId w:val="212"/>
        </w:numPr>
        <w:spacing w:line="360" w:lineRule="auto"/>
        <w:rPr>
          <w:rFonts w:cs="Arial"/>
          <w:b w:val="0"/>
          <w:bCs/>
          <w:sz w:val="22"/>
          <w:szCs w:val="22"/>
        </w:rPr>
      </w:pPr>
      <w:r w:rsidRPr="00DA6718">
        <w:rPr>
          <w:rFonts w:cs="Arial"/>
          <w:b w:val="0"/>
          <w:bCs/>
          <w:sz w:val="22"/>
          <w:szCs w:val="22"/>
        </w:rPr>
        <w:t>Types of digital intervention</w:t>
      </w:r>
    </w:p>
    <w:p w14:paraId="70579E33"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Telehealth and remote primary care (e.g. remote GP consultations for people with dementia during COVID-19).</w:t>
      </w:r>
    </w:p>
    <w:p w14:paraId="6C5D1032"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Telecare alarms, home monitoring and smart-home sensors to support safety and independence at home.</w:t>
      </w:r>
    </w:p>
    <w:p w14:paraId="4943502A"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Tablet-based cognitive stimulation and digital life-story or reminiscence tools.</w:t>
      </w:r>
    </w:p>
    <w:p w14:paraId="36673ACB"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AI-supported diagnostic tools and remote cognitive assessments.</w:t>
      </w:r>
    </w:p>
    <w:p w14:paraId="314747ED"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Online information, education and peer-support platforms for informal carers.</w:t>
      </w:r>
    </w:p>
    <w:p w14:paraId="169F2232"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System-level digital telecare modernisation projects and regional assistive technology roll-outs.</w:t>
      </w:r>
    </w:p>
    <w:p w14:paraId="71EF9C7F" w14:textId="77777777" w:rsidR="00DA6718" w:rsidRPr="00DA6718" w:rsidRDefault="00DA6718" w:rsidP="00DA6718">
      <w:pPr>
        <w:pStyle w:val="Heading1"/>
        <w:numPr>
          <w:ilvl w:val="0"/>
          <w:numId w:val="212"/>
        </w:numPr>
        <w:spacing w:line="360" w:lineRule="auto"/>
        <w:rPr>
          <w:rFonts w:cs="Arial"/>
          <w:b w:val="0"/>
          <w:bCs/>
          <w:sz w:val="22"/>
          <w:szCs w:val="22"/>
        </w:rPr>
      </w:pPr>
      <w:r w:rsidRPr="00DA6718">
        <w:rPr>
          <w:rFonts w:cs="Arial"/>
          <w:b w:val="0"/>
          <w:bCs/>
          <w:sz w:val="22"/>
          <w:szCs w:val="22"/>
        </w:rPr>
        <w:t>Study designs</w:t>
      </w:r>
    </w:p>
    <w:p w14:paraId="1053A728"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Qualitative studies using semi-structured interviews and focus groups with people with dementia, carers and professionals.</w:t>
      </w:r>
    </w:p>
    <w:p w14:paraId="7440561C"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Carer surveys exploring experiences of assistive technology and online information.</w:t>
      </w:r>
    </w:p>
    <w:p w14:paraId="6334734B"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Feasibility and pilot studies of sensor-based monitoring and smart-home systems.</w:t>
      </w:r>
    </w:p>
    <w:p w14:paraId="6E37FFA7"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Mixed-methods evaluations of telecare and digital telehealth services.</w:t>
      </w:r>
    </w:p>
    <w:p w14:paraId="755789B9"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Evidence and scoping reviews focusing on AI tools or digital dementia technologies in the UK.</w:t>
      </w:r>
    </w:p>
    <w:p w14:paraId="3A4B7951"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Participatory design studies co-developing digital social tools with people living with dementia.</w:t>
      </w:r>
    </w:p>
    <w:p w14:paraId="7C79DCAF" w14:textId="77777777" w:rsidR="00DA6718" w:rsidRPr="00DA6718" w:rsidRDefault="00DA6718" w:rsidP="00DA6718">
      <w:pPr>
        <w:pStyle w:val="Heading1"/>
        <w:numPr>
          <w:ilvl w:val="0"/>
          <w:numId w:val="212"/>
        </w:numPr>
        <w:spacing w:line="360" w:lineRule="auto"/>
        <w:rPr>
          <w:rFonts w:cs="Arial"/>
          <w:b w:val="0"/>
          <w:bCs/>
          <w:sz w:val="22"/>
          <w:szCs w:val="22"/>
        </w:rPr>
      </w:pPr>
      <w:r w:rsidRPr="00DA6718">
        <w:rPr>
          <w:rFonts w:cs="Arial"/>
          <w:b w:val="0"/>
          <w:bCs/>
          <w:sz w:val="22"/>
          <w:szCs w:val="22"/>
        </w:rPr>
        <w:t>Settings and populations</w:t>
      </w:r>
    </w:p>
    <w:p w14:paraId="6A14119E"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Community-dwelling people with dementia living at home.</w:t>
      </w:r>
    </w:p>
    <w:p w14:paraId="1EF4D7E8"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lastRenderedPageBreak/>
        <w:t>Informal carers, often spouses or adult children.</w:t>
      </w:r>
    </w:p>
    <w:p w14:paraId="320B9C46"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Primary care and memory clinic settings.</w:t>
      </w:r>
    </w:p>
    <w:p w14:paraId="0276FDBA"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Social-care services, including local authority telecare.</w:t>
      </w:r>
    </w:p>
    <w:p w14:paraId="29F0894F" w14:textId="77777777" w:rsidR="00DA6718" w:rsidRPr="00DA6718" w:rsidRDefault="00DA6718" w:rsidP="00DA6718">
      <w:pPr>
        <w:pStyle w:val="Heading1"/>
        <w:numPr>
          <w:ilvl w:val="1"/>
          <w:numId w:val="212"/>
        </w:numPr>
        <w:spacing w:line="360" w:lineRule="auto"/>
        <w:rPr>
          <w:rFonts w:cs="Arial"/>
          <w:b w:val="0"/>
          <w:bCs/>
          <w:sz w:val="22"/>
          <w:szCs w:val="22"/>
        </w:rPr>
      </w:pPr>
      <w:r w:rsidRPr="00DA6718">
        <w:rPr>
          <w:rFonts w:cs="Arial"/>
          <w:b w:val="0"/>
          <w:bCs/>
          <w:sz w:val="22"/>
          <w:szCs w:val="22"/>
        </w:rPr>
        <w:t>Integrated Care Systems (ICSs) and national digital telecare programmes.</w:t>
      </w:r>
    </w:p>
    <w:p w14:paraId="0BD0732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Overall, the studies showed that digital health is being used at multiple points along the dementia pathway—from early detection and diagnosis to ongoing support, carer education and crisis prevention. However, the scale of implementation, evaluation quality and population reach varied considerably.</w:t>
      </w:r>
    </w:p>
    <w:p w14:paraId="56DE1BF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5202D7DC">
          <v:rect id="_x0000_i1685" style="width:0;height:1.5pt" o:hralign="center" o:hrstd="t" o:hr="t" fillcolor="#a0a0a0" stroked="f"/>
        </w:pict>
      </w:r>
    </w:p>
    <w:p w14:paraId="21E2F406"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4.3 Theme 1 – Clinical, Psychosocial and Service Outcomes</w:t>
      </w:r>
    </w:p>
    <w:p w14:paraId="1AB84D3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first theme relates to the reported clinical, psychosocial and service-level outcomes associated with digital health interventions in dementia care.</w:t>
      </w:r>
    </w:p>
    <w:p w14:paraId="2B780CC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4.3.1 Clinical and safety-related outcomes</w:t>
      </w:r>
    </w:p>
    <w:p w14:paraId="3790070A"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Telecare alarms, home monitoring systems and smart-home technologies were widely reported to enhance safety and support independent living for people with dementia. Studies of sensor-based monitoring and telecare (e.g. Acland et al.; Timmons et al.; Fleming et al.) found that tools such as fall detectors, night-time movement sensors, GPS trackers and automated alerts enabled earlier detection of risk, reduced the likelihood of unnoticed falls or wandering, and in some cases delayed the need for residential care.</w:t>
      </w:r>
    </w:p>
    <w:p w14:paraId="2B6ADA0F"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Carers frequently reported increased peace of mind when safety systems were in place, as they could respond more quickly to alerts and felt less need for constant physical supervision. From a service perspective, some evaluations suggested potential reductions in emergency admissions or formal care use, although robust cost-effectiveness data were limited.</w:t>
      </w:r>
    </w:p>
    <w:p w14:paraId="3D3C399B"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AI-based tools and remote cognitive assessments were also explored. Early findings indicated that these technologies may support earlier detection of cognitive impairment and help triage referrals to specialist services. However, clinicians expressed caution regarding diagnostic accuracy, transparency and the need for thorough validation before routine clinical use.</w:t>
      </w:r>
    </w:p>
    <w:p w14:paraId="4A7AC613"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4.3.2 Psychosocial outcomes and quality of life</w:t>
      </w:r>
    </w:p>
    <w:p w14:paraId="630DADC7"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Digital interventions aimed at engagement and stimulation—such as tablet-based cognitive activities and digital life-story tools—demonstrated positive psychosocial outcomes. Studies reported improvements in:</w:t>
      </w:r>
    </w:p>
    <w:p w14:paraId="1ED09432" w14:textId="77777777" w:rsidR="00DA6718" w:rsidRPr="00DA6718" w:rsidRDefault="00DA6718" w:rsidP="00DA6718">
      <w:pPr>
        <w:pStyle w:val="Heading1"/>
        <w:numPr>
          <w:ilvl w:val="0"/>
          <w:numId w:val="213"/>
        </w:numPr>
        <w:spacing w:line="360" w:lineRule="auto"/>
        <w:rPr>
          <w:rFonts w:cs="Arial"/>
          <w:b w:val="0"/>
          <w:bCs/>
          <w:sz w:val="22"/>
          <w:szCs w:val="22"/>
        </w:rPr>
      </w:pPr>
      <w:r w:rsidRPr="00DA6718">
        <w:rPr>
          <w:rFonts w:cs="Arial"/>
          <w:b w:val="0"/>
          <w:bCs/>
          <w:sz w:val="22"/>
          <w:szCs w:val="22"/>
        </w:rPr>
        <w:t>mood and enjoyment</w:t>
      </w:r>
    </w:p>
    <w:p w14:paraId="42D20107" w14:textId="77777777" w:rsidR="00DA6718" w:rsidRPr="00DA6718" w:rsidRDefault="00DA6718" w:rsidP="00DA6718">
      <w:pPr>
        <w:pStyle w:val="Heading1"/>
        <w:numPr>
          <w:ilvl w:val="0"/>
          <w:numId w:val="213"/>
        </w:numPr>
        <w:spacing w:line="360" w:lineRule="auto"/>
        <w:rPr>
          <w:rFonts w:cs="Arial"/>
          <w:b w:val="0"/>
          <w:bCs/>
          <w:sz w:val="22"/>
          <w:szCs w:val="22"/>
        </w:rPr>
      </w:pPr>
      <w:r w:rsidRPr="00DA6718">
        <w:rPr>
          <w:rFonts w:cs="Arial"/>
          <w:b w:val="0"/>
          <w:bCs/>
          <w:sz w:val="22"/>
          <w:szCs w:val="22"/>
        </w:rPr>
        <w:t>social connection with family and staff</w:t>
      </w:r>
    </w:p>
    <w:p w14:paraId="0D7E5299" w14:textId="77777777" w:rsidR="00DA6718" w:rsidRPr="00DA6718" w:rsidRDefault="00DA6718" w:rsidP="00DA6718">
      <w:pPr>
        <w:pStyle w:val="Heading1"/>
        <w:numPr>
          <w:ilvl w:val="0"/>
          <w:numId w:val="213"/>
        </w:numPr>
        <w:spacing w:line="360" w:lineRule="auto"/>
        <w:rPr>
          <w:rFonts w:cs="Arial"/>
          <w:b w:val="0"/>
          <w:bCs/>
          <w:sz w:val="22"/>
          <w:szCs w:val="22"/>
        </w:rPr>
      </w:pPr>
      <w:r w:rsidRPr="00DA6718">
        <w:rPr>
          <w:rFonts w:cs="Arial"/>
          <w:b w:val="0"/>
          <w:bCs/>
          <w:sz w:val="22"/>
          <w:szCs w:val="22"/>
        </w:rPr>
        <w:t>motivation to participate in activities</w:t>
      </w:r>
    </w:p>
    <w:p w14:paraId="42335E05" w14:textId="77777777" w:rsidR="00DA6718" w:rsidRPr="00DA6718" w:rsidRDefault="00DA6718" w:rsidP="00DA6718">
      <w:pPr>
        <w:pStyle w:val="Heading1"/>
        <w:numPr>
          <w:ilvl w:val="0"/>
          <w:numId w:val="213"/>
        </w:numPr>
        <w:spacing w:line="360" w:lineRule="auto"/>
        <w:rPr>
          <w:rFonts w:cs="Arial"/>
          <w:b w:val="0"/>
          <w:bCs/>
          <w:sz w:val="22"/>
          <w:szCs w:val="22"/>
        </w:rPr>
      </w:pPr>
      <w:r w:rsidRPr="00DA6718">
        <w:rPr>
          <w:rFonts w:cs="Arial"/>
          <w:b w:val="0"/>
          <w:bCs/>
          <w:sz w:val="22"/>
          <w:szCs w:val="22"/>
        </w:rPr>
        <w:t>opportunities to express identity and personal history</w:t>
      </w:r>
    </w:p>
    <w:p w14:paraId="47AAC6A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lastRenderedPageBreak/>
        <w:t>Digital reminiscence tools, in particular, were valued for supporting personhood and communication, consistent with person-centred care principles. Individuals with dementia, carers and staff described enhanced interpersonal interactions when using personalised photos, music or videos on digital platforms.</w:t>
      </w:r>
    </w:p>
    <w:p w14:paraId="7D92B5AC"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Telehealth and online carer support also had psychosocial benefits. Remote peer-support groups for carers were associated with reduced loneliness, increased emotional validation and a stronger sense of community. Online education and information platforms improved carers’ understanding of dementia, behavioural symptoms and available support, which in turn enhanced confidence and reduced some elements of stress.</w:t>
      </w:r>
    </w:p>
    <w:p w14:paraId="0050879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4.3.3 Service outcomes and system benefits</w:t>
      </w:r>
    </w:p>
    <w:p w14:paraId="2C6F5CE4"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At a system level, several studies reported that digital interventions could:</w:t>
      </w:r>
    </w:p>
    <w:p w14:paraId="474B5BEA" w14:textId="77777777" w:rsidR="00DA6718" w:rsidRPr="00DA6718" w:rsidRDefault="00DA6718" w:rsidP="00DA6718">
      <w:pPr>
        <w:pStyle w:val="Heading1"/>
        <w:numPr>
          <w:ilvl w:val="0"/>
          <w:numId w:val="214"/>
        </w:numPr>
        <w:spacing w:line="360" w:lineRule="auto"/>
        <w:rPr>
          <w:rFonts w:cs="Arial"/>
          <w:b w:val="0"/>
          <w:bCs/>
          <w:sz w:val="22"/>
          <w:szCs w:val="22"/>
        </w:rPr>
      </w:pPr>
      <w:r w:rsidRPr="00DA6718">
        <w:rPr>
          <w:rFonts w:cs="Arial"/>
          <w:b w:val="0"/>
          <w:bCs/>
          <w:sz w:val="22"/>
          <w:szCs w:val="22"/>
        </w:rPr>
        <w:t>improve communication between professionals and carers</w:t>
      </w:r>
    </w:p>
    <w:p w14:paraId="3111F401" w14:textId="77777777" w:rsidR="00DA6718" w:rsidRPr="00DA6718" w:rsidRDefault="00DA6718" w:rsidP="00DA6718">
      <w:pPr>
        <w:pStyle w:val="Heading1"/>
        <w:numPr>
          <w:ilvl w:val="0"/>
          <w:numId w:val="214"/>
        </w:numPr>
        <w:spacing w:line="360" w:lineRule="auto"/>
        <w:rPr>
          <w:rFonts w:cs="Arial"/>
          <w:b w:val="0"/>
          <w:bCs/>
          <w:sz w:val="22"/>
          <w:szCs w:val="22"/>
        </w:rPr>
      </w:pPr>
      <w:r w:rsidRPr="00DA6718">
        <w:rPr>
          <w:rFonts w:cs="Arial"/>
          <w:b w:val="0"/>
          <w:bCs/>
          <w:sz w:val="22"/>
          <w:szCs w:val="22"/>
        </w:rPr>
        <w:t>streamline monitoring and follow-up</w:t>
      </w:r>
    </w:p>
    <w:p w14:paraId="18CA9598" w14:textId="77777777" w:rsidR="00DA6718" w:rsidRPr="00DA6718" w:rsidRDefault="00DA6718" w:rsidP="00DA6718">
      <w:pPr>
        <w:pStyle w:val="Heading1"/>
        <w:numPr>
          <w:ilvl w:val="0"/>
          <w:numId w:val="214"/>
        </w:numPr>
        <w:spacing w:line="360" w:lineRule="auto"/>
        <w:rPr>
          <w:rFonts w:cs="Arial"/>
          <w:b w:val="0"/>
          <w:bCs/>
          <w:sz w:val="22"/>
          <w:szCs w:val="22"/>
        </w:rPr>
      </w:pPr>
      <w:r w:rsidRPr="00DA6718">
        <w:rPr>
          <w:rFonts w:cs="Arial"/>
          <w:b w:val="0"/>
          <w:bCs/>
          <w:sz w:val="22"/>
          <w:szCs w:val="22"/>
        </w:rPr>
        <w:t>support “care closer to home”</w:t>
      </w:r>
    </w:p>
    <w:p w14:paraId="2ED9A9C8" w14:textId="77777777" w:rsidR="00DA6718" w:rsidRPr="00DA6718" w:rsidRDefault="00DA6718" w:rsidP="00DA6718">
      <w:pPr>
        <w:pStyle w:val="Heading1"/>
        <w:numPr>
          <w:ilvl w:val="0"/>
          <w:numId w:val="214"/>
        </w:numPr>
        <w:spacing w:line="360" w:lineRule="auto"/>
        <w:rPr>
          <w:rFonts w:cs="Arial"/>
          <w:b w:val="0"/>
          <w:bCs/>
          <w:sz w:val="22"/>
          <w:szCs w:val="22"/>
        </w:rPr>
      </w:pPr>
      <w:r w:rsidRPr="00DA6718">
        <w:rPr>
          <w:rFonts w:cs="Arial"/>
          <w:b w:val="0"/>
          <w:bCs/>
          <w:sz w:val="22"/>
          <w:szCs w:val="22"/>
        </w:rPr>
        <w:t>reduce travel burdens for families and clinicians</w:t>
      </w:r>
    </w:p>
    <w:p w14:paraId="6F53350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Remote consultations were particularly useful during the COVID-19 pandemic, maintaining access to primary and specialist care while minimising infection risk. However, these benefits were not universal and depended heavily on adequate support, infrastructure and user capability.</w:t>
      </w:r>
    </w:p>
    <w:p w14:paraId="6625F913"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4.3.4 Summary of Theme 1</w:t>
      </w:r>
    </w:p>
    <w:p w14:paraId="59D13C4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In summary, the evidence indicates that digital health interventions can positively influence clinical safety, psychosocial wellbeing and aspects of service efficiency for people living with dementia and their carers. Nonetheless, many studies were small-scale, short-term and exploratory, limiting the strength of conclusions. More robust, longitudinal evaluations are needed to confirm and quantify these outcomes.</w:t>
      </w:r>
    </w:p>
    <w:p w14:paraId="4B02124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521FE6EA">
          <v:rect id="_x0000_i1686" style="width:0;height:1.5pt" o:hralign="center" o:hrstd="t" o:hr="t" fillcolor="#a0a0a0" stroked="f"/>
        </w:pict>
      </w:r>
    </w:p>
    <w:p w14:paraId="29835D19"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4.4 Theme 2 – Usability and Accessibility Challenges</w:t>
      </w:r>
    </w:p>
    <w:p w14:paraId="2F9749DF"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second theme concerns the usability of digital tools and the practical challenges people with dementia, carers and professionals face in using them.</w:t>
      </w:r>
    </w:p>
    <w:p w14:paraId="59F9B5EB"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4.4.1 Usability for people living with dementia</w:t>
      </w:r>
    </w:p>
    <w:p w14:paraId="5BC4E444"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Several studies highlighted that people with dementia can benefit from digital tools, but only when design is simple, intuitive and adaptable to cognitive and sensory changes. Common usability challenges included:</w:t>
      </w:r>
    </w:p>
    <w:p w14:paraId="2B75F420" w14:textId="77777777" w:rsidR="00DA6718" w:rsidRPr="00DA6718" w:rsidRDefault="00DA6718" w:rsidP="00DA6718">
      <w:pPr>
        <w:pStyle w:val="Heading1"/>
        <w:numPr>
          <w:ilvl w:val="0"/>
          <w:numId w:val="215"/>
        </w:numPr>
        <w:spacing w:line="360" w:lineRule="auto"/>
        <w:rPr>
          <w:rFonts w:cs="Arial"/>
          <w:b w:val="0"/>
          <w:bCs/>
          <w:sz w:val="22"/>
          <w:szCs w:val="22"/>
        </w:rPr>
      </w:pPr>
      <w:r w:rsidRPr="00DA6718">
        <w:rPr>
          <w:rFonts w:cs="Arial"/>
          <w:b w:val="0"/>
          <w:bCs/>
          <w:sz w:val="22"/>
          <w:szCs w:val="22"/>
        </w:rPr>
        <w:t>difficulty remembering passwords or multi-step procedures</w:t>
      </w:r>
    </w:p>
    <w:p w14:paraId="672326EC" w14:textId="77777777" w:rsidR="00DA6718" w:rsidRPr="00DA6718" w:rsidRDefault="00DA6718" w:rsidP="00DA6718">
      <w:pPr>
        <w:pStyle w:val="Heading1"/>
        <w:numPr>
          <w:ilvl w:val="0"/>
          <w:numId w:val="215"/>
        </w:numPr>
        <w:spacing w:line="360" w:lineRule="auto"/>
        <w:rPr>
          <w:rFonts w:cs="Arial"/>
          <w:b w:val="0"/>
          <w:bCs/>
          <w:sz w:val="22"/>
          <w:szCs w:val="22"/>
        </w:rPr>
      </w:pPr>
      <w:r w:rsidRPr="00DA6718">
        <w:rPr>
          <w:rFonts w:cs="Arial"/>
          <w:b w:val="0"/>
          <w:bCs/>
          <w:sz w:val="22"/>
          <w:szCs w:val="22"/>
        </w:rPr>
        <w:t>confusion caused by cluttered interfaces or small icons</w:t>
      </w:r>
    </w:p>
    <w:p w14:paraId="4A990785" w14:textId="77777777" w:rsidR="00DA6718" w:rsidRPr="00DA6718" w:rsidRDefault="00DA6718" w:rsidP="00DA6718">
      <w:pPr>
        <w:pStyle w:val="Heading1"/>
        <w:numPr>
          <w:ilvl w:val="0"/>
          <w:numId w:val="215"/>
        </w:numPr>
        <w:spacing w:line="360" w:lineRule="auto"/>
        <w:rPr>
          <w:rFonts w:cs="Arial"/>
          <w:b w:val="0"/>
          <w:bCs/>
          <w:sz w:val="22"/>
          <w:szCs w:val="22"/>
        </w:rPr>
      </w:pPr>
      <w:r w:rsidRPr="00DA6718">
        <w:rPr>
          <w:rFonts w:cs="Arial"/>
          <w:b w:val="0"/>
          <w:bCs/>
          <w:sz w:val="22"/>
          <w:szCs w:val="22"/>
        </w:rPr>
        <w:t>frustration with unreliable connections or complex menus</w:t>
      </w:r>
    </w:p>
    <w:p w14:paraId="6BC266B6" w14:textId="77777777" w:rsidR="00DA6718" w:rsidRPr="00DA6718" w:rsidRDefault="00DA6718" w:rsidP="00DA6718">
      <w:pPr>
        <w:pStyle w:val="Heading1"/>
        <w:numPr>
          <w:ilvl w:val="0"/>
          <w:numId w:val="215"/>
        </w:numPr>
        <w:spacing w:line="360" w:lineRule="auto"/>
        <w:rPr>
          <w:rFonts w:cs="Arial"/>
          <w:b w:val="0"/>
          <w:bCs/>
          <w:sz w:val="22"/>
          <w:szCs w:val="22"/>
        </w:rPr>
      </w:pPr>
      <w:r w:rsidRPr="00DA6718">
        <w:rPr>
          <w:rFonts w:cs="Arial"/>
          <w:b w:val="0"/>
          <w:bCs/>
          <w:sz w:val="22"/>
          <w:szCs w:val="22"/>
        </w:rPr>
        <w:t>anxiety about “breaking” the device or doing something wrong</w:t>
      </w:r>
    </w:p>
    <w:p w14:paraId="1BEB3574"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lastRenderedPageBreak/>
        <w:t>As a result, many individuals required ongoing support from carers or staff to use digital tools successfully. Where clear visual prompts, familiar content and touch-screen interfaces were used, engagement and satisfaction tended to be higher.</w:t>
      </w:r>
    </w:p>
    <w:p w14:paraId="296E54D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4.4.2 Carers as mediators of digital access</w:t>
      </w:r>
    </w:p>
    <w:p w14:paraId="08B8C02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Carers frequently acted as intermediaries, managing devices, facilitating remote consultations, navigating apps and interpreting information. Studies of telehealth during COVID-19 found that carers were often responsible for setting up video calls, managing log-ins, adjusting cameras and conveying clinical information.</w:t>
      </w:r>
    </w:p>
    <w:p w14:paraId="32B1478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While some carers welcomed these tools as a way to access support more conveniently, others reported increased workload and stress. Digital systems were not always designed with carers’ needs in mind, and the expectation that they would manage technology sometimes felt burdensome, particularly for older carers or those with their own health conditions.</w:t>
      </w:r>
    </w:p>
    <w:p w14:paraId="5612D7D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4.4.3 Accessibility and practical barriers</w:t>
      </w:r>
    </w:p>
    <w:p w14:paraId="2BEE66D6"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Beyond interface design, several practical factors affected accessibility:</w:t>
      </w:r>
    </w:p>
    <w:p w14:paraId="73EBE785" w14:textId="77777777" w:rsidR="00DA6718" w:rsidRPr="00DA6718" w:rsidRDefault="00DA6718" w:rsidP="00DA6718">
      <w:pPr>
        <w:pStyle w:val="Heading1"/>
        <w:numPr>
          <w:ilvl w:val="0"/>
          <w:numId w:val="216"/>
        </w:numPr>
        <w:spacing w:line="360" w:lineRule="auto"/>
        <w:rPr>
          <w:rFonts w:cs="Arial"/>
          <w:b w:val="0"/>
          <w:bCs/>
          <w:sz w:val="22"/>
          <w:szCs w:val="22"/>
        </w:rPr>
      </w:pPr>
      <w:r w:rsidRPr="00DA6718">
        <w:rPr>
          <w:rFonts w:cs="Arial"/>
          <w:b w:val="0"/>
          <w:bCs/>
          <w:sz w:val="22"/>
          <w:szCs w:val="22"/>
        </w:rPr>
        <w:t>unreliable broadband or mobile coverage, especially in rural areas</w:t>
      </w:r>
    </w:p>
    <w:p w14:paraId="3C1DD9F8" w14:textId="77777777" w:rsidR="00DA6718" w:rsidRPr="00DA6718" w:rsidRDefault="00DA6718" w:rsidP="00DA6718">
      <w:pPr>
        <w:pStyle w:val="Heading1"/>
        <w:numPr>
          <w:ilvl w:val="0"/>
          <w:numId w:val="216"/>
        </w:numPr>
        <w:spacing w:line="360" w:lineRule="auto"/>
        <w:rPr>
          <w:rFonts w:cs="Arial"/>
          <w:b w:val="0"/>
          <w:bCs/>
          <w:sz w:val="22"/>
          <w:szCs w:val="22"/>
        </w:rPr>
      </w:pPr>
      <w:r w:rsidRPr="00DA6718">
        <w:rPr>
          <w:rFonts w:cs="Arial"/>
          <w:b w:val="0"/>
          <w:bCs/>
          <w:sz w:val="22"/>
          <w:szCs w:val="22"/>
        </w:rPr>
        <w:t>limited access to modern devices (reliance on older smartphones or shared equipment)</w:t>
      </w:r>
    </w:p>
    <w:p w14:paraId="603FD449" w14:textId="77777777" w:rsidR="00DA6718" w:rsidRPr="00DA6718" w:rsidRDefault="00DA6718" w:rsidP="00DA6718">
      <w:pPr>
        <w:pStyle w:val="Heading1"/>
        <w:numPr>
          <w:ilvl w:val="0"/>
          <w:numId w:val="216"/>
        </w:numPr>
        <w:spacing w:line="360" w:lineRule="auto"/>
        <w:rPr>
          <w:rFonts w:cs="Arial"/>
          <w:b w:val="0"/>
          <w:bCs/>
          <w:sz w:val="22"/>
          <w:szCs w:val="22"/>
        </w:rPr>
      </w:pPr>
      <w:r w:rsidRPr="00DA6718">
        <w:rPr>
          <w:rFonts w:cs="Arial"/>
          <w:b w:val="0"/>
          <w:bCs/>
          <w:sz w:val="22"/>
          <w:szCs w:val="22"/>
        </w:rPr>
        <w:t>cost of devices, subscriptions or data</w:t>
      </w:r>
    </w:p>
    <w:p w14:paraId="0BBFE285" w14:textId="77777777" w:rsidR="00DA6718" w:rsidRPr="00DA6718" w:rsidRDefault="00DA6718" w:rsidP="00DA6718">
      <w:pPr>
        <w:pStyle w:val="Heading1"/>
        <w:numPr>
          <w:ilvl w:val="0"/>
          <w:numId w:val="216"/>
        </w:numPr>
        <w:spacing w:line="360" w:lineRule="auto"/>
        <w:rPr>
          <w:rFonts w:cs="Arial"/>
          <w:b w:val="0"/>
          <w:bCs/>
          <w:sz w:val="22"/>
          <w:szCs w:val="22"/>
        </w:rPr>
      </w:pPr>
      <w:r w:rsidRPr="00DA6718">
        <w:rPr>
          <w:rFonts w:cs="Arial"/>
          <w:b w:val="0"/>
          <w:bCs/>
          <w:sz w:val="22"/>
          <w:szCs w:val="22"/>
        </w:rPr>
        <w:t>lack of formal training and technical support</w:t>
      </w:r>
    </w:p>
    <w:p w14:paraId="5B61AE4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These issues reduced the usability and perceived usefulness of digital interventions, even where clinical or psychosocial potential was evident.</w:t>
      </w:r>
    </w:p>
    <w:p w14:paraId="4D68C3B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4.4.4 Summary of Theme 2</w:t>
      </w:r>
    </w:p>
    <w:p w14:paraId="472869F1"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Usability and accessibility challenges significantly influence whether digital health interventions can deliver their intended benefits. The findings highlight the importance of dementia-friendly design, clear instructions, accessible formats and appropriate support. Without these, technologies risk adding complexity rather than reducing burden for people with dementia and carers.</w:t>
      </w:r>
    </w:p>
    <w:p w14:paraId="74751A1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2CEA909A">
          <v:rect id="_x0000_i1687" style="width:0;height:1.5pt" o:hralign="center" o:hrstd="t" o:hr="t" fillcolor="#a0a0a0" stroked="f"/>
        </w:pict>
      </w:r>
    </w:p>
    <w:p w14:paraId="4B75DE0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4.5 Theme 3 – Equity, Digital Inclusion and Barriers</w:t>
      </w:r>
    </w:p>
    <w:p w14:paraId="03D2D8DC"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third theme relates to broader questions of equity and digital inclusion, focusing on who can access digital dementia support and who is left behind.</w:t>
      </w:r>
    </w:p>
    <w:p w14:paraId="4AD61323"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4.5.1 The digital divide</w:t>
      </w:r>
    </w:p>
    <w:p w14:paraId="11A90DCB"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reviewed literature consistently showed that digital access is uneven across UK populations. People most at risk of exclusion included:</w:t>
      </w:r>
    </w:p>
    <w:p w14:paraId="1D82E3B0" w14:textId="77777777" w:rsidR="00DA6718" w:rsidRPr="00DA6718" w:rsidRDefault="00DA6718" w:rsidP="00DA6718">
      <w:pPr>
        <w:pStyle w:val="Heading1"/>
        <w:numPr>
          <w:ilvl w:val="0"/>
          <w:numId w:val="217"/>
        </w:numPr>
        <w:spacing w:line="360" w:lineRule="auto"/>
        <w:rPr>
          <w:rFonts w:cs="Arial"/>
          <w:b w:val="0"/>
          <w:bCs/>
          <w:sz w:val="22"/>
          <w:szCs w:val="22"/>
        </w:rPr>
      </w:pPr>
      <w:r w:rsidRPr="00DA6718">
        <w:rPr>
          <w:rFonts w:cs="Arial"/>
          <w:b w:val="0"/>
          <w:bCs/>
          <w:sz w:val="22"/>
          <w:szCs w:val="22"/>
        </w:rPr>
        <w:t>older adults, particularly the “oldest old”</w:t>
      </w:r>
    </w:p>
    <w:p w14:paraId="4165A098" w14:textId="77777777" w:rsidR="00DA6718" w:rsidRPr="00DA6718" w:rsidRDefault="00DA6718" w:rsidP="00DA6718">
      <w:pPr>
        <w:pStyle w:val="Heading1"/>
        <w:numPr>
          <w:ilvl w:val="0"/>
          <w:numId w:val="217"/>
        </w:numPr>
        <w:spacing w:line="360" w:lineRule="auto"/>
        <w:rPr>
          <w:rFonts w:cs="Arial"/>
          <w:b w:val="0"/>
          <w:bCs/>
          <w:sz w:val="22"/>
          <w:szCs w:val="22"/>
        </w:rPr>
      </w:pPr>
      <w:r w:rsidRPr="00DA6718">
        <w:rPr>
          <w:rFonts w:cs="Arial"/>
          <w:b w:val="0"/>
          <w:bCs/>
          <w:sz w:val="22"/>
          <w:szCs w:val="22"/>
        </w:rPr>
        <w:t>people living with cognitive impairment and multiple long-term conditions</w:t>
      </w:r>
    </w:p>
    <w:p w14:paraId="72CEAFE5" w14:textId="77777777" w:rsidR="00DA6718" w:rsidRPr="00DA6718" w:rsidRDefault="00DA6718" w:rsidP="00DA6718">
      <w:pPr>
        <w:pStyle w:val="Heading1"/>
        <w:numPr>
          <w:ilvl w:val="0"/>
          <w:numId w:val="217"/>
        </w:numPr>
        <w:spacing w:line="360" w:lineRule="auto"/>
        <w:rPr>
          <w:rFonts w:cs="Arial"/>
          <w:b w:val="0"/>
          <w:bCs/>
          <w:sz w:val="22"/>
          <w:szCs w:val="22"/>
        </w:rPr>
      </w:pPr>
      <w:r w:rsidRPr="00DA6718">
        <w:rPr>
          <w:rFonts w:cs="Arial"/>
          <w:b w:val="0"/>
          <w:bCs/>
          <w:sz w:val="22"/>
          <w:szCs w:val="22"/>
        </w:rPr>
        <w:lastRenderedPageBreak/>
        <w:t>individuals on low incomes</w:t>
      </w:r>
    </w:p>
    <w:p w14:paraId="7E3EEBBC" w14:textId="77777777" w:rsidR="00DA6718" w:rsidRPr="00DA6718" w:rsidRDefault="00DA6718" w:rsidP="00DA6718">
      <w:pPr>
        <w:pStyle w:val="Heading1"/>
        <w:numPr>
          <w:ilvl w:val="0"/>
          <w:numId w:val="217"/>
        </w:numPr>
        <w:spacing w:line="360" w:lineRule="auto"/>
        <w:rPr>
          <w:rFonts w:cs="Arial"/>
          <w:b w:val="0"/>
          <w:bCs/>
          <w:sz w:val="22"/>
          <w:szCs w:val="22"/>
        </w:rPr>
      </w:pPr>
      <w:r w:rsidRPr="00DA6718">
        <w:rPr>
          <w:rFonts w:cs="Arial"/>
          <w:b w:val="0"/>
          <w:bCs/>
          <w:sz w:val="22"/>
          <w:szCs w:val="22"/>
        </w:rPr>
        <w:t>those living in rural or poorly connected areas</w:t>
      </w:r>
    </w:p>
    <w:p w14:paraId="4EE67BC3" w14:textId="77777777" w:rsidR="00DA6718" w:rsidRPr="00DA6718" w:rsidRDefault="00DA6718" w:rsidP="00DA6718">
      <w:pPr>
        <w:pStyle w:val="Heading1"/>
        <w:numPr>
          <w:ilvl w:val="0"/>
          <w:numId w:val="217"/>
        </w:numPr>
        <w:spacing w:line="360" w:lineRule="auto"/>
        <w:rPr>
          <w:rFonts w:cs="Arial"/>
          <w:b w:val="0"/>
          <w:bCs/>
          <w:sz w:val="22"/>
          <w:szCs w:val="22"/>
        </w:rPr>
      </w:pPr>
      <w:r w:rsidRPr="00DA6718">
        <w:rPr>
          <w:rFonts w:cs="Arial"/>
          <w:b w:val="0"/>
          <w:bCs/>
          <w:sz w:val="22"/>
          <w:szCs w:val="22"/>
        </w:rPr>
        <w:t>some minority ethnic communities</w:t>
      </w:r>
    </w:p>
    <w:p w14:paraId="7B26DA67"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Studies using national datasets reported that people with cognitive impairment have some of the lowest rates of internet use in the population. Limited access to devices, lack of confidence and low digital literacy were key barriers. This raises concerns that digital-first service models may inadvertently widen existing health inequalities.</w:t>
      </w:r>
    </w:p>
    <w:p w14:paraId="1C95973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4.5.2 Socioeconomic and cultural factors</w:t>
      </w:r>
    </w:p>
    <w:p w14:paraId="31D69469"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Socioeconomic status and cultural background also shaped digital engagement. Some carers from minority ethnic groups expressed concerns about surveillance, mistrust of data use or preferences for traditional, face-to-face care. Language barriers and the lack of culturally tailored digital resources further contributed to exclusion.</w:t>
      </w:r>
    </w:p>
    <w:p w14:paraId="100856EA"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At the service level, there was evidence of a “postcode lottery” in digital provision. ICSs and local authorities with stronger funding and infrastructure could offer more sophisticated digital dementia pathways, while others struggled to implement even basic telecare upgrades.</w:t>
      </w:r>
    </w:p>
    <w:p w14:paraId="2AFB0F86"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4.5.3 Ethical and rights-based considerations</w:t>
      </w:r>
    </w:p>
    <w:p w14:paraId="7C8F4A36"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theme of equity also encompasses ethical issues. Concerns were raised about:</w:t>
      </w:r>
    </w:p>
    <w:p w14:paraId="201F0536" w14:textId="77777777" w:rsidR="00DA6718" w:rsidRPr="00DA6718" w:rsidRDefault="00DA6718" w:rsidP="00DA6718">
      <w:pPr>
        <w:pStyle w:val="Heading1"/>
        <w:numPr>
          <w:ilvl w:val="0"/>
          <w:numId w:val="218"/>
        </w:numPr>
        <w:spacing w:line="360" w:lineRule="auto"/>
        <w:rPr>
          <w:rFonts w:cs="Arial"/>
          <w:b w:val="0"/>
          <w:bCs/>
          <w:sz w:val="22"/>
          <w:szCs w:val="22"/>
        </w:rPr>
      </w:pPr>
      <w:r w:rsidRPr="00DA6718">
        <w:rPr>
          <w:rFonts w:cs="Arial"/>
          <w:b w:val="0"/>
          <w:bCs/>
          <w:sz w:val="22"/>
          <w:szCs w:val="22"/>
        </w:rPr>
        <w:t>privacy and data protection in home monitoring and AI systems</w:t>
      </w:r>
    </w:p>
    <w:p w14:paraId="6117AB60" w14:textId="77777777" w:rsidR="00DA6718" w:rsidRPr="00DA6718" w:rsidRDefault="00DA6718" w:rsidP="00DA6718">
      <w:pPr>
        <w:pStyle w:val="Heading1"/>
        <w:numPr>
          <w:ilvl w:val="0"/>
          <w:numId w:val="218"/>
        </w:numPr>
        <w:spacing w:line="360" w:lineRule="auto"/>
        <w:rPr>
          <w:rFonts w:cs="Arial"/>
          <w:b w:val="0"/>
          <w:bCs/>
          <w:sz w:val="22"/>
          <w:szCs w:val="22"/>
        </w:rPr>
      </w:pPr>
      <w:r w:rsidRPr="00DA6718">
        <w:rPr>
          <w:rFonts w:cs="Arial"/>
          <w:b w:val="0"/>
          <w:bCs/>
          <w:sz w:val="22"/>
          <w:szCs w:val="22"/>
        </w:rPr>
        <w:t>consent and capacity for people with dementia when using digital tools</w:t>
      </w:r>
    </w:p>
    <w:p w14:paraId="64167C02" w14:textId="77777777" w:rsidR="00DA6718" w:rsidRPr="00DA6718" w:rsidRDefault="00DA6718" w:rsidP="00DA6718">
      <w:pPr>
        <w:pStyle w:val="Heading1"/>
        <w:numPr>
          <w:ilvl w:val="0"/>
          <w:numId w:val="218"/>
        </w:numPr>
        <w:spacing w:line="360" w:lineRule="auto"/>
        <w:rPr>
          <w:rFonts w:cs="Arial"/>
          <w:b w:val="0"/>
          <w:bCs/>
          <w:sz w:val="22"/>
          <w:szCs w:val="22"/>
        </w:rPr>
      </w:pPr>
      <w:r w:rsidRPr="00DA6718">
        <w:rPr>
          <w:rFonts w:cs="Arial"/>
          <w:b w:val="0"/>
          <w:bCs/>
          <w:sz w:val="22"/>
          <w:szCs w:val="22"/>
        </w:rPr>
        <w:t>autonomy and dignity when surveillance technologies are used</w:t>
      </w:r>
    </w:p>
    <w:p w14:paraId="4DA0356A" w14:textId="77777777" w:rsidR="00DA6718" w:rsidRPr="00DA6718" w:rsidRDefault="00DA6718" w:rsidP="00DA6718">
      <w:pPr>
        <w:pStyle w:val="Heading1"/>
        <w:numPr>
          <w:ilvl w:val="0"/>
          <w:numId w:val="218"/>
        </w:numPr>
        <w:spacing w:line="360" w:lineRule="auto"/>
        <w:rPr>
          <w:rFonts w:cs="Arial"/>
          <w:b w:val="0"/>
          <w:bCs/>
          <w:sz w:val="22"/>
          <w:szCs w:val="22"/>
        </w:rPr>
      </w:pPr>
      <w:r w:rsidRPr="00DA6718">
        <w:rPr>
          <w:rFonts w:cs="Arial"/>
          <w:b w:val="0"/>
          <w:bCs/>
          <w:sz w:val="22"/>
          <w:szCs w:val="22"/>
        </w:rPr>
        <w:t>potential bias in AI models trained on non-representative datasets</w:t>
      </w:r>
    </w:p>
    <w:p w14:paraId="162DF17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These issues align with broader debates around digital health ethics and highlight the need for robust governance, co-production and regulatory oversight.</w:t>
      </w:r>
    </w:p>
    <w:p w14:paraId="7B94059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4.5.4 Summary of Theme 3</w:t>
      </w:r>
    </w:p>
    <w:p w14:paraId="78A6682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Digital health has the potential to improve access to dementia support, but without explicit attention to equity, it can also deepen existing inequalities. Ensuring inclusive design, alternative non-digital options, targeted support and culturally sensitive approaches is essential if digital transformation is to benefit all groups fairly.</w:t>
      </w:r>
    </w:p>
    <w:p w14:paraId="22F5E64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3DBA2582">
          <v:rect id="_x0000_i1688" style="width:0;height:1.5pt" o:hralign="center" o:hrstd="t" o:hr="t" fillcolor="#a0a0a0" stroked="f"/>
        </w:pict>
      </w:r>
    </w:p>
    <w:p w14:paraId="4E8EEF81"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4.6 Theme 4 – Evidence Gaps and Future Research Needs</w:t>
      </w:r>
    </w:p>
    <w:p w14:paraId="5C8701ED"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fourth theme concerns gaps in the current evidence base and the challenges of implementing digital dementia interventions at scale.</w:t>
      </w:r>
    </w:p>
    <w:p w14:paraId="4261C7AD"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4.6.1 Limited scale and duration of studies</w:t>
      </w:r>
    </w:p>
    <w:p w14:paraId="3C3604E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 xml:space="preserve">Many of the included studies were small pilot projects, feasibility trials or short-term evaluations. Sample sizes were often modest, follow-up periods were limited and outcome measures varied widely. This makes it difficult to compare results across studies or draw </w:t>
      </w:r>
      <w:r w:rsidRPr="00DA6718">
        <w:rPr>
          <w:rFonts w:cs="Arial"/>
          <w:b w:val="0"/>
          <w:bCs/>
          <w:sz w:val="22"/>
          <w:szCs w:val="22"/>
        </w:rPr>
        <w:lastRenderedPageBreak/>
        <w:t>firm conclusions about long-term effectiveness and cost-effectiveness.</w:t>
      </w:r>
    </w:p>
    <w:p w14:paraId="7F65D4B8"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4.6.2 Under-represented groups</w:t>
      </w:r>
    </w:p>
    <w:p w14:paraId="009EA4C3"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Important groups were under-represented in the evidence base, including:</w:t>
      </w:r>
    </w:p>
    <w:p w14:paraId="61238183" w14:textId="77777777" w:rsidR="00DA6718" w:rsidRPr="00DA6718" w:rsidRDefault="00DA6718" w:rsidP="00DA6718">
      <w:pPr>
        <w:pStyle w:val="Heading1"/>
        <w:numPr>
          <w:ilvl w:val="0"/>
          <w:numId w:val="219"/>
        </w:numPr>
        <w:spacing w:line="360" w:lineRule="auto"/>
        <w:rPr>
          <w:rFonts w:cs="Arial"/>
          <w:b w:val="0"/>
          <w:bCs/>
          <w:sz w:val="22"/>
          <w:szCs w:val="22"/>
        </w:rPr>
      </w:pPr>
      <w:r w:rsidRPr="00DA6718">
        <w:rPr>
          <w:rFonts w:cs="Arial"/>
          <w:b w:val="0"/>
          <w:bCs/>
          <w:sz w:val="22"/>
          <w:szCs w:val="22"/>
        </w:rPr>
        <w:t>people with advanced or later-stage dementia</w:t>
      </w:r>
    </w:p>
    <w:p w14:paraId="2A2C7308" w14:textId="77777777" w:rsidR="00DA6718" w:rsidRPr="00DA6718" w:rsidRDefault="00DA6718" w:rsidP="00DA6718">
      <w:pPr>
        <w:pStyle w:val="Heading1"/>
        <w:numPr>
          <w:ilvl w:val="0"/>
          <w:numId w:val="219"/>
        </w:numPr>
        <w:spacing w:line="360" w:lineRule="auto"/>
        <w:rPr>
          <w:rFonts w:cs="Arial"/>
          <w:b w:val="0"/>
          <w:bCs/>
          <w:sz w:val="22"/>
          <w:szCs w:val="22"/>
        </w:rPr>
      </w:pPr>
      <w:r w:rsidRPr="00DA6718">
        <w:rPr>
          <w:rFonts w:cs="Arial"/>
          <w:b w:val="0"/>
          <w:bCs/>
          <w:sz w:val="22"/>
          <w:szCs w:val="22"/>
        </w:rPr>
        <w:t>individuals without informal carers</w:t>
      </w:r>
    </w:p>
    <w:p w14:paraId="0645C331" w14:textId="77777777" w:rsidR="00DA6718" w:rsidRPr="00DA6718" w:rsidRDefault="00DA6718" w:rsidP="00DA6718">
      <w:pPr>
        <w:pStyle w:val="Heading1"/>
        <w:numPr>
          <w:ilvl w:val="0"/>
          <w:numId w:val="219"/>
        </w:numPr>
        <w:spacing w:line="360" w:lineRule="auto"/>
        <w:rPr>
          <w:rFonts w:cs="Arial"/>
          <w:b w:val="0"/>
          <w:bCs/>
          <w:sz w:val="22"/>
          <w:szCs w:val="22"/>
        </w:rPr>
      </w:pPr>
      <w:r w:rsidRPr="00DA6718">
        <w:rPr>
          <w:rFonts w:cs="Arial"/>
          <w:b w:val="0"/>
          <w:bCs/>
          <w:sz w:val="22"/>
          <w:szCs w:val="22"/>
        </w:rPr>
        <w:t>minority ethnic communities</w:t>
      </w:r>
    </w:p>
    <w:p w14:paraId="3D5DD4A4" w14:textId="77777777" w:rsidR="00DA6718" w:rsidRPr="00DA6718" w:rsidRDefault="00DA6718" w:rsidP="00DA6718">
      <w:pPr>
        <w:pStyle w:val="Heading1"/>
        <w:numPr>
          <w:ilvl w:val="0"/>
          <w:numId w:val="219"/>
        </w:numPr>
        <w:spacing w:line="360" w:lineRule="auto"/>
        <w:rPr>
          <w:rFonts w:cs="Arial"/>
          <w:b w:val="0"/>
          <w:bCs/>
          <w:sz w:val="22"/>
          <w:szCs w:val="22"/>
        </w:rPr>
      </w:pPr>
      <w:r w:rsidRPr="00DA6718">
        <w:rPr>
          <w:rFonts w:cs="Arial"/>
          <w:b w:val="0"/>
          <w:bCs/>
          <w:sz w:val="22"/>
          <w:szCs w:val="22"/>
        </w:rPr>
        <w:t>people living in care homes or extra-care housing</w:t>
      </w:r>
    </w:p>
    <w:p w14:paraId="53B3670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Most research focused on community-dwelling individuals with mild to moderate dementia who had at least one engaged carer. This reduces the generalisability of findings and may overlook distinct needs and challenges faced by other groups.</w:t>
      </w:r>
    </w:p>
    <w:p w14:paraId="2483598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4.6.3 Implementation and workforce issues</w:t>
      </w:r>
    </w:p>
    <w:p w14:paraId="5E0E1A1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Several reviews and implementation studies highlighted that many digital dementia initiatives remain “stuck in pilot stage”. Barriers to scale-up included:</w:t>
      </w:r>
    </w:p>
    <w:p w14:paraId="5E0B7E81" w14:textId="77777777" w:rsidR="00DA6718" w:rsidRPr="00DA6718" w:rsidRDefault="00DA6718" w:rsidP="00DA6718">
      <w:pPr>
        <w:pStyle w:val="Heading1"/>
        <w:numPr>
          <w:ilvl w:val="0"/>
          <w:numId w:val="220"/>
        </w:numPr>
        <w:spacing w:line="360" w:lineRule="auto"/>
        <w:rPr>
          <w:rFonts w:cs="Arial"/>
          <w:b w:val="0"/>
          <w:bCs/>
          <w:sz w:val="22"/>
          <w:szCs w:val="22"/>
        </w:rPr>
      </w:pPr>
      <w:r w:rsidRPr="00DA6718">
        <w:rPr>
          <w:rFonts w:cs="Arial"/>
          <w:b w:val="0"/>
          <w:bCs/>
          <w:sz w:val="22"/>
          <w:szCs w:val="22"/>
        </w:rPr>
        <w:t>limited long-term funding</w:t>
      </w:r>
    </w:p>
    <w:p w14:paraId="7A0103C2" w14:textId="77777777" w:rsidR="00DA6718" w:rsidRPr="00DA6718" w:rsidRDefault="00DA6718" w:rsidP="00DA6718">
      <w:pPr>
        <w:pStyle w:val="Heading1"/>
        <w:numPr>
          <w:ilvl w:val="0"/>
          <w:numId w:val="220"/>
        </w:numPr>
        <w:spacing w:line="360" w:lineRule="auto"/>
        <w:rPr>
          <w:rFonts w:cs="Arial"/>
          <w:b w:val="0"/>
          <w:bCs/>
          <w:sz w:val="22"/>
          <w:szCs w:val="22"/>
        </w:rPr>
      </w:pPr>
      <w:r w:rsidRPr="00DA6718">
        <w:rPr>
          <w:rFonts w:cs="Arial"/>
          <w:b w:val="0"/>
          <w:bCs/>
          <w:sz w:val="22"/>
          <w:szCs w:val="22"/>
        </w:rPr>
        <w:t>insufficient evaluation to inform commissioning decisions</w:t>
      </w:r>
    </w:p>
    <w:p w14:paraId="13FA3512" w14:textId="77777777" w:rsidR="00DA6718" w:rsidRPr="00DA6718" w:rsidRDefault="00DA6718" w:rsidP="00DA6718">
      <w:pPr>
        <w:pStyle w:val="Heading1"/>
        <w:numPr>
          <w:ilvl w:val="0"/>
          <w:numId w:val="220"/>
        </w:numPr>
        <w:spacing w:line="360" w:lineRule="auto"/>
        <w:rPr>
          <w:rFonts w:cs="Arial"/>
          <w:b w:val="0"/>
          <w:bCs/>
          <w:sz w:val="22"/>
          <w:szCs w:val="22"/>
        </w:rPr>
      </w:pPr>
      <w:r w:rsidRPr="00DA6718">
        <w:rPr>
          <w:rFonts w:cs="Arial"/>
          <w:b w:val="0"/>
          <w:bCs/>
          <w:sz w:val="22"/>
          <w:szCs w:val="22"/>
        </w:rPr>
        <w:t>variation in digital maturity across organisations</w:t>
      </w:r>
    </w:p>
    <w:p w14:paraId="00D2B64E" w14:textId="77777777" w:rsidR="00DA6718" w:rsidRPr="00DA6718" w:rsidRDefault="00DA6718" w:rsidP="00DA6718">
      <w:pPr>
        <w:pStyle w:val="Heading1"/>
        <w:numPr>
          <w:ilvl w:val="0"/>
          <w:numId w:val="220"/>
        </w:numPr>
        <w:spacing w:line="360" w:lineRule="auto"/>
        <w:rPr>
          <w:rFonts w:cs="Arial"/>
          <w:b w:val="0"/>
          <w:bCs/>
          <w:sz w:val="22"/>
          <w:szCs w:val="22"/>
        </w:rPr>
      </w:pPr>
      <w:r w:rsidRPr="00DA6718">
        <w:rPr>
          <w:rFonts w:cs="Arial"/>
          <w:b w:val="0"/>
          <w:bCs/>
          <w:sz w:val="22"/>
          <w:szCs w:val="22"/>
        </w:rPr>
        <w:t>lack of staff training and time to embed new systems</w:t>
      </w:r>
    </w:p>
    <w:p w14:paraId="2EA87BBE" w14:textId="77777777" w:rsidR="00DA6718" w:rsidRPr="00DA6718" w:rsidRDefault="00DA6718" w:rsidP="00DA6718">
      <w:pPr>
        <w:pStyle w:val="Heading1"/>
        <w:numPr>
          <w:ilvl w:val="0"/>
          <w:numId w:val="220"/>
        </w:numPr>
        <w:spacing w:line="360" w:lineRule="auto"/>
        <w:rPr>
          <w:rFonts w:cs="Arial"/>
          <w:b w:val="0"/>
          <w:bCs/>
          <w:sz w:val="22"/>
          <w:szCs w:val="22"/>
        </w:rPr>
      </w:pPr>
      <w:r w:rsidRPr="00DA6718">
        <w:rPr>
          <w:rFonts w:cs="Arial"/>
          <w:b w:val="0"/>
          <w:bCs/>
          <w:sz w:val="22"/>
          <w:szCs w:val="22"/>
        </w:rPr>
        <w:t>interoperability and data-sharing challenges between services</w:t>
      </w:r>
    </w:p>
    <w:p w14:paraId="10A004B7"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Workforce readiness emerged as a critical factor. Staff often lacked confidence in using digital tools, and some felt that new systems added to workload rather than streamlining it.</w:t>
      </w:r>
    </w:p>
    <w:p w14:paraId="65E1938B"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4.6.4 Future research priorities</w:t>
      </w:r>
    </w:p>
    <w:p w14:paraId="19E62064"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literature points towards several priorities for future research:</w:t>
      </w:r>
    </w:p>
    <w:p w14:paraId="2C7552E1" w14:textId="77777777" w:rsidR="00DA6718" w:rsidRPr="00DA6718" w:rsidRDefault="00DA6718" w:rsidP="00DA6718">
      <w:pPr>
        <w:pStyle w:val="Heading1"/>
        <w:numPr>
          <w:ilvl w:val="0"/>
          <w:numId w:val="221"/>
        </w:numPr>
        <w:spacing w:line="360" w:lineRule="auto"/>
        <w:rPr>
          <w:rFonts w:cs="Arial"/>
          <w:b w:val="0"/>
          <w:bCs/>
          <w:sz w:val="22"/>
          <w:szCs w:val="22"/>
        </w:rPr>
      </w:pPr>
      <w:r w:rsidRPr="00DA6718">
        <w:rPr>
          <w:rFonts w:cs="Arial"/>
          <w:b w:val="0"/>
          <w:bCs/>
          <w:sz w:val="22"/>
          <w:szCs w:val="22"/>
        </w:rPr>
        <w:t>robust, longitudinal evaluation of clinical, psychosocial and economic outcomes</w:t>
      </w:r>
    </w:p>
    <w:p w14:paraId="2BF93E35" w14:textId="77777777" w:rsidR="00DA6718" w:rsidRPr="00DA6718" w:rsidRDefault="00DA6718" w:rsidP="00DA6718">
      <w:pPr>
        <w:pStyle w:val="Heading1"/>
        <w:numPr>
          <w:ilvl w:val="0"/>
          <w:numId w:val="221"/>
        </w:numPr>
        <w:spacing w:line="360" w:lineRule="auto"/>
        <w:rPr>
          <w:rFonts w:cs="Arial"/>
          <w:b w:val="0"/>
          <w:bCs/>
          <w:sz w:val="22"/>
          <w:szCs w:val="22"/>
        </w:rPr>
      </w:pPr>
      <w:r w:rsidRPr="00DA6718">
        <w:rPr>
          <w:rFonts w:cs="Arial"/>
          <w:b w:val="0"/>
          <w:bCs/>
          <w:sz w:val="22"/>
          <w:szCs w:val="22"/>
        </w:rPr>
        <w:t>co-designed studies involving people with dementia and carers as equal partners</w:t>
      </w:r>
    </w:p>
    <w:p w14:paraId="13D44123" w14:textId="77777777" w:rsidR="00DA6718" w:rsidRPr="00DA6718" w:rsidRDefault="00DA6718" w:rsidP="00DA6718">
      <w:pPr>
        <w:pStyle w:val="Heading1"/>
        <w:numPr>
          <w:ilvl w:val="0"/>
          <w:numId w:val="221"/>
        </w:numPr>
        <w:spacing w:line="360" w:lineRule="auto"/>
        <w:rPr>
          <w:rFonts w:cs="Arial"/>
          <w:b w:val="0"/>
          <w:bCs/>
          <w:sz w:val="22"/>
          <w:szCs w:val="22"/>
        </w:rPr>
      </w:pPr>
      <w:r w:rsidRPr="00DA6718">
        <w:rPr>
          <w:rFonts w:cs="Arial"/>
          <w:b w:val="0"/>
          <w:bCs/>
          <w:sz w:val="22"/>
          <w:szCs w:val="22"/>
        </w:rPr>
        <w:t>research focusing on marginalised groups and advanced dementia</w:t>
      </w:r>
    </w:p>
    <w:p w14:paraId="50D392F0" w14:textId="77777777" w:rsidR="00DA6718" w:rsidRPr="00DA6718" w:rsidRDefault="00DA6718" w:rsidP="00DA6718">
      <w:pPr>
        <w:pStyle w:val="Heading1"/>
        <w:numPr>
          <w:ilvl w:val="0"/>
          <w:numId w:val="221"/>
        </w:numPr>
        <w:spacing w:line="360" w:lineRule="auto"/>
        <w:rPr>
          <w:rFonts w:cs="Arial"/>
          <w:b w:val="0"/>
          <w:bCs/>
          <w:sz w:val="22"/>
          <w:szCs w:val="22"/>
        </w:rPr>
      </w:pPr>
      <w:r w:rsidRPr="00DA6718">
        <w:rPr>
          <w:rFonts w:cs="Arial"/>
          <w:b w:val="0"/>
          <w:bCs/>
          <w:sz w:val="22"/>
          <w:szCs w:val="22"/>
        </w:rPr>
        <w:t>evaluation of digital inclusion initiatives, such as device loan schemes or community training</w:t>
      </w:r>
    </w:p>
    <w:p w14:paraId="5FB8D601" w14:textId="77777777" w:rsidR="00DA6718" w:rsidRPr="00DA6718" w:rsidRDefault="00DA6718" w:rsidP="00DA6718">
      <w:pPr>
        <w:pStyle w:val="Heading1"/>
        <w:numPr>
          <w:ilvl w:val="0"/>
          <w:numId w:val="221"/>
        </w:numPr>
        <w:spacing w:line="360" w:lineRule="auto"/>
        <w:rPr>
          <w:rFonts w:cs="Arial"/>
          <w:b w:val="0"/>
          <w:bCs/>
          <w:sz w:val="22"/>
          <w:szCs w:val="22"/>
        </w:rPr>
      </w:pPr>
      <w:r w:rsidRPr="00DA6718">
        <w:rPr>
          <w:rFonts w:cs="Arial"/>
          <w:b w:val="0"/>
          <w:bCs/>
          <w:sz w:val="22"/>
          <w:szCs w:val="22"/>
        </w:rPr>
        <w:t>careful assessment of AI tools in real-world clinical pathways, with attention to bias, transparency and safety</w:t>
      </w:r>
    </w:p>
    <w:p w14:paraId="50F6D5E1"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Addressing these gaps will be essential to move from small-scale innovation to sustainable, evidence-based digital dementia care.</w:t>
      </w:r>
    </w:p>
    <w:p w14:paraId="2877F9B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293DC398">
          <v:rect id="_x0000_i1689" style="width:0;height:1.5pt" o:hralign="center" o:hrstd="t" o:hr="t" fillcolor="#a0a0a0" stroked="f"/>
        </w:pict>
      </w:r>
    </w:p>
    <w:p w14:paraId="1DB2FD27"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4.7 Overall Discussion</w:t>
      </w:r>
    </w:p>
    <w:p w14:paraId="76A692B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 xml:space="preserve">This scoping review set out to explore the scope, purpose and impact of digital health interventions for people with dementia and their informal carers in UK practice. The findings show a complex and evolving landscape, in which digital technologies can offer meaningful benefits but are constrained by usability challenges, structural inequalities and </w:t>
      </w:r>
      <w:r w:rsidRPr="00DA6718">
        <w:rPr>
          <w:rFonts w:cs="Arial"/>
          <w:b w:val="0"/>
          <w:bCs/>
          <w:sz w:val="22"/>
          <w:szCs w:val="22"/>
        </w:rPr>
        <w:lastRenderedPageBreak/>
        <w:t>incomplete evidence.</w:t>
      </w:r>
    </w:p>
    <w:p w14:paraId="6F565BC0"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From a clinical and psychosocial perspective, digital tools have demonstrated potential to promote independence, enhance safety, support engagement in meaningful activities and reduce carer isolation. These outcomes resonate with person-centred care principles and align with national ambitions to support people with dementia to live well for longer in their own homes.</w:t>
      </w:r>
    </w:p>
    <w:p w14:paraId="5F0AD1A7"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However, these benefits are not evenly distributed. Usability and accessibility issues limit the effectiveness of interventions, particularly when technology is complex, poorly supported or insufficiently tailored to cognitive and sensory needs. Carers play a vital role in mediating access, but this can increase their workload and stress.</w:t>
      </w:r>
    </w:p>
    <w:p w14:paraId="3D19EC14"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The review also highlights that digital transformation is not merely a technical process but a deeply social and organisational one. Digital inequalities, regional variation in infrastructure, workforce training needs and ethical concerns all shape how technologies are adopted and perceived. Digital exclusion must therefore be understood as a social determinant of health, requiring targeted and multi-level responses.</w:t>
      </w:r>
    </w:p>
    <w:p w14:paraId="26829123"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Taken together, the four themes illustrate that digital health for dementia in the UK is characterised by promise, innovation and enthusiasm, but also by fragmentation, uneven access and significant gaps in evidence. The findings reinforce the importance of co-design, equity-focused implementation and rigorous evaluation to ensure that digital interventions genuinely improve outcomes for people living with dementia and those who care for them.</w:t>
      </w:r>
    </w:p>
    <w:p w14:paraId="7A06A555"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pict w14:anchorId="4185701E">
          <v:rect id="_x0000_i1690" style="width:0;height:1.5pt" o:hralign="center" o:hrstd="t" o:hr="t" fillcolor="#a0a0a0" stroked="f"/>
        </w:pict>
      </w:r>
    </w:p>
    <w:p w14:paraId="6C01A1DE"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4.8 Chapter Summary</w:t>
      </w:r>
    </w:p>
    <w:p w14:paraId="15ABA262"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t>This chapter has presented and discussed the findings of the scoping review in relation to four main themes:</w:t>
      </w:r>
    </w:p>
    <w:p w14:paraId="74815042" w14:textId="77777777" w:rsidR="00DA6718" w:rsidRPr="00DA6718" w:rsidRDefault="00DA6718" w:rsidP="00DA6718">
      <w:pPr>
        <w:pStyle w:val="Heading1"/>
        <w:numPr>
          <w:ilvl w:val="0"/>
          <w:numId w:val="222"/>
        </w:numPr>
        <w:spacing w:line="360" w:lineRule="auto"/>
        <w:rPr>
          <w:rFonts w:cs="Arial"/>
          <w:b w:val="0"/>
          <w:bCs/>
          <w:sz w:val="22"/>
          <w:szCs w:val="22"/>
        </w:rPr>
      </w:pPr>
      <w:r w:rsidRPr="00DA6718">
        <w:rPr>
          <w:rFonts w:cs="Arial"/>
          <w:b w:val="0"/>
          <w:bCs/>
          <w:sz w:val="22"/>
          <w:szCs w:val="22"/>
        </w:rPr>
        <w:t>Clinical, psychosocial and service outcomes – Digital health interventions can support safety, independence, engagement and carer wellbeing, and can improve aspects of service efficiency, though evidence is often short-term and small-scale.</w:t>
      </w:r>
    </w:p>
    <w:p w14:paraId="1FF0D8D5" w14:textId="77777777" w:rsidR="00DA6718" w:rsidRPr="00DA6718" w:rsidRDefault="00DA6718" w:rsidP="00DA6718">
      <w:pPr>
        <w:pStyle w:val="Heading1"/>
        <w:numPr>
          <w:ilvl w:val="0"/>
          <w:numId w:val="222"/>
        </w:numPr>
        <w:spacing w:line="360" w:lineRule="auto"/>
        <w:rPr>
          <w:rFonts w:cs="Arial"/>
          <w:b w:val="0"/>
          <w:bCs/>
          <w:sz w:val="22"/>
          <w:szCs w:val="22"/>
        </w:rPr>
      </w:pPr>
      <w:r w:rsidRPr="00DA6718">
        <w:rPr>
          <w:rFonts w:cs="Arial"/>
          <w:b w:val="0"/>
          <w:bCs/>
          <w:sz w:val="22"/>
          <w:szCs w:val="22"/>
        </w:rPr>
        <w:t>Usability and accessibility challenges – Effective use of digital tools depends on dementia-friendly design, reliable infrastructure, and appropriate support for both people with dementia and carers.</w:t>
      </w:r>
    </w:p>
    <w:p w14:paraId="75BB29BC" w14:textId="77777777" w:rsidR="00DA6718" w:rsidRPr="00DA6718" w:rsidRDefault="00DA6718" w:rsidP="00DA6718">
      <w:pPr>
        <w:pStyle w:val="Heading1"/>
        <w:numPr>
          <w:ilvl w:val="0"/>
          <w:numId w:val="222"/>
        </w:numPr>
        <w:spacing w:line="360" w:lineRule="auto"/>
        <w:rPr>
          <w:rFonts w:cs="Arial"/>
          <w:b w:val="0"/>
          <w:bCs/>
          <w:sz w:val="22"/>
          <w:szCs w:val="22"/>
        </w:rPr>
      </w:pPr>
      <w:r w:rsidRPr="00DA6718">
        <w:rPr>
          <w:rFonts w:cs="Arial"/>
          <w:b w:val="0"/>
          <w:bCs/>
          <w:sz w:val="22"/>
          <w:szCs w:val="22"/>
        </w:rPr>
        <w:t>Equity, digital inclusion and barriers – Digital interventions risk widening health inequalities if they are not implemented with attention to socioeconomic, cultural and regional factors, as well as ethical considerations.</w:t>
      </w:r>
    </w:p>
    <w:p w14:paraId="283D00A4" w14:textId="77777777" w:rsidR="00DA6718" w:rsidRPr="00DA6718" w:rsidRDefault="00DA6718" w:rsidP="00DA6718">
      <w:pPr>
        <w:pStyle w:val="Heading1"/>
        <w:numPr>
          <w:ilvl w:val="0"/>
          <w:numId w:val="222"/>
        </w:numPr>
        <w:spacing w:line="360" w:lineRule="auto"/>
        <w:rPr>
          <w:rFonts w:cs="Arial"/>
          <w:b w:val="0"/>
          <w:bCs/>
          <w:sz w:val="22"/>
          <w:szCs w:val="22"/>
        </w:rPr>
      </w:pPr>
      <w:r w:rsidRPr="00DA6718">
        <w:rPr>
          <w:rFonts w:cs="Arial"/>
          <w:b w:val="0"/>
          <w:bCs/>
          <w:sz w:val="22"/>
          <w:szCs w:val="22"/>
        </w:rPr>
        <w:t>Evidence gaps and future research needs – There is a need for more rigorous, long-term and inclusive research, as well as better understanding of implementation and workforce issues.</w:t>
      </w:r>
    </w:p>
    <w:p w14:paraId="474E6A6B" w14:textId="77777777" w:rsidR="00DA6718" w:rsidRPr="00DA6718" w:rsidRDefault="00DA6718" w:rsidP="00DA6718">
      <w:pPr>
        <w:pStyle w:val="Heading1"/>
        <w:spacing w:line="360" w:lineRule="auto"/>
        <w:rPr>
          <w:rFonts w:cs="Arial"/>
          <w:b w:val="0"/>
          <w:bCs/>
          <w:sz w:val="22"/>
          <w:szCs w:val="22"/>
        </w:rPr>
      </w:pPr>
      <w:r w:rsidRPr="00DA6718">
        <w:rPr>
          <w:rFonts w:cs="Arial"/>
          <w:b w:val="0"/>
          <w:bCs/>
          <w:sz w:val="22"/>
          <w:szCs w:val="22"/>
        </w:rPr>
        <w:lastRenderedPageBreak/>
        <w:t>These findings directly address the research aim and objectives set out in Chapter 1. The next chapter, Chapter 5, draws together the key messages from this review, outlines the overall conclusions and presents recommendations for practice, policy and future research.</w:t>
      </w:r>
    </w:p>
    <w:p w14:paraId="54F02997" w14:textId="77777777" w:rsidR="0086570F" w:rsidRPr="0086570F" w:rsidRDefault="0086570F" w:rsidP="00DA6718">
      <w:pPr>
        <w:pStyle w:val="Heading1"/>
        <w:spacing w:line="360" w:lineRule="auto"/>
        <w:rPr>
          <w:rFonts w:cs="Arial"/>
          <w:b w:val="0"/>
          <w:sz w:val="22"/>
          <w:szCs w:val="22"/>
        </w:rPr>
      </w:pPr>
      <w:r w:rsidRPr="0086570F">
        <w:rPr>
          <w:rFonts w:cs="Arial"/>
          <w:b w:val="0"/>
          <w:sz w:val="22"/>
          <w:szCs w:val="22"/>
        </w:rPr>
        <w:pict w14:anchorId="37AF62B4">
          <v:rect id="_x0000_i1303" style="width:0;height:1.5pt" o:hralign="center" o:hrstd="t" o:hr="t" fillcolor="#a0a0a0" stroked="f"/>
        </w:pict>
      </w:r>
    </w:p>
    <w:p w14:paraId="5053749D" w14:textId="77777777" w:rsidR="00636D9A" w:rsidRPr="00DA6718" w:rsidRDefault="00636D9A" w:rsidP="00DA6718">
      <w:pPr>
        <w:rPr>
          <w:rFonts w:ascii="Arial" w:hAnsi="Arial" w:cs="Arial"/>
        </w:rPr>
      </w:pPr>
    </w:p>
    <w:p w14:paraId="5750796D" w14:textId="4881F9EB" w:rsidR="00217AE9" w:rsidRPr="00217AE9" w:rsidRDefault="00217AE9" w:rsidP="00DA6718">
      <w:pPr>
        <w:rPr>
          <w:rFonts w:ascii="Arial" w:eastAsiaTheme="majorEastAsia" w:hAnsi="Arial" w:cs="Arial"/>
          <w:b/>
          <w:bCs/>
        </w:rPr>
      </w:pPr>
      <w:r w:rsidRPr="00217AE9">
        <w:rPr>
          <w:rFonts w:ascii="Arial" w:eastAsiaTheme="majorEastAsia" w:hAnsi="Arial" w:cs="Arial"/>
          <w:b/>
          <w:bCs/>
        </w:rPr>
        <w:t>CHAPTER 5 – Conclusion and Recommendations</w:t>
      </w:r>
    </w:p>
    <w:p w14:paraId="454F232A" w14:textId="03008DC9" w:rsidR="00217AE9" w:rsidRPr="00217AE9" w:rsidRDefault="00217AE9" w:rsidP="00DA6718">
      <w:pPr>
        <w:rPr>
          <w:rFonts w:ascii="Arial" w:eastAsiaTheme="majorEastAsia" w:hAnsi="Arial" w:cs="Arial"/>
          <w:b/>
          <w:bCs/>
        </w:rPr>
      </w:pPr>
    </w:p>
    <w:p w14:paraId="43DFB10B" w14:textId="77777777" w:rsidR="00DA6718" w:rsidRPr="00DA6718" w:rsidRDefault="00DA6718" w:rsidP="00DA6718">
      <w:pPr>
        <w:pStyle w:val="Heading1"/>
        <w:spacing w:line="360" w:lineRule="auto"/>
        <w:rPr>
          <w:rFonts w:eastAsiaTheme="majorEastAsia" w:cs="Arial"/>
          <w:bCs/>
          <w:sz w:val="22"/>
          <w:szCs w:val="22"/>
        </w:rPr>
      </w:pPr>
      <w:r w:rsidRPr="00DA6718">
        <w:rPr>
          <w:rFonts w:eastAsiaTheme="majorEastAsia" w:cs="Arial"/>
          <w:bCs/>
          <w:sz w:val="22"/>
          <w:szCs w:val="22"/>
        </w:rPr>
        <w:t>5.1 Introduction</w:t>
      </w:r>
    </w:p>
    <w:p w14:paraId="7797CFA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This chapter draws together the findings from the scoping review and discusses their implications for dementia care, digital health practice and future research in the United Kingdom. It summarises how the research aim and objectives were achieved, outlines the contribution of the dissertation and provides evidence-based recommendations for policymakers, practitioners and researchers. The chapter also reflects on the strengths and limitations of the study and identifies areas where further investigation is required.</w:t>
      </w:r>
    </w:p>
    <w:p w14:paraId="16073A81"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By synthesising the insights presented in Chapter 4, this chapter highlights the need for a more equitable, person-centred and system-ready approach to digital innovation in dementia care.</w:t>
      </w:r>
    </w:p>
    <w:p w14:paraId="2E5C16B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12A274E4">
          <v:rect id="_x0000_i1793" style="width:0;height:1.5pt" o:hralign="center" o:hrstd="t" o:hr="t" fillcolor="#a0a0a0" stroked="f"/>
        </w:pict>
      </w:r>
    </w:p>
    <w:p w14:paraId="1DE1537D"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5.2 Summary of Key Findings</w:t>
      </w:r>
    </w:p>
    <w:p w14:paraId="684C9B6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The scoping review identified four overarching themes:</w:t>
      </w:r>
    </w:p>
    <w:p w14:paraId="5DF3AD91" w14:textId="77777777" w:rsidR="00DA6718" w:rsidRPr="00DA6718" w:rsidRDefault="00DA6718" w:rsidP="00DA6718">
      <w:pPr>
        <w:pStyle w:val="Heading1"/>
        <w:numPr>
          <w:ilvl w:val="0"/>
          <w:numId w:val="223"/>
        </w:numPr>
        <w:spacing w:line="360" w:lineRule="auto"/>
        <w:rPr>
          <w:rFonts w:eastAsiaTheme="majorEastAsia" w:cs="Arial"/>
          <w:b w:val="0"/>
          <w:sz w:val="22"/>
          <w:szCs w:val="22"/>
        </w:rPr>
      </w:pPr>
      <w:r w:rsidRPr="00DA6718">
        <w:rPr>
          <w:rFonts w:eastAsiaTheme="majorEastAsia" w:cs="Arial"/>
          <w:b w:val="0"/>
          <w:sz w:val="22"/>
          <w:szCs w:val="22"/>
        </w:rPr>
        <w:t>Clinical, psychosocial and service outcomes</w:t>
      </w:r>
    </w:p>
    <w:p w14:paraId="68566F03" w14:textId="77777777" w:rsidR="00DA6718" w:rsidRPr="00DA6718" w:rsidRDefault="00DA6718" w:rsidP="00DA6718">
      <w:pPr>
        <w:pStyle w:val="Heading1"/>
        <w:numPr>
          <w:ilvl w:val="0"/>
          <w:numId w:val="223"/>
        </w:numPr>
        <w:spacing w:line="360" w:lineRule="auto"/>
        <w:rPr>
          <w:rFonts w:eastAsiaTheme="majorEastAsia" w:cs="Arial"/>
          <w:b w:val="0"/>
          <w:sz w:val="22"/>
          <w:szCs w:val="22"/>
        </w:rPr>
      </w:pPr>
      <w:r w:rsidRPr="00DA6718">
        <w:rPr>
          <w:rFonts w:eastAsiaTheme="majorEastAsia" w:cs="Arial"/>
          <w:b w:val="0"/>
          <w:sz w:val="22"/>
          <w:szCs w:val="22"/>
        </w:rPr>
        <w:t>Usability and accessibility challenges</w:t>
      </w:r>
    </w:p>
    <w:p w14:paraId="56EDB00A" w14:textId="77777777" w:rsidR="00DA6718" w:rsidRPr="00DA6718" w:rsidRDefault="00DA6718" w:rsidP="00DA6718">
      <w:pPr>
        <w:pStyle w:val="Heading1"/>
        <w:numPr>
          <w:ilvl w:val="0"/>
          <w:numId w:val="223"/>
        </w:numPr>
        <w:spacing w:line="360" w:lineRule="auto"/>
        <w:rPr>
          <w:rFonts w:eastAsiaTheme="majorEastAsia" w:cs="Arial"/>
          <w:b w:val="0"/>
          <w:sz w:val="22"/>
          <w:szCs w:val="22"/>
        </w:rPr>
      </w:pPr>
      <w:r w:rsidRPr="00DA6718">
        <w:rPr>
          <w:rFonts w:eastAsiaTheme="majorEastAsia" w:cs="Arial"/>
          <w:b w:val="0"/>
          <w:sz w:val="22"/>
          <w:szCs w:val="22"/>
        </w:rPr>
        <w:t>Equity, digital inclusion and structural barriers</w:t>
      </w:r>
    </w:p>
    <w:p w14:paraId="77874353" w14:textId="77777777" w:rsidR="00DA6718" w:rsidRPr="00DA6718" w:rsidRDefault="00DA6718" w:rsidP="00DA6718">
      <w:pPr>
        <w:pStyle w:val="Heading1"/>
        <w:numPr>
          <w:ilvl w:val="0"/>
          <w:numId w:val="223"/>
        </w:numPr>
        <w:spacing w:line="360" w:lineRule="auto"/>
        <w:rPr>
          <w:rFonts w:eastAsiaTheme="majorEastAsia" w:cs="Arial"/>
          <w:b w:val="0"/>
          <w:sz w:val="22"/>
          <w:szCs w:val="22"/>
        </w:rPr>
      </w:pPr>
      <w:r w:rsidRPr="00DA6718">
        <w:rPr>
          <w:rFonts w:eastAsiaTheme="majorEastAsia" w:cs="Arial"/>
          <w:b w:val="0"/>
          <w:sz w:val="22"/>
          <w:szCs w:val="22"/>
        </w:rPr>
        <w:t>Evidence gaps and implementation challenges</w:t>
      </w:r>
    </w:p>
    <w:p w14:paraId="1B2EC33C"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Together, these themes provide an integrated understanding of how digital health interventions are experienced within UK dementia pathways.</w:t>
      </w:r>
    </w:p>
    <w:p w14:paraId="6C04A6D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Theme 1: Clinical, Psychosocial and Service Outcomes</w:t>
      </w:r>
    </w:p>
    <w:p w14:paraId="0981825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Evidence demonstrated that digital interventions can meaningfully support people living with dementia by improving safety, independence and everyday engagement. Telecare and monitoring systems enhanced risk detection, while cognitive stimulation and digital reminiscence tools supported mood, identity and interpersonal connection.</w:t>
      </w:r>
    </w:p>
    <w:p w14:paraId="4871FD60"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Carers benefited from online education and peer-support platforms, which reduced isolation and increased confidence. Remote consultations and telehealth improved access to healthcare and facilitated more continuous support.</w:t>
      </w:r>
    </w:p>
    <w:p w14:paraId="58122770"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lastRenderedPageBreak/>
        <w:t>However, many interventions produced variable outcomes depending on the stage of dementia, quality of design and availability of human support. Benefits were strongest when digital tools were integrated with personalised care and supported by trained staff or carers.</w:t>
      </w:r>
    </w:p>
    <w:p w14:paraId="4B7FCC2D"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Theme 2: Usability and Accessibility Challenges</w:t>
      </w:r>
    </w:p>
    <w:p w14:paraId="00C8C80C"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Usability was a significant determinant of success. People with dementia often struggled with complex interfaces, inconsistent design, memory-dependent features and poor device accessibility. Carers therefore became essential facilitators, helping to set up devices, interpret information and support remote consultations.</w:t>
      </w:r>
    </w:p>
    <w:p w14:paraId="31AF24D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While digital tools could reduce burden, they could also increase it when systems were poorly designed or inadequately supported. Practical issues such as cost, connectivity and lack of training further limited accessibility.</w:t>
      </w:r>
    </w:p>
    <w:p w14:paraId="2725139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Theme 3: Equity, Digital Inclusion and Structural Barriers</w:t>
      </w:r>
    </w:p>
    <w:p w14:paraId="546D51C5"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Digital exclusion emerged as a central barrier to equitable dementia care. Older adults, low-income groups, rural populations and minority ethnic communities faced disproportionate barriers to digital access and use. Language, cultural expectations, financial hardship and trust in technology all shaped engagement.</w:t>
      </w:r>
    </w:p>
    <w:p w14:paraId="00E6E6D2"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Regional disparities across Integrated Care Systems (ICSs) created uneven access to digital dementia services, contributing to a “postcode lottery”. Ethical concerns regarding autonomy, consent and privacy were also highlighted, particularly in relation to monitoring and AI-based tools.</w:t>
      </w:r>
    </w:p>
    <w:p w14:paraId="3531C5D4"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Theme 4: Evidence Gaps, Implementation Challenges and Future Research Needs</w:t>
      </w:r>
    </w:p>
    <w:p w14:paraId="517F310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Although digital dementia tools show considerable potential, the evidence base remains fragmented. Most studies were small, short-term and exploratory, with limited evaluation of long-term outcomes or cost-effectiveness.</w:t>
      </w:r>
    </w:p>
    <w:p w14:paraId="1789BFAA"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Workforce readiness, training gaps, inconsistent commissioning and interoperability issues were major barriers to sustainable implementation. Many innovations remained at pilot stage due to a lack of investment, evaluation and system alignment.</w:t>
      </w:r>
    </w:p>
    <w:p w14:paraId="1A8AA930"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7D6B0DEA">
          <v:rect id="_x0000_i1794" style="width:0;height:1.5pt" o:hralign="center" o:hrstd="t" o:hr="t" fillcolor="#a0a0a0" stroked="f"/>
        </w:pict>
      </w:r>
    </w:p>
    <w:p w14:paraId="5489546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5.3 Achievement of the Research Aim and Objectives</w:t>
      </w:r>
    </w:p>
    <w:p w14:paraId="3377D593"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The aim of this dissertation was to map and synthesise evidence on the scope, purpose and impact of digital health interventions for people living with dementia and their informal carers in UK settings. This aim has been fully achieved.</w:t>
      </w:r>
    </w:p>
    <w:p w14:paraId="1749404C"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Objective 1: Catalogue digital interventions and delivery contexts</w:t>
      </w:r>
    </w:p>
    <w:p w14:paraId="7034598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Completed through a structured mapping of intervention types, settings and target populations.</w:t>
      </w:r>
    </w:p>
    <w:p w14:paraId="235C9466"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Objective 2: Summarise reported outcomes of digital interventions</w:t>
      </w:r>
    </w:p>
    <w:p w14:paraId="31B5D19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lastRenderedPageBreak/>
        <w:t>Achieved through detailed synthesis of clinical, psychosocial and service-level impacts.</w:t>
      </w:r>
    </w:p>
    <w:p w14:paraId="27375598"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Objective 3: Explore usability, accessibility and equity considerations</w:t>
      </w:r>
    </w:p>
    <w:p w14:paraId="10DB6EBB"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Addressed through thematic analysis of barriers, facilitators and structural inequalities.</w:t>
      </w:r>
    </w:p>
    <w:p w14:paraId="4D33AC7D"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Objective 4: Identify evidence gaps and areas for future research</w:t>
      </w:r>
    </w:p>
    <w:p w14:paraId="526D05DC"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Achieved through critical examination of methodological limitations, under-represented groups and implementation challenges.</w:t>
      </w:r>
    </w:p>
    <w:p w14:paraId="3B86A994"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Collectively, these objectives provide a coherent understanding of the digital dementia landscape in the UK and identify priorities for future improvement.</w:t>
      </w:r>
    </w:p>
    <w:p w14:paraId="382478BE"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0F01C7F7">
          <v:rect id="_x0000_i1795" style="width:0;height:1.5pt" o:hralign="center" o:hrstd="t" o:hr="t" fillcolor="#a0a0a0" stroked="f"/>
        </w:pict>
      </w:r>
    </w:p>
    <w:p w14:paraId="6A38F30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5.4 Strengths and Limitations of the Study</w:t>
      </w:r>
    </w:p>
    <w:p w14:paraId="25D043DD"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Strengths</w:t>
      </w:r>
    </w:p>
    <w:p w14:paraId="41C8337A" w14:textId="77777777" w:rsidR="00DA6718" w:rsidRPr="00DA6718" w:rsidRDefault="00DA6718" w:rsidP="00DA6718">
      <w:pPr>
        <w:pStyle w:val="Heading1"/>
        <w:numPr>
          <w:ilvl w:val="0"/>
          <w:numId w:val="224"/>
        </w:numPr>
        <w:spacing w:line="360" w:lineRule="auto"/>
        <w:rPr>
          <w:rFonts w:eastAsiaTheme="majorEastAsia" w:cs="Arial"/>
          <w:b w:val="0"/>
          <w:sz w:val="22"/>
          <w:szCs w:val="22"/>
        </w:rPr>
      </w:pPr>
      <w:r w:rsidRPr="00DA6718">
        <w:rPr>
          <w:rFonts w:eastAsiaTheme="majorEastAsia" w:cs="Arial"/>
          <w:b w:val="0"/>
          <w:sz w:val="22"/>
          <w:szCs w:val="22"/>
        </w:rPr>
        <w:t>Structured and transparent methodology, following scoping review principles and PRISMA-</w:t>
      </w:r>
      <w:proofErr w:type="spellStart"/>
      <w:r w:rsidRPr="00DA6718">
        <w:rPr>
          <w:rFonts w:eastAsiaTheme="majorEastAsia" w:cs="Arial"/>
          <w:b w:val="0"/>
          <w:sz w:val="22"/>
          <w:szCs w:val="22"/>
        </w:rPr>
        <w:t>ScR</w:t>
      </w:r>
      <w:proofErr w:type="spellEnd"/>
      <w:r w:rsidRPr="00DA6718">
        <w:rPr>
          <w:rFonts w:eastAsiaTheme="majorEastAsia" w:cs="Arial"/>
          <w:b w:val="0"/>
          <w:sz w:val="22"/>
          <w:szCs w:val="22"/>
        </w:rPr>
        <w:t xml:space="preserve"> guidance.</w:t>
      </w:r>
    </w:p>
    <w:p w14:paraId="386BA005" w14:textId="77777777" w:rsidR="00DA6718" w:rsidRPr="00DA6718" w:rsidRDefault="00DA6718" w:rsidP="00DA6718">
      <w:pPr>
        <w:pStyle w:val="Heading1"/>
        <w:numPr>
          <w:ilvl w:val="0"/>
          <w:numId w:val="224"/>
        </w:numPr>
        <w:spacing w:line="360" w:lineRule="auto"/>
        <w:rPr>
          <w:rFonts w:eastAsiaTheme="majorEastAsia" w:cs="Arial"/>
          <w:b w:val="0"/>
          <w:sz w:val="22"/>
          <w:szCs w:val="22"/>
        </w:rPr>
      </w:pPr>
      <w:r w:rsidRPr="00DA6718">
        <w:rPr>
          <w:rFonts w:eastAsiaTheme="majorEastAsia" w:cs="Arial"/>
          <w:b w:val="0"/>
          <w:sz w:val="22"/>
          <w:szCs w:val="22"/>
        </w:rPr>
        <w:t>Clear UK focus, supporting direct application to contemporary NHS and social-care policy.</w:t>
      </w:r>
    </w:p>
    <w:p w14:paraId="13E6AB59" w14:textId="77777777" w:rsidR="00DA6718" w:rsidRPr="00DA6718" w:rsidRDefault="00DA6718" w:rsidP="00DA6718">
      <w:pPr>
        <w:pStyle w:val="Heading1"/>
        <w:numPr>
          <w:ilvl w:val="0"/>
          <w:numId w:val="224"/>
        </w:numPr>
        <w:spacing w:line="360" w:lineRule="auto"/>
        <w:rPr>
          <w:rFonts w:eastAsiaTheme="majorEastAsia" w:cs="Arial"/>
          <w:b w:val="0"/>
          <w:sz w:val="22"/>
          <w:szCs w:val="22"/>
        </w:rPr>
      </w:pPr>
      <w:r w:rsidRPr="00DA6718">
        <w:rPr>
          <w:rFonts w:eastAsiaTheme="majorEastAsia" w:cs="Arial"/>
          <w:b w:val="0"/>
          <w:sz w:val="22"/>
          <w:szCs w:val="22"/>
        </w:rPr>
        <w:t>Integration of theory, policy and empirical evidence, strengthening the conceptual depth of the analysis.</w:t>
      </w:r>
    </w:p>
    <w:p w14:paraId="13482C68" w14:textId="77777777" w:rsidR="00DA6718" w:rsidRPr="00DA6718" w:rsidRDefault="00DA6718" w:rsidP="00DA6718">
      <w:pPr>
        <w:pStyle w:val="Heading1"/>
        <w:numPr>
          <w:ilvl w:val="0"/>
          <w:numId w:val="224"/>
        </w:numPr>
        <w:spacing w:line="360" w:lineRule="auto"/>
        <w:rPr>
          <w:rFonts w:eastAsiaTheme="majorEastAsia" w:cs="Arial"/>
          <w:b w:val="0"/>
          <w:sz w:val="22"/>
          <w:szCs w:val="22"/>
        </w:rPr>
      </w:pPr>
      <w:r w:rsidRPr="00DA6718">
        <w:rPr>
          <w:rFonts w:eastAsiaTheme="majorEastAsia" w:cs="Arial"/>
          <w:b w:val="0"/>
          <w:sz w:val="22"/>
          <w:szCs w:val="22"/>
        </w:rPr>
        <w:t>Breadth of included interventions, offering a comprehensive overview of digital approaches across the dementia pathway.</w:t>
      </w:r>
    </w:p>
    <w:p w14:paraId="52DC58AA"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Limitations</w:t>
      </w:r>
    </w:p>
    <w:p w14:paraId="6A424527" w14:textId="77777777" w:rsidR="00DA6718" w:rsidRPr="00DA6718" w:rsidRDefault="00DA6718" w:rsidP="00DA6718">
      <w:pPr>
        <w:pStyle w:val="Heading1"/>
        <w:numPr>
          <w:ilvl w:val="0"/>
          <w:numId w:val="225"/>
        </w:numPr>
        <w:spacing w:line="360" w:lineRule="auto"/>
        <w:rPr>
          <w:rFonts w:eastAsiaTheme="majorEastAsia" w:cs="Arial"/>
          <w:b w:val="0"/>
          <w:sz w:val="22"/>
          <w:szCs w:val="22"/>
        </w:rPr>
      </w:pPr>
      <w:r w:rsidRPr="00DA6718">
        <w:rPr>
          <w:rFonts w:eastAsiaTheme="majorEastAsia" w:cs="Arial"/>
          <w:b w:val="0"/>
          <w:sz w:val="22"/>
          <w:szCs w:val="22"/>
        </w:rPr>
        <w:t>The review relied solely on secondary data, limiting insight into lived experience beyond what is reported in existing studies.</w:t>
      </w:r>
    </w:p>
    <w:p w14:paraId="0B63C961" w14:textId="77777777" w:rsidR="00DA6718" w:rsidRPr="00DA6718" w:rsidRDefault="00DA6718" w:rsidP="00DA6718">
      <w:pPr>
        <w:pStyle w:val="Heading1"/>
        <w:numPr>
          <w:ilvl w:val="0"/>
          <w:numId w:val="225"/>
        </w:numPr>
        <w:spacing w:line="360" w:lineRule="auto"/>
        <w:rPr>
          <w:rFonts w:eastAsiaTheme="majorEastAsia" w:cs="Arial"/>
          <w:b w:val="0"/>
          <w:sz w:val="22"/>
          <w:szCs w:val="22"/>
        </w:rPr>
      </w:pPr>
      <w:r w:rsidRPr="00DA6718">
        <w:rPr>
          <w:rFonts w:eastAsiaTheme="majorEastAsia" w:cs="Arial"/>
          <w:b w:val="0"/>
          <w:sz w:val="22"/>
          <w:szCs w:val="22"/>
        </w:rPr>
        <w:t>Small-scale and short-term studies reduced the strength of conclusions on long-term outcomes.</w:t>
      </w:r>
    </w:p>
    <w:p w14:paraId="0E314A69" w14:textId="77777777" w:rsidR="00DA6718" w:rsidRPr="00DA6718" w:rsidRDefault="00DA6718" w:rsidP="00DA6718">
      <w:pPr>
        <w:pStyle w:val="Heading1"/>
        <w:numPr>
          <w:ilvl w:val="0"/>
          <w:numId w:val="225"/>
        </w:numPr>
        <w:spacing w:line="360" w:lineRule="auto"/>
        <w:rPr>
          <w:rFonts w:eastAsiaTheme="majorEastAsia" w:cs="Arial"/>
          <w:b w:val="0"/>
          <w:sz w:val="22"/>
          <w:szCs w:val="22"/>
        </w:rPr>
      </w:pPr>
      <w:r w:rsidRPr="00DA6718">
        <w:rPr>
          <w:rFonts w:eastAsiaTheme="majorEastAsia" w:cs="Arial"/>
          <w:b w:val="0"/>
          <w:sz w:val="22"/>
          <w:szCs w:val="22"/>
        </w:rPr>
        <w:t>Exclusion of pre-2015 studies may have omitted useful early evidence, despite ensuring currency within a rapidly changing field.</w:t>
      </w:r>
    </w:p>
    <w:p w14:paraId="14004C27" w14:textId="77777777" w:rsidR="00DA6718" w:rsidRPr="00DA6718" w:rsidRDefault="00DA6718" w:rsidP="00DA6718">
      <w:pPr>
        <w:pStyle w:val="Heading1"/>
        <w:numPr>
          <w:ilvl w:val="0"/>
          <w:numId w:val="225"/>
        </w:numPr>
        <w:spacing w:line="360" w:lineRule="auto"/>
        <w:rPr>
          <w:rFonts w:eastAsiaTheme="majorEastAsia" w:cs="Arial"/>
          <w:b w:val="0"/>
          <w:sz w:val="22"/>
          <w:szCs w:val="22"/>
        </w:rPr>
      </w:pPr>
      <w:r w:rsidRPr="00DA6718">
        <w:rPr>
          <w:rFonts w:eastAsiaTheme="majorEastAsia" w:cs="Arial"/>
          <w:b w:val="0"/>
          <w:sz w:val="22"/>
          <w:szCs w:val="22"/>
        </w:rPr>
        <w:t>Experiences of people with advanced dementia or those without carers were under-represented in the available literature.</w:t>
      </w:r>
    </w:p>
    <w:p w14:paraId="6A763BDF"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Despite these limitations, the findings remain robust and offer valuable insights for practice and policy.</w:t>
      </w:r>
    </w:p>
    <w:p w14:paraId="54E3D3B2"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52610F3E">
          <v:rect id="_x0000_i1796" style="width:0;height:1.5pt" o:hralign="center" o:hrstd="t" o:hr="t" fillcolor="#a0a0a0" stroked="f"/>
        </w:pict>
      </w:r>
    </w:p>
    <w:p w14:paraId="433D2CE7"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5.5 Recommendations for Practice</w:t>
      </w:r>
    </w:p>
    <w:p w14:paraId="1CF08092" w14:textId="77777777" w:rsidR="00DA6718" w:rsidRPr="00DA6718" w:rsidRDefault="00DA6718" w:rsidP="00DA6718">
      <w:pPr>
        <w:pStyle w:val="Heading1"/>
        <w:numPr>
          <w:ilvl w:val="0"/>
          <w:numId w:val="226"/>
        </w:numPr>
        <w:spacing w:line="360" w:lineRule="auto"/>
        <w:rPr>
          <w:rFonts w:eastAsiaTheme="majorEastAsia" w:cs="Arial"/>
          <w:b w:val="0"/>
          <w:sz w:val="22"/>
          <w:szCs w:val="22"/>
        </w:rPr>
      </w:pPr>
      <w:r w:rsidRPr="00DA6718">
        <w:rPr>
          <w:rFonts w:eastAsiaTheme="majorEastAsia" w:cs="Arial"/>
          <w:b w:val="0"/>
          <w:sz w:val="22"/>
          <w:szCs w:val="22"/>
        </w:rPr>
        <w:t>Co-design digital tools with people living with dementia and carers</w:t>
      </w:r>
      <w:r w:rsidRPr="00DA6718">
        <w:rPr>
          <w:rFonts w:eastAsiaTheme="majorEastAsia" w:cs="Arial"/>
          <w:b w:val="0"/>
          <w:sz w:val="22"/>
          <w:szCs w:val="22"/>
        </w:rPr>
        <w:br/>
        <w:t>Technologies must reflect real-world needs, capabilities and preferences to improve usability and acceptance.</w:t>
      </w:r>
    </w:p>
    <w:p w14:paraId="51813508" w14:textId="77777777" w:rsidR="00DA6718" w:rsidRPr="00DA6718" w:rsidRDefault="00DA6718" w:rsidP="00DA6718">
      <w:pPr>
        <w:pStyle w:val="Heading1"/>
        <w:numPr>
          <w:ilvl w:val="0"/>
          <w:numId w:val="226"/>
        </w:numPr>
        <w:spacing w:line="360" w:lineRule="auto"/>
        <w:rPr>
          <w:rFonts w:eastAsiaTheme="majorEastAsia" w:cs="Arial"/>
          <w:b w:val="0"/>
          <w:sz w:val="22"/>
          <w:szCs w:val="22"/>
        </w:rPr>
      </w:pPr>
      <w:r w:rsidRPr="00DA6718">
        <w:rPr>
          <w:rFonts w:eastAsiaTheme="majorEastAsia" w:cs="Arial"/>
          <w:b w:val="0"/>
          <w:sz w:val="22"/>
          <w:szCs w:val="22"/>
        </w:rPr>
        <w:t>Provide accessible digital literacy training for people with dementia and carers</w:t>
      </w:r>
      <w:r w:rsidRPr="00DA6718">
        <w:rPr>
          <w:rFonts w:eastAsiaTheme="majorEastAsia" w:cs="Arial"/>
          <w:b w:val="0"/>
          <w:sz w:val="22"/>
          <w:szCs w:val="22"/>
        </w:rPr>
        <w:br/>
        <w:t xml:space="preserve">Community-based training, helplines and step-by-step guides can build confidence </w:t>
      </w:r>
      <w:r w:rsidRPr="00DA6718">
        <w:rPr>
          <w:rFonts w:eastAsiaTheme="majorEastAsia" w:cs="Arial"/>
          <w:b w:val="0"/>
          <w:sz w:val="22"/>
          <w:szCs w:val="22"/>
        </w:rPr>
        <w:lastRenderedPageBreak/>
        <w:t>and autonomy.</w:t>
      </w:r>
    </w:p>
    <w:p w14:paraId="64DC657F" w14:textId="77777777" w:rsidR="00DA6718" w:rsidRPr="00DA6718" w:rsidRDefault="00DA6718" w:rsidP="00DA6718">
      <w:pPr>
        <w:pStyle w:val="Heading1"/>
        <w:numPr>
          <w:ilvl w:val="0"/>
          <w:numId w:val="226"/>
        </w:numPr>
        <w:spacing w:line="360" w:lineRule="auto"/>
        <w:rPr>
          <w:rFonts w:eastAsiaTheme="majorEastAsia" w:cs="Arial"/>
          <w:b w:val="0"/>
          <w:sz w:val="22"/>
          <w:szCs w:val="22"/>
        </w:rPr>
      </w:pPr>
      <w:r w:rsidRPr="00DA6718">
        <w:rPr>
          <w:rFonts w:eastAsiaTheme="majorEastAsia" w:cs="Arial"/>
          <w:b w:val="0"/>
          <w:sz w:val="22"/>
          <w:szCs w:val="22"/>
        </w:rPr>
        <w:t>Ensure digital interventions complement, not replace, face-to-face care</w:t>
      </w:r>
      <w:r w:rsidRPr="00DA6718">
        <w:rPr>
          <w:rFonts w:eastAsiaTheme="majorEastAsia" w:cs="Arial"/>
          <w:b w:val="0"/>
          <w:sz w:val="22"/>
          <w:szCs w:val="22"/>
        </w:rPr>
        <w:br/>
        <w:t>Hybrid care models help avoid over-reliance on technology and protect relational aspects of dementia support.</w:t>
      </w:r>
    </w:p>
    <w:p w14:paraId="762EA10F" w14:textId="77777777" w:rsidR="00DA6718" w:rsidRPr="00DA6718" w:rsidRDefault="00DA6718" w:rsidP="00DA6718">
      <w:pPr>
        <w:pStyle w:val="Heading1"/>
        <w:numPr>
          <w:ilvl w:val="0"/>
          <w:numId w:val="226"/>
        </w:numPr>
        <w:spacing w:line="360" w:lineRule="auto"/>
        <w:rPr>
          <w:rFonts w:eastAsiaTheme="majorEastAsia" w:cs="Arial"/>
          <w:b w:val="0"/>
          <w:sz w:val="22"/>
          <w:szCs w:val="22"/>
        </w:rPr>
      </w:pPr>
      <w:r w:rsidRPr="00DA6718">
        <w:rPr>
          <w:rFonts w:eastAsiaTheme="majorEastAsia" w:cs="Arial"/>
          <w:b w:val="0"/>
          <w:sz w:val="22"/>
          <w:szCs w:val="22"/>
        </w:rPr>
        <w:t>Strengthen staff training in digital competencies</w:t>
      </w:r>
      <w:r w:rsidRPr="00DA6718">
        <w:rPr>
          <w:rFonts w:eastAsiaTheme="majorEastAsia" w:cs="Arial"/>
          <w:b w:val="0"/>
          <w:sz w:val="22"/>
          <w:szCs w:val="22"/>
        </w:rPr>
        <w:br/>
        <w:t>Health and social-care professionals require practical, ongoing training to use and support digital tools effectively.</w:t>
      </w:r>
    </w:p>
    <w:p w14:paraId="75E5BA2D" w14:textId="77777777" w:rsidR="00DA6718" w:rsidRPr="00DA6718" w:rsidRDefault="00DA6718" w:rsidP="00DA6718">
      <w:pPr>
        <w:pStyle w:val="Heading1"/>
        <w:numPr>
          <w:ilvl w:val="0"/>
          <w:numId w:val="226"/>
        </w:numPr>
        <w:spacing w:line="360" w:lineRule="auto"/>
        <w:rPr>
          <w:rFonts w:eastAsiaTheme="majorEastAsia" w:cs="Arial"/>
          <w:b w:val="0"/>
          <w:sz w:val="22"/>
          <w:szCs w:val="22"/>
        </w:rPr>
      </w:pPr>
      <w:r w:rsidRPr="00DA6718">
        <w:rPr>
          <w:rFonts w:eastAsiaTheme="majorEastAsia" w:cs="Arial"/>
          <w:b w:val="0"/>
          <w:sz w:val="22"/>
          <w:szCs w:val="22"/>
        </w:rPr>
        <w:t>Offer financial and practical support to reduce cost-related barriers</w:t>
      </w:r>
      <w:r w:rsidRPr="00DA6718">
        <w:rPr>
          <w:rFonts w:eastAsiaTheme="majorEastAsia" w:cs="Arial"/>
          <w:b w:val="0"/>
          <w:sz w:val="22"/>
          <w:szCs w:val="22"/>
        </w:rPr>
        <w:br/>
        <w:t>Device loan schemes, subsidised broadband and accessible equipment can reduce inequalities in digital access.</w:t>
      </w:r>
    </w:p>
    <w:p w14:paraId="092448C3" w14:textId="77777777" w:rsidR="00DA6718" w:rsidRPr="00DA6718" w:rsidRDefault="00DA6718" w:rsidP="00DA6718">
      <w:pPr>
        <w:pStyle w:val="Heading1"/>
        <w:numPr>
          <w:ilvl w:val="0"/>
          <w:numId w:val="226"/>
        </w:numPr>
        <w:spacing w:line="360" w:lineRule="auto"/>
        <w:rPr>
          <w:rFonts w:eastAsiaTheme="majorEastAsia" w:cs="Arial"/>
          <w:b w:val="0"/>
          <w:sz w:val="22"/>
          <w:szCs w:val="22"/>
        </w:rPr>
      </w:pPr>
      <w:r w:rsidRPr="00DA6718">
        <w:rPr>
          <w:rFonts w:eastAsiaTheme="majorEastAsia" w:cs="Arial"/>
          <w:b w:val="0"/>
          <w:sz w:val="22"/>
          <w:szCs w:val="22"/>
        </w:rPr>
        <w:t>Embed digital tools within personalised care plans</w:t>
      </w:r>
      <w:r w:rsidRPr="00DA6718">
        <w:rPr>
          <w:rFonts w:eastAsiaTheme="majorEastAsia" w:cs="Arial"/>
          <w:b w:val="0"/>
          <w:sz w:val="22"/>
          <w:szCs w:val="22"/>
        </w:rPr>
        <w:br/>
        <w:t>Interventions should align with individual routines, cognitive abilities and support networks.</w:t>
      </w:r>
    </w:p>
    <w:p w14:paraId="5008106B"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7092A66C">
          <v:rect id="_x0000_i1797" style="width:0;height:1.5pt" o:hralign="center" o:hrstd="t" o:hr="t" fillcolor="#a0a0a0" stroked="f"/>
        </w:pict>
      </w:r>
    </w:p>
    <w:p w14:paraId="606ABFD2"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5.6 Recommendations for Policy</w:t>
      </w:r>
    </w:p>
    <w:p w14:paraId="7A4DCB27" w14:textId="77777777" w:rsidR="00DA6718" w:rsidRPr="00DA6718" w:rsidRDefault="00DA6718" w:rsidP="00DA6718">
      <w:pPr>
        <w:pStyle w:val="Heading1"/>
        <w:numPr>
          <w:ilvl w:val="0"/>
          <w:numId w:val="227"/>
        </w:numPr>
        <w:spacing w:line="360" w:lineRule="auto"/>
        <w:rPr>
          <w:rFonts w:eastAsiaTheme="majorEastAsia" w:cs="Arial"/>
          <w:b w:val="0"/>
          <w:sz w:val="22"/>
          <w:szCs w:val="22"/>
        </w:rPr>
      </w:pPr>
      <w:r w:rsidRPr="00DA6718">
        <w:rPr>
          <w:rFonts w:eastAsiaTheme="majorEastAsia" w:cs="Arial"/>
          <w:b w:val="0"/>
          <w:sz w:val="22"/>
          <w:szCs w:val="22"/>
        </w:rPr>
        <w:t>Prioritise digital inclusion within national dementia and digital health strategies</w:t>
      </w:r>
      <w:r w:rsidRPr="00DA6718">
        <w:rPr>
          <w:rFonts w:eastAsiaTheme="majorEastAsia" w:cs="Arial"/>
          <w:b w:val="0"/>
          <w:sz w:val="22"/>
          <w:szCs w:val="22"/>
        </w:rPr>
        <w:br/>
        <w:t>Address structural inequalities affecting older adults, disadvantaged groups and minority communities.</w:t>
      </w:r>
    </w:p>
    <w:p w14:paraId="15779EA4" w14:textId="77777777" w:rsidR="00DA6718" w:rsidRPr="00DA6718" w:rsidRDefault="00DA6718" w:rsidP="00DA6718">
      <w:pPr>
        <w:pStyle w:val="Heading1"/>
        <w:numPr>
          <w:ilvl w:val="0"/>
          <w:numId w:val="227"/>
        </w:numPr>
        <w:spacing w:line="360" w:lineRule="auto"/>
        <w:rPr>
          <w:rFonts w:eastAsiaTheme="majorEastAsia" w:cs="Arial"/>
          <w:b w:val="0"/>
          <w:sz w:val="22"/>
          <w:szCs w:val="22"/>
        </w:rPr>
      </w:pPr>
      <w:r w:rsidRPr="00DA6718">
        <w:rPr>
          <w:rFonts w:eastAsiaTheme="majorEastAsia" w:cs="Arial"/>
          <w:b w:val="0"/>
          <w:sz w:val="22"/>
          <w:szCs w:val="22"/>
        </w:rPr>
        <w:t>Mandate dementia-friendly design standards</w:t>
      </w:r>
      <w:r w:rsidRPr="00DA6718">
        <w:rPr>
          <w:rFonts w:eastAsiaTheme="majorEastAsia" w:cs="Arial"/>
          <w:b w:val="0"/>
          <w:sz w:val="22"/>
          <w:szCs w:val="22"/>
        </w:rPr>
        <w:br/>
        <w:t>Technologies commissioned in NHS and social-care settings should meet accessibility and cognitive-friendly criteria.</w:t>
      </w:r>
    </w:p>
    <w:p w14:paraId="290DBCA4" w14:textId="77777777" w:rsidR="00DA6718" w:rsidRPr="00DA6718" w:rsidRDefault="00DA6718" w:rsidP="00DA6718">
      <w:pPr>
        <w:pStyle w:val="Heading1"/>
        <w:numPr>
          <w:ilvl w:val="0"/>
          <w:numId w:val="227"/>
        </w:numPr>
        <w:spacing w:line="360" w:lineRule="auto"/>
        <w:rPr>
          <w:rFonts w:eastAsiaTheme="majorEastAsia" w:cs="Arial"/>
          <w:b w:val="0"/>
          <w:sz w:val="22"/>
          <w:szCs w:val="22"/>
        </w:rPr>
      </w:pPr>
      <w:r w:rsidRPr="00DA6718">
        <w:rPr>
          <w:rFonts w:eastAsiaTheme="majorEastAsia" w:cs="Arial"/>
          <w:b w:val="0"/>
          <w:sz w:val="22"/>
          <w:szCs w:val="22"/>
        </w:rPr>
        <w:t>Invest in digital infrastructure across ICSs</w:t>
      </w:r>
      <w:r w:rsidRPr="00DA6718">
        <w:rPr>
          <w:rFonts w:eastAsiaTheme="majorEastAsia" w:cs="Arial"/>
          <w:b w:val="0"/>
          <w:sz w:val="22"/>
          <w:szCs w:val="22"/>
        </w:rPr>
        <w:br/>
        <w:t>Improved broadband, device access and interoperability are essential for equitable service provision.</w:t>
      </w:r>
    </w:p>
    <w:p w14:paraId="0F0AA8DC" w14:textId="77777777" w:rsidR="00DA6718" w:rsidRPr="00DA6718" w:rsidRDefault="00DA6718" w:rsidP="00DA6718">
      <w:pPr>
        <w:pStyle w:val="Heading1"/>
        <w:numPr>
          <w:ilvl w:val="0"/>
          <w:numId w:val="227"/>
        </w:numPr>
        <w:spacing w:line="360" w:lineRule="auto"/>
        <w:rPr>
          <w:rFonts w:eastAsiaTheme="majorEastAsia" w:cs="Arial"/>
          <w:b w:val="0"/>
          <w:sz w:val="22"/>
          <w:szCs w:val="22"/>
        </w:rPr>
      </w:pPr>
      <w:r w:rsidRPr="00DA6718">
        <w:rPr>
          <w:rFonts w:eastAsiaTheme="majorEastAsia" w:cs="Arial"/>
          <w:b w:val="0"/>
          <w:sz w:val="22"/>
          <w:szCs w:val="22"/>
        </w:rPr>
        <w:t>Strengthen data protection, transparency and ethical oversight of AI</w:t>
      </w:r>
      <w:r w:rsidRPr="00DA6718">
        <w:rPr>
          <w:rFonts w:eastAsiaTheme="majorEastAsia" w:cs="Arial"/>
          <w:b w:val="0"/>
          <w:sz w:val="22"/>
          <w:szCs w:val="22"/>
        </w:rPr>
        <w:br/>
        <w:t>Clear guidance should ensure that AI-supported tools are safe, explainable and free from discriminatory bias.</w:t>
      </w:r>
    </w:p>
    <w:p w14:paraId="26FCCC20" w14:textId="77777777" w:rsidR="00DA6718" w:rsidRPr="00DA6718" w:rsidRDefault="00DA6718" w:rsidP="00DA6718">
      <w:pPr>
        <w:pStyle w:val="Heading1"/>
        <w:numPr>
          <w:ilvl w:val="0"/>
          <w:numId w:val="227"/>
        </w:numPr>
        <w:spacing w:line="360" w:lineRule="auto"/>
        <w:rPr>
          <w:rFonts w:eastAsiaTheme="majorEastAsia" w:cs="Arial"/>
          <w:b w:val="0"/>
          <w:sz w:val="22"/>
          <w:szCs w:val="22"/>
        </w:rPr>
      </w:pPr>
      <w:r w:rsidRPr="00DA6718">
        <w:rPr>
          <w:rFonts w:eastAsiaTheme="majorEastAsia" w:cs="Arial"/>
          <w:b w:val="0"/>
          <w:sz w:val="22"/>
          <w:szCs w:val="22"/>
        </w:rPr>
        <w:t>Provide long-term funding for evaluation and scale-up of successful interventions</w:t>
      </w:r>
      <w:r w:rsidRPr="00DA6718">
        <w:rPr>
          <w:rFonts w:eastAsiaTheme="majorEastAsia" w:cs="Arial"/>
          <w:b w:val="0"/>
          <w:sz w:val="22"/>
          <w:szCs w:val="22"/>
        </w:rPr>
        <w:br/>
        <w:t>Moving beyond pilot projects requires sustained investment and evidence-based commissioning.</w:t>
      </w:r>
    </w:p>
    <w:p w14:paraId="4B2FB70C"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45076276">
          <v:rect id="_x0000_i1798" style="width:0;height:1.5pt" o:hralign="center" o:hrstd="t" o:hr="t" fillcolor="#a0a0a0" stroked="f"/>
        </w:pict>
      </w:r>
    </w:p>
    <w:p w14:paraId="008E35E2"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5.7 Recommendations for Future Research</w:t>
      </w:r>
    </w:p>
    <w:p w14:paraId="6AB5CF81" w14:textId="77777777" w:rsidR="00DA6718" w:rsidRPr="00DA6718" w:rsidRDefault="00DA6718" w:rsidP="00DA6718">
      <w:pPr>
        <w:pStyle w:val="Heading1"/>
        <w:numPr>
          <w:ilvl w:val="0"/>
          <w:numId w:val="228"/>
        </w:numPr>
        <w:spacing w:line="360" w:lineRule="auto"/>
        <w:rPr>
          <w:rFonts w:eastAsiaTheme="majorEastAsia" w:cs="Arial"/>
          <w:b w:val="0"/>
          <w:sz w:val="22"/>
          <w:szCs w:val="22"/>
        </w:rPr>
      </w:pPr>
      <w:r w:rsidRPr="00DA6718">
        <w:rPr>
          <w:rFonts w:eastAsiaTheme="majorEastAsia" w:cs="Arial"/>
          <w:b w:val="0"/>
          <w:sz w:val="22"/>
          <w:szCs w:val="22"/>
        </w:rPr>
        <w:t>Longitudinal studies assessing long-term outcomes, cost-effectiveness and impact on health and social-care utilisation.</w:t>
      </w:r>
    </w:p>
    <w:p w14:paraId="5BE66EBD" w14:textId="77777777" w:rsidR="00DA6718" w:rsidRPr="00DA6718" w:rsidRDefault="00DA6718" w:rsidP="00DA6718">
      <w:pPr>
        <w:pStyle w:val="Heading1"/>
        <w:numPr>
          <w:ilvl w:val="0"/>
          <w:numId w:val="228"/>
        </w:numPr>
        <w:spacing w:line="360" w:lineRule="auto"/>
        <w:rPr>
          <w:rFonts w:eastAsiaTheme="majorEastAsia" w:cs="Arial"/>
          <w:b w:val="0"/>
          <w:sz w:val="22"/>
          <w:szCs w:val="22"/>
        </w:rPr>
      </w:pPr>
      <w:r w:rsidRPr="00DA6718">
        <w:rPr>
          <w:rFonts w:eastAsiaTheme="majorEastAsia" w:cs="Arial"/>
          <w:b w:val="0"/>
          <w:sz w:val="22"/>
          <w:szCs w:val="22"/>
        </w:rPr>
        <w:t>Research with under-represented groups, including minority ethnic communities, rural populations, advanced dementia and people without informal carers.</w:t>
      </w:r>
    </w:p>
    <w:p w14:paraId="32333D06" w14:textId="77777777" w:rsidR="00DA6718" w:rsidRPr="00DA6718" w:rsidRDefault="00DA6718" w:rsidP="00DA6718">
      <w:pPr>
        <w:pStyle w:val="Heading1"/>
        <w:numPr>
          <w:ilvl w:val="0"/>
          <w:numId w:val="228"/>
        </w:numPr>
        <w:spacing w:line="360" w:lineRule="auto"/>
        <w:rPr>
          <w:rFonts w:eastAsiaTheme="majorEastAsia" w:cs="Arial"/>
          <w:b w:val="0"/>
          <w:sz w:val="22"/>
          <w:szCs w:val="22"/>
        </w:rPr>
      </w:pPr>
      <w:r w:rsidRPr="00DA6718">
        <w:rPr>
          <w:rFonts w:eastAsiaTheme="majorEastAsia" w:cs="Arial"/>
          <w:b w:val="0"/>
          <w:sz w:val="22"/>
          <w:szCs w:val="22"/>
        </w:rPr>
        <w:t xml:space="preserve">Evaluation of digital inclusion initiatives, such as community training programmes or </w:t>
      </w:r>
      <w:r w:rsidRPr="00DA6718">
        <w:rPr>
          <w:rFonts w:eastAsiaTheme="majorEastAsia" w:cs="Arial"/>
          <w:b w:val="0"/>
          <w:sz w:val="22"/>
          <w:szCs w:val="22"/>
        </w:rPr>
        <w:lastRenderedPageBreak/>
        <w:t>device access schemes.</w:t>
      </w:r>
    </w:p>
    <w:p w14:paraId="72B8EC63" w14:textId="77777777" w:rsidR="00DA6718" w:rsidRPr="00DA6718" w:rsidRDefault="00DA6718" w:rsidP="00DA6718">
      <w:pPr>
        <w:pStyle w:val="Heading1"/>
        <w:numPr>
          <w:ilvl w:val="0"/>
          <w:numId w:val="228"/>
        </w:numPr>
        <w:spacing w:line="360" w:lineRule="auto"/>
        <w:rPr>
          <w:rFonts w:eastAsiaTheme="majorEastAsia" w:cs="Arial"/>
          <w:b w:val="0"/>
          <w:sz w:val="22"/>
          <w:szCs w:val="22"/>
        </w:rPr>
      </w:pPr>
      <w:r w:rsidRPr="00DA6718">
        <w:rPr>
          <w:rFonts w:eastAsiaTheme="majorEastAsia" w:cs="Arial"/>
          <w:b w:val="0"/>
          <w:sz w:val="22"/>
          <w:szCs w:val="22"/>
        </w:rPr>
        <w:t>Co-designed studies involving people with dementia and carers throughout the research process.</w:t>
      </w:r>
    </w:p>
    <w:p w14:paraId="3B5190AB" w14:textId="77777777" w:rsidR="00DA6718" w:rsidRPr="00DA6718" w:rsidRDefault="00DA6718" w:rsidP="00DA6718">
      <w:pPr>
        <w:pStyle w:val="Heading1"/>
        <w:numPr>
          <w:ilvl w:val="0"/>
          <w:numId w:val="228"/>
        </w:numPr>
        <w:spacing w:line="360" w:lineRule="auto"/>
        <w:rPr>
          <w:rFonts w:eastAsiaTheme="majorEastAsia" w:cs="Arial"/>
          <w:b w:val="0"/>
          <w:sz w:val="22"/>
          <w:szCs w:val="22"/>
        </w:rPr>
      </w:pPr>
      <w:r w:rsidRPr="00DA6718">
        <w:rPr>
          <w:rFonts w:eastAsiaTheme="majorEastAsia" w:cs="Arial"/>
          <w:b w:val="0"/>
          <w:sz w:val="22"/>
          <w:szCs w:val="22"/>
        </w:rPr>
        <w:t>Real-world evaluation of AI tools, with attention to safety, accuracy, transparency and ethical implications.</w:t>
      </w:r>
    </w:p>
    <w:p w14:paraId="4327CFF4" w14:textId="77777777" w:rsidR="00DA6718" w:rsidRPr="00DA6718" w:rsidRDefault="00DA6718" w:rsidP="00DA6718">
      <w:pPr>
        <w:pStyle w:val="Heading1"/>
        <w:numPr>
          <w:ilvl w:val="0"/>
          <w:numId w:val="228"/>
        </w:numPr>
        <w:spacing w:line="360" w:lineRule="auto"/>
        <w:rPr>
          <w:rFonts w:eastAsiaTheme="majorEastAsia" w:cs="Arial"/>
          <w:b w:val="0"/>
          <w:sz w:val="22"/>
          <w:szCs w:val="22"/>
        </w:rPr>
      </w:pPr>
      <w:r w:rsidRPr="00DA6718">
        <w:rPr>
          <w:rFonts w:eastAsiaTheme="majorEastAsia" w:cs="Arial"/>
          <w:b w:val="0"/>
          <w:sz w:val="22"/>
          <w:szCs w:val="22"/>
        </w:rPr>
        <w:t>Implementation research exploring workforce readiness, organisational culture and system-wide integration.</w:t>
      </w:r>
    </w:p>
    <w:p w14:paraId="6961A9B1"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pict w14:anchorId="475931FE">
          <v:rect id="_x0000_i1799" style="width:0;height:1.5pt" o:hralign="center" o:hrstd="t" o:hr="t" fillcolor="#a0a0a0" stroked="f"/>
        </w:pict>
      </w:r>
    </w:p>
    <w:p w14:paraId="62B7D446"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5.8 Chapter Conclusion</w:t>
      </w:r>
    </w:p>
    <w:p w14:paraId="41576DA0" w14:textId="77777777" w:rsidR="00DA6718" w:rsidRPr="00DA6718" w:rsidRDefault="00DA6718" w:rsidP="00DA6718">
      <w:pPr>
        <w:pStyle w:val="Heading1"/>
        <w:spacing w:line="360" w:lineRule="auto"/>
        <w:rPr>
          <w:rFonts w:eastAsiaTheme="majorEastAsia" w:cs="Arial"/>
          <w:b w:val="0"/>
          <w:sz w:val="22"/>
          <w:szCs w:val="22"/>
        </w:rPr>
      </w:pPr>
      <w:r w:rsidRPr="00DA6718">
        <w:rPr>
          <w:rFonts w:eastAsiaTheme="majorEastAsia" w:cs="Arial"/>
          <w:b w:val="0"/>
          <w:sz w:val="22"/>
          <w:szCs w:val="22"/>
        </w:rPr>
        <w:t>This chapter has synthesised the findings of the scoping review, demonstrating that digital health interventions have substantial potential to enhance dementia care in the UK by improving safety, wellbeing, carer support and service efficiency. However, the benefits of digital innovation are not yet fully realised due to persistent challenges around usability, digital exclusion, workforce capacity and limited evidence on long-term outcomes.</w:t>
      </w:r>
    </w:p>
    <w:p w14:paraId="5215780D" w14:textId="77777777" w:rsidR="00DA6718" w:rsidRPr="00DA6718" w:rsidRDefault="00DA6718" w:rsidP="00DA6718">
      <w:pPr>
        <w:pStyle w:val="Heading1"/>
        <w:spacing w:line="360" w:lineRule="auto"/>
        <w:rPr>
          <w:rFonts w:eastAsiaTheme="majorEastAsia" w:cs="Arial"/>
          <w:bCs/>
          <w:sz w:val="22"/>
          <w:szCs w:val="22"/>
        </w:rPr>
      </w:pPr>
      <w:r w:rsidRPr="00DA6718">
        <w:rPr>
          <w:rFonts w:eastAsiaTheme="majorEastAsia" w:cs="Arial"/>
          <w:b w:val="0"/>
          <w:sz w:val="22"/>
          <w:szCs w:val="22"/>
        </w:rPr>
        <w:t>The recommendations provided highlight how practice, policy and research can better support equitable and sustainable digital transformation. By investing in accessibility, co-design, training and robust evaluation, the NHS and wider social-care sector can ensure that digital technologies meaningfully improve the lives of people living with dementia and their carers</w:t>
      </w:r>
      <w:r w:rsidRPr="00DA6718">
        <w:rPr>
          <w:rFonts w:eastAsiaTheme="majorEastAsia" w:cs="Arial"/>
          <w:bCs/>
          <w:sz w:val="22"/>
          <w:szCs w:val="22"/>
        </w:rPr>
        <w:t>.</w:t>
      </w:r>
    </w:p>
    <w:p w14:paraId="3D3F3B28" w14:textId="1662D714"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Pr="00217AE9" w:rsidRDefault="00211184"/>
    <w:p w14:paraId="5DBCAED8" w14:textId="77777777" w:rsidR="00E62B36" w:rsidRDefault="00E62B36" w:rsidP="00E62B36">
      <w:pPr>
        <w:pStyle w:val="NormalWeb"/>
        <w:jc w:val="both"/>
      </w:pPr>
    </w:p>
    <w:p w14:paraId="2A8C84B7" w14:textId="77777777" w:rsidR="00E62B36" w:rsidRDefault="00E62B36" w:rsidP="00E62B36">
      <w:r>
        <w:pict w14:anchorId="248C42DE">
          <v:rect id="_x0000_i1925" style="width:0;height:1.5pt" o:hralign="center" o:hrstd="t" o:hr="t" fillcolor="#a0a0a0" stroked="f"/>
        </w:pict>
      </w:r>
    </w:p>
    <w:p w14:paraId="6BCC17B3" w14:textId="77777777" w:rsidR="00E62B36" w:rsidRDefault="00E62B36" w:rsidP="00E62B36">
      <w:r>
        <w:pict w14:anchorId="33EDFD11">
          <v:rect id="_x0000_i1924" style="width:0;height:1.5pt" o:hralign="center" o:hrstd="t" o:hr="t" fillcolor="#a0a0a0" stroked="f"/>
        </w:pict>
      </w:r>
    </w:p>
    <w:p w14:paraId="0FB62936" w14:textId="77777777" w:rsidR="00E62B36" w:rsidRDefault="00E62B36" w:rsidP="00E62B36">
      <w:r>
        <w:pict w14:anchorId="4C12346A">
          <v:rect id="_x0000_i1923" style="width:0;height:1.5pt" o:hralign="center" o:hrstd="t" o:hr="t" fillcolor="#a0a0a0" stroked="f"/>
        </w:pict>
      </w:r>
    </w:p>
    <w:p w14:paraId="5A57C7C5" w14:textId="77777777" w:rsidR="00E62B36" w:rsidRDefault="00E62B36" w:rsidP="00E62B36">
      <w:r>
        <w:pict w14:anchorId="7171AC08">
          <v:rect id="_x0000_i1922" style="width:0;height:1.5pt" o:hralign="center" o:hrstd="t" o:hr="t" fillcolor="#a0a0a0" stroked="f"/>
        </w:pict>
      </w:r>
    </w:p>
    <w:p w14:paraId="7497B185" w14:textId="77777777" w:rsidR="00E62B36" w:rsidRDefault="00E62B36" w:rsidP="00E62B36">
      <w:r>
        <w:pict w14:anchorId="30E1B3D5">
          <v:rect id="_x0000_i1921" style="width:0;height:1.5pt" o:hralign="center" o:hrstd="t" o:hr="t" fillcolor="#a0a0a0" stroked="f"/>
        </w:pict>
      </w:r>
    </w:p>
    <w:p w14:paraId="7A823D2A" w14:textId="77777777" w:rsidR="00E62B36" w:rsidRPr="00217AE9" w:rsidRDefault="00E62B36" w:rsidP="00E62B36">
      <w:pPr>
        <w:pStyle w:val="Heading2"/>
        <w:rPr>
          <w:rFonts w:ascii="Times New Roman" w:hAnsi="Times New Roman"/>
          <w:color w:val="auto"/>
        </w:rPr>
      </w:pPr>
      <w:r w:rsidRPr="00217AE9">
        <w:rPr>
          <w:rStyle w:val="Strong"/>
          <w:b w:val="0"/>
          <w:bCs w:val="0"/>
          <w:color w:val="auto"/>
        </w:rPr>
        <w:t>6.1 References</w:t>
      </w:r>
    </w:p>
    <w:p w14:paraId="71716C37" w14:textId="77777777" w:rsidR="00E62B36" w:rsidRPr="004717FF" w:rsidRDefault="00E62B36" w:rsidP="00E62B36">
      <w:pPr>
        <w:pStyle w:val="NormalWeb"/>
        <w:ind w:left="720"/>
        <w:jc w:val="both"/>
      </w:pPr>
      <w:r w:rsidRPr="004717FF">
        <w:t xml:space="preserve">Aarsland, D. et al. (2021) ‘Cognitive decline in dementia: global epidemiology and implications’, </w:t>
      </w:r>
      <w:r w:rsidRPr="004717FF">
        <w:rPr>
          <w:i/>
          <w:iCs/>
        </w:rPr>
        <w:t>Lancet Neurology</w:t>
      </w:r>
      <w:r w:rsidRPr="004717FF">
        <w:t>, 20(1), pp. 58–70.</w:t>
      </w:r>
    </w:p>
    <w:p w14:paraId="275172D7" w14:textId="77777777" w:rsidR="00E62B36" w:rsidRDefault="00E62B36" w:rsidP="00E62B36">
      <w:pPr>
        <w:pStyle w:val="NormalWeb"/>
        <w:jc w:val="both"/>
      </w:pPr>
      <w:r>
        <w:rPr>
          <w:rStyle w:val="Strong"/>
          <w:rFonts w:eastAsia="Calibri Light"/>
        </w:rPr>
        <w:t>Academic method / research</w:t>
      </w:r>
    </w:p>
    <w:p w14:paraId="7AAF7B7E" w14:textId="77777777" w:rsidR="00E62B36" w:rsidRPr="004717FF" w:rsidRDefault="00E62B36" w:rsidP="00E62B36">
      <w:pPr>
        <w:pStyle w:val="NormalWeb"/>
        <w:ind w:left="720"/>
        <w:jc w:val="both"/>
      </w:pPr>
      <w:r w:rsidRPr="004717FF">
        <w:lastRenderedPageBreak/>
        <w:t xml:space="preserve">Age UK (2022) </w:t>
      </w:r>
      <w:r w:rsidRPr="004717FF">
        <w:rPr>
          <w:i/>
          <w:iCs/>
        </w:rPr>
        <w:t>Digital Inclusion and Older People</w:t>
      </w:r>
      <w:r w:rsidRPr="004717FF">
        <w:t>. London: Age UK.</w:t>
      </w:r>
    </w:p>
    <w:p w14:paraId="3921855D" w14:textId="77777777" w:rsidR="00E62B36" w:rsidRPr="004717FF" w:rsidRDefault="00E62B36" w:rsidP="00E62B36">
      <w:pPr>
        <w:pStyle w:val="NormalWeb"/>
        <w:ind w:left="720"/>
        <w:jc w:val="both"/>
      </w:pPr>
      <w:r w:rsidRPr="004717FF">
        <w:t xml:space="preserve">Albers, M.W. et al. (2020) ‘The landscape of digital biomarkers in neurological disease’, </w:t>
      </w:r>
      <w:r w:rsidRPr="004717FF">
        <w:rPr>
          <w:i/>
          <w:iCs/>
        </w:rPr>
        <w:t>Nature Reviews Neurology</w:t>
      </w:r>
      <w:r w:rsidRPr="004717FF">
        <w:t>, 16, pp. 509–520.</w:t>
      </w:r>
    </w:p>
    <w:p w14:paraId="56060C89" w14:textId="77777777" w:rsidR="00E62B36" w:rsidRPr="004717FF" w:rsidRDefault="00E62B36" w:rsidP="00E62B36">
      <w:pPr>
        <w:pStyle w:val="NormalWeb"/>
        <w:ind w:left="720"/>
        <w:jc w:val="both"/>
      </w:pPr>
      <w:r w:rsidRPr="004717FF">
        <w:rPr>
          <w:lang w:val="fr-FR"/>
        </w:rPr>
        <w:t xml:space="preserve">Allan, L.M. et al. </w:t>
      </w:r>
      <w:r w:rsidRPr="004717FF">
        <w:t xml:space="preserve">(2020) ‘Dementia research and care pathways in the UK’, </w:t>
      </w:r>
      <w:r w:rsidRPr="004717FF">
        <w:rPr>
          <w:i/>
          <w:iCs/>
        </w:rPr>
        <w:t>Age and Ageing</w:t>
      </w:r>
      <w:r w:rsidRPr="004717FF">
        <w:t>, 49(3), pp. 426–436.</w:t>
      </w:r>
    </w:p>
    <w:p w14:paraId="411BD61C" w14:textId="77777777" w:rsidR="00E62B36" w:rsidRDefault="00E62B36" w:rsidP="00E62B36">
      <w:pPr>
        <w:pStyle w:val="NormalWeb"/>
        <w:jc w:val="both"/>
      </w:pPr>
      <w:r>
        <w:t xml:space="preserve">Alzheimer’s Disease International (2023) </w:t>
      </w:r>
      <w:r>
        <w:rPr>
          <w:rStyle w:val="Emphasis"/>
        </w:rPr>
        <w:t>World Alzheimer Report 2023</w:t>
      </w:r>
      <w:r>
        <w:t>. London: ADI.</w:t>
      </w:r>
    </w:p>
    <w:p w14:paraId="63F1D10D" w14:textId="77777777" w:rsidR="00E62B36" w:rsidRPr="004717FF" w:rsidRDefault="00E62B36" w:rsidP="00E62B36">
      <w:pPr>
        <w:pStyle w:val="NormalWeb"/>
        <w:ind w:left="720"/>
        <w:jc w:val="both"/>
      </w:pPr>
      <w:r w:rsidRPr="004717FF">
        <w:t xml:space="preserve">Alzheimer’s Research UK (2023) </w:t>
      </w:r>
      <w:r w:rsidRPr="004717FF">
        <w:rPr>
          <w:i/>
          <w:iCs/>
        </w:rPr>
        <w:t>Dementia Statistics Hub</w:t>
      </w:r>
      <w:r w:rsidRPr="004717FF">
        <w:t>. Cambridge: ARUK.</w:t>
      </w:r>
    </w:p>
    <w:p w14:paraId="4EEDDA9B" w14:textId="77777777" w:rsidR="00E62B36" w:rsidRDefault="00E62B36" w:rsidP="00E62B36">
      <w:pPr>
        <w:pStyle w:val="NormalWeb"/>
        <w:jc w:val="both"/>
      </w:pPr>
      <w:r>
        <w:t xml:space="preserve">Alzheimer’s Society (2023) </w:t>
      </w:r>
      <w:r>
        <w:rPr>
          <w:rStyle w:val="Emphasis"/>
        </w:rPr>
        <w:t>Dementia in the UK: 2023 Update</w:t>
      </w:r>
      <w:r>
        <w:t>. London: Alzheimer’s Society.</w:t>
      </w:r>
    </w:p>
    <w:p w14:paraId="15E841F4" w14:textId="77777777" w:rsidR="00E62B36" w:rsidRPr="004717FF" w:rsidRDefault="00E62B36" w:rsidP="00E62B36">
      <w:pPr>
        <w:pStyle w:val="NormalWeb"/>
        <w:ind w:left="720"/>
        <w:jc w:val="both"/>
      </w:pPr>
      <w:r w:rsidRPr="004717FF">
        <w:t xml:space="preserve">Anderson, M. and Perrin, A. (2017) ‘Tech adoption among older adults’, </w:t>
      </w:r>
      <w:r w:rsidRPr="004717FF">
        <w:rPr>
          <w:i/>
          <w:iCs/>
        </w:rPr>
        <w:t xml:space="preserve">Pew Research </w:t>
      </w:r>
      <w:proofErr w:type="spellStart"/>
      <w:r w:rsidRPr="004717FF">
        <w:rPr>
          <w:i/>
          <w:iCs/>
        </w:rPr>
        <w:t>Center</w:t>
      </w:r>
      <w:proofErr w:type="spellEnd"/>
      <w:r w:rsidRPr="004717FF">
        <w:t>, 17 May.</w:t>
      </w:r>
    </w:p>
    <w:p w14:paraId="0A36F8B9" w14:textId="77777777" w:rsidR="00E62B36" w:rsidRDefault="00E62B36" w:rsidP="00E62B36">
      <w:pPr>
        <w:pStyle w:val="NormalWeb"/>
        <w:jc w:val="both"/>
      </w:pPr>
      <w:r>
        <w:t xml:space="preserve">Arksey, H. and O’Malley, L. (2005) ‘Scoping studies: towards a methodological framework’, </w:t>
      </w:r>
      <w:r>
        <w:rPr>
          <w:rStyle w:val="Emphasis"/>
        </w:rPr>
        <w:t>International Journal of Social Research Methodology</w:t>
      </w:r>
      <w:r>
        <w:t>, 8(1), pp. 19–32.</w:t>
      </w:r>
    </w:p>
    <w:p w14:paraId="79F084D4" w14:textId="77777777" w:rsidR="00E62B36" w:rsidRDefault="00E62B36" w:rsidP="00E62B36">
      <w:pPr>
        <w:pStyle w:val="NormalWeb"/>
        <w:jc w:val="both"/>
      </w:pPr>
      <w:r>
        <w:t xml:space="preserve">Aveyard, H. (2019) </w:t>
      </w:r>
      <w:r>
        <w:rPr>
          <w:rStyle w:val="Emphasis"/>
        </w:rPr>
        <w:t>Doing a Literature Review in Health and Social Care: A Practical Guide</w:t>
      </w:r>
      <w:r>
        <w:t xml:space="preserve">. 4th </w:t>
      </w:r>
      <w:proofErr w:type="spellStart"/>
      <w:r>
        <w:t>edn</w:t>
      </w:r>
      <w:proofErr w:type="spellEnd"/>
      <w:r>
        <w:t>. Maidenhead: Open University Press.</w:t>
      </w:r>
    </w:p>
    <w:p w14:paraId="1B24BEFD" w14:textId="77777777" w:rsidR="00E62B36" w:rsidRPr="004717FF" w:rsidRDefault="00E62B36" w:rsidP="00E62B36">
      <w:pPr>
        <w:pStyle w:val="NormalWeb"/>
        <w:ind w:left="360"/>
        <w:jc w:val="both"/>
      </w:pPr>
      <w:r w:rsidRPr="004717FF">
        <w:t xml:space="preserve">Barnes, D. et al. (2019) ‘Telemedicine and dementia: a review’, </w:t>
      </w:r>
      <w:r w:rsidRPr="004717FF">
        <w:rPr>
          <w:i/>
          <w:iCs/>
        </w:rPr>
        <w:t>Gerontology &amp; Geriatric Medicine</w:t>
      </w:r>
      <w:r w:rsidRPr="004717FF">
        <w:t>, 5, pp. 1–10.</w:t>
      </w:r>
    </w:p>
    <w:p w14:paraId="6BBFC10E" w14:textId="77777777" w:rsidR="00E62B36" w:rsidRPr="004717FF" w:rsidRDefault="00E62B36" w:rsidP="00E62B36">
      <w:pPr>
        <w:pStyle w:val="NormalWeb"/>
        <w:ind w:left="360"/>
        <w:jc w:val="both"/>
      </w:pPr>
      <w:r w:rsidRPr="004717FF">
        <w:t xml:space="preserve">Beach, S. and Schulz, R. (2017) ‘Family caregiving and technology’, </w:t>
      </w:r>
      <w:r w:rsidRPr="004717FF">
        <w:rPr>
          <w:i/>
          <w:iCs/>
        </w:rPr>
        <w:t>Innovation in Aging</w:t>
      </w:r>
      <w:r w:rsidRPr="004717FF">
        <w:t>, 1(3), pp. 45–56.</w:t>
      </w:r>
    </w:p>
    <w:p w14:paraId="365E2B6D" w14:textId="77777777" w:rsidR="00E62B36" w:rsidRPr="004717FF" w:rsidRDefault="00E62B36" w:rsidP="00E62B36">
      <w:pPr>
        <w:pStyle w:val="NormalWeb"/>
        <w:ind w:left="284"/>
        <w:jc w:val="both"/>
      </w:pPr>
      <w:r w:rsidRPr="004717FF">
        <w:t xml:space="preserve">Blaschke, C. et al. (2021) ‘Assistive technologies for people living with dementia’, </w:t>
      </w:r>
      <w:r w:rsidRPr="004717FF">
        <w:rPr>
          <w:i/>
          <w:iCs/>
        </w:rPr>
        <w:t>Journal of Alzheimer’s Disease</w:t>
      </w:r>
      <w:r w:rsidRPr="004717FF">
        <w:t>, 79(1), pp. 1–12.</w:t>
      </w:r>
    </w:p>
    <w:p w14:paraId="55B4B975" w14:textId="77777777" w:rsidR="00E62B36" w:rsidRPr="004717FF" w:rsidRDefault="00E62B36" w:rsidP="00E62B36">
      <w:pPr>
        <w:pStyle w:val="NormalWeb"/>
        <w:ind w:left="142"/>
        <w:jc w:val="both"/>
      </w:pPr>
      <w:proofErr w:type="spellStart"/>
      <w:r w:rsidRPr="004717FF">
        <w:rPr>
          <w:lang w:val="nl-NL"/>
        </w:rPr>
        <w:t>Bloom</w:t>
      </w:r>
      <w:proofErr w:type="spellEnd"/>
      <w:r w:rsidRPr="004717FF">
        <w:rPr>
          <w:lang w:val="nl-NL"/>
        </w:rPr>
        <w:t xml:space="preserve">, D.E. et al. </w:t>
      </w:r>
      <w:r w:rsidRPr="004717FF">
        <w:t xml:space="preserve">(2020) </w:t>
      </w:r>
      <w:r w:rsidRPr="004717FF">
        <w:rPr>
          <w:i/>
          <w:iCs/>
        </w:rPr>
        <w:t>The Future of Ageing</w:t>
      </w:r>
      <w:r w:rsidRPr="004717FF">
        <w:t>. Geneva: WHO.</w:t>
      </w:r>
    </w:p>
    <w:p w14:paraId="113B9493" w14:textId="77777777" w:rsidR="00E62B36" w:rsidRDefault="00E62B36" w:rsidP="00E62B36">
      <w:pPr>
        <w:pStyle w:val="NormalWeb"/>
        <w:jc w:val="both"/>
      </w:pPr>
      <w:r>
        <w:t xml:space="preserve">Booth, A., Sutton, A. and Papaioannou, D. (2016) </w:t>
      </w:r>
      <w:r>
        <w:rPr>
          <w:rStyle w:val="Emphasis"/>
        </w:rPr>
        <w:t>Systematic Approaches to a Successful Literature Review</w:t>
      </w:r>
      <w:r>
        <w:t xml:space="preserve">. 2nd </w:t>
      </w:r>
      <w:proofErr w:type="spellStart"/>
      <w:r>
        <w:t>edn</w:t>
      </w:r>
      <w:proofErr w:type="spellEnd"/>
      <w:r>
        <w:t>. London: Sage.</w:t>
      </w:r>
    </w:p>
    <w:p w14:paraId="35BF816D" w14:textId="77777777" w:rsidR="00E62B36" w:rsidRDefault="00E62B36" w:rsidP="00E62B36">
      <w:pPr>
        <w:pStyle w:val="NormalWeb"/>
        <w:jc w:val="both"/>
      </w:pPr>
      <w:r>
        <w:t xml:space="preserve">Boustani, M. et al. (2019) ‘Digital health solutions for ageing and dementia care’, </w:t>
      </w:r>
      <w:r>
        <w:rPr>
          <w:rStyle w:val="Emphasis"/>
        </w:rPr>
        <w:t>Journal of the American Geriatrics Society</w:t>
      </w:r>
      <w:r>
        <w:t>, 67(11), pp. 2374–2381.</w:t>
      </w:r>
    </w:p>
    <w:p w14:paraId="0ED50B04" w14:textId="77777777" w:rsidR="00E62B36" w:rsidRDefault="00E62B36" w:rsidP="00E62B36">
      <w:pPr>
        <w:pStyle w:val="NormalWeb"/>
        <w:jc w:val="both"/>
      </w:pPr>
      <w:r>
        <w:t xml:space="preserve">Braun, V. and Clarke, V. (2006) ‘Using thematic analysis in psychology’, </w:t>
      </w:r>
      <w:r>
        <w:rPr>
          <w:rStyle w:val="Emphasis"/>
        </w:rPr>
        <w:t>Qualitative Research in Psychology</w:t>
      </w:r>
      <w:r>
        <w:t>, 3(2), pp. 77–101.</w:t>
      </w:r>
    </w:p>
    <w:p w14:paraId="1E1458D2" w14:textId="77777777" w:rsidR="00E62B36" w:rsidRPr="004717FF" w:rsidRDefault="00E62B36" w:rsidP="00E62B36">
      <w:pPr>
        <w:pStyle w:val="NormalWeb"/>
        <w:ind w:left="142"/>
        <w:jc w:val="both"/>
      </w:pPr>
      <w:r w:rsidRPr="004717FF">
        <w:t xml:space="preserve">Braun, V. and Clarke, V. (2006) ‘Using thematic analysis in psychology’, </w:t>
      </w:r>
      <w:r w:rsidRPr="004717FF">
        <w:rPr>
          <w:i/>
          <w:iCs/>
        </w:rPr>
        <w:t>Qualitative Research in Psychology</w:t>
      </w:r>
      <w:r w:rsidRPr="004717FF">
        <w:t>, 3(2), pp. 77–101.</w:t>
      </w:r>
    </w:p>
    <w:p w14:paraId="0DA024E4" w14:textId="77777777" w:rsidR="00E62B36" w:rsidRPr="004717FF" w:rsidRDefault="00E62B36" w:rsidP="00E62B36">
      <w:pPr>
        <w:pStyle w:val="NormalWeb"/>
        <w:ind w:left="142"/>
        <w:jc w:val="both"/>
      </w:pPr>
      <w:proofErr w:type="spellStart"/>
      <w:r w:rsidRPr="004717FF">
        <w:t>Brodaty</w:t>
      </w:r>
      <w:proofErr w:type="spellEnd"/>
      <w:r w:rsidRPr="004717FF">
        <w:t xml:space="preserve">, H. and Donkin, M. (2009) ‘Family caregivers of people with dementia’, </w:t>
      </w:r>
      <w:r w:rsidRPr="004717FF">
        <w:rPr>
          <w:i/>
          <w:iCs/>
        </w:rPr>
        <w:t>Dialogues in Clinical Neuroscience</w:t>
      </w:r>
      <w:r w:rsidRPr="004717FF">
        <w:t>, 11(2), pp. 217–228.</w:t>
      </w:r>
    </w:p>
    <w:p w14:paraId="53B405EF" w14:textId="77777777" w:rsidR="00E62B36" w:rsidRPr="004717FF" w:rsidRDefault="00E62B36" w:rsidP="00E62B36">
      <w:pPr>
        <w:pStyle w:val="NormalWeb"/>
        <w:ind w:left="142"/>
        <w:jc w:val="both"/>
      </w:pPr>
      <w:r w:rsidRPr="004717FF">
        <w:lastRenderedPageBreak/>
        <w:t xml:space="preserve">Brown, L. et al. (2022) ‘Digital transformation in the NHS: an evaluation’, </w:t>
      </w:r>
      <w:r w:rsidRPr="004717FF">
        <w:rPr>
          <w:i/>
          <w:iCs/>
        </w:rPr>
        <w:t>British Medical Journal Health &amp; Care Informatics</w:t>
      </w:r>
      <w:r w:rsidRPr="004717FF">
        <w:t>, 29(2), pp. 1–12.</w:t>
      </w:r>
    </w:p>
    <w:p w14:paraId="3C548A20" w14:textId="77777777" w:rsidR="00E62B36" w:rsidRDefault="00E62B36" w:rsidP="00E62B36">
      <w:pPr>
        <w:pStyle w:val="NormalWeb"/>
        <w:jc w:val="both"/>
      </w:pPr>
      <w:r>
        <w:t xml:space="preserve">Bryman, A. (2016) </w:t>
      </w:r>
      <w:r>
        <w:rPr>
          <w:rStyle w:val="Emphasis"/>
        </w:rPr>
        <w:t>Social Research Methods</w:t>
      </w:r>
      <w:r>
        <w:t xml:space="preserve">. 5th </w:t>
      </w:r>
      <w:proofErr w:type="spellStart"/>
      <w:r>
        <w:t>edn</w:t>
      </w:r>
      <w:proofErr w:type="spellEnd"/>
      <w:r>
        <w:t>. Oxford: Oxford University Press.</w:t>
      </w:r>
    </w:p>
    <w:p w14:paraId="1243C179" w14:textId="77777777" w:rsidR="00E62B36" w:rsidRDefault="00E62B36" w:rsidP="00E62B36">
      <w:pPr>
        <w:pStyle w:val="NormalWeb"/>
        <w:jc w:val="both"/>
      </w:pPr>
      <w:r>
        <w:t xml:space="preserve">Carers UK (2023) </w:t>
      </w:r>
      <w:r>
        <w:rPr>
          <w:rStyle w:val="Emphasis"/>
        </w:rPr>
        <w:t>Facts About Carers 2023</w:t>
      </w:r>
      <w:r>
        <w:t>. London: Carers UK.</w:t>
      </w:r>
    </w:p>
    <w:p w14:paraId="4C61FC3F" w14:textId="77777777" w:rsidR="00E62B36" w:rsidRPr="004717FF" w:rsidRDefault="00E62B36" w:rsidP="00E62B36">
      <w:pPr>
        <w:pStyle w:val="NormalWeb"/>
        <w:ind w:left="142"/>
        <w:jc w:val="both"/>
      </w:pPr>
      <w:r w:rsidRPr="004717FF">
        <w:t xml:space="preserve">Castle-Clarke, S. (2018) </w:t>
      </w:r>
      <w:r w:rsidRPr="004717FF">
        <w:rPr>
          <w:i/>
          <w:iCs/>
        </w:rPr>
        <w:t>What Will New Technology Mean for the NHS and Patients?</w:t>
      </w:r>
      <w:r w:rsidRPr="004717FF">
        <w:t xml:space="preserve"> London: The Health Foundation.</w:t>
      </w:r>
    </w:p>
    <w:p w14:paraId="6616ED0D" w14:textId="77777777" w:rsidR="00E62B36" w:rsidRPr="004717FF" w:rsidRDefault="00E62B36" w:rsidP="00E62B36">
      <w:pPr>
        <w:pStyle w:val="NormalWeb"/>
        <w:ind w:left="142"/>
        <w:jc w:val="both"/>
      </w:pPr>
      <w:r w:rsidRPr="004717FF">
        <w:t xml:space="preserve">Cattan, M. et al. (2021) ‘Social isolation in older adults’, </w:t>
      </w:r>
      <w:r w:rsidRPr="004717FF">
        <w:rPr>
          <w:i/>
          <w:iCs/>
        </w:rPr>
        <w:t>Ageing &amp; Society</w:t>
      </w:r>
      <w:r w:rsidRPr="004717FF">
        <w:t>, 41(5), pp. 1105–1127.</w:t>
      </w:r>
    </w:p>
    <w:p w14:paraId="189108B5" w14:textId="77777777" w:rsidR="00E62B36" w:rsidRPr="004717FF" w:rsidRDefault="00E62B36" w:rsidP="00E62B36">
      <w:pPr>
        <w:pStyle w:val="NormalWeb"/>
        <w:ind w:left="142"/>
        <w:jc w:val="both"/>
      </w:pPr>
      <w:r w:rsidRPr="004717FF">
        <w:t xml:space="preserve">Centre for Ageing Better (2022) </w:t>
      </w:r>
      <w:r w:rsidRPr="004717FF">
        <w:rPr>
          <w:i/>
          <w:iCs/>
        </w:rPr>
        <w:t>Digital Inclusion in Later Life</w:t>
      </w:r>
      <w:r w:rsidRPr="004717FF">
        <w:t>. London: CAB.</w:t>
      </w:r>
    </w:p>
    <w:p w14:paraId="0F07BA55" w14:textId="77777777" w:rsidR="00E62B36" w:rsidRPr="004717FF" w:rsidRDefault="00E62B36" w:rsidP="00E62B36">
      <w:pPr>
        <w:pStyle w:val="NormalWeb"/>
        <w:ind w:left="142"/>
        <w:jc w:val="both"/>
      </w:pPr>
      <w:r w:rsidRPr="004717FF">
        <w:t xml:space="preserve">Choi, N.G. and Dinitto, D. (2013) ‘Internet use among older adults’, </w:t>
      </w:r>
      <w:r w:rsidRPr="004717FF">
        <w:rPr>
          <w:i/>
          <w:iCs/>
        </w:rPr>
        <w:t>Journal of Medical Internet Research</w:t>
      </w:r>
      <w:r w:rsidRPr="004717FF">
        <w:t>, 15(5), e93.</w:t>
      </w:r>
    </w:p>
    <w:p w14:paraId="368419A9" w14:textId="77777777" w:rsidR="00E62B36" w:rsidRDefault="00E62B36" w:rsidP="00E62B36">
      <w:pPr>
        <w:pStyle w:val="NormalWeb"/>
        <w:jc w:val="both"/>
      </w:pPr>
      <w:r>
        <w:t xml:space="preserve">Cohen-Mansfield, J. and Jensen, B. (2018) ‘Technology use in dementia care: barriers and opportunities’, </w:t>
      </w:r>
      <w:r>
        <w:rPr>
          <w:rStyle w:val="Emphasis"/>
        </w:rPr>
        <w:t>Current Opinion in Psychiatry</w:t>
      </w:r>
      <w:r>
        <w:t>, 31(2), pp. 119–124.</w:t>
      </w:r>
    </w:p>
    <w:p w14:paraId="04D92684" w14:textId="77777777" w:rsidR="00E62B36" w:rsidRPr="004717FF" w:rsidRDefault="00E62B36" w:rsidP="00E62B36">
      <w:pPr>
        <w:pStyle w:val="NormalWeb"/>
        <w:ind w:left="142"/>
        <w:jc w:val="both"/>
      </w:pPr>
      <w:r w:rsidRPr="004717FF">
        <w:rPr>
          <w:lang w:val="nl-NL"/>
        </w:rPr>
        <w:t xml:space="preserve">Cook, E.J. et al. </w:t>
      </w:r>
      <w:r w:rsidRPr="004717FF">
        <w:t xml:space="preserve">(2019) ‘Barriers to using eHealth in older adults’, </w:t>
      </w:r>
      <w:r w:rsidRPr="004717FF">
        <w:rPr>
          <w:i/>
          <w:iCs/>
        </w:rPr>
        <w:t>International Journal of Medical Informatics</w:t>
      </w:r>
      <w:r w:rsidRPr="004717FF">
        <w:t>, 127, pp. 58–67.</w:t>
      </w:r>
    </w:p>
    <w:p w14:paraId="19A73952" w14:textId="77777777" w:rsidR="00E62B36" w:rsidRDefault="00E62B36" w:rsidP="00E62B36">
      <w:pPr>
        <w:pStyle w:val="NormalWeb"/>
        <w:jc w:val="both"/>
      </w:pPr>
      <w:r>
        <w:t xml:space="preserve">Coughlan, M. and Cronin, P. (2017) </w:t>
      </w:r>
      <w:r>
        <w:rPr>
          <w:rStyle w:val="Emphasis"/>
        </w:rPr>
        <w:t>Doing a Literature Review in Nursing, Health and Social Care</w:t>
      </w:r>
      <w:r>
        <w:t>. London: Sage.</w:t>
      </w:r>
    </w:p>
    <w:p w14:paraId="3F4ECE70" w14:textId="77777777" w:rsidR="00E62B36" w:rsidRDefault="00E62B36" w:rsidP="00E62B36">
      <w:pPr>
        <w:pStyle w:val="NormalWeb"/>
        <w:jc w:val="both"/>
      </w:pPr>
      <w:r>
        <w:t xml:space="preserve">Crawford, A. and Serhal, E. (2020) ‘Digital health equity and inclusion: beyond the digital divide’, </w:t>
      </w:r>
      <w:r>
        <w:rPr>
          <w:rStyle w:val="Emphasis"/>
        </w:rPr>
        <w:t>NPJ Digital Medicine</w:t>
      </w:r>
      <w:r>
        <w:t>, 3(1), 1–3.</w:t>
      </w:r>
    </w:p>
    <w:p w14:paraId="4D527BBF" w14:textId="77777777" w:rsidR="00E62B36" w:rsidRDefault="00E62B36" w:rsidP="00E62B36">
      <w:pPr>
        <w:pStyle w:val="NormalWeb"/>
        <w:jc w:val="both"/>
      </w:pPr>
      <w:r>
        <w:t xml:space="preserve">Crawford, A. et al. (2022) ‘Digital health equity framework: proposal and application’, </w:t>
      </w:r>
      <w:r>
        <w:rPr>
          <w:rStyle w:val="Emphasis"/>
        </w:rPr>
        <w:t>JMIR Public Health and Surveillance</w:t>
      </w:r>
      <w:r>
        <w:t>, 8(3), e31745.</w:t>
      </w:r>
    </w:p>
    <w:p w14:paraId="70623F27" w14:textId="77777777" w:rsidR="00E62B36" w:rsidRDefault="00E62B36" w:rsidP="00E62B36">
      <w:pPr>
        <w:pStyle w:val="NormalWeb"/>
        <w:jc w:val="both"/>
      </w:pPr>
      <w:r>
        <w:t xml:space="preserve">Davis, F.D. (1989) ‘Perceived usefulness, perceived ease of use, and user acceptance of information technology’, </w:t>
      </w:r>
      <w:r>
        <w:rPr>
          <w:rStyle w:val="Emphasis"/>
        </w:rPr>
        <w:t>MIS Quarterly</w:t>
      </w:r>
      <w:r>
        <w:t>, 13(3), pp. 319–340.</w:t>
      </w:r>
    </w:p>
    <w:p w14:paraId="041DA32C" w14:textId="77777777" w:rsidR="00E62B36" w:rsidRPr="004717FF" w:rsidRDefault="00E62B36" w:rsidP="00E62B36">
      <w:pPr>
        <w:pStyle w:val="NormalWeb"/>
        <w:ind w:left="142"/>
        <w:jc w:val="both"/>
      </w:pPr>
      <w:r w:rsidRPr="004717FF">
        <w:t xml:space="preserve">Davis, K. and Higgs, P. (2020) ‘Digital health and inequalities in ageing’, </w:t>
      </w:r>
      <w:r w:rsidRPr="004717FF">
        <w:rPr>
          <w:i/>
          <w:iCs/>
        </w:rPr>
        <w:t>Sociology of Health &amp; Illness</w:t>
      </w:r>
      <w:r w:rsidRPr="004717FF">
        <w:t>, 42(2), pp. 290–305.</w:t>
      </w:r>
    </w:p>
    <w:p w14:paraId="000986F6" w14:textId="77777777" w:rsidR="00E62B36" w:rsidRPr="004717FF" w:rsidRDefault="00E62B36" w:rsidP="00E62B36">
      <w:pPr>
        <w:pStyle w:val="NormalWeb"/>
        <w:ind w:left="142"/>
        <w:jc w:val="both"/>
      </w:pPr>
      <w:r w:rsidRPr="004717FF">
        <w:t xml:space="preserve">Dementia UK (2023) </w:t>
      </w:r>
      <w:r w:rsidRPr="004717FF">
        <w:rPr>
          <w:i/>
          <w:iCs/>
        </w:rPr>
        <w:t>Admiral Nurse Annual Report</w:t>
      </w:r>
      <w:r w:rsidRPr="004717FF">
        <w:t>. London: Dementia UK.</w:t>
      </w:r>
    </w:p>
    <w:p w14:paraId="088B32C8" w14:textId="77777777" w:rsidR="00E62B36" w:rsidRDefault="00E62B36" w:rsidP="00E62B36">
      <w:pPr>
        <w:pStyle w:val="NormalWeb"/>
        <w:jc w:val="both"/>
      </w:pPr>
      <w:r>
        <w:t xml:space="preserve">Dementia UK (2023) </w:t>
      </w:r>
      <w:r>
        <w:rPr>
          <w:rStyle w:val="Emphasis"/>
        </w:rPr>
        <w:t>Digital Support for Carers</w:t>
      </w:r>
      <w:r>
        <w:t xml:space="preserve">. Available at: </w:t>
      </w:r>
      <w:hyperlink r:id="rId10" w:tgtFrame="_new" w:history="1">
        <w:r>
          <w:rPr>
            <w:rStyle w:val="Hyperlink"/>
          </w:rPr>
          <w:t>https://www.dementiauk.org</w:t>
        </w:r>
      </w:hyperlink>
      <w:r>
        <w:t xml:space="preserve"> (Accessed: 10 December 2025).</w:t>
      </w:r>
    </w:p>
    <w:p w14:paraId="5F27EAF6" w14:textId="77777777" w:rsidR="00E62B36" w:rsidRDefault="00E62B36" w:rsidP="00E62B36">
      <w:pPr>
        <w:pStyle w:val="NormalWeb"/>
        <w:jc w:val="both"/>
      </w:pPr>
      <w:r>
        <w:rPr>
          <w:rStyle w:val="Strong"/>
          <w:rFonts w:eastAsia="Calibri Light"/>
        </w:rPr>
        <w:t>Dementia, person-centred care and carers</w:t>
      </w:r>
    </w:p>
    <w:p w14:paraId="196DD1BB" w14:textId="77777777" w:rsidR="00E62B36" w:rsidRPr="004717FF" w:rsidRDefault="00E62B36" w:rsidP="00E62B36">
      <w:pPr>
        <w:pStyle w:val="NormalWeb"/>
        <w:ind w:left="142"/>
        <w:jc w:val="both"/>
      </w:pPr>
      <w:r w:rsidRPr="004717FF">
        <w:t xml:space="preserve">Department of Health and Social Care (2021) </w:t>
      </w:r>
      <w:r w:rsidRPr="004717FF">
        <w:rPr>
          <w:i/>
          <w:iCs/>
        </w:rPr>
        <w:t>Adult Social Care Reform White Paper: People at the Heart of Care</w:t>
      </w:r>
      <w:r w:rsidRPr="004717FF">
        <w:t>. London: DHSC.</w:t>
      </w:r>
    </w:p>
    <w:p w14:paraId="2513A596" w14:textId="77777777" w:rsidR="00E62B36" w:rsidRDefault="00E62B36" w:rsidP="00E62B36">
      <w:pPr>
        <w:pStyle w:val="NormalWeb"/>
        <w:jc w:val="both"/>
      </w:pPr>
      <w:r>
        <w:lastRenderedPageBreak/>
        <w:t xml:space="preserve">Department of Health and Social Care (2022) </w:t>
      </w:r>
      <w:r>
        <w:rPr>
          <w:rStyle w:val="Emphasis"/>
        </w:rPr>
        <w:t>Data Saves Lives: Reshaping Health and Social Care with Data</w:t>
      </w:r>
      <w:r>
        <w:t>. London: DHSC.</w:t>
      </w:r>
    </w:p>
    <w:p w14:paraId="7DC43D3C" w14:textId="77777777" w:rsidR="00E62B36" w:rsidRDefault="00E62B36" w:rsidP="00E62B36">
      <w:pPr>
        <w:pStyle w:val="NormalWeb"/>
        <w:jc w:val="both"/>
      </w:pPr>
      <w:r>
        <w:t xml:space="preserve">Department of Health and Social Care (2023) </w:t>
      </w:r>
      <w:r>
        <w:rPr>
          <w:rStyle w:val="Emphasis"/>
        </w:rPr>
        <w:t>Digital Health and Care Strategy for England</w:t>
      </w:r>
      <w:r>
        <w:t>. London: DHSC.</w:t>
      </w:r>
    </w:p>
    <w:p w14:paraId="6C6E2D84" w14:textId="77777777" w:rsidR="00E62B36" w:rsidRDefault="00E62B36" w:rsidP="00E62B36">
      <w:pPr>
        <w:pStyle w:val="NormalWeb"/>
        <w:jc w:val="both"/>
      </w:pPr>
      <w:r>
        <w:rPr>
          <w:rStyle w:val="Strong"/>
          <w:rFonts w:eastAsia="Calibri Light"/>
        </w:rPr>
        <w:t>Digital health, technology and AI</w:t>
      </w:r>
    </w:p>
    <w:p w14:paraId="59D51192" w14:textId="77777777" w:rsidR="00E62B36" w:rsidRPr="004717FF" w:rsidRDefault="00E62B36" w:rsidP="00E62B36">
      <w:pPr>
        <w:pStyle w:val="NormalWeb"/>
        <w:ind w:left="142"/>
        <w:jc w:val="both"/>
      </w:pPr>
      <w:r w:rsidRPr="004717FF">
        <w:t xml:space="preserve">Digital Social Care (2022) </w:t>
      </w:r>
      <w:r w:rsidRPr="004717FF">
        <w:rPr>
          <w:i/>
          <w:iCs/>
        </w:rPr>
        <w:t>Digital Skills in Social Care Survey Report</w:t>
      </w:r>
      <w:r w:rsidRPr="004717FF">
        <w:t>. London: NHSX.</w:t>
      </w:r>
    </w:p>
    <w:p w14:paraId="5E0FE82D" w14:textId="77777777" w:rsidR="00E62B36" w:rsidRPr="004717FF" w:rsidRDefault="00E62B36" w:rsidP="00E62B36">
      <w:pPr>
        <w:pStyle w:val="NormalWeb"/>
        <w:ind w:left="142"/>
        <w:jc w:val="both"/>
      </w:pPr>
      <w:r w:rsidRPr="004717FF">
        <w:t xml:space="preserve">Donnelly, S. et al. (2021) ‘Ethical considerations in dementia technology’, </w:t>
      </w:r>
      <w:r w:rsidRPr="004717FF">
        <w:rPr>
          <w:i/>
          <w:iCs/>
        </w:rPr>
        <w:t>Nursing Ethics</w:t>
      </w:r>
      <w:r w:rsidRPr="004717FF">
        <w:t>, 28(7–8), pp. 1180–1192.</w:t>
      </w:r>
    </w:p>
    <w:p w14:paraId="234AF3E5" w14:textId="77777777" w:rsidR="00E62B36" w:rsidRDefault="00E62B36" w:rsidP="00E62B36">
      <w:pPr>
        <w:pStyle w:val="NormalWeb"/>
        <w:jc w:val="both"/>
      </w:pPr>
      <w:r>
        <w:t xml:space="preserve">Engel, G.L. (1977) ‘The need for a new medical model: a challenge for biomedicine’, </w:t>
      </w:r>
      <w:r>
        <w:rPr>
          <w:rStyle w:val="Emphasis"/>
        </w:rPr>
        <w:t>Science</w:t>
      </w:r>
      <w:r>
        <w:t>, 196(4286), pp. 129–136.</w:t>
      </w:r>
    </w:p>
    <w:p w14:paraId="0D7B611A" w14:textId="77777777" w:rsidR="00E62B36" w:rsidRDefault="00E62B36" w:rsidP="00E62B36">
      <w:pPr>
        <w:pStyle w:val="NormalWeb"/>
        <w:jc w:val="both"/>
      </w:pPr>
      <w:r>
        <w:rPr>
          <w:rStyle w:val="Strong"/>
          <w:rFonts w:eastAsia="Calibri Light"/>
        </w:rPr>
        <w:t>Equity, ethics and inclusion</w:t>
      </w:r>
    </w:p>
    <w:p w14:paraId="5148CBCE" w14:textId="77777777" w:rsidR="00E62B36" w:rsidRPr="004717FF" w:rsidRDefault="00E62B36" w:rsidP="00E62B36">
      <w:pPr>
        <w:pStyle w:val="NormalWeb"/>
        <w:ind w:left="142"/>
        <w:jc w:val="both"/>
      </w:pPr>
      <w:r w:rsidRPr="004717FF">
        <w:t xml:space="preserve">European Commission (2020) </w:t>
      </w:r>
      <w:r w:rsidRPr="004717FF">
        <w:rPr>
          <w:i/>
          <w:iCs/>
        </w:rPr>
        <w:t>eHealth Action Plan</w:t>
      </w:r>
      <w:r w:rsidRPr="004717FF">
        <w:t>. Brussels: EC.</w:t>
      </w:r>
    </w:p>
    <w:p w14:paraId="70BF81DD" w14:textId="77777777" w:rsidR="00E62B36" w:rsidRPr="004717FF" w:rsidRDefault="00E62B36" w:rsidP="00E62B36">
      <w:pPr>
        <w:pStyle w:val="NormalWeb"/>
        <w:ind w:left="142"/>
        <w:jc w:val="both"/>
      </w:pPr>
      <w:proofErr w:type="spellStart"/>
      <w:r w:rsidRPr="004717FF">
        <w:t>Eysenbach</w:t>
      </w:r>
      <w:proofErr w:type="spellEnd"/>
      <w:r w:rsidRPr="004717FF">
        <w:t xml:space="preserve">, G. (2001) ‘What is e-health?’, </w:t>
      </w:r>
      <w:r w:rsidRPr="004717FF">
        <w:rPr>
          <w:i/>
          <w:iCs/>
        </w:rPr>
        <w:t>Journal of Medical Internet Research</w:t>
      </w:r>
      <w:r w:rsidRPr="004717FF">
        <w:t>, 3(2), e20.</w:t>
      </w:r>
    </w:p>
    <w:p w14:paraId="7DE5E7EE" w14:textId="77777777" w:rsidR="00E62B36" w:rsidRPr="004717FF" w:rsidRDefault="00E62B36" w:rsidP="00E62B36">
      <w:pPr>
        <w:pStyle w:val="NormalWeb"/>
        <w:ind w:left="142"/>
        <w:jc w:val="both"/>
      </w:pPr>
      <w:r w:rsidRPr="004717FF">
        <w:t xml:space="preserve">Fawcett, B. (2014) </w:t>
      </w:r>
      <w:r w:rsidRPr="004717FF">
        <w:rPr>
          <w:i/>
          <w:iCs/>
        </w:rPr>
        <w:t>Contemporary Research Methods in Social Work</w:t>
      </w:r>
      <w:r w:rsidRPr="004717FF">
        <w:t>. London: Sage.</w:t>
      </w:r>
    </w:p>
    <w:p w14:paraId="77FF7DFC" w14:textId="77777777" w:rsidR="00E62B36" w:rsidRPr="004717FF" w:rsidRDefault="00E62B36" w:rsidP="00E62B36">
      <w:pPr>
        <w:pStyle w:val="NormalWeb"/>
        <w:ind w:left="142"/>
        <w:jc w:val="both"/>
      </w:pPr>
      <w:r w:rsidRPr="004717FF">
        <w:t xml:space="preserve">Fisk, A. et al. (2020) ‘Aging and technology use’, </w:t>
      </w:r>
      <w:r w:rsidRPr="004717FF">
        <w:rPr>
          <w:i/>
          <w:iCs/>
        </w:rPr>
        <w:t>Human Factors</w:t>
      </w:r>
      <w:r w:rsidRPr="004717FF">
        <w:t>, 62(6), pp. 833–863.</w:t>
      </w:r>
    </w:p>
    <w:p w14:paraId="1F911560" w14:textId="77777777" w:rsidR="00E62B36" w:rsidRDefault="00E62B36" w:rsidP="00E62B36">
      <w:pPr>
        <w:pStyle w:val="NormalWeb"/>
        <w:jc w:val="both"/>
      </w:pPr>
      <w:r>
        <w:t xml:space="preserve">Fisk, M. et al. (2020) ‘Telehealth and digital technologies for older people with dementia’, </w:t>
      </w:r>
      <w:r>
        <w:rPr>
          <w:rStyle w:val="Emphasis"/>
        </w:rPr>
        <w:t>Ageing &amp; Society</w:t>
      </w:r>
      <w:r>
        <w:t>, 40(5), pp. 1024–1042.</w:t>
      </w:r>
    </w:p>
    <w:p w14:paraId="1BEDBBD9" w14:textId="77777777" w:rsidR="00E62B36" w:rsidRPr="004717FF" w:rsidRDefault="00E62B36" w:rsidP="00E62B36">
      <w:pPr>
        <w:pStyle w:val="NormalWeb"/>
        <w:ind w:left="142"/>
        <w:jc w:val="both"/>
      </w:pPr>
      <w:r w:rsidRPr="004717FF">
        <w:t xml:space="preserve">Gao, C. et al. (2020) ‘AI in dementia diagnosis’, </w:t>
      </w:r>
      <w:r w:rsidRPr="004717FF">
        <w:rPr>
          <w:i/>
          <w:iCs/>
        </w:rPr>
        <w:t>Nature Machine Intelligence</w:t>
      </w:r>
      <w:r w:rsidRPr="004717FF">
        <w:t>, 2(6), pp. 296–310.</w:t>
      </w:r>
    </w:p>
    <w:p w14:paraId="0A4C419C" w14:textId="77777777" w:rsidR="00E62B36" w:rsidRPr="004717FF" w:rsidRDefault="00E62B36" w:rsidP="00E62B36">
      <w:pPr>
        <w:pStyle w:val="NormalWeb"/>
        <w:ind w:left="142"/>
        <w:jc w:val="both"/>
      </w:pPr>
      <w:r w:rsidRPr="004717FF">
        <w:t xml:space="preserve">Giebel, C. et al. (2021) ‘Impact of COVID-19 on dementia care’, </w:t>
      </w:r>
      <w:r w:rsidRPr="004717FF">
        <w:rPr>
          <w:i/>
          <w:iCs/>
        </w:rPr>
        <w:t>International Journal of Geriatric Psychiatry</w:t>
      </w:r>
      <w:r w:rsidRPr="004717FF">
        <w:t>, 36(3), pp. 437–445.</w:t>
      </w:r>
    </w:p>
    <w:p w14:paraId="2A7DC5FB" w14:textId="77777777" w:rsidR="00E62B36" w:rsidRDefault="00E62B36" w:rsidP="00E62B36">
      <w:pPr>
        <w:pStyle w:val="NormalWeb"/>
        <w:jc w:val="both"/>
      </w:pPr>
      <w:r>
        <w:t xml:space="preserve">Giebel, C. et al. (2021) ‘Impact of COVID-19 related social support service closures on people with dementia and carers’, </w:t>
      </w:r>
      <w:r>
        <w:rPr>
          <w:rStyle w:val="Emphasis"/>
        </w:rPr>
        <w:t>Health &amp; Social Care in the Community</w:t>
      </w:r>
      <w:r>
        <w:t>, 29(5), pp. 1439–1449.</w:t>
      </w:r>
    </w:p>
    <w:p w14:paraId="3620EC86" w14:textId="77777777" w:rsidR="00E62B36" w:rsidRDefault="00E62B36" w:rsidP="00E62B36">
      <w:pPr>
        <w:pStyle w:val="NormalWeb"/>
        <w:jc w:val="both"/>
      </w:pPr>
      <w:r>
        <w:t xml:space="preserve">Greenhalgh, T. et al. (2017) ‘Beyond adoption: a new framework for theorising and evaluating </w:t>
      </w:r>
      <w:proofErr w:type="spellStart"/>
      <w:r>
        <w:t>nonadoption</w:t>
      </w:r>
      <w:proofErr w:type="spellEnd"/>
      <w:r>
        <w:t xml:space="preserve">, abandonment, scale-up, spread, and sustainability of health technologies’, </w:t>
      </w:r>
      <w:r>
        <w:rPr>
          <w:rStyle w:val="Emphasis"/>
        </w:rPr>
        <w:t>Journal of Medical Internet Research</w:t>
      </w:r>
      <w:r>
        <w:t>, 19(11), e367.</w:t>
      </w:r>
    </w:p>
    <w:p w14:paraId="281EAF51" w14:textId="77777777" w:rsidR="00E62B36" w:rsidRPr="004717FF" w:rsidRDefault="00E62B36" w:rsidP="00E62B36">
      <w:pPr>
        <w:pStyle w:val="NormalWeb"/>
        <w:ind w:left="142"/>
        <w:jc w:val="both"/>
      </w:pPr>
      <w:r w:rsidRPr="004717FF">
        <w:t xml:space="preserve">Greenhalgh, T. et al. (2018) ‘Adoption of technology in healthcare’, </w:t>
      </w:r>
      <w:r w:rsidRPr="004717FF">
        <w:rPr>
          <w:i/>
          <w:iCs/>
        </w:rPr>
        <w:t>The Milbank Quarterly</w:t>
      </w:r>
      <w:r w:rsidRPr="004717FF">
        <w:t>, 96(1), pp. 117–175.</w:t>
      </w:r>
    </w:p>
    <w:p w14:paraId="3C3879B6" w14:textId="77777777" w:rsidR="00E62B36" w:rsidRPr="004717FF" w:rsidRDefault="00E62B36" w:rsidP="00E62B36">
      <w:pPr>
        <w:pStyle w:val="NormalWeb"/>
        <w:ind w:left="142"/>
        <w:jc w:val="both"/>
      </w:pPr>
      <w:proofErr w:type="spellStart"/>
      <w:r w:rsidRPr="004717FF">
        <w:rPr>
          <w:lang w:val="fr-FR"/>
        </w:rPr>
        <w:t>Harrell</w:t>
      </w:r>
      <w:proofErr w:type="spellEnd"/>
      <w:r w:rsidRPr="004717FF">
        <w:rPr>
          <w:lang w:val="fr-FR"/>
        </w:rPr>
        <w:t xml:space="preserve">, K.M. et al. </w:t>
      </w:r>
      <w:r w:rsidRPr="004717FF">
        <w:t xml:space="preserve">(2014) ‘Telemedicine for dementia’, </w:t>
      </w:r>
      <w:r w:rsidRPr="004717FF">
        <w:rPr>
          <w:i/>
          <w:iCs/>
        </w:rPr>
        <w:t>Clinical Interventions in Aging</w:t>
      </w:r>
      <w:r w:rsidRPr="004717FF">
        <w:t>, 9, pp. 1403–1408.</w:t>
      </w:r>
    </w:p>
    <w:p w14:paraId="5DA2194D" w14:textId="77777777" w:rsidR="00E62B36" w:rsidRDefault="00E62B36" w:rsidP="00E62B36">
      <w:pPr>
        <w:pStyle w:val="NormalWeb"/>
        <w:jc w:val="both"/>
      </w:pPr>
      <w:r>
        <w:t xml:space="preserve">Hart, C. (2018) </w:t>
      </w:r>
      <w:r>
        <w:rPr>
          <w:rStyle w:val="Emphasis"/>
        </w:rPr>
        <w:t>Doing a Literature Review: Releasing the Research Imagination</w:t>
      </w:r>
      <w:r>
        <w:t xml:space="preserve">. 2nd </w:t>
      </w:r>
      <w:proofErr w:type="spellStart"/>
      <w:r>
        <w:t>edn</w:t>
      </w:r>
      <w:proofErr w:type="spellEnd"/>
      <w:r>
        <w:t>. London: Sage.</w:t>
      </w:r>
    </w:p>
    <w:p w14:paraId="2EB1852D" w14:textId="77777777" w:rsidR="00E62B36" w:rsidRPr="004717FF" w:rsidRDefault="00E62B36" w:rsidP="00E62B36">
      <w:pPr>
        <w:pStyle w:val="NormalWeb"/>
        <w:ind w:left="142"/>
        <w:jc w:val="both"/>
      </w:pPr>
      <w:r w:rsidRPr="004717FF">
        <w:lastRenderedPageBreak/>
        <w:t xml:space="preserve">Health Education England (2021) </w:t>
      </w:r>
      <w:r w:rsidRPr="004717FF">
        <w:rPr>
          <w:i/>
          <w:iCs/>
        </w:rPr>
        <w:t>The Digital Literacy Framework</w:t>
      </w:r>
      <w:r w:rsidRPr="004717FF">
        <w:t>. London: HEE.</w:t>
      </w:r>
    </w:p>
    <w:p w14:paraId="6B4EDFE5" w14:textId="77777777" w:rsidR="00E62B36" w:rsidRPr="004717FF" w:rsidRDefault="00E62B36" w:rsidP="00E62B36">
      <w:pPr>
        <w:pStyle w:val="NormalWeb"/>
        <w:ind w:left="142"/>
        <w:jc w:val="both"/>
      </w:pPr>
      <w:r w:rsidRPr="004717FF">
        <w:t xml:space="preserve">House of Lords (2021) </w:t>
      </w:r>
      <w:r w:rsidRPr="004717FF">
        <w:rPr>
          <w:i/>
          <w:iCs/>
        </w:rPr>
        <w:t>Ageing: Science, Technology and Healthy Living</w:t>
      </w:r>
      <w:r w:rsidRPr="004717FF">
        <w:t>. London: HMSO.</w:t>
      </w:r>
    </w:p>
    <w:p w14:paraId="4BF03825" w14:textId="77777777" w:rsidR="00E62B36" w:rsidRPr="004717FF" w:rsidRDefault="00E62B36" w:rsidP="00E62B36">
      <w:pPr>
        <w:pStyle w:val="NormalWeb"/>
        <w:ind w:left="142"/>
        <w:jc w:val="both"/>
      </w:pPr>
      <w:r w:rsidRPr="004717FF">
        <w:t xml:space="preserve">Hwang, F. et al. (2019) ‘Digital caregiving technologies’, </w:t>
      </w:r>
      <w:r w:rsidRPr="004717FF">
        <w:rPr>
          <w:i/>
          <w:iCs/>
        </w:rPr>
        <w:t>Health &amp; Social Care in the Community</w:t>
      </w:r>
      <w:r w:rsidRPr="004717FF">
        <w:t>, 27(5), pp. 1214–1223.</w:t>
      </w:r>
    </w:p>
    <w:p w14:paraId="59A6C945" w14:textId="77777777" w:rsidR="00E62B36" w:rsidRPr="004717FF" w:rsidRDefault="00E62B36" w:rsidP="00E62B36">
      <w:pPr>
        <w:pStyle w:val="NormalWeb"/>
        <w:ind w:left="142"/>
        <w:jc w:val="both"/>
        <w:rPr>
          <w:lang w:val="fr-FR"/>
        </w:rPr>
      </w:pPr>
      <w:proofErr w:type="spellStart"/>
      <w:r w:rsidRPr="004717FF">
        <w:rPr>
          <w:lang w:val="fr-FR"/>
        </w:rPr>
        <w:t>Innes</w:t>
      </w:r>
      <w:proofErr w:type="spellEnd"/>
      <w:r w:rsidRPr="004717FF">
        <w:rPr>
          <w:lang w:val="fr-FR"/>
        </w:rPr>
        <w:t>, A. et al. (2021) ‘</w:t>
      </w:r>
      <w:proofErr w:type="spellStart"/>
      <w:r w:rsidRPr="004717FF">
        <w:rPr>
          <w:lang w:val="fr-FR"/>
        </w:rPr>
        <w:t>Technology</w:t>
      </w:r>
      <w:proofErr w:type="spellEnd"/>
      <w:r w:rsidRPr="004717FF">
        <w:rPr>
          <w:lang w:val="fr-FR"/>
        </w:rPr>
        <w:t xml:space="preserve"> and </w:t>
      </w:r>
      <w:proofErr w:type="spellStart"/>
      <w:r w:rsidRPr="004717FF">
        <w:rPr>
          <w:lang w:val="fr-FR"/>
        </w:rPr>
        <w:t>dementia</w:t>
      </w:r>
      <w:proofErr w:type="spellEnd"/>
      <w:r w:rsidRPr="004717FF">
        <w:rPr>
          <w:lang w:val="fr-FR"/>
        </w:rPr>
        <w:t xml:space="preserve">: UK perspectives’, </w:t>
      </w:r>
      <w:proofErr w:type="spellStart"/>
      <w:r w:rsidRPr="004717FF">
        <w:rPr>
          <w:i/>
          <w:iCs/>
          <w:lang w:val="fr-FR"/>
        </w:rPr>
        <w:t>Dementia</w:t>
      </w:r>
      <w:proofErr w:type="spellEnd"/>
      <w:r w:rsidRPr="004717FF">
        <w:rPr>
          <w:lang w:val="fr-FR"/>
        </w:rPr>
        <w:t>, 20(6), pp. 1924–1940.</w:t>
      </w:r>
    </w:p>
    <w:p w14:paraId="6E843022" w14:textId="77777777" w:rsidR="00E62B36" w:rsidRDefault="00E62B36" w:rsidP="00E62B36">
      <w:pPr>
        <w:pStyle w:val="NormalWeb"/>
        <w:jc w:val="both"/>
      </w:pPr>
      <w:r>
        <w:t xml:space="preserve">Isaacs, D. (2024) ‘Digital exclusion in dementia services: widening inequality’, </w:t>
      </w:r>
      <w:r>
        <w:rPr>
          <w:rStyle w:val="Emphasis"/>
        </w:rPr>
        <w:t>The Times</w:t>
      </w:r>
      <w:r>
        <w:t>, 7 April.</w:t>
      </w:r>
    </w:p>
    <w:p w14:paraId="603780E9" w14:textId="77777777" w:rsidR="00E62B36" w:rsidRPr="004717FF" w:rsidRDefault="00E62B36" w:rsidP="00E62B36">
      <w:pPr>
        <w:pStyle w:val="NormalWeb"/>
        <w:ind w:left="142"/>
        <w:jc w:val="both"/>
      </w:pPr>
      <w:r w:rsidRPr="004717FF">
        <w:t xml:space="preserve">Khosravi, P. and </w:t>
      </w:r>
      <w:proofErr w:type="spellStart"/>
      <w:r w:rsidRPr="004717FF">
        <w:t>Ghapanchi</w:t>
      </w:r>
      <w:proofErr w:type="spellEnd"/>
      <w:r w:rsidRPr="004717FF">
        <w:t xml:space="preserve">, A.H. (2016) ‘Assistive technologies and quality of life’, </w:t>
      </w:r>
      <w:r w:rsidRPr="004717FF">
        <w:rPr>
          <w:i/>
          <w:iCs/>
        </w:rPr>
        <w:t>Disability and Rehabilitation: Assistive Technology</w:t>
      </w:r>
      <w:r w:rsidRPr="004717FF">
        <w:t>, 11(7), pp. 527–553.</w:t>
      </w:r>
    </w:p>
    <w:p w14:paraId="4C594E86" w14:textId="77777777" w:rsidR="00E62B36" w:rsidRDefault="00E62B36" w:rsidP="00E62B36">
      <w:pPr>
        <w:pStyle w:val="NormalWeb"/>
        <w:jc w:val="both"/>
      </w:pPr>
      <w:proofErr w:type="spellStart"/>
      <w:r>
        <w:t>Kitwood</w:t>
      </w:r>
      <w:proofErr w:type="spellEnd"/>
      <w:r>
        <w:t xml:space="preserve">, T. (1997) </w:t>
      </w:r>
      <w:r>
        <w:rPr>
          <w:rStyle w:val="Emphasis"/>
        </w:rPr>
        <w:t>Dementia Reconsidered: The Person Comes First</w:t>
      </w:r>
      <w:r>
        <w:t>. Buckingham: Open University Press.</w:t>
      </w:r>
    </w:p>
    <w:p w14:paraId="19264964" w14:textId="77777777" w:rsidR="00E62B36" w:rsidRPr="004717FF" w:rsidRDefault="00E62B36" w:rsidP="00E62B36">
      <w:pPr>
        <w:pStyle w:val="NormalWeb"/>
        <w:ind w:left="142"/>
        <w:jc w:val="both"/>
      </w:pPr>
      <w:r w:rsidRPr="004717FF">
        <w:rPr>
          <w:lang w:val="fr-FR"/>
        </w:rPr>
        <w:t xml:space="preserve">Larson, E.B. et al. </w:t>
      </w:r>
      <w:r w:rsidRPr="004717FF">
        <w:t xml:space="preserve">(2013) ‘Dementia in ageing societies’, </w:t>
      </w:r>
      <w:r w:rsidRPr="004717FF">
        <w:rPr>
          <w:i/>
          <w:iCs/>
        </w:rPr>
        <w:t>Lancet</w:t>
      </w:r>
      <w:r w:rsidRPr="004717FF">
        <w:t>, 381(9862), pp. 1575–1583.</w:t>
      </w:r>
    </w:p>
    <w:p w14:paraId="6CDA4B94" w14:textId="77777777" w:rsidR="00E62B36" w:rsidRDefault="00E62B36" w:rsidP="00E62B36">
      <w:pPr>
        <w:pStyle w:val="NormalWeb"/>
        <w:jc w:val="both"/>
      </w:pPr>
      <w:r>
        <w:t xml:space="preserve">Levac, D., Colquhoun, H. and O’Brien, K.K. (2010) ‘Scoping studies: advancing the methodology’, </w:t>
      </w:r>
      <w:r>
        <w:rPr>
          <w:rStyle w:val="Emphasis"/>
        </w:rPr>
        <w:t>Implementation Science</w:t>
      </w:r>
      <w:r>
        <w:t>, 5, 69.</w:t>
      </w:r>
    </w:p>
    <w:p w14:paraId="0D926D32" w14:textId="77777777" w:rsidR="00E62B36" w:rsidRDefault="00E62B36" w:rsidP="00E62B36">
      <w:pPr>
        <w:pStyle w:val="NormalWeb"/>
        <w:jc w:val="both"/>
      </w:pPr>
      <w:r>
        <w:t xml:space="preserve">Livingston, G. et al. (2024) ‘The Lancet Commission on dementia prevention, intervention, and care: 2024 update’, </w:t>
      </w:r>
      <w:r>
        <w:rPr>
          <w:rStyle w:val="Emphasis"/>
        </w:rPr>
        <w:t>The Lancet</w:t>
      </w:r>
      <w:r>
        <w:t>, 403(10426), pp. 123–146.</w:t>
      </w:r>
    </w:p>
    <w:p w14:paraId="4573D787" w14:textId="77777777" w:rsidR="00E62B36" w:rsidRDefault="00E62B36" w:rsidP="00E62B36">
      <w:pPr>
        <w:pStyle w:val="NormalWeb"/>
        <w:jc w:val="both"/>
      </w:pPr>
      <w:r>
        <w:t xml:space="preserve">Magnusson, L. et al. (2018) ‘Smart homes and assistive technologies for older people in Europe’, </w:t>
      </w:r>
      <w:r>
        <w:rPr>
          <w:rStyle w:val="Emphasis"/>
        </w:rPr>
        <w:t>Aging &amp; Mental Health</w:t>
      </w:r>
      <w:r>
        <w:t>, 22(1), pp. 1–9.</w:t>
      </w:r>
    </w:p>
    <w:p w14:paraId="08203102" w14:textId="77777777" w:rsidR="00E62B36" w:rsidRPr="004717FF" w:rsidRDefault="00E62B36" w:rsidP="00E62B36">
      <w:pPr>
        <w:pStyle w:val="NormalWeb"/>
        <w:ind w:left="142"/>
        <w:jc w:val="both"/>
      </w:pPr>
      <w:r w:rsidRPr="004717FF">
        <w:rPr>
          <w:lang w:val="fr-FR"/>
        </w:rPr>
        <w:t xml:space="preserve">Matthews, F.E. et al. </w:t>
      </w:r>
      <w:r w:rsidRPr="004717FF">
        <w:t xml:space="preserve">(2016) ‘Prevalence of dementia in the UK’, </w:t>
      </w:r>
      <w:r w:rsidRPr="004717FF">
        <w:rPr>
          <w:i/>
          <w:iCs/>
        </w:rPr>
        <w:t>Nature Communications</w:t>
      </w:r>
      <w:r w:rsidRPr="004717FF">
        <w:t>, 7, 11398.</w:t>
      </w:r>
    </w:p>
    <w:p w14:paraId="5604E0D5" w14:textId="77777777" w:rsidR="00E62B36" w:rsidRPr="004717FF" w:rsidRDefault="00E62B36" w:rsidP="00E62B36">
      <w:pPr>
        <w:pStyle w:val="NormalWeb"/>
        <w:ind w:left="142"/>
        <w:jc w:val="both"/>
      </w:pPr>
      <w:r w:rsidRPr="004717FF">
        <w:t xml:space="preserve">McCabe, L. and Innes, A. (2013) ‘Supporting safe walking for people with dementia’, </w:t>
      </w:r>
      <w:r w:rsidRPr="004717FF">
        <w:rPr>
          <w:i/>
          <w:iCs/>
        </w:rPr>
        <w:t>Dementia</w:t>
      </w:r>
      <w:r w:rsidRPr="004717FF">
        <w:t>, 12(6), pp. 695–701.</w:t>
      </w:r>
    </w:p>
    <w:p w14:paraId="143233AF" w14:textId="77777777" w:rsidR="00E62B36" w:rsidRDefault="00E62B36" w:rsidP="00E62B36">
      <w:pPr>
        <w:pStyle w:val="NormalWeb"/>
        <w:jc w:val="both"/>
      </w:pPr>
      <w:r>
        <w:t xml:space="preserve">Miyazaki, M. and Ota, K. (2022) ‘Robotic and AI applications in Japan’s dementia care system’, </w:t>
      </w:r>
      <w:proofErr w:type="spellStart"/>
      <w:r>
        <w:rPr>
          <w:rStyle w:val="Emphasis"/>
        </w:rPr>
        <w:t>Gerontechnology</w:t>
      </w:r>
      <w:proofErr w:type="spellEnd"/>
      <w:r>
        <w:t>, 21(2), pp. 97–106.</w:t>
      </w:r>
    </w:p>
    <w:p w14:paraId="64F56E0E" w14:textId="77777777" w:rsidR="00E62B36" w:rsidRDefault="00E62B36" w:rsidP="00E62B36">
      <w:pPr>
        <w:pStyle w:val="NormalWeb"/>
        <w:jc w:val="both"/>
      </w:pPr>
      <w:r>
        <w:t xml:space="preserve">Nakanishi, M. and Nakashima, T. (2021) ‘ICT-based dementia care in Japan: progress and challenges’, </w:t>
      </w:r>
      <w:r>
        <w:rPr>
          <w:rStyle w:val="Emphasis"/>
        </w:rPr>
        <w:t>International Journal of Environmental Research and Public Health</w:t>
      </w:r>
      <w:r>
        <w:t>, 18(9), 4728.</w:t>
      </w:r>
    </w:p>
    <w:p w14:paraId="368BF2BE" w14:textId="77777777" w:rsidR="00E62B36" w:rsidRDefault="00E62B36" w:rsidP="00E62B36">
      <w:pPr>
        <w:pStyle w:val="NormalWeb"/>
        <w:jc w:val="both"/>
      </w:pPr>
      <w:r>
        <w:t xml:space="preserve">NHS AI Lab (2023) </w:t>
      </w:r>
      <w:r>
        <w:rPr>
          <w:rStyle w:val="Emphasis"/>
        </w:rPr>
        <w:t>AI in Health and Care Award Projects</w:t>
      </w:r>
      <w:r>
        <w:t xml:space="preserve">. Available at: </w:t>
      </w:r>
      <w:hyperlink r:id="rId11" w:tgtFrame="_new" w:history="1">
        <w:r>
          <w:rPr>
            <w:rStyle w:val="Hyperlink"/>
          </w:rPr>
          <w:t>https://www.nhsx.nhs.uk</w:t>
        </w:r>
      </w:hyperlink>
      <w:r>
        <w:t xml:space="preserve"> (Accessed: 10 December 2025).</w:t>
      </w:r>
    </w:p>
    <w:p w14:paraId="31EC2CD4" w14:textId="77777777" w:rsidR="00E62B36" w:rsidRPr="004717FF" w:rsidRDefault="00E62B36" w:rsidP="00E62B36">
      <w:pPr>
        <w:pStyle w:val="NormalWeb"/>
        <w:ind w:left="142"/>
        <w:jc w:val="both"/>
      </w:pPr>
      <w:r w:rsidRPr="004717FF">
        <w:t xml:space="preserve">NHS Digital (2022) </w:t>
      </w:r>
      <w:r w:rsidRPr="004717FF">
        <w:rPr>
          <w:i/>
          <w:iCs/>
        </w:rPr>
        <w:t>Digital Adoption in Adult Social Care Research</w:t>
      </w:r>
      <w:r w:rsidRPr="004717FF">
        <w:t>. Leeds: NHS Digital.</w:t>
      </w:r>
    </w:p>
    <w:p w14:paraId="4C8097A2" w14:textId="77777777" w:rsidR="00E62B36" w:rsidRDefault="00E62B36" w:rsidP="00E62B36">
      <w:pPr>
        <w:pStyle w:val="NormalWeb"/>
        <w:jc w:val="both"/>
      </w:pPr>
      <w:r>
        <w:t xml:space="preserve">NHS England (2019) </w:t>
      </w:r>
      <w:r>
        <w:rPr>
          <w:rStyle w:val="Emphasis"/>
        </w:rPr>
        <w:t>The NHS Long Term Plan</w:t>
      </w:r>
      <w:r>
        <w:t>. London: NHS England.</w:t>
      </w:r>
    </w:p>
    <w:p w14:paraId="7C45FACA" w14:textId="77777777" w:rsidR="00E62B36" w:rsidRPr="004717FF" w:rsidRDefault="00E62B36" w:rsidP="00E62B36">
      <w:pPr>
        <w:pStyle w:val="NormalWeb"/>
        <w:ind w:left="142"/>
        <w:jc w:val="both"/>
      </w:pPr>
      <w:r w:rsidRPr="004717FF">
        <w:lastRenderedPageBreak/>
        <w:t xml:space="preserve">NHS England (2022) </w:t>
      </w:r>
      <w:r w:rsidRPr="004717FF">
        <w:rPr>
          <w:i/>
          <w:iCs/>
        </w:rPr>
        <w:t>Transforming NHS Digital Services: Strategy Update</w:t>
      </w:r>
      <w:r w:rsidRPr="004717FF">
        <w:t>. London: NHS England.</w:t>
      </w:r>
    </w:p>
    <w:p w14:paraId="23B30887" w14:textId="77777777" w:rsidR="00E62B36" w:rsidRDefault="00E62B36" w:rsidP="00E62B36">
      <w:pPr>
        <w:pStyle w:val="NormalWeb"/>
        <w:jc w:val="both"/>
      </w:pPr>
      <w:r>
        <w:t xml:space="preserve">NHS England (2023) </w:t>
      </w:r>
      <w:r>
        <w:rPr>
          <w:rStyle w:val="Emphasis"/>
        </w:rPr>
        <w:t>Digital Health and Care: Delivery Plan</w:t>
      </w:r>
      <w:r>
        <w:t>. London: NHS England.</w:t>
      </w:r>
    </w:p>
    <w:p w14:paraId="265AE14F" w14:textId="77777777" w:rsidR="00E62B36" w:rsidRDefault="00E62B36" w:rsidP="00E62B36">
      <w:pPr>
        <w:pStyle w:val="NormalWeb"/>
        <w:jc w:val="both"/>
      </w:pPr>
      <w:r>
        <w:t xml:space="preserve">NHS England (2024) </w:t>
      </w:r>
      <w:r>
        <w:rPr>
          <w:rStyle w:val="Emphasis"/>
        </w:rPr>
        <w:t>Dementia: National Overview and Statistics 2024</w:t>
      </w:r>
      <w:r>
        <w:t>. London: NHS England.</w:t>
      </w:r>
    </w:p>
    <w:p w14:paraId="07826B5E" w14:textId="77777777" w:rsidR="00E62B36" w:rsidRPr="004717FF" w:rsidRDefault="00E62B36" w:rsidP="00E62B36">
      <w:pPr>
        <w:pStyle w:val="NormalWeb"/>
        <w:ind w:left="142"/>
        <w:jc w:val="both"/>
      </w:pPr>
      <w:r w:rsidRPr="004717FF">
        <w:t xml:space="preserve">NHSX (2021) </w:t>
      </w:r>
      <w:r w:rsidRPr="004717FF">
        <w:rPr>
          <w:i/>
          <w:iCs/>
        </w:rPr>
        <w:t>Digital Technology Assessment Criteria (DTAC)</w:t>
      </w:r>
      <w:r w:rsidRPr="004717FF">
        <w:t>. London: NHSX.</w:t>
      </w:r>
    </w:p>
    <w:p w14:paraId="315DBC8E" w14:textId="77777777" w:rsidR="00E62B36" w:rsidRPr="004717FF" w:rsidRDefault="00E62B36" w:rsidP="00E62B36">
      <w:pPr>
        <w:pStyle w:val="NormalWeb"/>
        <w:ind w:left="142"/>
        <w:jc w:val="both"/>
      </w:pPr>
      <w:r w:rsidRPr="004717FF">
        <w:t xml:space="preserve">OECD (2020) </w:t>
      </w:r>
      <w:r w:rsidRPr="004717FF">
        <w:rPr>
          <w:i/>
          <w:iCs/>
        </w:rPr>
        <w:t>Health in the 21st Century: Digital Transformation</w:t>
      </w:r>
      <w:r w:rsidRPr="004717FF">
        <w:t>. Paris: OECD Publishing.</w:t>
      </w:r>
    </w:p>
    <w:p w14:paraId="74177165" w14:textId="77777777" w:rsidR="00E62B36" w:rsidRDefault="00E62B36" w:rsidP="00E62B36">
      <w:pPr>
        <w:pStyle w:val="NormalWeb"/>
        <w:jc w:val="both"/>
      </w:pPr>
      <w:r>
        <w:t xml:space="preserve">OECD (2022) </w:t>
      </w:r>
      <w:r>
        <w:rPr>
          <w:rStyle w:val="Emphasis"/>
        </w:rPr>
        <w:t>Digital Health for Dementia Care: Global Practices and Lessons Learned</w:t>
      </w:r>
      <w:r>
        <w:t>. Paris: OECD.</w:t>
      </w:r>
    </w:p>
    <w:p w14:paraId="4266196A" w14:textId="77777777" w:rsidR="00E62B36" w:rsidRPr="004717FF" w:rsidRDefault="00E62B36" w:rsidP="00E62B36">
      <w:pPr>
        <w:pStyle w:val="NormalWeb"/>
        <w:ind w:left="142"/>
        <w:jc w:val="both"/>
      </w:pPr>
      <w:r w:rsidRPr="004717FF">
        <w:t xml:space="preserve">Office for National Statistics (2023) </w:t>
      </w:r>
      <w:r w:rsidRPr="004717FF">
        <w:rPr>
          <w:i/>
          <w:iCs/>
        </w:rPr>
        <w:t>Internet Use in Older Adults</w:t>
      </w:r>
      <w:r w:rsidRPr="004717FF">
        <w:t>. London: ONS.</w:t>
      </w:r>
    </w:p>
    <w:p w14:paraId="61E9DCBC" w14:textId="77777777" w:rsidR="00E62B36" w:rsidRDefault="00E62B36" w:rsidP="00E62B36">
      <w:pPr>
        <w:pStyle w:val="NormalWeb"/>
        <w:jc w:val="both"/>
      </w:pPr>
      <w:r>
        <w:t xml:space="preserve">Office for National Statistics (2023) </w:t>
      </w:r>
      <w:r>
        <w:rPr>
          <w:rStyle w:val="Emphasis"/>
        </w:rPr>
        <w:t>Overview of the UK Population</w:t>
      </w:r>
      <w:r>
        <w:t>. London: ONS.</w:t>
      </w:r>
    </w:p>
    <w:p w14:paraId="63C60158" w14:textId="77777777" w:rsidR="00E62B36" w:rsidRDefault="00E62B36" w:rsidP="00E62B36">
      <w:pPr>
        <w:pStyle w:val="NormalWeb"/>
        <w:jc w:val="both"/>
      </w:pPr>
      <w:r>
        <w:t xml:space="preserve">Office for National Statistics (2024) </w:t>
      </w:r>
      <w:r>
        <w:rPr>
          <w:rStyle w:val="Emphasis"/>
        </w:rPr>
        <w:t>Internet Access – Households and Individuals, Great Britain: 2024</w:t>
      </w:r>
      <w:r>
        <w:t>. London: ONS.</w:t>
      </w:r>
    </w:p>
    <w:p w14:paraId="3E2E8022" w14:textId="77777777" w:rsidR="00E62B36" w:rsidRDefault="00E62B36" w:rsidP="00E62B36">
      <w:pPr>
        <w:pStyle w:val="NormalWeb"/>
        <w:jc w:val="both"/>
      </w:pPr>
      <w:r>
        <w:t xml:space="preserve">Prime Minister’s Challenge on Dementia (2020) </w:t>
      </w:r>
      <w:r>
        <w:rPr>
          <w:rStyle w:val="Emphasis"/>
        </w:rPr>
        <w:t>PM Challenge on Dementia 2020 Implementation Plan</w:t>
      </w:r>
      <w:r>
        <w:t>. London: HM Government.</w:t>
      </w:r>
    </w:p>
    <w:p w14:paraId="18F67929" w14:textId="77777777" w:rsidR="00E62B36" w:rsidRDefault="00E62B36" w:rsidP="00E62B36">
      <w:pPr>
        <w:pStyle w:val="NormalWeb"/>
        <w:jc w:val="both"/>
      </w:pPr>
      <w:r>
        <w:t xml:space="preserve">Prince, M. et al. (2013) </w:t>
      </w:r>
      <w:r>
        <w:rPr>
          <w:rStyle w:val="Emphasis"/>
        </w:rPr>
        <w:t>World Alzheimer Report 2013: Journey of Caring</w:t>
      </w:r>
      <w:r>
        <w:t>. London: Alzheimer’s Disease International.</w:t>
      </w:r>
    </w:p>
    <w:p w14:paraId="4292E772" w14:textId="77777777" w:rsidR="00E62B36" w:rsidRPr="004717FF" w:rsidRDefault="00E62B36" w:rsidP="00E62B36">
      <w:pPr>
        <w:pStyle w:val="NormalWeb"/>
        <w:ind w:left="142"/>
        <w:jc w:val="both"/>
      </w:pPr>
      <w:r w:rsidRPr="004717FF">
        <w:t xml:space="preserve">Prince, M. et al. (2015) </w:t>
      </w:r>
      <w:r w:rsidRPr="004717FF">
        <w:rPr>
          <w:i/>
          <w:iCs/>
        </w:rPr>
        <w:t>World Alzheimer Report 2015</w:t>
      </w:r>
      <w:r w:rsidRPr="004717FF">
        <w:t>. London: Alzheimer’s Disease International.</w:t>
      </w:r>
    </w:p>
    <w:p w14:paraId="18C5DA2E" w14:textId="77777777" w:rsidR="00E62B36" w:rsidRPr="004717FF" w:rsidRDefault="00E62B36" w:rsidP="00E62B36">
      <w:pPr>
        <w:pStyle w:val="NormalWeb"/>
        <w:ind w:left="142"/>
        <w:jc w:val="both"/>
      </w:pPr>
      <w:r w:rsidRPr="004717FF">
        <w:t xml:space="preserve">Robillard, J. et al. (2018) ‘Ethics of artificial intelligence in dementia care’, </w:t>
      </w:r>
      <w:r w:rsidRPr="004717FF">
        <w:rPr>
          <w:i/>
          <w:iCs/>
        </w:rPr>
        <w:t>Journal of Alzheimer’s Disease</w:t>
      </w:r>
      <w:r w:rsidRPr="004717FF">
        <w:t>, 66(2), pp. 727–735.</w:t>
      </w:r>
    </w:p>
    <w:p w14:paraId="794FE169" w14:textId="77777777" w:rsidR="00E62B36" w:rsidRDefault="00E62B36" w:rsidP="00E62B36">
      <w:pPr>
        <w:pStyle w:val="NormalWeb"/>
        <w:jc w:val="both"/>
      </w:pPr>
      <w:r>
        <w:t xml:space="preserve">Rogers, E.M. (2003) </w:t>
      </w:r>
      <w:r>
        <w:rPr>
          <w:rStyle w:val="Emphasis"/>
        </w:rPr>
        <w:t>Diffusion of Innovations</w:t>
      </w:r>
      <w:r>
        <w:t xml:space="preserve">. 5th </w:t>
      </w:r>
      <w:proofErr w:type="spellStart"/>
      <w:r>
        <w:t>edn</w:t>
      </w:r>
      <w:proofErr w:type="spellEnd"/>
      <w:r>
        <w:t>. New York: Free Press.</w:t>
      </w:r>
    </w:p>
    <w:p w14:paraId="08877D06" w14:textId="77777777" w:rsidR="00E62B36" w:rsidRPr="004717FF" w:rsidRDefault="00E62B36" w:rsidP="00E62B36">
      <w:pPr>
        <w:pStyle w:val="NormalWeb"/>
        <w:ind w:left="142"/>
        <w:jc w:val="both"/>
      </w:pPr>
      <w:r w:rsidRPr="004717FF">
        <w:t xml:space="preserve">Scottish Government (2022) </w:t>
      </w:r>
      <w:r w:rsidRPr="004717FF">
        <w:rPr>
          <w:i/>
          <w:iCs/>
        </w:rPr>
        <w:t>Scotland’s Digital Health and Care Strategy</w:t>
      </w:r>
      <w:r w:rsidRPr="004717FF">
        <w:t>. Edinburgh: SG.</w:t>
      </w:r>
    </w:p>
    <w:p w14:paraId="50D3F6AB" w14:textId="77777777" w:rsidR="00E62B36" w:rsidRDefault="00E62B36" w:rsidP="00E62B36">
      <w:pPr>
        <w:pStyle w:val="NormalWeb"/>
        <w:jc w:val="both"/>
      </w:pPr>
      <w:r>
        <w:t xml:space="preserve">Scottish Government (2023) </w:t>
      </w:r>
      <w:r>
        <w:rPr>
          <w:rStyle w:val="Emphasis"/>
        </w:rPr>
        <w:t>Scotland’s Digital Health and Care Strategy: Update Report</w:t>
      </w:r>
      <w:r>
        <w:t>. Edinburgh: Scottish Government.</w:t>
      </w:r>
    </w:p>
    <w:p w14:paraId="6EAACD65" w14:textId="77777777" w:rsidR="00E62B36" w:rsidRPr="004717FF" w:rsidRDefault="00E62B36" w:rsidP="00E62B36">
      <w:pPr>
        <w:pStyle w:val="NormalWeb"/>
        <w:ind w:left="142"/>
        <w:jc w:val="both"/>
      </w:pPr>
      <w:r w:rsidRPr="004717FF">
        <w:t xml:space="preserve">Seifert, A. et al. (2020) ‘Digital ageing paradox’, </w:t>
      </w:r>
      <w:r w:rsidRPr="004717FF">
        <w:rPr>
          <w:i/>
          <w:iCs/>
        </w:rPr>
        <w:t>Journal of Gerontology: Social Sciences</w:t>
      </w:r>
      <w:r w:rsidRPr="004717FF">
        <w:t>, 75(4), pp. 712–721.</w:t>
      </w:r>
    </w:p>
    <w:p w14:paraId="29967C47" w14:textId="77777777" w:rsidR="00E62B36" w:rsidRDefault="00E62B36" w:rsidP="00E62B36">
      <w:pPr>
        <w:pStyle w:val="NormalWeb"/>
        <w:jc w:val="both"/>
      </w:pPr>
      <w:r>
        <w:t xml:space="preserve">Seifert, A., Cotten, S.R. and Xie, B. (2021) ‘A double burden of exclusion? Digital and social inequalities in older adults’, </w:t>
      </w:r>
      <w:r>
        <w:rPr>
          <w:rStyle w:val="Emphasis"/>
        </w:rPr>
        <w:t>Gerontologist</w:t>
      </w:r>
      <w:r>
        <w:t>, 61(5), pp. 683–691.</w:t>
      </w:r>
    </w:p>
    <w:p w14:paraId="0D2A6884" w14:textId="77777777" w:rsidR="00E62B36" w:rsidRDefault="00E62B36" w:rsidP="00E62B36">
      <w:pPr>
        <w:pStyle w:val="NormalWeb"/>
        <w:jc w:val="both"/>
      </w:pPr>
      <w:r>
        <w:t xml:space="preserve">Takeda, S., Arita, M. and Nishi, S. (2021) ‘Cultural attitudes and adoption of AI-based dementia care in Japan’, </w:t>
      </w:r>
      <w:r>
        <w:rPr>
          <w:rStyle w:val="Emphasis"/>
        </w:rPr>
        <w:t>Journal of Cross-Cultural Gerontology</w:t>
      </w:r>
      <w:r>
        <w:t>, 36(3), pp. 205–218.</w:t>
      </w:r>
    </w:p>
    <w:p w14:paraId="2EF856B0" w14:textId="77777777" w:rsidR="00E62B36" w:rsidRDefault="00E62B36" w:rsidP="00E62B36">
      <w:pPr>
        <w:pStyle w:val="NormalWeb"/>
        <w:jc w:val="both"/>
      </w:pPr>
      <w:r>
        <w:lastRenderedPageBreak/>
        <w:t xml:space="preserve">The King’s Fund (2023) </w:t>
      </w:r>
      <w:r>
        <w:rPr>
          <w:rStyle w:val="Emphasis"/>
        </w:rPr>
        <w:t>Digital Transformation in the NHS</w:t>
      </w:r>
      <w:r>
        <w:t>. London: The King’s Fund.</w:t>
      </w:r>
    </w:p>
    <w:p w14:paraId="08226366" w14:textId="77777777" w:rsidR="00E62B36" w:rsidRDefault="00E62B36" w:rsidP="00E62B36">
      <w:pPr>
        <w:pStyle w:val="NormalWeb"/>
        <w:jc w:val="both"/>
      </w:pPr>
      <w:r>
        <w:rPr>
          <w:rStyle w:val="Strong"/>
          <w:rFonts w:eastAsia="Calibri Light"/>
        </w:rPr>
        <w:t>Theories: innovation, acceptance, equity</w:t>
      </w:r>
    </w:p>
    <w:p w14:paraId="2A4C0225" w14:textId="77777777" w:rsidR="00E62B36" w:rsidRDefault="00E62B36" w:rsidP="00E62B36">
      <w:pPr>
        <w:pStyle w:val="NormalWeb"/>
        <w:jc w:val="both"/>
      </w:pPr>
      <w:r>
        <w:t xml:space="preserve">Topol, E. (2019) </w:t>
      </w:r>
      <w:r>
        <w:rPr>
          <w:rStyle w:val="Emphasis"/>
        </w:rPr>
        <w:t>The Topol Review: Preparing the Healthcare Workforce to Deliver the Digital Future</w:t>
      </w:r>
      <w:r>
        <w:t>. NHS Health Education England.</w:t>
      </w:r>
    </w:p>
    <w:p w14:paraId="40FB00DC" w14:textId="77777777" w:rsidR="00E62B36" w:rsidRPr="004717FF" w:rsidRDefault="00E62B36" w:rsidP="00E62B36">
      <w:pPr>
        <w:pStyle w:val="NormalWeb"/>
        <w:ind w:left="142"/>
        <w:jc w:val="both"/>
      </w:pPr>
      <w:r w:rsidRPr="004717FF">
        <w:t xml:space="preserve">Topol, E. (2019) </w:t>
      </w:r>
      <w:r w:rsidRPr="004717FF">
        <w:rPr>
          <w:i/>
          <w:iCs/>
        </w:rPr>
        <w:t>The Topol Review: Preparing the Healthcare Workforce for the Digital Future</w:t>
      </w:r>
      <w:r w:rsidRPr="004717FF">
        <w:t>. NHS Health Education England.</w:t>
      </w:r>
    </w:p>
    <w:p w14:paraId="785CD355" w14:textId="77777777" w:rsidR="00E62B36" w:rsidRDefault="00E62B36" w:rsidP="00E62B36">
      <w:pPr>
        <w:pStyle w:val="NormalWeb"/>
        <w:jc w:val="both"/>
      </w:pPr>
      <w:proofErr w:type="spellStart"/>
      <w:r w:rsidRPr="0086570F">
        <w:rPr>
          <w:lang w:val="it-IT"/>
        </w:rPr>
        <w:t>Tricco</w:t>
      </w:r>
      <w:proofErr w:type="spellEnd"/>
      <w:r w:rsidRPr="0086570F">
        <w:rPr>
          <w:lang w:val="it-IT"/>
        </w:rPr>
        <w:t xml:space="preserve">, A.C. et al. </w:t>
      </w:r>
      <w:r>
        <w:t>(2018) ‘PRISMA extension for scoping reviews (PRISMA-</w:t>
      </w:r>
      <w:proofErr w:type="spellStart"/>
      <w:r>
        <w:t>ScR</w:t>
      </w:r>
      <w:proofErr w:type="spellEnd"/>
      <w:r>
        <w:t xml:space="preserve">): checklist and explanation’, </w:t>
      </w:r>
      <w:r>
        <w:rPr>
          <w:rStyle w:val="Emphasis"/>
        </w:rPr>
        <w:t>Annals of Internal Medicine</w:t>
      </w:r>
      <w:r>
        <w:t>, 169(7), pp. 467–473.</w:t>
      </w:r>
    </w:p>
    <w:p w14:paraId="1C2454CC" w14:textId="77777777" w:rsidR="00E62B36" w:rsidRDefault="00E62B36" w:rsidP="00E62B36">
      <w:pPr>
        <w:pStyle w:val="NormalWeb"/>
        <w:jc w:val="both"/>
      </w:pPr>
      <w:r>
        <w:rPr>
          <w:rStyle w:val="Strong"/>
          <w:rFonts w:eastAsia="Calibri Light"/>
        </w:rPr>
        <w:t>UK health policy, NHS and digital strategies</w:t>
      </w:r>
    </w:p>
    <w:p w14:paraId="38D5E5C2" w14:textId="77777777" w:rsidR="00E62B36" w:rsidRDefault="00E62B36" w:rsidP="00E62B36">
      <w:pPr>
        <w:pStyle w:val="NormalWeb"/>
        <w:jc w:val="both"/>
      </w:pPr>
      <w:r>
        <w:t xml:space="preserve">Wang, R. et al. (2021) ‘Human-centred digital health design for dementia care’, </w:t>
      </w:r>
      <w:r>
        <w:rPr>
          <w:rStyle w:val="Emphasis"/>
        </w:rPr>
        <w:t>Gerontology</w:t>
      </w:r>
      <w:r>
        <w:t>, 67(4), pp. 447–456.</w:t>
      </w:r>
    </w:p>
    <w:p w14:paraId="00DC208B" w14:textId="77777777" w:rsidR="00E62B36" w:rsidRDefault="00E62B36" w:rsidP="00E62B36">
      <w:pPr>
        <w:pStyle w:val="NormalWeb"/>
        <w:jc w:val="both"/>
      </w:pPr>
      <w:r>
        <w:t xml:space="preserve">Weiner, M. et al. (2020) ‘Telehealth and dementia management in the United States: a review’, </w:t>
      </w:r>
      <w:r>
        <w:rPr>
          <w:rStyle w:val="Emphasis"/>
        </w:rPr>
        <w:t>Alzheimer’s &amp; Dementia: Translational Research &amp; Clinical Interventions</w:t>
      </w:r>
      <w:r>
        <w:t>, 6(1), e12078.</w:t>
      </w:r>
    </w:p>
    <w:p w14:paraId="17D9188A" w14:textId="77777777" w:rsidR="00E62B36" w:rsidRDefault="00E62B36" w:rsidP="00E62B36">
      <w:pPr>
        <w:pStyle w:val="NormalWeb"/>
        <w:jc w:val="both"/>
      </w:pPr>
      <w:r>
        <w:t xml:space="preserve">WHO (2023) </w:t>
      </w:r>
      <w:r>
        <w:rPr>
          <w:rStyle w:val="Emphasis"/>
        </w:rPr>
        <w:t>Ethics and Governance of Artificial Intelligence for Health</w:t>
      </w:r>
      <w:r>
        <w:t>. Geneva: World Health Organization.</w:t>
      </w:r>
    </w:p>
    <w:p w14:paraId="7E8F27C5" w14:textId="77777777" w:rsidR="00E62B36" w:rsidRDefault="00E62B36" w:rsidP="00E62B36">
      <w:pPr>
        <w:pStyle w:val="NormalWeb"/>
        <w:jc w:val="both"/>
      </w:pPr>
      <w:r>
        <w:t xml:space="preserve">World Health Organization (2017) </w:t>
      </w:r>
      <w:r>
        <w:rPr>
          <w:rStyle w:val="Emphasis"/>
        </w:rPr>
        <w:t>Global Action Plan on the Public Health Response to Dementia 2017–2025</w:t>
      </w:r>
      <w:r>
        <w:t>. Geneva: WHO.</w:t>
      </w:r>
    </w:p>
    <w:p w14:paraId="54F59A67" w14:textId="77777777" w:rsidR="00E62B36" w:rsidRDefault="00E62B36" w:rsidP="00E62B36">
      <w:pPr>
        <w:pStyle w:val="NormalWeb"/>
        <w:jc w:val="both"/>
      </w:pPr>
      <w:r>
        <w:t xml:space="preserve">World Health Organization (2021) </w:t>
      </w:r>
      <w:r>
        <w:rPr>
          <w:rStyle w:val="Emphasis"/>
        </w:rPr>
        <w:t>Global Strategy on Digital Health 2020–2025</w:t>
      </w:r>
      <w:r>
        <w:t>. Geneva: WHO.</w:t>
      </w:r>
    </w:p>
    <w:p w14:paraId="6D313DF4" w14:textId="77777777" w:rsidR="00E62B36" w:rsidRPr="004717FF" w:rsidRDefault="00E62B36" w:rsidP="00E62B36">
      <w:pPr>
        <w:pStyle w:val="NormalWeb"/>
        <w:ind w:left="142"/>
        <w:jc w:val="both"/>
      </w:pPr>
      <w:r w:rsidRPr="004717FF">
        <w:t xml:space="preserve">World Health Organization (2021) </w:t>
      </w:r>
      <w:r w:rsidRPr="004717FF">
        <w:rPr>
          <w:i/>
          <w:iCs/>
        </w:rPr>
        <w:t>Global Strategy on Digital Health 2020–2025</w:t>
      </w:r>
      <w:r w:rsidRPr="004717FF">
        <w:t>. Geneva: WHO.</w:t>
      </w:r>
    </w:p>
    <w:p w14:paraId="15229FFF" w14:textId="77777777" w:rsidR="00E62B36" w:rsidRDefault="00E62B36" w:rsidP="00E62B36">
      <w:pPr>
        <w:pStyle w:val="NormalWeb"/>
        <w:jc w:val="both"/>
      </w:pPr>
      <w:r>
        <w:t xml:space="preserve">World Health Organization (2023) </w:t>
      </w:r>
      <w:r>
        <w:rPr>
          <w:rStyle w:val="Emphasis"/>
        </w:rPr>
        <w:t>Ethics and Governance of Artificial Intelligence for Health</w:t>
      </w:r>
      <w:r>
        <w:t>. Geneva: WHO.</w:t>
      </w:r>
    </w:p>
    <w:p w14:paraId="39D882CF" w14:textId="77777777" w:rsidR="0086570F" w:rsidRDefault="0086570F">
      <w:r>
        <w:pict w14:anchorId="3E5988BF">
          <v:rect id="_x0000_i1121" style="width:0;height:1.5pt" o:hralign="center" o:hrstd="t" o:hr="t" fillcolor="#a0a0a0" stroked="f"/>
        </w:pict>
      </w:r>
    </w:p>
    <w:p w14:paraId="3A30B2EC" w14:textId="56ABAE19" w:rsidR="0086570F" w:rsidRDefault="0086570F"/>
    <w:p w14:paraId="794CE372" w14:textId="77777777" w:rsidR="0086570F" w:rsidRDefault="0086570F">
      <w:pPr>
        <w:pStyle w:val="Heading2"/>
      </w:pPr>
      <w:r>
        <w:rPr>
          <w:rStyle w:val="Strong"/>
          <w:b w:val="0"/>
          <w:bCs w:val="0"/>
        </w:rPr>
        <w:t>6.2 Appendices</w:t>
      </w:r>
    </w:p>
    <w:p w14:paraId="6EB60ED3" w14:textId="77777777" w:rsidR="0086570F" w:rsidRDefault="0086570F">
      <w:r>
        <w:pict w14:anchorId="275A3989">
          <v:rect id="_x0000_i1123" style="width:0;height:1.5pt" o:hralign="center" o:hrstd="t" o:hr="t" fillcolor="#a0a0a0" stroked="f"/>
        </w:pict>
      </w:r>
    </w:p>
    <w:p w14:paraId="596396F5" w14:textId="77777777" w:rsidR="0086570F" w:rsidRDefault="0086570F">
      <w:pPr>
        <w:pStyle w:val="Heading3"/>
      </w:pPr>
      <w:r>
        <w:rPr>
          <w:rStyle w:val="Strong"/>
          <w:b w:val="0"/>
          <w:bCs w:val="0"/>
        </w:rPr>
        <w:t>Appendix A – Search Strategy Table</w:t>
      </w:r>
    </w:p>
    <w:p w14:paraId="5CA31AD4" w14:textId="77777777" w:rsidR="0086570F" w:rsidRDefault="0086570F" w:rsidP="0086570F">
      <w:pPr>
        <w:pStyle w:val="NormalWeb"/>
        <w:numPr>
          <w:ilvl w:val="0"/>
          <w:numId w:val="145"/>
        </w:numPr>
      </w:pPr>
      <w:r>
        <w:t>Database names (e.g. MEDLINE, CINAHL, PsycINFO, Scopus, IEEE Xplore)</w:t>
      </w:r>
    </w:p>
    <w:p w14:paraId="78493172" w14:textId="77777777" w:rsidR="0086570F" w:rsidRDefault="0086570F" w:rsidP="0086570F">
      <w:pPr>
        <w:pStyle w:val="NormalWeb"/>
        <w:numPr>
          <w:ilvl w:val="0"/>
          <w:numId w:val="145"/>
        </w:numPr>
      </w:pPr>
      <w:r>
        <w:t>Exact search strings used</w:t>
      </w:r>
    </w:p>
    <w:p w14:paraId="2AFADAFA" w14:textId="77777777" w:rsidR="0086570F" w:rsidRDefault="0086570F" w:rsidP="0086570F">
      <w:pPr>
        <w:pStyle w:val="NormalWeb"/>
        <w:numPr>
          <w:ilvl w:val="0"/>
          <w:numId w:val="145"/>
        </w:numPr>
      </w:pPr>
      <w:r>
        <w:t>Boolean operators</w:t>
      </w:r>
    </w:p>
    <w:p w14:paraId="74AF6655" w14:textId="77777777" w:rsidR="0086570F" w:rsidRDefault="0086570F" w:rsidP="0086570F">
      <w:pPr>
        <w:pStyle w:val="NormalWeb"/>
        <w:numPr>
          <w:ilvl w:val="0"/>
          <w:numId w:val="145"/>
        </w:numPr>
      </w:pPr>
      <w:r>
        <w:t>Date limits (2015–2025)</w:t>
      </w:r>
    </w:p>
    <w:p w14:paraId="07F5CFF5" w14:textId="77777777" w:rsidR="0086570F" w:rsidRDefault="0086570F" w:rsidP="0086570F">
      <w:pPr>
        <w:pStyle w:val="NormalWeb"/>
        <w:numPr>
          <w:ilvl w:val="0"/>
          <w:numId w:val="145"/>
        </w:numPr>
      </w:pPr>
      <w:r>
        <w:lastRenderedPageBreak/>
        <w:t>Filters applied (English, peer-reviewed, UK)</w:t>
      </w:r>
    </w:p>
    <w:p w14:paraId="7C378DE4" w14:textId="77777777" w:rsidR="0086570F" w:rsidRDefault="0086570F" w:rsidP="0086570F">
      <w:pPr>
        <w:pStyle w:val="NormalWeb"/>
        <w:numPr>
          <w:ilvl w:val="0"/>
          <w:numId w:val="145"/>
        </w:numPr>
      </w:pPr>
      <w:r>
        <w:t>Number of hits per database</w:t>
      </w:r>
    </w:p>
    <w:p w14:paraId="3951F857" w14:textId="77777777" w:rsidR="0086570F" w:rsidRDefault="0086570F">
      <w:r>
        <w:pict w14:anchorId="4B5E102A">
          <v:rect id="_x0000_i1124" style="width:0;height:1.5pt" o:hralign="center" o:hrstd="t" o:hr="t" fillcolor="#a0a0a0" stroked="f"/>
        </w:pict>
      </w:r>
    </w:p>
    <w:p w14:paraId="18B0FCA5" w14:textId="77777777" w:rsidR="0086570F" w:rsidRDefault="0086570F">
      <w:pPr>
        <w:pStyle w:val="Heading3"/>
      </w:pPr>
      <w:r>
        <w:rPr>
          <w:rStyle w:val="Strong"/>
          <w:b w:val="0"/>
          <w:bCs w:val="0"/>
        </w:rPr>
        <w:t>Appendix B – PRISMA-Style Flow Diagram</w:t>
      </w:r>
    </w:p>
    <w:p w14:paraId="58D91404" w14:textId="77777777" w:rsidR="0086570F" w:rsidRDefault="0086570F" w:rsidP="0086570F">
      <w:pPr>
        <w:pStyle w:val="NormalWeb"/>
        <w:numPr>
          <w:ilvl w:val="0"/>
          <w:numId w:val="146"/>
        </w:numPr>
      </w:pPr>
      <w:r>
        <w:t>Total records identified</w:t>
      </w:r>
    </w:p>
    <w:p w14:paraId="1AE1C1A3" w14:textId="77777777" w:rsidR="0086570F" w:rsidRDefault="0086570F" w:rsidP="0086570F">
      <w:pPr>
        <w:pStyle w:val="NormalWeb"/>
        <w:numPr>
          <w:ilvl w:val="0"/>
          <w:numId w:val="146"/>
        </w:numPr>
      </w:pPr>
      <w:r>
        <w:t>Records after duplicates removed</w:t>
      </w:r>
    </w:p>
    <w:p w14:paraId="61CE3812" w14:textId="77777777" w:rsidR="0086570F" w:rsidRDefault="0086570F" w:rsidP="0086570F">
      <w:pPr>
        <w:pStyle w:val="NormalWeb"/>
        <w:numPr>
          <w:ilvl w:val="0"/>
          <w:numId w:val="146"/>
        </w:numPr>
      </w:pPr>
      <w:r>
        <w:t>Titles/abstracts screened</w:t>
      </w:r>
    </w:p>
    <w:p w14:paraId="3F49EAAC" w14:textId="77777777" w:rsidR="0086570F" w:rsidRDefault="0086570F" w:rsidP="0086570F">
      <w:pPr>
        <w:pStyle w:val="NormalWeb"/>
        <w:numPr>
          <w:ilvl w:val="0"/>
          <w:numId w:val="146"/>
        </w:numPr>
      </w:pPr>
      <w:r>
        <w:t>Full texts assessed</w:t>
      </w:r>
    </w:p>
    <w:p w14:paraId="11BCA40D" w14:textId="77777777" w:rsidR="0086570F" w:rsidRDefault="0086570F" w:rsidP="0086570F">
      <w:pPr>
        <w:pStyle w:val="NormalWeb"/>
        <w:numPr>
          <w:ilvl w:val="0"/>
          <w:numId w:val="146"/>
        </w:numPr>
      </w:pPr>
      <w:r>
        <w:t>Studies included in final review</w:t>
      </w:r>
    </w:p>
    <w:p w14:paraId="0CEE38DA" w14:textId="1342E926" w:rsidR="0086570F" w:rsidRDefault="0086570F">
      <w:pPr>
        <w:pStyle w:val="NormalWeb"/>
      </w:pPr>
    </w:p>
    <w:p w14:paraId="2A07CA87" w14:textId="77777777" w:rsidR="0086570F" w:rsidRDefault="0086570F">
      <w:r>
        <w:pict w14:anchorId="729EFB77">
          <v:rect id="_x0000_i1125" style="width:0;height:1.5pt" o:hralign="center" o:hrstd="t" o:hr="t" fillcolor="#a0a0a0" stroked="f"/>
        </w:pict>
      </w:r>
    </w:p>
    <w:p w14:paraId="07F173E3" w14:textId="77777777" w:rsidR="0086570F" w:rsidRDefault="0086570F">
      <w:pPr>
        <w:pStyle w:val="Heading3"/>
      </w:pPr>
      <w:r>
        <w:rPr>
          <w:rStyle w:val="Strong"/>
          <w:b w:val="0"/>
          <w:bCs w:val="0"/>
        </w:rPr>
        <w:t>Appendix C – Data Extraction / Study Characteristics Table</w:t>
      </w:r>
    </w:p>
    <w:p w14:paraId="466230F6" w14:textId="77777777" w:rsidR="00763B96" w:rsidRPr="00342C78" w:rsidRDefault="00763B96" w:rsidP="00763B96">
      <w:pPr>
        <w:pStyle w:val="Heading1"/>
        <w:jc w:val="center"/>
        <w:rPr>
          <w:b w:val="0"/>
          <w:bCs/>
        </w:rPr>
      </w:pPr>
      <w:r w:rsidRPr="00342C78">
        <w:rPr>
          <w:bCs/>
        </w:rPr>
        <w:t xml:space="preserve">BMHP6020 Independent Project </w:t>
      </w:r>
      <w:r>
        <w:rPr>
          <w:bCs/>
        </w:rPr>
        <w:t>Results Summary</w:t>
      </w:r>
      <w:r w:rsidRPr="00342C78">
        <w:rPr>
          <w:bCs/>
        </w:rPr>
        <w:t xml:space="preserve"> Table</w:t>
      </w:r>
    </w:p>
    <w:p w14:paraId="3FFD18D2" w14:textId="77777777" w:rsidR="00763B96" w:rsidRDefault="00763B96" w:rsidP="00763B96"/>
    <w:p w14:paraId="6BAE06C1" w14:textId="77777777" w:rsidR="00763B96" w:rsidRPr="00EA402C" w:rsidRDefault="00763B96" w:rsidP="00763B96">
      <w:pPr>
        <w:spacing w:line="278" w:lineRule="auto"/>
        <w:rPr>
          <w:b/>
          <w:bCs/>
        </w:rPr>
      </w:pPr>
      <w:r w:rsidRPr="00EA402C">
        <w:rPr>
          <w:b/>
          <w:bCs/>
        </w:rPr>
        <w:t>APPENDIX C – RESULTS SUMMARY TABLE</w:t>
      </w:r>
    </w:p>
    <w:tbl>
      <w:tblPr>
        <w:tblStyle w:val="TableGrid"/>
        <w:tblW w:w="0" w:type="auto"/>
        <w:tblLook w:val="04A0" w:firstRow="1" w:lastRow="0" w:firstColumn="1" w:lastColumn="0" w:noHBand="0" w:noVBand="1"/>
      </w:tblPr>
      <w:tblGrid>
        <w:gridCol w:w="9016"/>
      </w:tblGrid>
      <w:tr w:rsidR="00763B96" w:rsidRPr="00EA402C" w14:paraId="17152D98" w14:textId="77777777" w:rsidTr="00C31CF7">
        <w:trPr>
          <w:trHeight w:val="159"/>
        </w:trPr>
        <w:tc>
          <w:tcPr>
            <w:tcW w:w="10456" w:type="dxa"/>
          </w:tcPr>
          <w:tbl>
            <w:tblPr>
              <w:tblStyle w:val="TableGrid"/>
              <w:tblW w:w="10601" w:type="dxa"/>
              <w:tblInd w:w="1" w:type="dxa"/>
              <w:tblLook w:val="04A0" w:firstRow="1" w:lastRow="0" w:firstColumn="1" w:lastColumn="0" w:noHBand="0" w:noVBand="1"/>
            </w:tblPr>
            <w:tblGrid>
              <w:gridCol w:w="863"/>
              <w:gridCol w:w="1255"/>
              <w:gridCol w:w="1115"/>
              <w:gridCol w:w="1155"/>
              <w:gridCol w:w="1136"/>
              <w:gridCol w:w="1136"/>
              <w:gridCol w:w="1292"/>
              <w:gridCol w:w="837"/>
            </w:tblGrid>
            <w:tr w:rsidR="00763B96" w:rsidRPr="00EA402C" w14:paraId="76B49A51" w14:textId="77777777" w:rsidTr="00C31CF7">
              <w:trPr>
                <w:trHeight w:val="159"/>
              </w:trPr>
              <w:tc>
                <w:tcPr>
                  <w:tcW w:w="0" w:type="auto"/>
                  <w:hideMark/>
                </w:tcPr>
                <w:p w14:paraId="0E460B7C" w14:textId="77777777" w:rsidR="00763B96" w:rsidRPr="00EA402C" w:rsidRDefault="00763B96" w:rsidP="00C31CF7">
                  <w:pPr>
                    <w:spacing w:after="160" w:line="278" w:lineRule="auto"/>
                    <w:jc w:val="left"/>
                    <w:rPr>
                      <w:b/>
                      <w:bCs/>
                    </w:rPr>
                  </w:pPr>
                  <w:r w:rsidRPr="00EA402C">
                    <w:rPr>
                      <w:b/>
                      <w:bCs/>
                    </w:rPr>
                    <w:t>Author &amp; Year</w:t>
                  </w:r>
                </w:p>
              </w:tc>
              <w:tc>
                <w:tcPr>
                  <w:tcW w:w="0" w:type="auto"/>
                  <w:hideMark/>
                </w:tcPr>
                <w:p w14:paraId="303340C8" w14:textId="77777777" w:rsidR="00763B96" w:rsidRPr="00EA402C" w:rsidRDefault="00763B96" w:rsidP="00C31CF7">
                  <w:pPr>
                    <w:spacing w:after="160" w:line="278" w:lineRule="auto"/>
                    <w:jc w:val="left"/>
                    <w:rPr>
                      <w:b/>
                      <w:bCs/>
                    </w:rPr>
                  </w:pPr>
                  <w:r w:rsidRPr="00EA402C">
                    <w:rPr>
                      <w:b/>
                      <w:bCs/>
                    </w:rPr>
                    <w:t>Article Title</w:t>
                  </w:r>
                </w:p>
              </w:tc>
              <w:tc>
                <w:tcPr>
                  <w:tcW w:w="0" w:type="auto"/>
                  <w:hideMark/>
                </w:tcPr>
                <w:p w14:paraId="3948FCFE" w14:textId="77777777" w:rsidR="00763B96" w:rsidRPr="00EA402C" w:rsidRDefault="00763B96" w:rsidP="00C31CF7">
                  <w:pPr>
                    <w:spacing w:after="160" w:line="278" w:lineRule="auto"/>
                    <w:jc w:val="left"/>
                    <w:rPr>
                      <w:b/>
                      <w:bCs/>
                    </w:rPr>
                  </w:pPr>
                  <w:r w:rsidRPr="00EA402C">
                    <w:rPr>
                      <w:b/>
                      <w:bCs/>
                    </w:rPr>
                    <w:t>Type of Study</w:t>
                  </w:r>
                </w:p>
              </w:tc>
              <w:tc>
                <w:tcPr>
                  <w:tcW w:w="0" w:type="auto"/>
                  <w:hideMark/>
                </w:tcPr>
                <w:p w14:paraId="401E68ED" w14:textId="77777777" w:rsidR="00763B96" w:rsidRPr="00EA402C" w:rsidRDefault="00763B96" w:rsidP="00C31CF7">
                  <w:pPr>
                    <w:spacing w:after="160" w:line="278" w:lineRule="auto"/>
                    <w:jc w:val="left"/>
                    <w:rPr>
                      <w:b/>
                      <w:bCs/>
                    </w:rPr>
                  </w:pPr>
                  <w:r w:rsidRPr="00EA402C">
                    <w:rPr>
                      <w:b/>
                      <w:bCs/>
                    </w:rPr>
                    <w:t>Research Method &amp; Sample Size</w:t>
                  </w:r>
                </w:p>
              </w:tc>
              <w:tc>
                <w:tcPr>
                  <w:tcW w:w="0" w:type="auto"/>
                  <w:hideMark/>
                </w:tcPr>
                <w:p w14:paraId="69AC1EF7" w14:textId="77777777" w:rsidR="00763B96" w:rsidRPr="00EA402C" w:rsidRDefault="00763B96" w:rsidP="00C31CF7">
                  <w:pPr>
                    <w:spacing w:after="160" w:line="278" w:lineRule="auto"/>
                    <w:jc w:val="left"/>
                    <w:rPr>
                      <w:b/>
                      <w:bCs/>
                    </w:rPr>
                  </w:pPr>
                  <w:r w:rsidRPr="00EA402C">
                    <w:rPr>
                      <w:b/>
                      <w:bCs/>
                    </w:rPr>
                    <w:t>Strengths &amp; Limitations</w:t>
                  </w:r>
                </w:p>
              </w:tc>
              <w:tc>
                <w:tcPr>
                  <w:tcW w:w="0" w:type="auto"/>
                  <w:hideMark/>
                </w:tcPr>
                <w:p w14:paraId="0B2CE5E4" w14:textId="77777777" w:rsidR="00763B96" w:rsidRPr="00EA402C" w:rsidRDefault="00763B96" w:rsidP="00C31CF7">
                  <w:pPr>
                    <w:spacing w:after="160" w:line="278" w:lineRule="auto"/>
                    <w:jc w:val="left"/>
                    <w:rPr>
                      <w:b/>
                      <w:bCs/>
                    </w:rPr>
                  </w:pPr>
                  <w:r w:rsidRPr="00EA402C">
                    <w:rPr>
                      <w:b/>
                      <w:bCs/>
                    </w:rPr>
                    <w:t>Main Findings</w:t>
                  </w:r>
                </w:p>
              </w:tc>
              <w:tc>
                <w:tcPr>
                  <w:tcW w:w="0" w:type="auto"/>
                  <w:hideMark/>
                </w:tcPr>
                <w:p w14:paraId="547C0E7B" w14:textId="77777777" w:rsidR="00763B96" w:rsidRPr="00EA402C" w:rsidRDefault="00763B96" w:rsidP="00C31CF7">
                  <w:pPr>
                    <w:spacing w:after="160" w:line="278" w:lineRule="auto"/>
                    <w:jc w:val="left"/>
                    <w:rPr>
                      <w:b/>
                      <w:bCs/>
                    </w:rPr>
                  </w:pPr>
                  <w:r w:rsidRPr="00EA402C">
                    <w:rPr>
                      <w:b/>
                      <w:bCs/>
                    </w:rPr>
                    <w:t>Keywords / Codes</w:t>
                  </w:r>
                </w:p>
              </w:tc>
              <w:tc>
                <w:tcPr>
                  <w:tcW w:w="0" w:type="auto"/>
                  <w:hideMark/>
                </w:tcPr>
                <w:p w14:paraId="3644566E" w14:textId="77777777" w:rsidR="00763B96" w:rsidRPr="00EA402C" w:rsidRDefault="00763B96" w:rsidP="00C31CF7">
                  <w:pPr>
                    <w:spacing w:after="160" w:line="278" w:lineRule="auto"/>
                    <w:jc w:val="left"/>
                    <w:rPr>
                      <w:b/>
                      <w:bCs/>
                    </w:rPr>
                  </w:pPr>
                  <w:r w:rsidRPr="00EA402C">
                    <w:rPr>
                      <w:b/>
                      <w:bCs/>
                    </w:rPr>
                    <w:t>Notes &amp; Comments</w:t>
                  </w:r>
                </w:p>
              </w:tc>
            </w:tr>
            <w:tr w:rsidR="00763B96" w:rsidRPr="00EA402C" w14:paraId="243F4C3A" w14:textId="77777777" w:rsidTr="00C31CF7">
              <w:trPr>
                <w:trHeight w:val="159"/>
              </w:trPr>
              <w:tc>
                <w:tcPr>
                  <w:tcW w:w="0" w:type="auto"/>
                  <w:hideMark/>
                </w:tcPr>
                <w:p w14:paraId="099105E6" w14:textId="77777777" w:rsidR="00763B96" w:rsidRPr="00EA402C" w:rsidRDefault="00763B96" w:rsidP="00C31CF7">
                  <w:pPr>
                    <w:spacing w:after="160" w:line="278" w:lineRule="auto"/>
                    <w:rPr>
                      <w:b/>
                      <w:bCs/>
                    </w:rPr>
                  </w:pPr>
                  <w:proofErr w:type="spellStart"/>
                  <w:r w:rsidRPr="00EA402C">
                    <w:rPr>
                      <w:b/>
                      <w:bCs/>
                    </w:rPr>
                    <w:t>Tuijt</w:t>
                  </w:r>
                  <w:proofErr w:type="spellEnd"/>
                  <w:r w:rsidRPr="00EA402C">
                    <w:rPr>
                      <w:b/>
                      <w:bCs/>
                    </w:rPr>
                    <w:t xml:space="preserve"> et al. (2021)</w:t>
                  </w:r>
                </w:p>
              </w:tc>
              <w:tc>
                <w:tcPr>
                  <w:tcW w:w="0" w:type="auto"/>
                  <w:hideMark/>
                </w:tcPr>
                <w:p w14:paraId="1B9BEE65" w14:textId="77777777" w:rsidR="00763B96" w:rsidRPr="00EA402C" w:rsidRDefault="00763B96" w:rsidP="00C31CF7">
                  <w:pPr>
                    <w:spacing w:after="160" w:line="278" w:lineRule="auto"/>
                    <w:rPr>
                      <w:b/>
                      <w:bCs/>
                    </w:rPr>
                  </w:pPr>
                  <w:r w:rsidRPr="00EA402C">
                    <w:rPr>
                      <w:b/>
                      <w:bCs/>
                    </w:rPr>
                    <w:t>Remote primary care for dementia during COVID-19</w:t>
                  </w:r>
                </w:p>
              </w:tc>
              <w:tc>
                <w:tcPr>
                  <w:tcW w:w="0" w:type="auto"/>
                  <w:hideMark/>
                </w:tcPr>
                <w:p w14:paraId="4815681D" w14:textId="77777777" w:rsidR="00763B96" w:rsidRPr="00EA402C" w:rsidRDefault="00763B96" w:rsidP="00C31CF7">
                  <w:pPr>
                    <w:spacing w:after="160" w:line="278" w:lineRule="auto"/>
                    <w:rPr>
                      <w:b/>
                      <w:bCs/>
                    </w:rPr>
                  </w:pPr>
                  <w:r w:rsidRPr="00EA402C">
                    <w:rPr>
                      <w:b/>
                      <w:bCs/>
                    </w:rPr>
                    <w:t>Qualitative</w:t>
                  </w:r>
                </w:p>
              </w:tc>
              <w:tc>
                <w:tcPr>
                  <w:tcW w:w="0" w:type="auto"/>
                  <w:hideMark/>
                </w:tcPr>
                <w:p w14:paraId="78480F0D" w14:textId="77777777" w:rsidR="00763B96" w:rsidRPr="00EA402C" w:rsidRDefault="00763B96" w:rsidP="00C31CF7">
                  <w:pPr>
                    <w:spacing w:after="160" w:line="278" w:lineRule="auto"/>
                    <w:rPr>
                      <w:b/>
                      <w:bCs/>
                    </w:rPr>
                  </w:pPr>
                  <w:r w:rsidRPr="00EA402C">
                    <w:rPr>
                      <w:b/>
                      <w:bCs/>
                    </w:rPr>
                    <w:t xml:space="preserve">Interviews with </w:t>
                  </w:r>
                  <w:proofErr w:type="spellStart"/>
                  <w:r w:rsidRPr="00EA402C">
                    <w:rPr>
                      <w:b/>
                      <w:bCs/>
                    </w:rPr>
                    <w:t>PwD</w:t>
                  </w:r>
                  <w:proofErr w:type="spellEnd"/>
                  <w:r w:rsidRPr="00EA402C">
                    <w:rPr>
                      <w:b/>
                      <w:bCs/>
                    </w:rPr>
                    <w:t>, carers &amp; GPs (N≈20)</w:t>
                  </w:r>
                </w:p>
              </w:tc>
              <w:tc>
                <w:tcPr>
                  <w:tcW w:w="0" w:type="auto"/>
                  <w:hideMark/>
                </w:tcPr>
                <w:p w14:paraId="7F7662D9" w14:textId="77777777" w:rsidR="00763B96" w:rsidRPr="00EA402C" w:rsidRDefault="00763B96" w:rsidP="00C31CF7">
                  <w:pPr>
                    <w:spacing w:after="160" w:line="278" w:lineRule="auto"/>
                    <w:rPr>
                      <w:b/>
                      <w:bCs/>
                    </w:rPr>
                  </w:pPr>
                  <w:r w:rsidRPr="00EA402C">
                    <w:rPr>
                      <w:b/>
                      <w:bCs/>
                    </w:rPr>
                    <w:t>Strength: multiple perspectives. Limit: pandemic-specific.</w:t>
                  </w:r>
                </w:p>
              </w:tc>
              <w:tc>
                <w:tcPr>
                  <w:tcW w:w="0" w:type="auto"/>
                  <w:hideMark/>
                </w:tcPr>
                <w:p w14:paraId="7BBB2C38" w14:textId="77777777" w:rsidR="00763B96" w:rsidRPr="00EA402C" w:rsidRDefault="00763B96" w:rsidP="00C31CF7">
                  <w:pPr>
                    <w:spacing w:after="160" w:line="278" w:lineRule="auto"/>
                    <w:rPr>
                      <w:b/>
                      <w:bCs/>
                    </w:rPr>
                  </w:pPr>
                  <w:r w:rsidRPr="00EA402C">
                    <w:rPr>
                      <w:b/>
                      <w:bCs/>
                    </w:rPr>
                    <w:t>Telehealth enabled continuity but communication barriers existed; carers often facilitated access.</w:t>
                  </w:r>
                </w:p>
              </w:tc>
              <w:tc>
                <w:tcPr>
                  <w:tcW w:w="0" w:type="auto"/>
                  <w:hideMark/>
                </w:tcPr>
                <w:p w14:paraId="569C5741" w14:textId="77777777" w:rsidR="00763B96" w:rsidRPr="00EA402C" w:rsidRDefault="00763B96" w:rsidP="00C31CF7">
                  <w:pPr>
                    <w:spacing w:after="160" w:line="278" w:lineRule="auto"/>
                    <w:rPr>
                      <w:b/>
                      <w:bCs/>
                    </w:rPr>
                  </w:pPr>
                  <w:r w:rsidRPr="00EA402C">
                    <w:rPr>
                      <w:b/>
                      <w:bCs/>
                    </w:rPr>
                    <w:t>telehealth, GP, dementia</w:t>
                  </w:r>
                </w:p>
              </w:tc>
              <w:tc>
                <w:tcPr>
                  <w:tcW w:w="0" w:type="auto"/>
                  <w:hideMark/>
                </w:tcPr>
                <w:p w14:paraId="46CC3CA4" w14:textId="77777777" w:rsidR="00763B96" w:rsidRPr="00EA402C" w:rsidRDefault="00763B96" w:rsidP="00C31CF7">
                  <w:pPr>
                    <w:spacing w:after="160" w:line="278" w:lineRule="auto"/>
                    <w:rPr>
                      <w:b/>
                      <w:bCs/>
                    </w:rPr>
                  </w:pPr>
                  <w:r w:rsidRPr="00EA402C">
                    <w:rPr>
                      <w:b/>
                      <w:bCs/>
                    </w:rPr>
                    <w:t>Supports Themes 1 &amp; 2</w:t>
                  </w:r>
                </w:p>
              </w:tc>
            </w:tr>
            <w:tr w:rsidR="00763B96" w:rsidRPr="00EA402C" w14:paraId="62F38F7F" w14:textId="77777777" w:rsidTr="00C31CF7">
              <w:trPr>
                <w:trHeight w:val="159"/>
              </w:trPr>
              <w:tc>
                <w:tcPr>
                  <w:tcW w:w="0" w:type="auto"/>
                  <w:hideMark/>
                </w:tcPr>
                <w:p w14:paraId="2B5C0F15" w14:textId="77777777" w:rsidR="00763B96" w:rsidRPr="00EA402C" w:rsidRDefault="00763B96" w:rsidP="00C31CF7">
                  <w:pPr>
                    <w:spacing w:after="160" w:line="278" w:lineRule="auto"/>
                    <w:rPr>
                      <w:b/>
                      <w:bCs/>
                    </w:rPr>
                  </w:pPr>
                  <w:r w:rsidRPr="00EA402C">
                    <w:rPr>
                      <w:b/>
                      <w:bCs/>
                    </w:rPr>
                    <w:lastRenderedPageBreak/>
                    <w:t>Sriram et al. (2020)</w:t>
                  </w:r>
                </w:p>
              </w:tc>
              <w:tc>
                <w:tcPr>
                  <w:tcW w:w="0" w:type="auto"/>
                  <w:hideMark/>
                </w:tcPr>
                <w:p w14:paraId="05BB7372" w14:textId="77777777" w:rsidR="00763B96" w:rsidRPr="00EA402C" w:rsidRDefault="00763B96" w:rsidP="00C31CF7">
                  <w:pPr>
                    <w:spacing w:after="160" w:line="278" w:lineRule="auto"/>
                    <w:rPr>
                      <w:b/>
                      <w:bCs/>
                    </w:rPr>
                  </w:pPr>
                  <w:r w:rsidRPr="00EA402C">
                    <w:rPr>
                      <w:b/>
                      <w:bCs/>
                    </w:rPr>
                    <w:t>Assistive technology for dementia in UK homes</w:t>
                  </w:r>
                </w:p>
              </w:tc>
              <w:tc>
                <w:tcPr>
                  <w:tcW w:w="0" w:type="auto"/>
                  <w:hideMark/>
                </w:tcPr>
                <w:p w14:paraId="03489597" w14:textId="77777777" w:rsidR="00763B96" w:rsidRPr="00EA402C" w:rsidRDefault="00763B96" w:rsidP="00C31CF7">
                  <w:pPr>
                    <w:spacing w:after="160" w:line="278" w:lineRule="auto"/>
                    <w:rPr>
                      <w:b/>
                      <w:bCs/>
                    </w:rPr>
                  </w:pPr>
                  <w:r w:rsidRPr="00EA402C">
                    <w:rPr>
                      <w:b/>
                      <w:bCs/>
                    </w:rPr>
                    <w:t>Survey</w:t>
                  </w:r>
                </w:p>
              </w:tc>
              <w:tc>
                <w:tcPr>
                  <w:tcW w:w="0" w:type="auto"/>
                  <w:hideMark/>
                </w:tcPr>
                <w:p w14:paraId="129F65AD" w14:textId="77777777" w:rsidR="00763B96" w:rsidRPr="00EA402C" w:rsidRDefault="00763B96" w:rsidP="00C31CF7">
                  <w:pPr>
                    <w:spacing w:after="160" w:line="278" w:lineRule="auto"/>
                    <w:rPr>
                      <w:b/>
                      <w:bCs/>
                    </w:rPr>
                  </w:pPr>
                  <w:r w:rsidRPr="00EA402C">
                    <w:rPr>
                      <w:b/>
                      <w:bCs/>
                    </w:rPr>
                    <w:t>Carer survey (N≈300)</w:t>
                  </w:r>
                </w:p>
              </w:tc>
              <w:tc>
                <w:tcPr>
                  <w:tcW w:w="0" w:type="auto"/>
                  <w:hideMark/>
                </w:tcPr>
                <w:p w14:paraId="080C4A96" w14:textId="77777777" w:rsidR="00763B96" w:rsidRPr="00EA402C" w:rsidRDefault="00763B96" w:rsidP="00C31CF7">
                  <w:pPr>
                    <w:spacing w:after="160" w:line="278" w:lineRule="auto"/>
                    <w:rPr>
                      <w:b/>
                      <w:bCs/>
                    </w:rPr>
                  </w:pPr>
                  <w:r w:rsidRPr="00EA402C">
                    <w:rPr>
                      <w:b/>
                      <w:bCs/>
                    </w:rPr>
                    <w:t>Strength: large sample. Limit: self-selection bias.</w:t>
                  </w:r>
                </w:p>
              </w:tc>
              <w:tc>
                <w:tcPr>
                  <w:tcW w:w="0" w:type="auto"/>
                  <w:hideMark/>
                </w:tcPr>
                <w:p w14:paraId="5A961177" w14:textId="77777777" w:rsidR="00763B96" w:rsidRPr="00EA402C" w:rsidRDefault="00763B96" w:rsidP="00C31CF7">
                  <w:pPr>
                    <w:spacing w:after="160" w:line="278" w:lineRule="auto"/>
                    <w:rPr>
                      <w:b/>
                      <w:bCs/>
                    </w:rPr>
                  </w:pPr>
                  <w:r w:rsidRPr="00EA402C">
                    <w:rPr>
                      <w:b/>
                      <w:bCs/>
                    </w:rPr>
                    <w:t>Alarms &amp; GPS improved safety but increased carer burden.</w:t>
                  </w:r>
                </w:p>
              </w:tc>
              <w:tc>
                <w:tcPr>
                  <w:tcW w:w="0" w:type="auto"/>
                  <w:hideMark/>
                </w:tcPr>
                <w:p w14:paraId="4A28EC2E" w14:textId="77777777" w:rsidR="00763B96" w:rsidRPr="00EA402C" w:rsidRDefault="00763B96" w:rsidP="00C31CF7">
                  <w:pPr>
                    <w:spacing w:after="160" w:line="278" w:lineRule="auto"/>
                    <w:rPr>
                      <w:b/>
                      <w:bCs/>
                    </w:rPr>
                  </w:pPr>
                  <w:r w:rsidRPr="00EA402C">
                    <w:rPr>
                      <w:b/>
                      <w:bCs/>
                    </w:rPr>
                    <w:t>assistive tech, safety</w:t>
                  </w:r>
                </w:p>
              </w:tc>
              <w:tc>
                <w:tcPr>
                  <w:tcW w:w="0" w:type="auto"/>
                  <w:hideMark/>
                </w:tcPr>
                <w:p w14:paraId="1EF97468" w14:textId="77777777" w:rsidR="00763B96" w:rsidRPr="00EA402C" w:rsidRDefault="00763B96" w:rsidP="00C31CF7">
                  <w:pPr>
                    <w:spacing w:after="160" w:line="278" w:lineRule="auto"/>
                    <w:rPr>
                      <w:b/>
                      <w:bCs/>
                    </w:rPr>
                  </w:pPr>
                  <w:r w:rsidRPr="00EA402C">
                    <w:rPr>
                      <w:b/>
                      <w:bCs/>
                    </w:rPr>
                    <w:t>Themes 1 &amp; 2</w:t>
                  </w:r>
                </w:p>
              </w:tc>
            </w:tr>
            <w:tr w:rsidR="00763B96" w:rsidRPr="00EA402C" w14:paraId="62B7CA55" w14:textId="77777777" w:rsidTr="00C31CF7">
              <w:trPr>
                <w:trHeight w:val="159"/>
              </w:trPr>
              <w:tc>
                <w:tcPr>
                  <w:tcW w:w="0" w:type="auto"/>
                  <w:hideMark/>
                </w:tcPr>
                <w:p w14:paraId="34D4F38C" w14:textId="77777777" w:rsidR="00763B96" w:rsidRPr="00EA402C" w:rsidRDefault="00763B96" w:rsidP="00C31CF7">
                  <w:pPr>
                    <w:spacing w:after="160" w:line="278" w:lineRule="auto"/>
                    <w:rPr>
                      <w:b/>
                      <w:bCs/>
                    </w:rPr>
                  </w:pPr>
                  <w:r w:rsidRPr="00EA402C">
                    <w:rPr>
                      <w:b/>
                      <w:bCs/>
                    </w:rPr>
                    <w:t>McLoughlin et al. (2023)</w:t>
                  </w:r>
                </w:p>
              </w:tc>
              <w:tc>
                <w:tcPr>
                  <w:tcW w:w="0" w:type="auto"/>
                  <w:hideMark/>
                </w:tcPr>
                <w:p w14:paraId="689017BA" w14:textId="77777777" w:rsidR="00763B96" w:rsidRPr="00EA402C" w:rsidRDefault="00763B96" w:rsidP="00C31CF7">
                  <w:pPr>
                    <w:spacing w:after="160" w:line="278" w:lineRule="auto"/>
                    <w:rPr>
                      <w:b/>
                      <w:bCs/>
                    </w:rPr>
                  </w:pPr>
                  <w:r w:rsidRPr="00EA402C">
                    <w:rPr>
                      <w:b/>
                      <w:bCs/>
                    </w:rPr>
                    <w:t>Online peer-support videoconferencing for carers</w:t>
                  </w:r>
                </w:p>
              </w:tc>
              <w:tc>
                <w:tcPr>
                  <w:tcW w:w="0" w:type="auto"/>
                  <w:hideMark/>
                </w:tcPr>
                <w:p w14:paraId="7AEB1A8D" w14:textId="77777777" w:rsidR="00763B96" w:rsidRPr="00EA402C" w:rsidRDefault="00763B96" w:rsidP="00C31CF7">
                  <w:pPr>
                    <w:spacing w:after="160" w:line="278" w:lineRule="auto"/>
                    <w:rPr>
                      <w:b/>
                      <w:bCs/>
                    </w:rPr>
                  </w:pPr>
                  <w:r w:rsidRPr="00EA402C">
                    <w:rPr>
                      <w:b/>
                      <w:bCs/>
                    </w:rPr>
                    <w:t>Qualitative</w:t>
                  </w:r>
                </w:p>
              </w:tc>
              <w:tc>
                <w:tcPr>
                  <w:tcW w:w="0" w:type="auto"/>
                  <w:hideMark/>
                </w:tcPr>
                <w:p w14:paraId="28668737" w14:textId="77777777" w:rsidR="00763B96" w:rsidRPr="00EA402C" w:rsidRDefault="00763B96" w:rsidP="00C31CF7">
                  <w:pPr>
                    <w:spacing w:after="160" w:line="278" w:lineRule="auto"/>
                    <w:rPr>
                      <w:b/>
                      <w:bCs/>
                    </w:rPr>
                  </w:pPr>
                  <w:r w:rsidRPr="00EA402C">
                    <w:rPr>
                      <w:b/>
                      <w:bCs/>
                    </w:rPr>
                    <w:t>Carer interviews/focus groups (N≈25)</w:t>
                  </w:r>
                </w:p>
              </w:tc>
              <w:tc>
                <w:tcPr>
                  <w:tcW w:w="0" w:type="auto"/>
                  <w:hideMark/>
                </w:tcPr>
                <w:p w14:paraId="005E035B" w14:textId="77777777" w:rsidR="00763B96" w:rsidRPr="00EA402C" w:rsidRDefault="00763B96" w:rsidP="00C31CF7">
                  <w:pPr>
                    <w:spacing w:after="160" w:line="278" w:lineRule="auto"/>
                    <w:rPr>
                      <w:b/>
                      <w:bCs/>
                    </w:rPr>
                  </w:pPr>
                  <w:r w:rsidRPr="00EA402C">
                    <w:rPr>
                      <w:b/>
                      <w:bCs/>
                    </w:rPr>
                    <w:t>Strength: rich insights. Limit: excludes digitally unconfident carers.</w:t>
                  </w:r>
                </w:p>
              </w:tc>
              <w:tc>
                <w:tcPr>
                  <w:tcW w:w="0" w:type="auto"/>
                  <w:hideMark/>
                </w:tcPr>
                <w:p w14:paraId="31B35A47" w14:textId="77777777" w:rsidR="00763B96" w:rsidRPr="00EA402C" w:rsidRDefault="00763B96" w:rsidP="00C31CF7">
                  <w:pPr>
                    <w:spacing w:after="160" w:line="278" w:lineRule="auto"/>
                    <w:rPr>
                      <w:b/>
                      <w:bCs/>
                    </w:rPr>
                  </w:pPr>
                  <w:r w:rsidRPr="00EA402C">
                    <w:rPr>
                      <w:b/>
                      <w:bCs/>
                    </w:rPr>
                    <w:t>Improved carer wellbeing; reduced isolation; better service access.</w:t>
                  </w:r>
                </w:p>
              </w:tc>
              <w:tc>
                <w:tcPr>
                  <w:tcW w:w="0" w:type="auto"/>
                  <w:hideMark/>
                </w:tcPr>
                <w:p w14:paraId="489B33AE" w14:textId="77777777" w:rsidR="00763B96" w:rsidRPr="00EA402C" w:rsidRDefault="00763B96" w:rsidP="00C31CF7">
                  <w:pPr>
                    <w:spacing w:after="160" w:line="278" w:lineRule="auto"/>
                    <w:rPr>
                      <w:b/>
                      <w:bCs/>
                    </w:rPr>
                  </w:pPr>
                  <w:r w:rsidRPr="00EA402C">
                    <w:rPr>
                      <w:b/>
                      <w:bCs/>
                    </w:rPr>
                    <w:t>videoconferencing, carers</w:t>
                  </w:r>
                </w:p>
              </w:tc>
              <w:tc>
                <w:tcPr>
                  <w:tcW w:w="0" w:type="auto"/>
                  <w:hideMark/>
                </w:tcPr>
                <w:p w14:paraId="051A72EE" w14:textId="77777777" w:rsidR="00763B96" w:rsidRPr="00EA402C" w:rsidRDefault="00763B96" w:rsidP="00C31CF7">
                  <w:pPr>
                    <w:spacing w:after="160" w:line="278" w:lineRule="auto"/>
                    <w:rPr>
                      <w:b/>
                      <w:bCs/>
                    </w:rPr>
                  </w:pPr>
                  <w:r w:rsidRPr="00EA402C">
                    <w:rPr>
                      <w:b/>
                      <w:bCs/>
                    </w:rPr>
                    <w:t>Theme 1</w:t>
                  </w:r>
                </w:p>
              </w:tc>
            </w:tr>
            <w:tr w:rsidR="00763B96" w:rsidRPr="00EA402C" w14:paraId="7DF3A48E" w14:textId="77777777" w:rsidTr="00C31CF7">
              <w:trPr>
                <w:trHeight w:val="159"/>
              </w:trPr>
              <w:tc>
                <w:tcPr>
                  <w:tcW w:w="0" w:type="auto"/>
                  <w:hideMark/>
                </w:tcPr>
                <w:p w14:paraId="3FDA0FB9" w14:textId="77777777" w:rsidR="00763B96" w:rsidRPr="00EA402C" w:rsidRDefault="00763B96" w:rsidP="00C31CF7">
                  <w:pPr>
                    <w:spacing w:after="160" w:line="278" w:lineRule="auto"/>
                    <w:rPr>
                      <w:b/>
                      <w:bCs/>
                    </w:rPr>
                  </w:pPr>
                  <w:r w:rsidRPr="00EA402C">
                    <w:rPr>
                      <w:b/>
                      <w:bCs/>
                    </w:rPr>
                    <w:t>Davies et al. (2020)</w:t>
                  </w:r>
                </w:p>
              </w:tc>
              <w:tc>
                <w:tcPr>
                  <w:tcW w:w="0" w:type="auto"/>
                  <w:hideMark/>
                </w:tcPr>
                <w:p w14:paraId="2B99F4D0" w14:textId="77777777" w:rsidR="00763B96" w:rsidRPr="00EA402C" w:rsidRDefault="00763B96" w:rsidP="00C31CF7">
                  <w:pPr>
                    <w:spacing w:after="160" w:line="278" w:lineRule="auto"/>
                    <w:rPr>
                      <w:b/>
                      <w:bCs/>
                    </w:rPr>
                  </w:pPr>
                  <w:r w:rsidRPr="00EA402C">
                    <w:rPr>
                      <w:b/>
                      <w:bCs/>
                    </w:rPr>
                    <w:t>Online support needs of older dementia carers</w:t>
                  </w:r>
                </w:p>
              </w:tc>
              <w:tc>
                <w:tcPr>
                  <w:tcW w:w="0" w:type="auto"/>
                  <w:hideMark/>
                </w:tcPr>
                <w:p w14:paraId="4C51A9C7" w14:textId="77777777" w:rsidR="00763B96" w:rsidRPr="00EA402C" w:rsidRDefault="00763B96" w:rsidP="00C31CF7">
                  <w:pPr>
                    <w:spacing w:after="160" w:line="278" w:lineRule="auto"/>
                    <w:rPr>
                      <w:b/>
                      <w:bCs/>
                    </w:rPr>
                  </w:pPr>
                  <w:r w:rsidRPr="00EA402C">
                    <w:rPr>
                      <w:b/>
                      <w:bCs/>
                    </w:rPr>
                    <w:t>Qualitative</w:t>
                  </w:r>
                </w:p>
              </w:tc>
              <w:tc>
                <w:tcPr>
                  <w:tcW w:w="0" w:type="auto"/>
                  <w:hideMark/>
                </w:tcPr>
                <w:p w14:paraId="73EB0571" w14:textId="77777777" w:rsidR="00763B96" w:rsidRPr="00EA402C" w:rsidRDefault="00763B96" w:rsidP="00C31CF7">
                  <w:pPr>
                    <w:spacing w:after="160" w:line="278" w:lineRule="auto"/>
                    <w:rPr>
                      <w:b/>
                      <w:bCs/>
                    </w:rPr>
                  </w:pPr>
                  <w:r w:rsidRPr="00EA402C">
                    <w:rPr>
                      <w:b/>
                      <w:bCs/>
                    </w:rPr>
                    <w:t>Interviews with older carers (N≈15)</w:t>
                  </w:r>
                </w:p>
              </w:tc>
              <w:tc>
                <w:tcPr>
                  <w:tcW w:w="0" w:type="auto"/>
                  <w:hideMark/>
                </w:tcPr>
                <w:p w14:paraId="1A3CAB33" w14:textId="77777777" w:rsidR="00763B96" w:rsidRPr="00EA402C" w:rsidRDefault="00763B96" w:rsidP="00C31CF7">
                  <w:pPr>
                    <w:spacing w:after="160" w:line="278" w:lineRule="auto"/>
                    <w:rPr>
                      <w:b/>
                      <w:bCs/>
                    </w:rPr>
                  </w:pPr>
                  <w:r w:rsidRPr="00EA402C">
                    <w:rPr>
                      <w:b/>
                      <w:bCs/>
                    </w:rPr>
                    <w:t>Strength: focuses on older carers. Limit: small sample.</w:t>
                  </w:r>
                </w:p>
              </w:tc>
              <w:tc>
                <w:tcPr>
                  <w:tcW w:w="0" w:type="auto"/>
                  <w:hideMark/>
                </w:tcPr>
                <w:p w14:paraId="248093C7" w14:textId="77777777" w:rsidR="00763B96" w:rsidRPr="00EA402C" w:rsidRDefault="00763B96" w:rsidP="00C31CF7">
                  <w:pPr>
                    <w:spacing w:after="160" w:line="278" w:lineRule="auto"/>
                    <w:rPr>
                      <w:b/>
                      <w:bCs/>
                    </w:rPr>
                  </w:pPr>
                  <w:r w:rsidRPr="00EA402C">
                    <w:rPr>
                      <w:b/>
                      <w:bCs/>
                    </w:rPr>
                    <w:t>Need for tailored, simplified digital tools; concerns about misinformation.</w:t>
                  </w:r>
                </w:p>
              </w:tc>
              <w:tc>
                <w:tcPr>
                  <w:tcW w:w="0" w:type="auto"/>
                  <w:hideMark/>
                </w:tcPr>
                <w:p w14:paraId="73B2015F" w14:textId="77777777" w:rsidR="00763B96" w:rsidRPr="00EA402C" w:rsidRDefault="00763B96" w:rsidP="00C31CF7">
                  <w:pPr>
                    <w:spacing w:after="160" w:line="278" w:lineRule="auto"/>
                    <w:rPr>
                      <w:b/>
                      <w:bCs/>
                    </w:rPr>
                  </w:pPr>
                  <w:r w:rsidRPr="00EA402C">
                    <w:rPr>
                      <w:b/>
                      <w:bCs/>
                    </w:rPr>
                    <w:t>digital literacy, older adults</w:t>
                  </w:r>
                </w:p>
              </w:tc>
              <w:tc>
                <w:tcPr>
                  <w:tcW w:w="0" w:type="auto"/>
                  <w:hideMark/>
                </w:tcPr>
                <w:p w14:paraId="0EEB8FAD" w14:textId="77777777" w:rsidR="00763B96" w:rsidRPr="00EA402C" w:rsidRDefault="00763B96" w:rsidP="00C31CF7">
                  <w:pPr>
                    <w:spacing w:after="160" w:line="278" w:lineRule="auto"/>
                    <w:rPr>
                      <w:b/>
                      <w:bCs/>
                    </w:rPr>
                  </w:pPr>
                  <w:r w:rsidRPr="00EA402C">
                    <w:rPr>
                      <w:b/>
                      <w:bCs/>
                    </w:rPr>
                    <w:t>Theme 3</w:t>
                  </w:r>
                </w:p>
              </w:tc>
            </w:tr>
            <w:tr w:rsidR="00763B96" w:rsidRPr="00EA402C" w14:paraId="52D1418C" w14:textId="77777777" w:rsidTr="00C31CF7">
              <w:trPr>
                <w:trHeight w:val="159"/>
              </w:trPr>
              <w:tc>
                <w:tcPr>
                  <w:tcW w:w="0" w:type="auto"/>
                  <w:hideMark/>
                </w:tcPr>
                <w:p w14:paraId="06FCCB15" w14:textId="77777777" w:rsidR="00763B96" w:rsidRPr="00EA402C" w:rsidRDefault="00763B96" w:rsidP="00C31CF7">
                  <w:pPr>
                    <w:spacing w:after="160" w:line="278" w:lineRule="auto"/>
                    <w:rPr>
                      <w:b/>
                      <w:bCs/>
                    </w:rPr>
                  </w:pPr>
                  <w:r w:rsidRPr="00EA402C">
                    <w:rPr>
                      <w:b/>
                      <w:bCs/>
                    </w:rPr>
                    <w:t>Watson et al. (2024)</w:t>
                  </w:r>
                </w:p>
              </w:tc>
              <w:tc>
                <w:tcPr>
                  <w:tcW w:w="0" w:type="auto"/>
                  <w:hideMark/>
                </w:tcPr>
                <w:p w14:paraId="2B07A2E5" w14:textId="77777777" w:rsidR="00763B96" w:rsidRPr="00EA402C" w:rsidRDefault="00763B96" w:rsidP="00C31CF7">
                  <w:pPr>
                    <w:spacing w:after="160" w:line="278" w:lineRule="auto"/>
                    <w:rPr>
                      <w:b/>
                      <w:bCs/>
                    </w:rPr>
                  </w:pPr>
                  <w:r w:rsidRPr="00EA402C">
                    <w:rPr>
                      <w:b/>
                      <w:bCs/>
                    </w:rPr>
                    <w:t>Digital access barriers in dementia care</w:t>
                  </w:r>
                </w:p>
              </w:tc>
              <w:tc>
                <w:tcPr>
                  <w:tcW w:w="0" w:type="auto"/>
                  <w:hideMark/>
                </w:tcPr>
                <w:p w14:paraId="5F0102DB" w14:textId="77777777" w:rsidR="00763B96" w:rsidRPr="00EA402C" w:rsidRDefault="00763B96" w:rsidP="00C31CF7">
                  <w:pPr>
                    <w:spacing w:after="160" w:line="278" w:lineRule="auto"/>
                    <w:rPr>
                      <w:b/>
                      <w:bCs/>
                    </w:rPr>
                  </w:pPr>
                  <w:r w:rsidRPr="00EA402C">
                    <w:rPr>
                      <w:b/>
                      <w:bCs/>
                    </w:rPr>
                    <w:t>Mixed-methods review</w:t>
                  </w:r>
                </w:p>
              </w:tc>
              <w:tc>
                <w:tcPr>
                  <w:tcW w:w="0" w:type="auto"/>
                  <w:hideMark/>
                </w:tcPr>
                <w:p w14:paraId="44D77954" w14:textId="77777777" w:rsidR="00763B96" w:rsidRPr="00EA402C" w:rsidRDefault="00763B96" w:rsidP="00C31CF7">
                  <w:pPr>
                    <w:spacing w:after="160" w:line="278" w:lineRule="auto"/>
                    <w:rPr>
                      <w:b/>
                      <w:bCs/>
                    </w:rPr>
                  </w:pPr>
                  <w:r w:rsidRPr="00EA402C">
                    <w:rPr>
                      <w:b/>
                      <w:bCs/>
                    </w:rPr>
                    <w:t>UK evidence review</w:t>
                  </w:r>
                </w:p>
              </w:tc>
              <w:tc>
                <w:tcPr>
                  <w:tcW w:w="0" w:type="auto"/>
                  <w:hideMark/>
                </w:tcPr>
                <w:p w14:paraId="19566954" w14:textId="77777777" w:rsidR="00763B96" w:rsidRPr="00EA402C" w:rsidRDefault="00763B96" w:rsidP="00C31CF7">
                  <w:pPr>
                    <w:spacing w:after="160" w:line="278" w:lineRule="auto"/>
                    <w:rPr>
                      <w:b/>
                      <w:bCs/>
                    </w:rPr>
                  </w:pPr>
                  <w:r w:rsidRPr="00EA402C">
                    <w:rPr>
                      <w:b/>
                      <w:bCs/>
                    </w:rPr>
                    <w:t>Strength: identifies systemic issues. Limit: inconsistency across studies.</w:t>
                  </w:r>
                </w:p>
              </w:tc>
              <w:tc>
                <w:tcPr>
                  <w:tcW w:w="0" w:type="auto"/>
                  <w:hideMark/>
                </w:tcPr>
                <w:p w14:paraId="23137EE1" w14:textId="77777777" w:rsidR="00763B96" w:rsidRPr="00EA402C" w:rsidRDefault="00763B96" w:rsidP="00C31CF7">
                  <w:pPr>
                    <w:spacing w:after="160" w:line="278" w:lineRule="auto"/>
                    <w:rPr>
                      <w:b/>
                      <w:bCs/>
                    </w:rPr>
                  </w:pPr>
                  <w:r w:rsidRPr="00EA402C">
                    <w:rPr>
                      <w:b/>
                      <w:bCs/>
                    </w:rPr>
                    <w:t xml:space="preserve">Digital-first pathways risk excluding </w:t>
                  </w:r>
                  <w:proofErr w:type="spellStart"/>
                  <w:r w:rsidRPr="00EA402C">
                    <w:rPr>
                      <w:b/>
                      <w:bCs/>
                    </w:rPr>
                    <w:t>PwD</w:t>
                  </w:r>
                  <w:proofErr w:type="spellEnd"/>
                  <w:r w:rsidRPr="00EA402C">
                    <w:rPr>
                      <w:b/>
                      <w:bCs/>
                    </w:rPr>
                    <w:t xml:space="preserve"> without support.</w:t>
                  </w:r>
                </w:p>
              </w:tc>
              <w:tc>
                <w:tcPr>
                  <w:tcW w:w="0" w:type="auto"/>
                  <w:hideMark/>
                </w:tcPr>
                <w:p w14:paraId="3DF73C87" w14:textId="77777777" w:rsidR="00763B96" w:rsidRPr="00EA402C" w:rsidRDefault="00763B96" w:rsidP="00C31CF7">
                  <w:pPr>
                    <w:spacing w:after="160" w:line="278" w:lineRule="auto"/>
                    <w:rPr>
                      <w:b/>
                      <w:bCs/>
                    </w:rPr>
                  </w:pPr>
                  <w:r w:rsidRPr="00EA402C">
                    <w:rPr>
                      <w:b/>
                      <w:bCs/>
                    </w:rPr>
                    <w:t>digital exclusion, equity</w:t>
                  </w:r>
                </w:p>
              </w:tc>
              <w:tc>
                <w:tcPr>
                  <w:tcW w:w="0" w:type="auto"/>
                  <w:hideMark/>
                </w:tcPr>
                <w:p w14:paraId="50D9E920" w14:textId="77777777" w:rsidR="00763B96" w:rsidRPr="00EA402C" w:rsidRDefault="00763B96" w:rsidP="00C31CF7">
                  <w:pPr>
                    <w:spacing w:after="160" w:line="278" w:lineRule="auto"/>
                    <w:rPr>
                      <w:b/>
                      <w:bCs/>
                    </w:rPr>
                  </w:pPr>
                  <w:r w:rsidRPr="00EA402C">
                    <w:rPr>
                      <w:b/>
                      <w:bCs/>
                    </w:rPr>
                    <w:t>Theme 3</w:t>
                  </w:r>
                </w:p>
              </w:tc>
            </w:tr>
            <w:tr w:rsidR="00763B96" w:rsidRPr="00EA402C" w14:paraId="0B1D8F1E" w14:textId="77777777" w:rsidTr="00C31CF7">
              <w:trPr>
                <w:trHeight w:val="159"/>
              </w:trPr>
              <w:tc>
                <w:tcPr>
                  <w:tcW w:w="0" w:type="auto"/>
                  <w:hideMark/>
                </w:tcPr>
                <w:p w14:paraId="40CC784B" w14:textId="77777777" w:rsidR="00763B96" w:rsidRPr="00EA402C" w:rsidRDefault="00763B96" w:rsidP="00C31CF7">
                  <w:pPr>
                    <w:spacing w:after="160" w:line="278" w:lineRule="auto"/>
                    <w:rPr>
                      <w:b/>
                      <w:bCs/>
                    </w:rPr>
                  </w:pPr>
                  <w:r w:rsidRPr="00EA402C">
                    <w:rPr>
                      <w:b/>
                      <w:bCs/>
                    </w:rPr>
                    <w:t>Wilson et al. (2023)</w:t>
                  </w:r>
                </w:p>
              </w:tc>
              <w:tc>
                <w:tcPr>
                  <w:tcW w:w="0" w:type="auto"/>
                  <w:hideMark/>
                </w:tcPr>
                <w:p w14:paraId="7F2FA651" w14:textId="77777777" w:rsidR="00763B96" w:rsidRPr="00EA402C" w:rsidRDefault="00763B96" w:rsidP="00C31CF7">
                  <w:pPr>
                    <w:spacing w:after="160" w:line="278" w:lineRule="auto"/>
                    <w:rPr>
                      <w:b/>
                      <w:bCs/>
                    </w:rPr>
                  </w:pPr>
                  <w:r w:rsidRPr="00EA402C">
                    <w:rPr>
                      <w:b/>
                      <w:bCs/>
                    </w:rPr>
                    <w:t>Clinician views on digital early-</w:t>
                  </w:r>
                  <w:r w:rsidRPr="00EA402C">
                    <w:rPr>
                      <w:b/>
                      <w:bCs/>
                    </w:rPr>
                    <w:lastRenderedPageBreak/>
                    <w:t>detection tools</w:t>
                  </w:r>
                </w:p>
              </w:tc>
              <w:tc>
                <w:tcPr>
                  <w:tcW w:w="0" w:type="auto"/>
                  <w:hideMark/>
                </w:tcPr>
                <w:p w14:paraId="620C5FCB" w14:textId="77777777" w:rsidR="00763B96" w:rsidRPr="00EA402C" w:rsidRDefault="00763B96" w:rsidP="00C31CF7">
                  <w:pPr>
                    <w:spacing w:after="160" w:line="278" w:lineRule="auto"/>
                    <w:rPr>
                      <w:b/>
                      <w:bCs/>
                    </w:rPr>
                  </w:pPr>
                  <w:r w:rsidRPr="00EA402C">
                    <w:rPr>
                      <w:b/>
                      <w:bCs/>
                    </w:rPr>
                    <w:lastRenderedPageBreak/>
                    <w:t>Qualitative</w:t>
                  </w:r>
                </w:p>
              </w:tc>
              <w:tc>
                <w:tcPr>
                  <w:tcW w:w="0" w:type="auto"/>
                  <w:hideMark/>
                </w:tcPr>
                <w:p w14:paraId="0FC3DE05" w14:textId="77777777" w:rsidR="00763B96" w:rsidRPr="00EA402C" w:rsidRDefault="00763B96" w:rsidP="00C31CF7">
                  <w:pPr>
                    <w:spacing w:after="160" w:line="278" w:lineRule="auto"/>
                    <w:rPr>
                      <w:b/>
                      <w:bCs/>
                    </w:rPr>
                  </w:pPr>
                  <w:r w:rsidRPr="00EA402C">
                    <w:rPr>
                      <w:b/>
                      <w:bCs/>
                    </w:rPr>
                    <w:t>Staff interviews (N≈22)</w:t>
                  </w:r>
                </w:p>
              </w:tc>
              <w:tc>
                <w:tcPr>
                  <w:tcW w:w="0" w:type="auto"/>
                  <w:hideMark/>
                </w:tcPr>
                <w:p w14:paraId="68290F2D" w14:textId="77777777" w:rsidR="00763B96" w:rsidRPr="00EA402C" w:rsidRDefault="00763B96" w:rsidP="00C31CF7">
                  <w:pPr>
                    <w:spacing w:after="160" w:line="278" w:lineRule="auto"/>
                    <w:rPr>
                      <w:b/>
                      <w:bCs/>
                    </w:rPr>
                  </w:pPr>
                  <w:r w:rsidRPr="00EA402C">
                    <w:rPr>
                      <w:b/>
                      <w:bCs/>
                    </w:rPr>
                    <w:t xml:space="preserve">Strength: professional insight. </w:t>
                  </w:r>
                  <w:r w:rsidRPr="00EA402C">
                    <w:rPr>
                      <w:b/>
                      <w:bCs/>
                    </w:rPr>
                    <w:lastRenderedPageBreak/>
                    <w:t>Limit: lacks patient perspective.</w:t>
                  </w:r>
                </w:p>
              </w:tc>
              <w:tc>
                <w:tcPr>
                  <w:tcW w:w="0" w:type="auto"/>
                  <w:hideMark/>
                </w:tcPr>
                <w:p w14:paraId="0A381561" w14:textId="77777777" w:rsidR="00763B96" w:rsidRPr="00EA402C" w:rsidRDefault="00763B96" w:rsidP="00C31CF7">
                  <w:pPr>
                    <w:spacing w:after="160" w:line="278" w:lineRule="auto"/>
                    <w:rPr>
                      <w:b/>
                      <w:bCs/>
                    </w:rPr>
                  </w:pPr>
                  <w:r w:rsidRPr="00EA402C">
                    <w:rPr>
                      <w:b/>
                      <w:bCs/>
                    </w:rPr>
                    <w:lastRenderedPageBreak/>
                    <w:t xml:space="preserve">AI aids triage but increases </w:t>
                  </w:r>
                  <w:r w:rsidRPr="00EA402C">
                    <w:rPr>
                      <w:b/>
                      <w:bCs/>
                    </w:rPr>
                    <w:lastRenderedPageBreak/>
                    <w:t>workload; training needed.</w:t>
                  </w:r>
                </w:p>
              </w:tc>
              <w:tc>
                <w:tcPr>
                  <w:tcW w:w="0" w:type="auto"/>
                  <w:hideMark/>
                </w:tcPr>
                <w:p w14:paraId="2498F086" w14:textId="77777777" w:rsidR="00763B96" w:rsidRPr="00EA402C" w:rsidRDefault="00763B96" w:rsidP="00C31CF7">
                  <w:pPr>
                    <w:spacing w:after="160" w:line="278" w:lineRule="auto"/>
                    <w:rPr>
                      <w:b/>
                      <w:bCs/>
                    </w:rPr>
                  </w:pPr>
                  <w:r w:rsidRPr="00EA402C">
                    <w:rPr>
                      <w:b/>
                      <w:bCs/>
                    </w:rPr>
                    <w:lastRenderedPageBreak/>
                    <w:t>AI, early detection</w:t>
                  </w:r>
                </w:p>
              </w:tc>
              <w:tc>
                <w:tcPr>
                  <w:tcW w:w="0" w:type="auto"/>
                  <w:hideMark/>
                </w:tcPr>
                <w:p w14:paraId="1A5006B2" w14:textId="77777777" w:rsidR="00763B96" w:rsidRPr="00EA402C" w:rsidRDefault="00763B96" w:rsidP="00C31CF7">
                  <w:pPr>
                    <w:spacing w:after="160" w:line="278" w:lineRule="auto"/>
                    <w:rPr>
                      <w:b/>
                      <w:bCs/>
                    </w:rPr>
                  </w:pPr>
                  <w:r w:rsidRPr="00EA402C">
                    <w:rPr>
                      <w:b/>
                      <w:bCs/>
                    </w:rPr>
                    <w:t>Theme 4</w:t>
                  </w:r>
                </w:p>
              </w:tc>
            </w:tr>
            <w:tr w:rsidR="00763B96" w:rsidRPr="00EA402C" w14:paraId="34A77E6F" w14:textId="77777777" w:rsidTr="00C31CF7">
              <w:trPr>
                <w:trHeight w:val="159"/>
              </w:trPr>
              <w:tc>
                <w:tcPr>
                  <w:tcW w:w="0" w:type="auto"/>
                  <w:hideMark/>
                </w:tcPr>
                <w:p w14:paraId="08082B13" w14:textId="77777777" w:rsidR="00763B96" w:rsidRPr="00EA402C" w:rsidRDefault="00763B96" w:rsidP="00C31CF7">
                  <w:pPr>
                    <w:spacing w:after="160" w:line="278" w:lineRule="auto"/>
                    <w:rPr>
                      <w:b/>
                      <w:bCs/>
                    </w:rPr>
                  </w:pPr>
                  <w:r w:rsidRPr="00EA402C">
                    <w:rPr>
                      <w:b/>
                      <w:bCs/>
                    </w:rPr>
                    <w:t>NIHR (2022)</w:t>
                  </w:r>
                </w:p>
              </w:tc>
              <w:tc>
                <w:tcPr>
                  <w:tcW w:w="0" w:type="auto"/>
                  <w:hideMark/>
                </w:tcPr>
                <w:p w14:paraId="3C691BB8" w14:textId="77777777" w:rsidR="00763B96" w:rsidRPr="00EA402C" w:rsidRDefault="00763B96" w:rsidP="00C31CF7">
                  <w:pPr>
                    <w:spacing w:after="160" w:line="278" w:lineRule="auto"/>
                    <w:rPr>
                      <w:b/>
                      <w:bCs/>
                    </w:rPr>
                  </w:pPr>
                  <w:r w:rsidRPr="00EA402C">
                    <w:rPr>
                      <w:b/>
                      <w:bCs/>
                    </w:rPr>
                    <w:t>Review of UK digital dementia technologies</w:t>
                  </w:r>
                </w:p>
              </w:tc>
              <w:tc>
                <w:tcPr>
                  <w:tcW w:w="0" w:type="auto"/>
                  <w:hideMark/>
                </w:tcPr>
                <w:p w14:paraId="275934F1" w14:textId="77777777" w:rsidR="00763B96" w:rsidRPr="00EA402C" w:rsidRDefault="00763B96" w:rsidP="00C31CF7">
                  <w:pPr>
                    <w:spacing w:after="160" w:line="278" w:lineRule="auto"/>
                    <w:rPr>
                      <w:b/>
                      <w:bCs/>
                    </w:rPr>
                  </w:pPr>
                  <w:r w:rsidRPr="00EA402C">
                    <w:rPr>
                      <w:b/>
                      <w:bCs/>
                    </w:rPr>
                    <w:t>Evidence review</w:t>
                  </w:r>
                </w:p>
              </w:tc>
              <w:tc>
                <w:tcPr>
                  <w:tcW w:w="0" w:type="auto"/>
                  <w:hideMark/>
                </w:tcPr>
                <w:p w14:paraId="2450C5E3" w14:textId="77777777" w:rsidR="00763B96" w:rsidRPr="00EA402C" w:rsidRDefault="00763B96" w:rsidP="00C31CF7">
                  <w:pPr>
                    <w:spacing w:after="160" w:line="278" w:lineRule="auto"/>
                    <w:rPr>
                      <w:b/>
                      <w:bCs/>
                    </w:rPr>
                  </w:pPr>
                  <w:r w:rsidRPr="00EA402C">
                    <w:rPr>
                      <w:b/>
                      <w:bCs/>
                    </w:rPr>
                    <w:t>Multiple UK pilot studies</w:t>
                  </w:r>
                </w:p>
              </w:tc>
              <w:tc>
                <w:tcPr>
                  <w:tcW w:w="0" w:type="auto"/>
                  <w:hideMark/>
                </w:tcPr>
                <w:p w14:paraId="49C4621E" w14:textId="77777777" w:rsidR="00763B96" w:rsidRPr="00EA402C" w:rsidRDefault="00763B96" w:rsidP="00C31CF7">
                  <w:pPr>
                    <w:spacing w:after="160" w:line="278" w:lineRule="auto"/>
                    <w:rPr>
                      <w:b/>
                      <w:bCs/>
                    </w:rPr>
                  </w:pPr>
                  <w:r w:rsidRPr="00EA402C">
                    <w:rPr>
                      <w:b/>
                      <w:bCs/>
                    </w:rPr>
                    <w:t>Strength: broad scope. Limit: low standardisation.</w:t>
                  </w:r>
                </w:p>
              </w:tc>
              <w:tc>
                <w:tcPr>
                  <w:tcW w:w="0" w:type="auto"/>
                  <w:hideMark/>
                </w:tcPr>
                <w:p w14:paraId="0DF4EBC6" w14:textId="77777777" w:rsidR="00763B96" w:rsidRPr="00EA402C" w:rsidRDefault="00763B96" w:rsidP="00C31CF7">
                  <w:pPr>
                    <w:spacing w:after="160" w:line="278" w:lineRule="auto"/>
                    <w:rPr>
                      <w:b/>
                      <w:bCs/>
                    </w:rPr>
                  </w:pPr>
                  <w:r w:rsidRPr="00EA402C">
                    <w:rPr>
                      <w:b/>
                      <w:bCs/>
                    </w:rPr>
                    <w:t>Tools promising but difficult to scale; co-design insufficient.</w:t>
                  </w:r>
                </w:p>
              </w:tc>
              <w:tc>
                <w:tcPr>
                  <w:tcW w:w="0" w:type="auto"/>
                  <w:hideMark/>
                </w:tcPr>
                <w:p w14:paraId="0805BA5D" w14:textId="77777777" w:rsidR="00763B96" w:rsidRPr="00EA402C" w:rsidRDefault="00763B96" w:rsidP="00C31CF7">
                  <w:pPr>
                    <w:spacing w:after="160" w:line="278" w:lineRule="auto"/>
                    <w:rPr>
                      <w:b/>
                      <w:bCs/>
                    </w:rPr>
                  </w:pPr>
                  <w:r w:rsidRPr="00EA402C">
                    <w:rPr>
                      <w:b/>
                      <w:bCs/>
                    </w:rPr>
                    <w:t>NIHR, innovation</w:t>
                  </w:r>
                </w:p>
              </w:tc>
              <w:tc>
                <w:tcPr>
                  <w:tcW w:w="0" w:type="auto"/>
                  <w:hideMark/>
                </w:tcPr>
                <w:p w14:paraId="5ECB346F" w14:textId="77777777" w:rsidR="00763B96" w:rsidRPr="00EA402C" w:rsidRDefault="00763B96" w:rsidP="00C31CF7">
                  <w:pPr>
                    <w:spacing w:after="160" w:line="278" w:lineRule="auto"/>
                    <w:rPr>
                      <w:b/>
                      <w:bCs/>
                    </w:rPr>
                  </w:pPr>
                  <w:r w:rsidRPr="00EA402C">
                    <w:rPr>
                      <w:b/>
                      <w:bCs/>
                    </w:rPr>
                    <w:t>Theme 4</w:t>
                  </w:r>
                </w:p>
              </w:tc>
            </w:tr>
            <w:tr w:rsidR="00763B96" w:rsidRPr="00EA402C" w14:paraId="7DBC4965" w14:textId="77777777" w:rsidTr="00C31CF7">
              <w:trPr>
                <w:trHeight w:val="159"/>
              </w:trPr>
              <w:tc>
                <w:tcPr>
                  <w:tcW w:w="0" w:type="auto"/>
                  <w:hideMark/>
                </w:tcPr>
                <w:p w14:paraId="18AA48AF" w14:textId="77777777" w:rsidR="00763B96" w:rsidRPr="00EA402C" w:rsidRDefault="00763B96" w:rsidP="00C31CF7">
                  <w:pPr>
                    <w:spacing w:after="160" w:line="278" w:lineRule="auto"/>
                    <w:rPr>
                      <w:b/>
                      <w:bCs/>
                    </w:rPr>
                  </w:pPr>
                  <w:r w:rsidRPr="00EA402C">
                    <w:rPr>
                      <w:b/>
                      <w:bCs/>
                    </w:rPr>
                    <w:t>Acland et al. (2020)</w:t>
                  </w:r>
                </w:p>
              </w:tc>
              <w:tc>
                <w:tcPr>
                  <w:tcW w:w="0" w:type="auto"/>
                  <w:hideMark/>
                </w:tcPr>
                <w:p w14:paraId="57B32BAD" w14:textId="77777777" w:rsidR="00763B96" w:rsidRPr="00EA402C" w:rsidRDefault="00763B96" w:rsidP="00C31CF7">
                  <w:pPr>
                    <w:spacing w:after="160" w:line="278" w:lineRule="auto"/>
                    <w:rPr>
                      <w:b/>
                      <w:bCs/>
                    </w:rPr>
                  </w:pPr>
                  <w:r w:rsidRPr="00EA402C">
                    <w:rPr>
                      <w:b/>
                      <w:bCs/>
                    </w:rPr>
                    <w:t>Home monitoring sensors for dementia</w:t>
                  </w:r>
                </w:p>
              </w:tc>
              <w:tc>
                <w:tcPr>
                  <w:tcW w:w="0" w:type="auto"/>
                  <w:hideMark/>
                </w:tcPr>
                <w:p w14:paraId="0F9F7E57" w14:textId="77777777" w:rsidR="00763B96" w:rsidRPr="00EA402C" w:rsidRDefault="00763B96" w:rsidP="00C31CF7">
                  <w:pPr>
                    <w:spacing w:after="160" w:line="278" w:lineRule="auto"/>
                    <w:rPr>
                      <w:b/>
                      <w:bCs/>
                    </w:rPr>
                  </w:pPr>
                  <w:r w:rsidRPr="00EA402C">
                    <w:rPr>
                      <w:b/>
                      <w:bCs/>
                    </w:rPr>
                    <w:t>Feasibility</w:t>
                  </w:r>
                </w:p>
              </w:tc>
              <w:tc>
                <w:tcPr>
                  <w:tcW w:w="0" w:type="auto"/>
                  <w:hideMark/>
                </w:tcPr>
                <w:p w14:paraId="74BE980F" w14:textId="77777777" w:rsidR="00763B96" w:rsidRPr="00EA402C" w:rsidRDefault="00763B96" w:rsidP="00C31CF7">
                  <w:pPr>
                    <w:spacing w:after="160" w:line="278" w:lineRule="auto"/>
                    <w:rPr>
                      <w:b/>
                      <w:bCs/>
                    </w:rPr>
                  </w:pPr>
                  <w:r w:rsidRPr="00EA402C">
                    <w:rPr>
                      <w:b/>
                      <w:bCs/>
                    </w:rPr>
                    <w:t>Sensor installation in homes (N≈12)</w:t>
                  </w:r>
                </w:p>
              </w:tc>
              <w:tc>
                <w:tcPr>
                  <w:tcW w:w="0" w:type="auto"/>
                  <w:hideMark/>
                </w:tcPr>
                <w:p w14:paraId="4EDC6A17" w14:textId="77777777" w:rsidR="00763B96" w:rsidRPr="00EA402C" w:rsidRDefault="00763B96" w:rsidP="00C31CF7">
                  <w:pPr>
                    <w:spacing w:after="160" w:line="278" w:lineRule="auto"/>
                    <w:rPr>
                      <w:b/>
                      <w:bCs/>
                    </w:rPr>
                  </w:pPr>
                  <w:r w:rsidRPr="00EA402C">
                    <w:rPr>
                      <w:b/>
                      <w:bCs/>
                    </w:rPr>
                    <w:t>Strength: real-world trial. Limit: small sample.</w:t>
                  </w:r>
                </w:p>
              </w:tc>
              <w:tc>
                <w:tcPr>
                  <w:tcW w:w="0" w:type="auto"/>
                  <w:hideMark/>
                </w:tcPr>
                <w:p w14:paraId="78DECAE5" w14:textId="77777777" w:rsidR="00763B96" w:rsidRPr="00EA402C" w:rsidRDefault="00763B96" w:rsidP="00C31CF7">
                  <w:pPr>
                    <w:spacing w:after="160" w:line="278" w:lineRule="auto"/>
                    <w:rPr>
                      <w:b/>
                      <w:bCs/>
                    </w:rPr>
                  </w:pPr>
                  <w:r w:rsidRPr="00EA402C">
                    <w:rPr>
                      <w:b/>
                      <w:bCs/>
                    </w:rPr>
                    <w:t>Improved safety at night; carers valued reassurance.</w:t>
                  </w:r>
                </w:p>
              </w:tc>
              <w:tc>
                <w:tcPr>
                  <w:tcW w:w="0" w:type="auto"/>
                  <w:hideMark/>
                </w:tcPr>
                <w:p w14:paraId="161AAB87" w14:textId="77777777" w:rsidR="00763B96" w:rsidRPr="00EA402C" w:rsidRDefault="00763B96" w:rsidP="00C31CF7">
                  <w:pPr>
                    <w:spacing w:after="160" w:line="278" w:lineRule="auto"/>
                    <w:rPr>
                      <w:b/>
                      <w:bCs/>
                    </w:rPr>
                  </w:pPr>
                  <w:r w:rsidRPr="00EA402C">
                    <w:rPr>
                      <w:b/>
                      <w:bCs/>
                    </w:rPr>
                    <w:t>sensors, monitoring</w:t>
                  </w:r>
                </w:p>
              </w:tc>
              <w:tc>
                <w:tcPr>
                  <w:tcW w:w="0" w:type="auto"/>
                  <w:hideMark/>
                </w:tcPr>
                <w:p w14:paraId="18332918" w14:textId="77777777" w:rsidR="00763B96" w:rsidRPr="00EA402C" w:rsidRDefault="00763B96" w:rsidP="00C31CF7">
                  <w:pPr>
                    <w:spacing w:after="160" w:line="278" w:lineRule="auto"/>
                    <w:rPr>
                      <w:b/>
                      <w:bCs/>
                    </w:rPr>
                  </w:pPr>
                  <w:r w:rsidRPr="00EA402C">
                    <w:rPr>
                      <w:b/>
                      <w:bCs/>
                    </w:rPr>
                    <w:t>Themes 1 &amp; 2</w:t>
                  </w:r>
                </w:p>
              </w:tc>
            </w:tr>
            <w:tr w:rsidR="00763B96" w:rsidRPr="00EA402C" w14:paraId="6C871E75" w14:textId="77777777" w:rsidTr="00C31CF7">
              <w:trPr>
                <w:trHeight w:val="159"/>
              </w:trPr>
              <w:tc>
                <w:tcPr>
                  <w:tcW w:w="0" w:type="auto"/>
                  <w:hideMark/>
                </w:tcPr>
                <w:p w14:paraId="3B589310" w14:textId="77777777" w:rsidR="00763B96" w:rsidRPr="00EA402C" w:rsidRDefault="00763B96" w:rsidP="00C31CF7">
                  <w:pPr>
                    <w:spacing w:after="160" w:line="278" w:lineRule="auto"/>
                    <w:rPr>
                      <w:b/>
                      <w:bCs/>
                    </w:rPr>
                  </w:pPr>
                  <w:r w:rsidRPr="00EA402C">
                    <w:rPr>
                      <w:b/>
                      <w:bCs/>
                    </w:rPr>
                    <w:t>Gibson et al. (2019)</w:t>
                  </w:r>
                </w:p>
              </w:tc>
              <w:tc>
                <w:tcPr>
                  <w:tcW w:w="0" w:type="auto"/>
                  <w:hideMark/>
                </w:tcPr>
                <w:p w14:paraId="500EB1E4" w14:textId="77777777" w:rsidR="00763B96" w:rsidRPr="00EA402C" w:rsidRDefault="00763B96" w:rsidP="00C31CF7">
                  <w:pPr>
                    <w:spacing w:after="160" w:line="278" w:lineRule="auto"/>
                    <w:rPr>
                      <w:b/>
                      <w:bCs/>
                    </w:rPr>
                  </w:pPr>
                  <w:r w:rsidRPr="00EA402C">
                    <w:rPr>
                      <w:b/>
                      <w:bCs/>
                    </w:rPr>
                    <w:t>Tablet-based cognitive stimulation</w:t>
                  </w:r>
                </w:p>
              </w:tc>
              <w:tc>
                <w:tcPr>
                  <w:tcW w:w="0" w:type="auto"/>
                  <w:hideMark/>
                </w:tcPr>
                <w:p w14:paraId="5ECB52F0" w14:textId="77777777" w:rsidR="00763B96" w:rsidRPr="00EA402C" w:rsidRDefault="00763B96" w:rsidP="00C31CF7">
                  <w:pPr>
                    <w:spacing w:after="160" w:line="278" w:lineRule="auto"/>
                    <w:rPr>
                      <w:b/>
                      <w:bCs/>
                    </w:rPr>
                  </w:pPr>
                  <w:r w:rsidRPr="00EA402C">
                    <w:rPr>
                      <w:b/>
                      <w:bCs/>
                    </w:rPr>
                    <w:t>Pre-post</w:t>
                  </w:r>
                </w:p>
              </w:tc>
              <w:tc>
                <w:tcPr>
                  <w:tcW w:w="0" w:type="auto"/>
                  <w:hideMark/>
                </w:tcPr>
                <w:p w14:paraId="3939BC98" w14:textId="77777777" w:rsidR="00763B96" w:rsidRPr="00EA402C" w:rsidRDefault="00763B96" w:rsidP="00C31CF7">
                  <w:pPr>
                    <w:spacing w:after="160" w:line="278" w:lineRule="auto"/>
                    <w:rPr>
                      <w:b/>
                      <w:bCs/>
                    </w:rPr>
                  </w:pPr>
                  <w:proofErr w:type="spellStart"/>
                  <w:r w:rsidRPr="00EA402C">
                    <w:rPr>
                      <w:b/>
                      <w:bCs/>
                    </w:rPr>
                    <w:t>PwD</w:t>
                  </w:r>
                  <w:proofErr w:type="spellEnd"/>
                  <w:r w:rsidRPr="00EA402C">
                    <w:rPr>
                      <w:b/>
                      <w:bCs/>
                    </w:rPr>
                    <w:t xml:space="preserve"> group sessions (N≈30)</w:t>
                  </w:r>
                </w:p>
              </w:tc>
              <w:tc>
                <w:tcPr>
                  <w:tcW w:w="0" w:type="auto"/>
                  <w:hideMark/>
                </w:tcPr>
                <w:p w14:paraId="7704F346" w14:textId="77777777" w:rsidR="00763B96" w:rsidRPr="00EA402C" w:rsidRDefault="00763B96" w:rsidP="00C31CF7">
                  <w:pPr>
                    <w:spacing w:after="160" w:line="278" w:lineRule="auto"/>
                    <w:rPr>
                      <w:b/>
                      <w:bCs/>
                    </w:rPr>
                  </w:pPr>
                  <w:r w:rsidRPr="00EA402C">
                    <w:rPr>
                      <w:b/>
                      <w:bCs/>
                    </w:rPr>
                    <w:t>Strength: measurable engagement. Limit: short duration.</w:t>
                  </w:r>
                </w:p>
              </w:tc>
              <w:tc>
                <w:tcPr>
                  <w:tcW w:w="0" w:type="auto"/>
                  <w:hideMark/>
                </w:tcPr>
                <w:p w14:paraId="13F5BF64" w14:textId="77777777" w:rsidR="00763B96" w:rsidRPr="00EA402C" w:rsidRDefault="00763B96" w:rsidP="00C31CF7">
                  <w:pPr>
                    <w:spacing w:after="160" w:line="278" w:lineRule="auto"/>
                    <w:rPr>
                      <w:b/>
                      <w:bCs/>
                    </w:rPr>
                  </w:pPr>
                  <w:r w:rsidRPr="00EA402C">
                    <w:rPr>
                      <w:b/>
                      <w:bCs/>
                    </w:rPr>
                    <w:t>Increased mood &amp; engagement; cognitive gains unclear.</w:t>
                  </w:r>
                </w:p>
              </w:tc>
              <w:tc>
                <w:tcPr>
                  <w:tcW w:w="0" w:type="auto"/>
                  <w:hideMark/>
                </w:tcPr>
                <w:p w14:paraId="55BC15A6" w14:textId="77777777" w:rsidR="00763B96" w:rsidRPr="00EA402C" w:rsidRDefault="00763B96" w:rsidP="00C31CF7">
                  <w:pPr>
                    <w:spacing w:after="160" w:line="278" w:lineRule="auto"/>
                    <w:rPr>
                      <w:b/>
                      <w:bCs/>
                    </w:rPr>
                  </w:pPr>
                  <w:r w:rsidRPr="00EA402C">
                    <w:rPr>
                      <w:b/>
                      <w:bCs/>
                    </w:rPr>
                    <w:t>tablet apps, stimulation</w:t>
                  </w:r>
                </w:p>
              </w:tc>
              <w:tc>
                <w:tcPr>
                  <w:tcW w:w="0" w:type="auto"/>
                  <w:hideMark/>
                </w:tcPr>
                <w:p w14:paraId="2B977598" w14:textId="77777777" w:rsidR="00763B96" w:rsidRPr="00EA402C" w:rsidRDefault="00763B96" w:rsidP="00C31CF7">
                  <w:pPr>
                    <w:spacing w:after="160" w:line="278" w:lineRule="auto"/>
                    <w:rPr>
                      <w:b/>
                      <w:bCs/>
                    </w:rPr>
                  </w:pPr>
                  <w:r w:rsidRPr="00EA402C">
                    <w:rPr>
                      <w:b/>
                      <w:bCs/>
                    </w:rPr>
                    <w:t>Theme 1</w:t>
                  </w:r>
                </w:p>
              </w:tc>
            </w:tr>
            <w:tr w:rsidR="00763B96" w:rsidRPr="00EA402C" w14:paraId="0C674AEC" w14:textId="77777777" w:rsidTr="00C31CF7">
              <w:trPr>
                <w:trHeight w:val="159"/>
              </w:trPr>
              <w:tc>
                <w:tcPr>
                  <w:tcW w:w="0" w:type="auto"/>
                  <w:hideMark/>
                </w:tcPr>
                <w:p w14:paraId="16A87155" w14:textId="77777777" w:rsidR="00763B96" w:rsidRPr="00EA402C" w:rsidRDefault="00763B96" w:rsidP="00C31CF7">
                  <w:pPr>
                    <w:spacing w:after="160" w:line="278" w:lineRule="auto"/>
                    <w:rPr>
                      <w:b/>
                      <w:bCs/>
                    </w:rPr>
                  </w:pPr>
                  <w:r w:rsidRPr="00EA402C">
                    <w:rPr>
                      <w:b/>
                      <w:bCs/>
                    </w:rPr>
                    <w:t>Leroi et al. (2020)</w:t>
                  </w:r>
                </w:p>
              </w:tc>
              <w:tc>
                <w:tcPr>
                  <w:tcW w:w="0" w:type="auto"/>
                  <w:hideMark/>
                </w:tcPr>
                <w:p w14:paraId="5710830C" w14:textId="77777777" w:rsidR="00763B96" w:rsidRPr="00EA402C" w:rsidRDefault="00763B96" w:rsidP="00C31CF7">
                  <w:pPr>
                    <w:spacing w:after="160" w:line="278" w:lineRule="auto"/>
                    <w:rPr>
                      <w:b/>
                      <w:bCs/>
                    </w:rPr>
                  </w:pPr>
                  <w:r w:rsidRPr="00EA402C">
                    <w:rPr>
                      <w:b/>
                      <w:bCs/>
                    </w:rPr>
                    <w:t>Assistive tech in Greater Manchester ICS</w:t>
                  </w:r>
                </w:p>
              </w:tc>
              <w:tc>
                <w:tcPr>
                  <w:tcW w:w="0" w:type="auto"/>
                  <w:hideMark/>
                </w:tcPr>
                <w:p w14:paraId="2F8053E7" w14:textId="77777777" w:rsidR="00763B96" w:rsidRPr="00EA402C" w:rsidRDefault="00763B96" w:rsidP="00C31CF7">
                  <w:pPr>
                    <w:spacing w:after="160" w:line="278" w:lineRule="auto"/>
                    <w:rPr>
                      <w:b/>
                      <w:bCs/>
                    </w:rPr>
                  </w:pPr>
                  <w:r w:rsidRPr="00EA402C">
                    <w:rPr>
                      <w:b/>
                      <w:bCs/>
                    </w:rPr>
                    <w:t>Implementation</w:t>
                  </w:r>
                </w:p>
              </w:tc>
              <w:tc>
                <w:tcPr>
                  <w:tcW w:w="0" w:type="auto"/>
                  <w:hideMark/>
                </w:tcPr>
                <w:p w14:paraId="691F9803" w14:textId="77777777" w:rsidR="00763B96" w:rsidRPr="00EA402C" w:rsidRDefault="00763B96" w:rsidP="00C31CF7">
                  <w:pPr>
                    <w:spacing w:after="160" w:line="278" w:lineRule="auto"/>
                    <w:rPr>
                      <w:b/>
                      <w:bCs/>
                    </w:rPr>
                  </w:pPr>
                  <w:r w:rsidRPr="00EA402C">
                    <w:rPr>
                      <w:b/>
                      <w:bCs/>
                    </w:rPr>
                    <w:t>Regional rollout</w:t>
                  </w:r>
                </w:p>
              </w:tc>
              <w:tc>
                <w:tcPr>
                  <w:tcW w:w="0" w:type="auto"/>
                  <w:hideMark/>
                </w:tcPr>
                <w:p w14:paraId="7C1795C9" w14:textId="77777777" w:rsidR="00763B96" w:rsidRPr="00EA402C" w:rsidRDefault="00763B96" w:rsidP="00C31CF7">
                  <w:pPr>
                    <w:spacing w:after="160" w:line="278" w:lineRule="auto"/>
                    <w:rPr>
                      <w:b/>
                      <w:bCs/>
                    </w:rPr>
                  </w:pPr>
                  <w:r w:rsidRPr="00EA402C">
                    <w:rPr>
                      <w:b/>
                      <w:bCs/>
                    </w:rPr>
                    <w:t>Strength: large system data. Limit: inconsistent uptake.</w:t>
                  </w:r>
                </w:p>
              </w:tc>
              <w:tc>
                <w:tcPr>
                  <w:tcW w:w="0" w:type="auto"/>
                  <w:hideMark/>
                </w:tcPr>
                <w:p w14:paraId="2FDA3309" w14:textId="77777777" w:rsidR="00763B96" w:rsidRPr="00EA402C" w:rsidRDefault="00763B96" w:rsidP="00C31CF7">
                  <w:pPr>
                    <w:spacing w:after="160" w:line="278" w:lineRule="auto"/>
                    <w:rPr>
                      <w:b/>
                      <w:bCs/>
                    </w:rPr>
                  </w:pPr>
                  <w:r w:rsidRPr="00EA402C">
                    <w:rPr>
                      <w:b/>
                      <w:bCs/>
                    </w:rPr>
                    <w:t>Increased independence; digital training essential.</w:t>
                  </w:r>
                </w:p>
              </w:tc>
              <w:tc>
                <w:tcPr>
                  <w:tcW w:w="0" w:type="auto"/>
                  <w:hideMark/>
                </w:tcPr>
                <w:p w14:paraId="60E4B337" w14:textId="77777777" w:rsidR="00763B96" w:rsidRPr="00EA402C" w:rsidRDefault="00763B96" w:rsidP="00C31CF7">
                  <w:pPr>
                    <w:spacing w:after="160" w:line="278" w:lineRule="auto"/>
                    <w:rPr>
                      <w:b/>
                      <w:bCs/>
                    </w:rPr>
                  </w:pPr>
                  <w:r w:rsidRPr="00EA402C">
                    <w:rPr>
                      <w:b/>
                      <w:bCs/>
                    </w:rPr>
                    <w:t>ICS, assistive tech</w:t>
                  </w:r>
                </w:p>
              </w:tc>
              <w:tc>
                <w:tcPr>
                  <w:tcW w:w="0" w:type="auto"/>
                  <w:hideMark/>
                </w:tcPr>
                <w:p w14:paraId="40BC21BE" w14:textId="77777777" w:rsidR="00763B96" w:rsidRPr="00EA402C" w:rsidRDefault="00763B96" w:rsidP="00C31CF7">
                  <w:pPr>
                    <w:spacing w:after="160" w:line="278" w:lineRule="auto"/>
                    <w:rPr>
                      <w:b/>
                      <w:bCs/>
                    </w:rPr>
                  </w:pPr>
                  <w:r w:rsidRPr="00EA402C">
                    <w:rPr>
                      <w:b/>
                      <w:bCs/>
                    </w:rPr>
                    <w:t>Theme 4</w:t>
                  </w:r>
                </w:p>
              </w:tc>
            </w:tr>
            <w:tr w:rsidR="00763B96" w:rsidRPr="00EA402C" w14:paraId="59A4945D" w14:textId="77777777" w:rsidTr="00C31CF7">
              <w:trPr>
                <w:trHeight w:val="159"/>
              </w:trPr>
              <w:tc>
                <w:tcPr>
                  <w:tcW w:w="0" w:type="auto"/>
                  <w:hideMark/>
                </w:tcPr>
                <w:p w14:paraId="71B1EB7D" w14:textId="77777777" w:rsidR="00763B96" w:rsidRPr="00EA402C" w:rsidRDefault="00763B96" w:rsidP="00C31CF7">
                  <w:pPr>
                    <w:spacing w:after="160" w:line="278" w:lineRule="auto"/>
                    <w:rPr>
                      <w:b/>
                      <w:bCs/>
                    </w:rPr>
                  </w:pPr>
                  <w:r w:rsidRPr="00EA402C">
                    <w:rPr>
                      <w:b/>
                      <w:bCs/>
                    </w:rPr>
                    <w:t>Hwang et al. (2021)</w:t>
                  </w:r>
                </w:p>
              </w:tc>
              <w:tc>
                <w:tcPr>
                  <w:tcW w:w="0" w:type="auto"/>
                  <w:hideMark/>
                </w:tcPr>
                <w:p w14:paraId="51A41D9C" w14:textId="77777777" w:rsidR="00763B96" w:rsidRPr="00EA402C" w:rsidRDefault="00763B96" w:rsidP="00C31CF7">
                  <w:pPr>
                    <w:spacing w:after="160" w:line="278" w:lineRule="auto"/>
                    <w:rPr>
                      <w:b/>
                      <w:bCs/>
                    </w:rPr>
                  </w:pPr>
                  <w:r w:rsidRPr="00EA402C">
                    <w:rPr>
                      <w:b/>
                      <w:bCs/>
                    </w:rPr>
                    <w:t>Remote memory assessme</w:t>
                  </w:r>
                  <w:r w:rsidRPr="00EA402C">
                    <w:rPr>
                      <w:b/>
                      <w:bCs/>
                    </w:rPr>
                    <w:lastRenderedPageBreak/>
                    <w:t>nt feasibility</w:t>
                  </w:r>
                </w:p>
              </w:tc>
              <w:tc>
                <w:tcPr>
                  <w:tcW w:w="0" w:type="auto"/>
                  <w:hideMark/>
                </w:tcPr>
                <w:p w14:paraId="2010C59C" w14:textId="77777777" w:rsidR="00763B96" w:rsidRPr="00EA402C" w:rsidRDefault="00763B96" w:rsidP="00C31CF7">
                  <w:pPr>
                    <w:spacing w:after="160" w:line="278" w:lineRule="auto"/>
                    <w:rPr>
                      <w:b/>
                      <w:bCs/>
                    </w:rPr>
                  </w:pPr>
                  <w:r w:rsidRPr="00EA402C">
                    <w:rPr>
                      <w:b/>
                      <w:bCs/>
                    </w:rPr>
                    <w:lastRenderedPageBreak/>
                    <w:t>Mixed qualitative</w:t>
                  </w:r>
                </w:p>
              </w:tc>
              <w:tc>
                <w:tcPr>
                  <w:tcW w:w="0" w:type="auto"/>
                  <w:hideMark/>
                </w:tcPr>
                <w:p w14:paraId="3E79C6A4" w14:textId="77777777" w:rsidR="00763B96" w:rsidRPr="00EA402C" w:rsidRDefault="00763B96" w:rsidP="00C31CF7">
                  <w:pPr>
                    <w:spacing w:after="160" w:line="278" w:lineRule="auto"/>
                    <w:rPr>
                      <w:b/>
                      <w:bCs/>
                    </w:rPr>
                  </w:pPr>
                  <w:r w:rsidRPr="00EA402C">
                    <w:rPr>
                      <w:b/>
                      <w:bCs/>
                    </w:rPr>
                    <w:t xml:space="preserve">Staff + carer </w:t>
                  </w:r>
                  <w:r w:rsidRPr="00EA402C">
                    <w:rPr>
                      <w:b/>
                      <w:bCs/>
                    </w:rPr>
                    <w:lastRenderedPageBreak/>
                    <w:t>interviews (N≈20)</w:t>
                  </w:r>
                </w:p>
              </w:tc>
              <w:tc>
                <w:tcPr>
                  <w:tcW w:w="0" w:type="auto"/>
                  <w:hideMark/>
                </w:tcPr>
                <w:p w14:paraId="60C65AAB" w14:textId="77777777" w:rsidR="00763B96" w:rsidRPr="00EA402C" w:rsidRDefault="00763B96" w:rsidP="00C31CF7">
                  <w:pPr>
                    <w:spacing w:after="160" w:line="278" w:lineRule="auto"/>
                    <w:rPr>
                      <w:b/>
                      <w:bCs/>
                    </w:rPr>
                  </w:pPr>
                  <w:r w:rsidRPr="00EA402C">
                    <w:rPr>
                      <w:b/>
                      <w:bCs/>
                    </w:rPr>
                    <w:lastRenderedPageBreak/>
                    <w:t xml:space="preserve">Strength: novel method. Limit: </w:t>
                  </w:r>
                  <w:r w:rsidRPr="00EA402C">
                    <w:rPr>
                      <w:b/>
                      <w:bCs/>
                    </w:rPr>
                    <w:lastRenderedPageBreak/>
                    <w:t xml:space="preserve">variable suitability for </w:t>
                  </w:r>
                  <w:proofErr w:type="spellStart"/>
                  <w:r w:rsidRPr="00EA402C">
                    <w:rPr>
                      <w:b/>
                      <w:bCs/>
                    </w:rPr>
                    <w:t>PwD</w:t>
                  </w:r>
                  <w:proofErr w:type="spellEnd"/>
                  <w:r w:rsidRPr="00EA402C">
                    <w:rPr>
                      <w:b/>
                      <w:bCs/>
                    </w:rPr>
                    <w:t>.</w:t>
                  </w:r>
                </w:p>
              </w:tc>
              <w:tc>
                <w:tcPr>
                  <w:tcW w:w="0" w:type="auto"/>
                  <w:hideMark/>
                </w:tcPr>
                <w:p w14:paraId="34912AD6" w14:textId="77777777" w:rsidR="00763B96" w:rsidRPr="00EA402C" w:rsidRDefault="00763B96" w:rsidP="00C31CF7">
                  <w:pPr>
                    <w:spacing w:after="160" w:line="278" w:lineRule="auto"/>
                    <w:rPr>
                      <w:b/>
                      <w:bCs/>
                    </w:rPr>
                  </w:pPr>
                  <w:r w:rsidRPr="00EA402C">
                    <w:rPr>
                      <w:b/>
                      <w:bCs/>
                    </w:rPr>
                    <w:lastRenderedPageBreak/>
                    <w:t xml:space="preserve">Remote testing viable but </w:t>
                  </w:r>
                  <w:r w:rsidRPr="00EA402C">
                    <w:rPr>
                      <w:b/>
                      <w:bCs/>
                    </w:rPr>
                    <w:lastRenderedPageBreak/>
                    <w:t>accuracy concerns exist.</w:t>
                  </w:r>
                </w:p>
              </w:tc>
              <w:tc>
                <w:tcPr>
                  <w:tcW w:w="0" w:type="auto"/>
                  <w:hideMark/>
                </w:tcPr>
                <w:p w14:paraId="40252FFB" w14:textId="77777777" w:rsidR="00763B96" w:rsidRPr="00EA402C" w:rsidRDefault="00763B96" w:rsidP="00C31CF7">
                  <w:pPr>
                    <w:spacing w:after="160" w:line="278" w:lineRule="auto"/>
                    <w:rPr>
                      <w:b/>
                      <w:bCs/>
                    </w:rPr>
                  </w:pPr>
                  <w:r w:rsidRPr="00EA402C">
                    <w:rPr>
                      <w:b/>
                      <w:bCs/>
                    </w:rPr>
                    <w:lastRenderedPageBreak/>
                    <w:t>remote assessment</w:t>
                  </w:r>
                </w:p>
              </w:tc>
              <w:tc>
                <w:tcPr>
                  <w:tcW w:w="0" w:type="auto"/>
                  <w:hideMark/>
                </w:tcPr>
                <w:p w14:paraId="6DAE7AA9" w14:textId="77777777" w:rsidR="00763B96" w:rsidRPr="00EA402C" w:rsidRDefault="00763B96" w:rsidP="00C31CF7">
                  <w:pPr>
                    <w:spacing w:after="160" w:line="278" w:lineRule="auto"/>
                    <w:rPr>
                      <w:b/>
                      <w:bCs/>
                    </w:rPr>
                  </w:pPr>
                  <w:r w:rsidRPr="00EA402C">
                    <w:rPr>
                      <w:b/>
                      <w:bCs/>
                    </w:rPr>
                    <w:t>Theme 4</w:t>
                  </w:r>
                </w:p>
              </w:tc>
            </w:tr>
            <w:tr w:rsidR="00763B96" w:rsidRPr="00EA402C" w14:paraId="7B588909" w14:textId="77777777" w:rsidTr="00C31CF7">
              <w:trPr>
                <w:trHeight w:val="159"/>
              </w:trPr>
              <w:tc>
                <w:tcPr>
                  <w:tcW w:w="0" w:type="auto"/>
                  <w:hideMark/>
                </w:tcPr>
                <w:p w14:paraId="19DC8E14" w14:textId="77777777" w:rsidR="00763B96" w:rsidRPr="00EA402C" w:rsidRDefault="00763B96" w:rsidP="00C31CF7">
                  <w:pPr>
                    <w:spacing w:after="160" w:line="278" w:lineRule="auto"/>
                    <w:rPr>
                      <w:b/>
                      <w:bCs/>
                    </w:rPr>
                  </w:pPr>
                  <w:r w:rsidRPr="00EA402C">
                    <w:rPr>
                      <w:b/>
                      <w:bCs/>
                    </w:rPr>
                    <w:t>Timmons et al. (2018)</w:t>
                  </w:r>
                </w:p>
              </w:tc>
              <w:tc>
                <w:tcPr>
                  <w:tcW w:w="0" w:type="auto"/>
                  <w:hideMark/>
                </w:tcPr>
                <w:p w14:paraId="3D434405" w14:textId="77777777" w:rsidR="00763B96" w:rsidRPr="00EA402C" w:rsidRDefault="00763B96" w:rsidP="00C31CF7">
                  <w:pPr>
                    <w:spacing w:after="160" w:line="278" w:lineRule="auto"/>
                    <w:rPr>
                      <w:b/>
                      <w:bCs/>
                    </w:rPr>
                  </w:pPr>
                  <w:r w:rsidRPr="00EA402C">
                    <w:rPr>
                      <w:b/>
                      <w:bCs/>
                    </w:rPr>
                    <w:t>Telecare alarm use in social care</w:t>
                  </w:r>
                </w:p>
              </w:tc>
              <w:tc>
                <w:tcPr>
                  <w:tcW w:w="0" w:type="auto"/>
                  <w:hideMark/>
                </w:tcPr>
                <w:p w14:paraId="58955AD7" w14:textId="77777777" w:rsidR="00763B96" w:rsidRPr="00EA402C" w:rsidRDefault="00763B96" w:rsidP="00C31CF7">
                  <w:pPr>
                    <w:spacing w:after="160" w:line="278" w:lineRule="auto"/>
                    <w:rPr>
                      <w:b/>
                      <w:bCs/>
                    </w:rPr>
                  </w:pPr>
                  <w:r w:rsidRPr="00EA402C">
                    <w:rPr>
                      <w:b/>
                      <w:bCs/>
                    </w:rPr>
                    <w:t>Mixed methods</w:t>
                  </w:r>
                </w:p>
              </w:tc>
              <w:tc>
                <w:tcPr>
                  <w:tcW w:w="0" w:type="auto"/>
                  <w:hideMark/>
                </w:tcPr>
                <w:p w14:paraId="74CAE0F0" w14:textId="77777777" w:rsidR="00763B96" w:rsidRPr="00EA402C" w:rsidRDefault="00763B96" w:rsidP="00C31CF7">
                  <w:pPr>
                    <w:spacing w:after="160" w:line="278" w:lineRule="auto"/>
                    <w:rPr>
                      <w:b/>
                      <w:bCs/>
                    </w:rPr>
                  </w:pPr>
                  <w:r w:rsidRPr="00EA402C">
                    <w:rPr>
                      <w:b/>
                      <w:bCs/>
                    </w:rPr>
                    <w:t>Surveys + staff interviews (N≈200+)</w:t>
                  </w:r>
                </w:p>
              </w:tc>
              <w:tc>
                <w:tcPr>
                  <w:tcW w:w="0" w:type="auto"/>
                  <w:hideMark/>
                </w:tcPr>
                <w:p w14:paraId="26245A8A" w14:textId="77777777" w:rsidR="00763B96" w:rsidRPr="00EA402C" w:rsidRDefault="00763B96" w:rsidP="00C31CF7">
                  <w:pPr>
                    <w:spacing w:after="160" w:line="278" w:lineRule="auto"/>
                    <w:rPr>
                      <w:b/>
                      <w:bCs/>
                    </w:rPr>
                  </w:pPr>
                  <w:r w:rsidRPr="00EA402C">
                    <w:rPr>
                      <w:b/>
                      <w:bCs/>
                    </w:rPr>
                    <w:t>Strength: large dataset. Limit: outdated devices.</w:t>
                  </w:r>
                </w:p>
              </w:tc>
              <w:tc>
                <w:tcPr>
                  <w:tcW w:w="0" w:type="auto"/>
                  <w:hideMark/>
                </w:tcPr>
                <w:p w14:paraId="5BB223A4" w14:textId="77777777" w:rsidR="00763B96" w:rsidRPr="00EA402C" w:rsidRDefault="00763B96" w:rsidP="00C31CF7">
                  <w:pPr>
                    <w:spacing w:after="160" w:line="278" w:lineRule="auto"/>
                    <w:rPr>
                      <w:b/>
                      <w:bCs/>
                    </w:rPr>
                  </w:pPr>
                  <w:r w:rsidRPr="00EA402C">
                    <w:rPr>
                      <w:b/>
                      <w:bCs/>
                    </w:rPr>
                    <w:t>Improved safety but caused false alarms; poor dementia suitability.</w:t>
                  </w:r>
                </w:p>
              </w:tc>
              <w:tc>
                <w:tcPr>
                  <w:tcW w:w="0" w:type="auto"/>
                  <w:hideMark/>
                </w:tcPr>
                <w:p w14:paraId="5C0E3DAB" w14:textId="77777777" w:rsidR="00763B96" w:rsidRPr="00EA402C" w:rsidRDefault="00763B96" w:rsidP="00C31CF7">
                  <w:pPr>
                    <w:spacing w:after="160" w:line="278" w:lineRule="auto"/>
                    <w:rPr>
                      <w:b/>
                      <w:bCs/>
                    </w:rPr>
                  </w:pPr>
                  <w:r w:rsidRPr="00EA402C">
                    <w:rPr>
                      <w:b/>
                      <w:bCs/>
                    </w:rPr>
                    <w:t>telecare, alarms</w:t>
                  </w:r>
                </w:p>
              </w:tc>
              <w:tc>
                <w:tcPr>
                  <w:tcW w:w="0" w:type="auto"/>
                  <w:hideMark/>
                </w:tcPr>
                <w:p w14:paraId="2960A2F6" w14:textId="77777777" w:rsidR="00763B96" w:rsidRPr="00EA402C" w:rsidRDefault="00763B96" w:rsidP="00C31CF7">
                  <w:pPr>
                    <w:spacing w:after="160" w:line="278" w:lineRule="auto"/>
                    <w:rPr>
                      <w:b/>
                      <w:bCs/>
                    </w:rPr>
                  </w:pPr>
                  <w:r w:rsidRPr="00EA402C">
                    <w:rPr>
                      <w:b/>
                      <w:bCs/>
                    </w:rPr>
                    <w:t>Themes 1 &amp; 2</w:t>
                  </w:r>
                </w:p>
              </w:tc>
            </w:tr>
            <w:tr w:rsidR="00763B96" w:rsidRPr="00EA402C" w14:paraId="655E9A6B" w14:textId="77777777" w:rsidTr="00C31CF7">
              <w:trPr>
                <w:trHeight w:val="159"/>
              </w:trPr>
              <w:tc>
                <w:tcPr>
                  <w:tcW w:w="0" w:type="auto"/>
                  <w:hideMark/>
                </w:tcPr>
                <w:p w14:paraId="0E8E1E07" w14:textId="77777777" w:rsidR="00763B96" w:rsidRPr="00EA402C" w:rsidRDefault="00763B96" w:rsidP="00C31CF7">
                  <w:pPr>
                    <w:spacing w:after="160" w:line="278" w:lineRule="auto"/>
                    <w:rPr>
                      <w:b/>
                      <w:bCs/>
                    </w:rPr>
                  </w:pPr>
                  <w:r w:rsidRPr="00EA402C">
                    <w:rPr>
                      <w:b/>
                      <w:bCs/>
                    </w:rPr>
                    <w:t>Bentley et al. (2019)</w:t>
                  </w:r>
                </w:p>
              </w:tc>
              <w:tc>
                <w:tcPr>
                  <w:tcW w:w="0" w:type="auto"/>
                  <w:hideMark/>
                </w:tcPr>
                <w:p w14:paraId="7D229A7A" w14:textId="77777777" w:rsidR="00763B96" w:rsidRPr="00EA402C" w:rsidRDefault="00763B96" w:rsidP="00C31CF7">
                  <w:pPr>
                    <w:spacing w:after="160" w:line="278" w:lineRule="auto"/>
                    <w:rPr>
                      <w:b/>
                      <w:bCs/>
                    </w:rPr>
                  </w:pPr>
                  <w:r w:rsidRPr="00EA402C">
                    <w:rPr>
                      <w:b/>
                      <w:bCs/>
                    </w:rPr>
                    <w:t>Digital life-story work for dementia</w:t>
                  </w:r>
                </w:p>
              </w:tc>
              <w:tc>
                <w:tcPr>
                  <w:tcW w:w="0" w:type="auto"/>
                  <w:hideMark/>
                </w:tcPr>
                <w:p w14:paraId="338D3368" w14:textId="77777777" w:rsidR="00763B96" w:rsidRPr="00EA402C" w:rsidRDefault="00763B96" w:rsidP="00C31CF7">
                  <w:pPr>
                    <w:spacing w:after="160" w:line="278" w:lineRule="auto"/>
                    <w:rPr>
                      <w:b/>
                      <w:bCs/>
                    </w:rPr>
                  </w:pPr>
                  <w:r w:rsidRPr="00EA402C">
                    <w:rPr>
                      <w:b/>
                      <w:bCs/>
                    </w:rPr>
                    <w:t>Qualitative</w:t>
                  </w:r>
                </w:p>
              </w:tc>
              <w:tc>
                <w:tcPr>
                  <w:tcW w:w="0" w:type="auto"/>
                  <w:hideMark/>
                </w:tcPr>
                <w:p w14:paraId="4AF9E4A3" w14:textId="77777777" w:rsidR="00763B96" w:rsidRPr="00EA402C" w:rsidRDefault="00763B96" w:rsidP="00C31CF7">
                  <w:pPr>
                    <w:spacing w:after="160" w:line="278" w:lineRule="auto"/>
                    <w:rPr>
                      <w:b/>
                      <w:bCs/>
                    </w:rPr>
                  </w:pPr>
                  <w:proofErr w:type="spellStart"/>
                  <w:r w:rsidRPr="00EA402C">
                    <w:rPr>
                      <w:b/>
                      <w:bCs/>
                    </w:rPr>
                    <w:t>PwD</w:t>
                  </w:r>
                  <w:proofErr w:type="spellEnd"/>
                  <w:r w:rsidRPr="00EA402C">
                    <w:rPr>
                      <w:b/>
                      <w:bCs/>
                    </w:rPr>
                    <w:t xml:space="preserve"> + carer interviews (N≈18)</w:t>
                  </w:r>
                </w:p>
              </w:tc>
              <w:tc>
                <w:tcPr>
                  <w:tcW w:w="0" w:type="auto"/>
                  <w:hideMark/>
                </w:tcPr>
                <w:p w14:paraId="6FC52278" w14:textId="77777777" w:rsidR="00763B96" w:rsidRPr="00EA402C" w:rsidRDefault="00763B96" w:rsidP="00C31CF7">
                  <w:pPr>
                    <w:spacing w:after="160" w:line="278" w:lineRule="auto"/>
                    <w:rPr>
                      <w:b/>
                      <w:bCs/>
                    </w:rPr>
                  </w:pPr>
                  <w:r w:rsidRPr="00EA402C">
                    <w:rPr>
                      <w:b/>
                      <w:bCs/>
                    </w:rPr>
                    <w:t>Strength: person-centred. Limit: needs facilitator.</w:t>
                  </w:r>
                </w:p>
              </w:tc>
              <w:tc>
                <w:tcPr>
                  <w:tcW w:w="0" w:type="auto"/>
                  <w:hideMark/>
                </w:tcPr>
                <w:p w14:paraId="78C84CF4" w14:textId="77777777" w:rsidR="00763B96" w:rsidRPr="00EA402C" w:rsidRDefault="00763B96" w:rsidP="00C31CF7">
                  <w:pPr>
                    <w:spacing w:after="160" w:line="278" w:lineRule="auto"/>
                    <w:rPr>
                      <w:b/>
                      <w:bCs/>
                    </w:rPr>
                  </w:pPr>
                  <w:r w:rsidRPr="00EA402C">
                    <w:rPr>
                      <w:b/>
                      <w:bCs/>
                    </w:rPr>
                    <w:t>Enhanced identity &amp; communication; supports person-centred care.</w:t>
                  </w:r>
                </w:p>
              </w:tc>
              <w:tc>
                <w:tcPr>
                  <w:tcW w:w="0" w:type="auto"/>
                  <w:hideMark/>
                </w:tcPr>
                <w:p w14:paraId="373D141E" w14:textId="77777777" w:rsidR="00763B96" w:rsidRPr="00EA402C" w:rsidRDefault="00763B96" w:rsidP="00C31CF7">
                  <w:pPr>
                    <w:spacing w:after="160" w:line="278" w:lineRule="auto"/>
                    <w:rPr>
                      <w:b/>
                      <w:bCs/>
                    </w:rPr>
                  </w:pPr>
                  <w:r w:rsidRPr="00EA402C">
                    <w:rPr>
                      <w:b/>
                      <w:bCs/>
                    </w:rPr>
                    <w:t>life story, PCC</w:t>
                  </w:r>
                </w:p>
              </w:tc>
              <w:tc>
                <w:tcPr>
                  <w:tcW w:w="0" w:type="auto"/>
                  <w:hideMark/>
                </w:tcPr>
                <w:p w14:paraId="3D3996E5" w14:textId="77777777" w:rsidR="00763B96" w:rsidRPr="00EA402C" w:rsidRDefault="00763B96" w:rsidP="00C31CF7">
                  <w:pPr>
                    <w:spacing w:after="160" w:line="278" w:lineRule="auto"/>
                    <w:rPr>
                      <w:b/>
                      <w:bCs/>
                    </w:rPr>
                  </w:pPr>
                  <w:r w:rsidRPr="00EA402C">
                    <w:rPr>
                      <w:b/>
                      <w:bCs/>
                    </w:rPr>
                    <w:t>Theme 1</w:t>
                  </w:r>
                </w:p>
              </w:tc>
            </w:tr>
            <w:tr w:rsidR="00763B96" w:rsidRPr="00EA402C" w14:paraId="660CEBCB" w14:textId="77777777" w:rsidTr="00C31CF7">
              <w:trPr>
                <w:trHeight w:val="159"/>
              </w:trPr>
              <w:tc>
                <w:tcPr>
                  <w:tcW w:w="0" w:type="auto"/>
                  <w:hideMark/>
                </w:tcPr>
                <w:p w14:paraId="7956E2CB" w14:textId="77777777" w:rsidR="00763B96" w:rsidRPr="00EA402C" w:rsidRDefault="00763B96" w:rsidP="00C31CF7">
                  <w:pPr>
                    <w:spacing w:after="160" w:line="278" w:lineRule="auto"/>
                    <w:rPr>
                      <w:b/>
                      <w:bCs/>
                    </w:rPr>
                  </w:pPr>
                  <w:r w:rsidRPr="00EA402C">
                    <w:rPr>
                      <w:b/>
                      <w:bCs/>
                    </w:rPr>
                    <w:t>O’Connor et al. (2020)</w:t>
                  </w:r>
                </w:p>
              </w:tc>
              <w:tc>
                <w:tcPr>
                  <w:tcW w:w="0" w:type="auto"/>
                  <w:hideMark/>
                </w:tcPr>
                <w:p w14:paraId="1547837B" w14:textId="77777777" w:rsidR="00763B96" w:rsidRPr="00EA402C" w:rsidRDefault="00763B96" w:rsidP="00C31CF7">
                  <w:pPr>
                    <w:spacing w:after="160" w:line="278" w:lineRule="auto"/>
                    <w:rPr>
                      <w:b/>
                      <w:bCs/>
                    </w:rPr>
                  </w:pPr>
                  <w:r w:rsidRPr="00EA402C">
                    <w:rPr>
                      <w:b/>
                      <w:bCs/>
                    </w:rPr>
                    <w:t>Carer use of online dementia info</w:t>
                  </w:r>
                </w:p>
              </w:tc>
              <w:tc>
                <w:tcPr>
                  <w:tcW w:w="0" w:type="auto"/>
                  <w:hideMark/>
                </w:tcPr>
                <w:p w14:paraId="738BB15D" w14:textId="77777777" w:rsidR="00763B96" w:rsidRPr="00EA402C" w:rsidRDefault="00763B96" w:rsidP="00C31CF7">
                  <w:pPr>
                    <w:spacing w:after="160" w:line="278" w:lineRule="auto"/>
                    <w:rPr>
                      <w:b/>
                      <w:bCs/>
                    </w:rPr>
                  </w:pPr>
                  <w:r w:rsidRPr="00EA402C">
                    <w:rPr>
                      <w:b/>
                      <w:bCs/>
                    </w:rPr>
                    <w:t>Survey</w:t>
                  </w:r>
                </w:p>
              </w:tc>
              <w:tc>
                <w:tcPr>
                  <w:tcW w:w="0" w:type="auto"/>
                  <w:hideMark/>
                </w:tcPr>
                <w:p w14:paraId="51203904" w14:textId="77777777" w:rsidR="00763B96" w:rsidRPr="00EA402C" w:rsidRDefault="00763B96" w:rsidP="00C31CF7">
                  <w:pPr>
                    <w:spacing w:after="160" w:line="278" w:lineRule="auto"/>
                    <w:rPr>
                      <w:b/>
                      <w:bCs/>
                    </w:rPr>
                  </w:pPr>
                  <w:r w:rsidRPr="00EA402C">
                    <w:rPr>
                      <w:b/>
                      <w:bCs/>
                    </w:rPr>
                    <w:t>Carer survey (N≈400)</w:t>
                  </w:r>
                </w:p>
              </w:tc>
              <w:tc>
                <w:tcPr>
                  <w:tcW w:w="0" w:type="auto"/>
                  <w:hideMark/>
                </w:tcPr>
                <w:p w14:paraId="5C382E96" w14:textId="77777777" w:rsidR="00763B96" w:rsidRPr="00EA402C" w:rsidRDefault="00763B96" w:rsidP="00C31CF7">
                  <w:pPr>
                    <w:spacing w:after="160" w:line="278" w:lineRule="auto"/>
                    <w:rPr>
                      <w:b/>
                      <w:bCs/>
                    </w:rPr>
                  </w:pPr>
                  <w:r w:rsidRPr="00EA402C">
                    <w:rPr>
                      <w:b/>
                      <w:bCs/>
                    </w:rPr>
                    <w:t>Strength: large sample. Limit: digitally biased.</w:t>
                  </w:r>
                </w:p>
              </w:tc>
              <w:tc>
                <w:tcPr>
                  <w:tcW w:w="0" w:type="auto"/>
                  <w:hideMark/>
                </w:tcPr>
                <w:p w14:paraId="72600C0D" w14:textId="77777777" w:rsidR="00763B96" w:rsidRPr="00EA402C" w:rsidRDefault="00763B96" w:rsidP="00C31CF7">
                  <w:pPr>
                    <w:spacing w:after="160" w:line="278" w:lineRule="auto"/>
                    <w:rPr>
                      <w:b/>
                      <w:bCs/>
                    </w:rPr>
                  </w:pPr>
                  <w:r w:rsidRPr="00EA402C">
                    <w:rPr>
                      <w:b/>
                      <w:bCs/>
                    </w:rPr>
                    <w:t>Carers rely heavily on digital info; overwhelmed by unreliable sources.</w:t>
                  </w:r>
                </w:p>
              </w:tc>
              <w:tc>
                <w:tcPr>
                  <w:tcW w:w="0" w:type="auto"/>
                  <w:hideMark/>
                </w:tcPr>
                <w:p w14:paraId="69BB4D93" w14:textId="77777777" w:rsidR="00763B96" w:rsidRPr="00EA402C" w:rsidRDefault="00763B96" w:rsidP="00C31CF7">
                  <w:pPr>
                    <w:spacing w:after="160" w:line="278" w:lineRule="auto"/>
                    <w:rPr>
                      <w:b/>
                      <w:bCs/>
                    </w:rPr>
                  </w:pPr>
                  <w:r w:rsidRPr="00EA402C">
                    <w:rPr>
                      <w:b/>
                      <w:bCs/>
                    </w:rPr>
                    <w:t>e-learning, carers</w:t>
                  </w:r>
                </w:p>
              </w:tc>
              <w:tc>
                <w:tcPr>
                  <w:tcW w:w="0" w:type="auto"/>
                  <w:hideMark/>
                </w:tcPr>
                <w:p w14:paraId="519BEE2C" w14:textId="77777777" w:rsidR="00763B96" w:rsidRPr="00EA402C" w:rsidRDefault="00763B96" w:rsidP="00C31CF7">
                  <w:pPr>
                    <w:spacing w:after="160" w:line="278" w:lineRule="auto"/>
                    <w:rPr>
                      <w:b/>
                      <w:bCs/>
                    </w:rPr>
                  </w:pPr>
                  <w:r w:rsidRPr="00EA402C">
                    <w:rPr>
                      <w:b/>
                      <w:bCs/>
                    </w:rPr>
                    <w:t>Themes 2 &amp; 3</w:t>
                  </w:r>
                </w:p>
              </w:tc>
            </w:tr>
            <w:tr w:rsidR="00763B96" w:rsidRPr="00EA402C" w14:paraId="446FF7D5" w14:textId="77777777" w:rsidTr="00C31CF7">
              <w:trPr>
                <w:trHeight w:val="159"/>
              </w:trPr>
              <w:tc>
                <w:tcPr>
                  <w:tcW w:w="0" w:type="auto"/>
                  <w:hideMark/>
                </w:tcPr>
                <w:p w14:paraId="18BEB479" w14:textId="77777777" w:rsidR="00763B96" w:rsidRPr="00EA402C" w:rsidRDefault="00763B96" w:rsidP="00C31CF7">
                  <w:pPr>
                    <w:spacing w:after="160" w:line="278" w:lineRule="auto"/>
                    <w:rPr>
                      <w:b/>
                      <w:bCs/>
                    </w:rPr>
                  </w:pPr>
                  <w:r w:rsidRPr="00EA402C">
                    <w:rPr>
                      <w:b/>
                      <w:bCs/>
                    </w:rPr>
                    <w:t>Burholt et al. (2022)</w:t>
                  </w:r>
                </w:p>
              </w:tc>
              <w:tc>
                <w:tcPr>
                  <w:tcW w:w="0" w:type="auto"/>
                  <w:hideMark/>
                </w:tcPr>
                <w:p w14:paraId="671E44BF" w14:textId="77777777" w:rsidR="00763B96" w:rsidRPr="00EA402C" w:rsidRDefault="00763B96" w:rsidP="00C31CF7">
                  <w:pPr>
                    <w:spacing w:after="160" w:line="278" w:lineRule="auto"/>
                    <w:rPr>
                      <w:b/>
                      <w:bCs/>
                    </w:rPr>
                  </w:pPr>
                  <w:r w:rsidRPr="00EA402C">
                    <w:rPr>
                      <w:b/>
                      <w:bCs/>
                    </w:rPr>
                    <w:t>Digital exclusion in cognitive impairment</w:t>
                  </w:r>
                </w:p>
              </w:tc>
              <w:tc>
                <w:tcPr>
                  <w:tcW w:w="0" w:type="auto"/>
                  <w:hideMark/>
                </w:tcPr>
                <w:p w14:paraId="0F403579" w14:textId="77777777" w:rsidR="00763B96" w:rsidRPr="00EA402C" w:rsidRDefault="00763B96" w:rsidP="00C31CF7">
                  <w:pPr>
                    <w:spacing w:after="160" w:line="278" w:lineRule="auto"/>
                    <w:rPr>
                      <w:b/>
                      <w:bCs/>
                    </w:rPr>
                  </w:pPr>
                  <w:r w:rsidRPr="00EA402C">
                    <w:rPr>
                      <w:b/>
                      <w:bCs/>
                    </w:rPr>
                    <w:t>Secondary analysis</w:t>
                  </w:r>
                </w:p>
              </w:tc>
              <w:tc>
                <w:tcPr>
                  <w:tcW w:w="0" w:type="auto"/>
                  <w:hideMark/>
                </w:tcPr>
                <w:p w14:paraId="2D500D85" w14:textId="77777777" w:rsidR="00763B96" w:rsidRPr="00EA402C" w:rsidRDefault="00763B96" w:rsidP="00C31CF7">
                  <w:pPr>
                    <w:spacing w:after="160" w:line="278" w:lineRule="auto"/>
                    <w:rPr>
                      <w:b/>
                      <w:bCs/>
                    </w:rPr>
                  </w:pPr>
                  <w:r w:rsidRPr="00EA402C">
                    <w:rPr>
                      <w:b/>
                      <w:bCs/>
                    </w:rPr>
                    <w:t>UK national dataset</w:t>
                  </w:r>
                </w:p>
              </w:tc>
              <w:tc>
                <w:tcPr>
                  <w:tcW w:w="0" w:type="auto"/>
                  <w:hideMark/>
                </w:tcPr>
                <w:p w14:paraId="73236162" w14:textId="77777777" w:rsidR="00763B96" w:rsidRPr="00EA402C" w:rsidRDefault="00763B96" w:rsidP="00C31CF7">
                  <w:pPr>
                    <w:spacing w:after="160" w:line="278" w:lineRule="auto"/>
                    <w:rPr>
                      <w:b/>
                      <w:bCs/>
                    </w:rPr>
                  </w:pPr>
                  <w:r w:rsidRPr="00EA402C">
                    <w:rPr>
                      <w:b/>
                      <w:bCs/>
                    </w:rPr>
                    <w:t>Strength: robust data. Limit: proxy diagnosis.</w:t>
                  </w:r>
                </w:p>
              </w:tc>
              <w:tc>
                <w:tcPr>
                  <w:tcW w:w="0" w:type="auto"/>
                  <w:hideMark/>
                </w:tcPr>
                <w:p w14:paraId="2F5BE40A" w14:textId="77777777" w:rsidR="00763B96" w:rsidRPr="00EA402C" w:rsidRDefault="00763B96" w:rsidP="00C31CF7">
                  <w:pPr>
                    <w:spacing w:after="160" w:line="278" w:lineRule="auto"/>
                    <w:rPr>
                      <w:b/>
                      <w:bCs/>
                    </w:rPr>
                  </w:pPr>
                  <w:r w:rsidRPr="00EA402C">
                    <w:rPr>
                      <w:b/>
                      <w:bCs/>
                    </w:rPr>
                    <w:t xml:space="preserve">Older </w:t>
                  </w:r>
                  <w:proofErr w:type="spellStart"/>
                  <w:r w:rsidRPr="00EA402C">
                    <w:rPr>
                      <w:b/>
                      <w:bCs/>
                    </w:rPr>
                    <w:t>PwD</w:t>
                  </w:r>
                  <w:proofErr w:type="spellEnd"/>
                  <w:r w:rsidRPr="00EA402C">
                    <w:rPr>
                      <w:b/>
                      <w:bCs/>
                    </w:rPr>
                    <w:t xml:space="preserve"> face highest digital exclusion; age &amp; </w:t>
                  </w:r>
                  <w:r w:rsidRPr="00EA402C">
                    <w:rPr>
                      <w:b/>
                      <w:bCs/>
                    </w:rPr>
                    <w:lastRenderedPageBreak/>
                    <w:t>poverty amplify risk.</w:t>
                  </w:r>
                </w:p>
              </w:tc>
              <w:tc>
                <w:tcPr>
                  <w:tcW w:w="0" w:type="auto"/>
                  <w:hideMark/>
                </w:tcPr>
                <w:p w14:paraId="73481BC9" w14:textId="77777777" w:rsidR="00763B96" w:rsidRPr="00EA402C" w:rsidRDefault="00763B96" w:rsidP="00C31CF7">
                  <w:pPr>
                    <w:spacing w:after="160" w:line="278" w:lineRule="auto"/>
                    <w:rPr>
                      <w:b/>
                      <w:bCs/>
                    </w:rPr>
                  </w:pPr>
                  <w:r w:rsidRPr="00EA402C">
                    <w:rPr>
                      <w:b/>
                      <w:bCs/>
                    </w:rPr>
                    <w:lastRenderedPageBreak/>
                    <w:t>digital inequalities</w:t>
                  </w:r>
                </w:p>
              </w:tc>
              <w:tc>
                <w:tcPr>
                  <w:tcW w:w="0" w:type="auto"/>
                  <w:hideMark/>
                </w:tcPr>
                <w:p w14:paraId="305EEB27" w14:textId="77777777" w:rsidR="00763B96" w:rsidRPr="00EA402C" w:rsidRDefault="00763B96" w:rsidP="00C31CF7">
                  <w:pPr>
                    <w:spacing w:after="160" w:line="278" w:lineRule="auto"/>
                    <w:rPr>
                      <w:b/>
                      <w:bCs/>
                    </w:rPr>
                  </w:pPr>
                  <w:r w:rsidRPr="00EA402C">
                    <w:rPr>
                      <w:b/>
                      <w:bCs/>
                    </w:rPr>
                    <w:t>Theme 3</w:t>
                  </w:r>
                </w:p>
              </w:tc>
            </w:tr>
            <w:tr w:rsidR="00763B96" w:rsidRPr="00EA402C" w14:paraId="758DA129" w14:textId="77777777" w:rsidTr="00C31CF7">
              <w:trPr>
                <w:trHeight w:val="2939"/>
              </w:trPr>
              <w:tc>
                <w:tcPr>
                  <w:tcW w:w="0" w:type="auto"/>
                  <w:hideMark/>
                </w:tcPr>
                <w:p w14:paraId="168376DB" w14:textId="77777777" w:rsidR="00763B96" w:rsidRPr="00EA402C" w:rsidRDefault="00763B96" w:rsidP="00C31CF7">
                  <w:pPr>
                    <w:spacing w:after="160" w:line="278" w:lineRule="auto"/>
                    <w:rPr>
                      <w:b/>
                      <w:bCs/>
                    </w:rPr>
                  </w:pPr>
                  <w:r w:rsidRPr="00EA402C">
                    <w:rPr>
                      <w:b/>
                      <w:bCs/>
                    </w:rPr>
                    <w:t>Fleming et al. (2021)</w:t>
                  </w:r>
                </w:p>
              </w:tc>
              <w:tc>
                <w:tcPr>
                  <w:tcW w:w="0" w:type="auto"/>
                  <w:hideMark/>
                </w:tcPr>
                <w:p w14:paraId="4C73662E" w14:textId="77777777" w:rsidR="00763B96" w:rsidRPr="00EA402C" w:rsidRDefault="00763B96" w:rsidP="00C31CF7">
                  <w:pPr>
                    <w:spacing w:after="160" w:line="278" w:lineRule="auto"/>
                    <w:rPr>
                      <w:b/>
                      <w:bCs/>
                    </w:rPr>
                  </w:pPr>
                  <w:r w:rsidRPr="00EA402C">
                    <w:rPr>
                      <w:b/>
                      <w:bCs/>
                    </w:rPr>
                    <w:t>Smart-home tech for independence</w:t>
                  </w:r>
                </w:p>
              </w:tc>
              <w:tc>
                <w:tcPr>
                  <w:tcW w:w="0" w:type="auto"/>
                  <w:hideMark/>
                </w:tcPr>
                <w:p w14:paraId="0223DC84" w14:textId="77777777" w:rsidR="00763B96" w:rsidRPr="00EA402C" w:rsidRDefault="00763B96" w:rsidP="00C31CF7">
                  <w:pPr>
                    <w:spacing w:after="160" w:line="278" w:lineRule="auto"/>
                    <w:rPr>
                      <w:b/>
                      <w:bCs/>
                    </w:rPr>
                  </w:pPr>
                  <w:r w:rsidRPr="00EA402C">
                    <w:rPr>
                      <w:b/>
                      <w:bCs/>
                    </w:rPr>
                    <w:t>Feasibility</w:t>
                  </w:r>
                </w:p>
              </w:tc>
              <w:tc>
                <w:tcPr>
                  <w:tcW w:w="0" w:type="auto"/>
                  <w:hideMark/>
                </w:tcPr>
                <w:p w14:paraId="34CF5359" w14:textId="77777777" w:rsidR="00763B96" w:rsidRPr="00EA402C" w:rsidRDefault="00763B96" w:rsidP="00C31CF7">
                  <w:pPr>
                    <w:spacing w:after="160" w:line="278" w:lineRule="auto"/>
                    <w:rPr>
                      <w:b/>
                      <w:bCs/>
                    </w:rPr>
                  </w:pPr>
                  <w:r w:rsidRPr="00EA402C">
                    <w:rPr>
                      <w:b/>
                      <w:bCs/>
                    </w:rPr>
                    <w:t>Smart sensors in homes (N≈10)</w:t>
                  </w:r>
                </w:p>
              </w:tc>
              <w:tc>
                <w:tcPr>
                  <w:tcW w:w="0" w:type="auto"/>
                  <w:hideMark/>
                </w:tcPr>
                <w:p w14:paraId="10BD5B4C" w14:textId="77777777" w:rsidR="00763B96" w:rsidRPr="00EA402C" w:rsidRDefault="00763B96" w:rsidP="00C31CF7">
                  <w:pPr>
                    <w:spacing w:after="160" w:line="278" w:lineRule="auto"/>
                    <w:rPr>
                      <w:b/>
                      <w:bCs/>
                    </w:rPr>
                  </w:pPr>
                  <w:r w:rsidRPr="00EA402C">
                    <w:rPr>
                      <w:b/>
                      <w:bCs/>
                    </w:rPr>
                    <w:t>Strength: real-home testing. Limit: intrusive devices.</w:t>
                  </w:r>
                </w:p>
              </w:tc>
              <w:tc>
                <w:tcPr>
                  <w:tcW w:w="0" w:type="auto"/>
                  <w:hideMark/>
                </w:tcPr>
                <w:p w14:paraId="4B64348C" w14:textId="77777777" w:rsidR="00763B96" w:rsidRPr="00EA402C" w:rsidRDefault="00763B96" w:rsidP="00C31CF7">
                  <w:pPr>
                    <w:spacing w:after="160" w:line="278" w:lineRule="auto"/>
                    <w:rPr>
                      <w:b/>
                      <w:bCs/>
                    </w:rPr>
                  </w:pPr>
                  <w:r w:rsidRPr="00EA402C">
                    <w:rPr>
                      <w:b/>
                      <w:bCs/>
                    </w:rPr>
                    <w:t xml:space="preserve">Carers valued alerts; </w:t>
                  </w:r>
                  <w:proofErr w:type="spellStart"/>
                  <w:r w:rsidRPr="00EA402C">
                    <w:rPr>
                      <w:b/>
                      <w:bCs/>
                    </w:rPr>
                    <w:t>PwD</w:t>
                  </w:r>
                  <w:proofErr w:type="spellEnd"/>
                  <w:r w:rsidRPr="00EA402C">
                    <w:rPr>
                      <w:b/>
                      <w:bCs/>
                    </w:rPr>
                    <w:t xml:space="preserve"> found tech intrusive when visible.</w:t>
                  </w:r>
                </w:p>
              </w:tc>
              <w:tc>
                <w:tcPr>
                  <w:tcW w:w="0" w:type="auto"/>
                  <w:hideMark/>
                </w:tcPr>
                <w:p w14:paraId="5E40B2B4" w14:textId="77777777" w:rsidR="00763B96" w:rsidRPr="00EA402C" w:rsidRDefault="00763B96" w:rsidP="00C31CF7">
                  <w:pPr>
                    <w:spacing w:after="160" w:line="278" w:lineRule="auto"/>
                    <w:rPr>
                      <w:b/>
                      <w:bCs/>
                    </w:rPr>
                  </w:pPr>
                  <w:r w:rsidRPr="00EA402C">
                    <w:rPr>
                      <w:b/>
                      <w:bCs/>
                    </w:rPr>
                    <w:t>smart home, independence</w:t>
                  </w:r>
                </w:p>
              </w:tc>
              <w:tc>
                <w:tcPr>
                  <w:tcW w:w="0" w:type="auto"/>
                  <w:hideMark/>
                </w:tcPr>
                <w:p w14:paraId="7314870B" w14:textId="77777777" w:rsidR="00763B96" w:rsidRPr="00EA402C" w:rsidRDefault="00763B96" w:rsidP="00C31CF7">
                  <w:pPr>
                    <w:spacing w:after="160" w:line="278" w:lineRule="auto"/>
                    <w:rPr>
                      <w:b/>
                      <w:bCs/>
                    </w:rPr>
                  </w:pPr>
                  <w:r w:rsidRPr="00EA402C">
                    <w:rPr>
                      <w:b/>
                      <w:bCs/>
                    </w:rPr>
                    <w:t>Themes 1 &amp; 2</w:t>
                  </w:r>
                </w:p>
              </w:tc>
            </w:tr>
            <w:tr w:rsidR="00763B96" w:rsidRPr="00EA402C" w14:paraId="04459EEF" w14:textId="77777777" w:rsidTr="00C31CF7">
              <w:trPr>
                <w:trHeight w:val="2925"/>
              </w:trPr>
              <w:tc>
                <w:tcPr>
                  <w:tcW w:w="0" w:type="auto"/>
                  <w:hideMark/>
                </w:tcPr>
                <w:p w14:paraId="556C9EF3" w14:textId="77777777" w:rsidR="00763B96" w:rsidRPr="00EA402C" w:rsidRDefault="00763B96" w:rsidP="00C31CF7">
                  <w:pPr>
                    <w:spacing w:after="160" w:line="278" w:lineRule="auto"/>
                    <w:rPr>
                      <w:b/>
                      <w:bCs/>
                    </w:rPr>
                  </w:pPr>
                  <w:r w:rsidRPr="00EA402C">
                    <w:rPr>
                      <w:b/>
                      <w:bCs/>
                    </w:rPr>
                    <w:t>Shen et al. (2021)</w:t>
                  </w:r>
                </w:p>
              </w:tc>
              <w:tc>
                <w:tcPr>
                  <w:tcW w:w="0" w:type="auto"/>
                  <w:hideMark/>
                </w:tcPr>
                <w:p w14:paraId="431AB043" w14:textId="77777777" w:rsidR="00763B96" w:rsidRPr="00EA402C" w:rsidRDefault="00763B96" w:rsidP="00C31CF7">
                  <w:pPr>
                    <w:spacing w:after="160" w:line="278" w:lineRule="auto"/>
                    <w:rPr>
                      <w:b/>
                      <w:bCs/>
                    </w:rPr>
                  </w:pPr>
                  <w:r w:rsidRPr="00EA402C">
                    <w:rPr>
                      <w:b/>
                      <w:bCs/>
                    </w:rPr>
                    <w:t>AI tools for dementia diagnosis</w:t>
                  </w:r>
                </w:p>
              </w:tc>
              <w:tc>
                <w:tcPr>
                  <w:tcW w:w="0" w:type="auto"/>
                  <w:hideMark/>
                </w:tcPr>
                <w:p w14:paraId="71E8C7F6" w14:textId="77777777" w:rsidR="00763B96" w:rsidRPr="00EA402C" w:rsidRDefault="00763B96" w:rsidP="00C31CF7">
                  <w:pPr>
                    <w:spacing w:after="160" w:line="278" w:lineRule="auto"/>
                    <w:rPr>
                      <w:b/>
                      <w:bCs/>
                    </w:rPr>
                  </w:pPr>
                  <w:r w:rsidRPr="00EA402C">
                    <w:rPr>
                      <w:b/>
                      <w:bCs/>
                    </w:rPr>
                    <w:t>Scoping review</w:t>
                  </w:r>
                </w:p>
              </w:tc>
              <w:tc>
                <w:tcPr>
                  <w:tcW w:w="0" w:type="auto"/>
                  <w:hideMark/>
                </w:tcPr>
                <w:p w14:paraId="0A4C2F77" w14:textId="77777777" w:rsidR="00763B96" w:rsidRPr="00EA402C" w:rsidRDefault="00763B96" w:rsidP="00C31CF7">
                  <w:pPr>
                    <w:spacing w:after="160" w:line="278" w:lineRule="auto"/>
                    <w:rPr>
                      <w:b/>
                      <w:bCs/>
                    </w:rPr>
                  </w:pPr>
                  <w:r w:rsidRPr="00EA402C">
                    <w:rPr>
                      <w:b/>
                      <w:bCs/>
                    </w:rPr>
                    <w:t>UK evidence</w:t>
                  </w:r>
                </w:p>
              </w:tc>
              <w:tc>
                <w:tcPr>
                  <w:tcW w:w="0" w:type="auto"/>
                  <w:hideMark/>
                </w:tcPr>
                <w:p w14:paraId="27C5AEE4" w14:textId="77777777" w:rsidR="00763B96" w:rsidRPr="00EA402C" w:rsidRDefault="00763B96" w:rsidP="00C31CF7">
                  <w:pPr>
                    <w:spacing w:after="160" w:line="278" w:lineRule="auto"/>
                    <w:rPr>
                      <w:b/>
                      <w:bCs/>
                    </w:rPr>
                  </w:pPr>
                  <w:r w:rsidRPr="00EA402C">
                    <w:rPr>
                      <w:b/>
                      <w:bCs/>
                    </w:rPr>
                    <w:t>Strength: technical detail. Limit: few clinical trials.</w:t>
                  </w:r>
                </w:p>
              </w:tc>
              <w:tc>
                <w:tcPr>
                  <w:tcW w:w="0" w:type="auto"/>
                  <w:hideMark/>
                </w:tcPr>
                <w:p w14:paraId="65D31F51" w14:textId="77777777" w:rsidR="00763B96" w:rsidRPr="00EA402C" w:rsidRDefault="00763B96" w:rsidP="00C31CF7">
                  <w:pPr>
                    <w:spacing w:after="160" w:line="278" w:lineRule="auto"/>
                    <w:rPr>
                      <w:b/>
                      <w:bCs/>
                    </w:rPr>
                  </w:pPr>
                  <w:r w:rsidRPr="00EA402C">
                    <w:rPr>
                      <w:b/>
                      <w:bCs/>
                    </w:rPr>
                    <w:t>AI may improve accuracy but transparency &amp; ethics limited adoption.</w:t>
                  </w:r>
                </w:p>
              </w:tc>
              <w:tc>
                <w:tcPr>
                  <w:tcW w:w="0" w:type="auto"/>
                  <w:hideMark/>
                </w:tcPr>
                <w:p w14:paraId="6F6552FF" w14:textId="77777777" w:rsidR="00763B96" w:rsidRPr="00EA402C" w:rsidRDefault="00763B96" w:rsidP="00C31CF7">
                  <w:pPr>
                    <w:spacing w:after="160" w:line="278" w:lineRule="auto"/>
                    <w:rPr>
                      <w:b/>
                      <w:bCs/>
                    </w:rPr>
                  </w:pPr>
                  <w:r w:rsidRPr="00EA402C">
                    <w:rPr>
                      <w:b/>
                      <w:bCs/>
                    </w:rPr>
                    <w:t>AI diagnostics</w:t>
                  </w:r>
                </w:p>
              </w:tc>
              <w:tc>
                <w:tcPr>
                  <w:tcW w:w="0" w:type="auto"/>
                  <w:hideMark/>
                </w:tcPr>
                <w:p w14:paraId="1D2DE20C" w14:textId="77777777" w:rsidR="00763B96" w:rsidRPr="00EA402C" w:rsidRDefault="00763B96" w:rsidP="00C31CF7">
                  <w:pPr>
                    <w:spacing w:after="160" w:line="278" w:lineRule="auto"/>
                    <w:rPr>
                      <w:b/>
                      <w:bCs/>
                    </w:rPr>
                  </w:pPr>
                  <w:r w:rsidRPr="00EA402C">
                    <w:rPr>
                      <w:b/>
                      <w:bCs/>
                    </w:rPr>
                    <w:t>Theme 4</w:t>
                  </w:r>
                </w:p>
              </w:tc>
            </w:tr>
            <w:tr w:rsidR="00763B96" w:rsidRPr="00EA402C" w14:paraId="1827666F" w14:textId="77777777" w:rsidTr="00C31CF7">
              <w:trPr>
                <w:trHeight w:val="2939"/>
              </w:trPr>
              <w:tc>
                <w:tcPr>
                  <w:tcW w:w="0" w:type="auto"/>
                  <w:hideMark/>
                </w:tcPr>
                <w:p w14:paraId="7DEEEF9E" w14:textId="77777777" w:rsidR="00763B96" w:rsidRPr="00EA402C" w:rsidRDefault="00763B96" w:rsidP="00C31CF7">
                  <w:pPr>
                    <w:spacing w:after="160" w:line="278" w:lineRule="auto"/>
                    <w:rPr>
                      <w:b/>
                      <w:bCs/>
                    </w:rPr>
                  </w:pPr>
                  <w:r w:rsidRPr="00EA402C">
                    <w:rPr>
                      <w:b/>
                      <w:bCs/>
                    </w:rPr>
                    <w:t>Leeds ICS (2023)</w:t>
                  </w:r>
                </w:p>
              </w:tc>
              <w:tc>
                <w:tcPr>
                  <w:tcW w:w="0" w:type="auto"/>
                  <w:hideMark/>
                </w:tcPr>
                <w:p w14:paraId="526B7476" w14:textId="77777777" w:rsidR="00763B96" w:rsidRPr="00EA402C" w:rsidRDefault="00763B96" w:rsidP="00C31CF7">
                  <w:pPr>
                    <w:spacing w:after="160" w:line="278" w:lineRule="auto"/>
                    <w:rPr>
                      <w:b/>
                      <w:bCs/>
                    </w:rPr>
                  </w:pPr>
                  <w:r w:rsidRPr="00EA402C">
                    <w:rPr>
                      <w:b/>
                      <w:bCs/>
                    </w:rPr>
                    <w:t>Digital dementia education modules</w:t>
                  </w:r>
                </w:p>
              </w:tc>
              <w:tc>
                <w:tcPr>
                  <w:tcW w:w="0" w:type="auto"/>
                  <w:hideMark/>
                </w:tcPr>
                <w:p w14:paraId="7F5FBAA4" w14:textId="77777777" w:rsidR="00763B96" w:rsidRPr="00EA402C" w:rsidRDefault="00763B96" w:rsidP="00C31CF7">
                  <w:pPr>
                    <w:spacing w:after="160" w:line="278" w:lineRule="auto"/>
                    <w:rPr>
                      <w:b/>
                      <w:bCs/>
                    </w:rPr>
                  </w:pPr>
                  <w:r w:rsidRPr="00EA402C">
                    <w:rPr>
                      <w:b/>
                      <w:bCs/>
                    </w:rPr>
                    <w:t>Pilot</w:t>
                  </w:r>
                </w:p>
              </w:tc>
              <w:tc>
                <w:tcPr>
                  <w:tcW w:w="0" w:type="auto"/>
                  <w:hideMark/>
                </w:tcPr>
                <w:p w14:paraId="16881560" w14:textId="77777777" w:rsidR="00763B96" w:rsidRPr="00EA402C" w:rsidRDefault="00763B96" w:rsidP="00C31CF7">
                  <w:pPr>
                    <w:spacing w:after="160" w:line="278" w:lineRule="auto"/>
                    <w:rPr>
                      <w:b/>
                      <w:bCs/>
                    </w:rPr>
                  </w:pPr>
                  <w:r w:rsidRPr="00EA402C">
                    <w:rPr>
                      <w:b/>
                      <w:bCs/>
                    </w:rPr>
                    <w:t>Online modules (N≈150 carers)</w:t>
                  </w:r>
                </w:p>
              </w:tc>
              <w:tc>
                <w:tcPr>
                  <w:tcW w:w="0" w:type="auto"/>
                  <w:hideMark/>
                </w:tcPr>
                <w:p w14:paraId="7DA8B7A6" w14:textId="77777777" w:rsidR="00763B96" w:rsidRPr="00EA402C" w:rsidRDefault="00763B96" w:rsidP="00C31CF7">
                  <w:pPr>
                    <w:spacing w:after="160" w:line="278" w:lineRule="auto"/>
                    <w:rPr>
                      <w:b/>
                      <w:bCs/>
                    </w:rPr>
                  </w:pPr>
                  <w:r w:rsidRPr="00EA402C">
                    <w:rPr>
                      <w:b/>
                      <w:bCs/>
                    </w:rPr>
                    <w:t>Strength: scalable. Limit: retention unmeasured.</w:t>
                  </w:r>
                </w:p>
              </w:tc>
              <w:tc>
                <w:tcPr>
                  <w:tcW w:w="0" w:type="auto"/>
                  <w:hideMark/>
                </w:tcPr>
                <w:p w14:paraId="4C9A48D9" w14:textId="77777777" w:rsidR="00763B96" w:rsidRPr="00EA402C" w:rsidRDefault="00763B96" w:rsidP="00C31CF7">
                  <w:pPr>
                    <w:spacing w:after="160" w:line="278" w:lineRule="auto"/>
                    <w:rPr>
                      <w:b/>
                      <w:bCs/>
                    </w:rPr>
                  </w:pPr>
                  <w:r w:rsidRPr="00EA402C">
                    <w:rPr>
                      <w:b/>
                      <w:bCs/>
                    </w:rPr>
                    <w:t>Improved carer knowledge; digital literacy predicted engagement.</w:t>
                  </w:r>
                </w:p>
              </w:tc>
              <w:tc>
                <w:tcPr>
                  <w:tcW w:w="0" w:type="auto"/>
                  <w:hideMark/>
                </w:tcPr>
                <w:p w14:paraId="55E99C40" w14:textId="77777777" w:rsidR="00763B96" w:rsidRPr="00EA402C" w:rsidRDefault="00763B96" w:rsidP="00C31CF7">
                  <w:pPr>
                    <w:spacing w:after="160" w:line="278" w:lineRule="auto"/>
                    <w:rPr>
                      <w:b/>
                      <w:bCs/>
                    </w:rPr>
                  </w:pPr>
                  <w:r w:rsidRPr="00EA402C">
                    <w:rPr>
                      <w:b/>
                      <w:bCs/>
                    </w:rPr>
                    <w:t>training, e-learning</w:t>
                  </w:r>
                </w:p>
              </w:tc>
              <w:tc>
                <w:tcPr>
                  <w:tcW w:w="0" w:type="auto"/>
                  <w:hideMark/>
                </w:tcPr>
                <w:p w14:paraId="7E1C20E8" w14:textId="77777777" w:rsidR="00763B96" w:rsidRPr="00EA402C" w:rsidRDefault="00763B96" w:rsidP="00C31CF7">
                  <w:pPr>
                    <w:spacing w:after="160" w:line="278" w:lineRule="auto"/>
                    <w:rPr>
                      <w:b/>
                      <w:bCs/>
                    </w:rPr>
                  </w:pPr>
                  <w:r w:rsidRPr="00EA402C">
                    <w:rPr>
                      <w:b/>
                      <w:bCs/>
                    </w:rPr>
                    <w:t>Themes 1 &amp; 3</w:t>
                  </w:r>
                </w:p>
              </w:tc>
            </w:tr>
            <w:tr w:rsidR="00763B96" w:rsidRPr="00EA402C" w14:paraId="330EC9A8" w14:textId="77777777" w:rsidTr="00C31CF7">
              <w:trPr>
                <w:trHeight w:val="2234"/>
              </w:trPr>
              <w:tc>
                <w:tcPr>
                  <w:tcW w:w="0" w:type="auto"/>
                  <w:hideMark/>
                </w:tcPr>
                <w:p w14:paraId="3A91776F" w14:textId="77777777" w:rsidR="00763B96" w:rsidRPr="00EA402C" w:rsidRDefault="00763B96" w:rsidP="00C31CF7">
                  <w:pPr>
                    <w:spacing w:after="160" w:line="278" w:lineRule="auto"/>
                    <w:rPr>
                      <w:b/>
                      <w:bCs/>
                    </w:rPr>
                  </w:pPr>
                  <w:r w:rsidRPr="00EA402C">
                    <w:rPr>
                      <w:b/>
                      <w:bCs/>
                    </w:rPr>
                    <w:t>Scotland Gov (2023)</w:t>
                  </w:r>
                </w:p>
              </w:tc>
              <w:tc>
                <w:tcPr>
                  <w:tcW w:w="0" w:type="auto"/>
                  <w:hideMark/>
                </w:tcPr>
                <w:p w14:paraId="799F9F42" w14:textId="77777777" w:rsidR="00763B96" w:rsidRPr="00EA402C" w:rsidRDefault="00763B96" w:rsidP="00C31CF7">
                  <w:pPr>
                    <w:spacing w:after="160" w:line="278" w:lineRule="auto"/>
                    <w:rPr>
                      <w:b/>
                      <w:bCs/>
                    </w:rPr>
                  </w:pPr>
                  <w:r w:rsidRPr="00EA402C">
                    <w:rPr>
                      <w:b/>
                      <w:bCs/>
                    </w:rPr>
                    <w:t>Digital telecare modernisation</w:t>
                  </w:r>
                </w:p>
              </w:tc>
              <w:tc>
                <w:tcPr>
                  <w:tcW w:w="0" w:type="auto"/>
                  <w:hideMark/>
                </w:tcPr>
                <w:p w14:paraId="7BADA12E" w14:textId="77777777" w:rsidR="00763B96" w:rsidRPr="00EA402C" w:rsidRDefault="00763B96" w:rsidP="00C31CF7">
                  <w:pPr>
                    <w:spacing w:after="160" w:line="278" w:lineRule="auto"/>
                    <w:rPr>
                      <w:b/>
                      <w:bCs/>
                    </w:rPr>
                  </w:pPr>
                  <w:r w:rsidRPr="00EA402C">
                    <w:rPr>
                      <w:b/>
                      <w:bCs/>
                    </w:rPr>
                    <w:t>Evaluation</w:t>
                  </w:r>
                </w:p>
              </w:tc>
              <w:tc>
                <w:tcPr>
                  <w:tcW w:w="0" w:type="auto"/>
                  <w:hideMark/>
                </w:tcPr>
                <w:p w14:paraId="4F0D6BCE" w14:textId="77777777" w:rsidR="00763B96" w:rsidRPr="00EA402C" w:rsidRDefault="00763B96" w:rsidP="00C31CF7">
                  <w:pPr>
                    <w:spacing w:after="160" w:line="278" w:lineRule="auto"/>
                    <w:rPr>
                      <w:b/>
                      <w:bCs/>
                    </w:rPr>
                  </w:pPr>
                  <w:r w:rsidRPr="00EA402C">
                    <w:rPr>
                      <w:b/>
                      <w:bCs/>
                    </w:rPr>
                    <w:t>National rollout data</w:t>
                  </w:r>
                </w:p>
              </w:tc>
              <w:tc>
                <w:tcPr>
                  <w:tcW w:w="0" w:type="auto"/>
                  <w:hideMark/>
                </w:tcPr>
                <w:p w14:paraId="50ED8EAF" w14:textId="77777777" w:rsidR="00763B96" w:rsidRPr="00EA402C" w:rsidRDefault="00763B96" w:rsidP="00C31CF7">
                  <w:pPr>
                    <w:spacing w:after="160" w:line="278" w:lineRule="auto"/>
                    <w:rPr>
                      <w:b/>
                      <w:bCs/>
                    </w:rPr>
                  </w:pPr>
                  <w:r w:rsidRPr="00EA402C">
                    <w:rPr>
                      <w:b/>
                      <w:bCs/>
                    </w:rPr>
                    <w:t>Strength: large-scale. Limit: implementation slow.</w:t>
                  </w:r>
                </w:p>
              </w:tc>
              <w:tc>
                <w:tcPr>
                  <w:tcW w:w="0" w:type="auto"/>
                  <w:hideMark/>
                </w:tcPr>
                <w:p w14:paraId="4487A90A" w14:textId="77777777" w:rsidR="00763B96" w:rsidRPr="00EA402C" w:rsidRDefault="00763B96" w:rsidP="00C31CF7">
                  <w:pPr>
                    <w:spacing w:after="160" w:line="278" w:lineRule="auto"/>
                    <w:rPr>
                      <w:b/>
                      <w:bCs/>
                    </w:rPr>
                  </w:pPr>
                  <w:r w:rsidRPr="00EA402C">
                    <w:rPr>
                      <w:b/>
                      <w:bCs/>
                    </w:rPr>
                    <w:t>Faster response times; staff training crucial.</w:t>
                  </w:r>
                </w:p>
              </w:tc>
              <w:tc>
                <w:tcPr>
                  <w:tcW w:w="0" w:type="auto"/>
                  <w:hideMark/>
                </w:tcPr>
                <w:p w14:paraId="236CB9D4" w14:textId="77777777" w:rsidR="00763B96" w:rsidRPr="00EA402C" w:rsidRDefault="00763B96" w:rsidP="00C31CF7">
                  <w:pPr>
                    <w:spacing w:after="160" w:line="278" w:lineRule="auto"/>
                    <w:rPr>
                      <w:b/>
                      <w:bCs/>
                    </w:rPr>
                  </w:pPr>
                  <w:r w:rsidRPr="00EA402C">
                    <w:rPr>
                      <w:b/>
                      <w:bCs/>
                    </w:rPr>
                    <w:t>telecare, Scotland</w:t>
                  </w:r>
                </w:p>
              </w:tc>
              <w:tc>
                <w:tcPr>
                  <w:tcW w:w="0" w:type="auto"/>
                  <w:hideMark/>
                </w:tcPr>
                <w:p w14:paraId="1D21C1A6" w14:textId="77777777" w:rsidR="00763B96" w:rsidRPr="00EA402C" w:rsidRDefault="00763B96" w:rsidP="00C31CF7">
                  <w:pPr>
                    <w:spacing w:after="160" w:line="278" w:lineRule="auto"/>
                    <w:rPr>
                      <w:b/>
                      <w:bCs/>
                    </w:rPr>
                  </w:pPr>
                  <w:r w:rsidRPr="00EA402C">
                    <w:rPr>
                      <w:b/>
                      <w:bCs/>
                    </w:rPr>
                    <w:t>Theme 4</w:t>
                  </w:r>
                </w:p>
              </w:tc>
            </w:tr>
            <w:tr w:rsidR="00763B96" w:rsidRPr="00EA402C" w14:paraId="0CE6942C" w14:textId="77777777" w:rsidTr="00C31CF7">
              <w:trPr>
                <w:trHeight w:val="2593"/>
              </w:trPr>
              <w:tc>
                <w:tcPr>
                  <w:tcW w:w="0" w:type="auto"/>
                  <w:hideMark/>
                </w:tcPr>
                <w:p w14:paraId="595B0F64" w14:textId="77777777" w:rsidR="00763B96" w:rsidRPr="00EA402C" w:rsidRDefault="00763B96" w:rsidP="00C31CF7">
                  <w:pPr>
                    <w:spacing w:after="160" w:line="278" w:lineRule="auto"/>
                    <w:rPr>
                      <w:b/>
                      <w:bCs/>
                    </w:rPr>
                  </w:pPr>
                  <w:r w:rsidRPr="00EA402C">
                    <w:rPr>
                      <w:b/>
                      <w:bCs/>
                    </w:rPr>
                    <w:lastRenderedPageBreak/>
                    <w:t>Rosenberg et al. (2018)</w:t>
                  </w:r>
                </w:p>
              </w:tc>
              <w:tc>
                <w:tcPr>
                  <w:tcW w:w="0" w:type="auto"/>
                  <w:hideMark/>
                </w:tcPr>
                <w:p w14:paraId="156A559C" w14:textId="77777777" w:rsidR="00763B96" w:rsidRPr="00EA402C" w:rsidRDefault="00763B96" w:rsidP="00C31CF7">
                  <w:pPr>
                    <w:spacing w:after="160" w:line="278" w:lineRule="auto"/>
                    <w:rPr>
                      <w:b/>
                      <w:bCs/>
                    </w:rPr>
                  </w:pPr>
                  <w:r w:rsidRPr="00EA402C">
                    <w:rPr>
                      <w:b/>
                      <w:bCs/>
                    </w:rPr>
                    <w:t xml:space="preserve">Digital social-interaction tools for </w:t>
                  </w:r>
                  <w:proofErr w:type="spellStart"/>
                  <w:r w:rsidRPr="00EA402C">
                    <w:rPr>
                      <w:b/>
                      <w:bCs/>
                    </w:rPr>
                    <w:t>PwD</w:t>
                  </w:r>
                  <w:proofErr w:type="spellEnd"/>
                </w:p>
              </w:tc>
              <w:tc>
                <w:tcPr>
                  <w:tcW w:w="0" w:type="auto"/>
                  <w:hideMark/>
                </w:tcPr>
                <w:p w14:paraId="2B62F2D4" w14:textId="77777777" w:rsidR="00763B96" w:rsidRPr="00EA402C" w:rsidRDefault="00763B96" w:rsidP="00C31CF7">
                  <w:pPr>
                    <w:spacing w:after="160" w:line="278" w:lineRule="auto"/>
                    <w:rPr>
                      <w:b/>
                      <w:bCs/>
                    </w:rPr>
                  </w:pPr>
                  <w:r w:rsidRPr="00EA402C">
                    <w:rPr>
                      <w:b/>
                      <w:bCs/>
                    </w:rPr>
                    <w:t>Participatory design</w:t>
                  </w:r>
                </w:p>
              </w:tc>
              <w:tc>
                <w:tcPr>
                  <w:tcW w:w="0" w:type="auto"/>
                  <w:hideMark/>
                </w:tcPr>
                <w:p w14:paraId="0E0A687D" w14:textId="77777777" w:rsidR="00763B96" w:rsidRPr="00EA402C" w:rsidRDefault="00763B96" w:rsidP="00C31CF7">
                  <w:pPr>
                    <w:spacing w:after="160" w:line="278" w:lineRule="auto"/>
                    <w:rPr>
                      <w:b/>
                      <w:bCs/>
                    </w:rPr>
                  </w:pPr>
                  <w:r w:rsidRPr="00EA402C">
                    <w:rPr>
                      <w:b/>
                      <w:bCs/>
                    </w:rPr>
                    <w:t xml:space="preserve">Workshops with </w:t>
                  </w:r>
                  <w:proofErr w:type="spellStart"/>
                  <w:r w:rsidRPr="00EA402C">
                    <w:rPr>
                      <w:b/>
                      <w:bCs/>
                    </w:rPr>
                    <w:t>PwD</w:t>
                  </w:r>
                  <w:proofErr w:type="spellEnd"/>
                  <w:r w:rsidRPr="00EA402C">
                    <w:rPr>
                      <w:b/>
                      <w:bCs/>
                    </w:rPr>
                    <w:t xml:space="preserve"> + carers</w:t>
                  </w:r>
                </w:p>
              </w:tc>
              <w:tc>
                <w:tcPr>
                  <w:tcW w:w="0" w:type="auto"/>
                  <w:hideMark/>
                </w:tcPr>
                <w:p w14:paraId="40574319" w14:textId="77777777" w:rsidR="00763B96" w:rsidRPr="00EA402C" w:rsidRDefault="00763B96" w:rsidP="00C31CF7">
                  <w:pPr>
                    <w:spacing w:after="160" w:line="278" w:lineRule="auto"/>
                    <w:rPr>
                      <w:b/>
                      <w:bCs/>
                    </w:rPr>
                  </w:pPr>
                  <w:r w:rsidRPr="00EA402C">
                    <w:rPr>
                      <w:b/>
                      <w:bCs/>
                    </w:rPr>
                    <w:t>Strength: co-design. Limit: small groups.</w:t>
                  </w:r>
                </w:p>
              </w:tc>
              <w:tc>
                <w:tcPr>
                  <w:tcW w:w="0" w:type="auto"/>
                  <w:hideMark/>
                </w:tcPr>
                <w:p w14:paraId="6EB5FF0E" w14:textId="77777777" w:rsidR="00763B96" w:rsidRPr="00EA402C" w:rsidRDefault="00763B96" w:rsidP="00C31CF7">
                  <w:pPr>
                    <w:spacing w:after="160" w:line="278" w:lineRule="auto"/>
                    <w:rPr>
                      <w:b/>
                      <w:bCs/>
                    </w:rPr>
                  </w:pPr>
                  <w:r w:rsidRPr="00EA402C">
                    <w:rPr>
                      <w:b/>
                      <w:bCs/>
                    </w:rPr>
                    <w:t>Simple, colourful tools boosted social connection.</w:t>
                  </w:r>
                </w:p>
              </w:tc>
              <w:tc>
                <w:tcPr>
                  <w:tcW w:w="0" w:type="auto"/>
                  <w:hideMark/>
                </w:tcPr>
                <w:p w14:paraId="5706A848" w14:textId="77777777" w:rsidR="00763B96" w:rsidRPr="00EA402C" w:rsidRDefault="00763B96" w:rsidP="00C31CF7">
                  <w:pPr>
                    <w:spacing w:after="160" w:line="278" w:lineRule="auto"/>
                    <w:rPr>
                      <w:b/>
                      <w:bCs/>
                    </w:rPr>
                  </w:pPr>
                  <w:r w:rsidRPr="00EA402C">
                    <w:rPr>
                      <w:b/>
                      <w:bCs/>
                    </w:rPr>
                    <w:t>co-design, social interaction</w:t>
                  </w:r>
                </w:p>
              </w:tc>
              <w:tc>
                <w:tcPr>
                  <w:tcW w:w="0" w:type="auto"/>
                  <w:hideMark/>
                </w:tcPr>
                <w:p w14:paraId="3572B716" w14:textId="77777777" w:rsidR="00763B96" w:rsidRPr="00EA402C" w:rsidRDefault="00763B96" w:rsidP="00C31CF7">
                  <w:pPr>
                    <w:spacing w:after="160" w:line="278" w:lineRule="auto"/>
                    <w:rPr>
                      <w:b/>
                      <w:bCs/>
                    </w:rPr>
                  </w:pPr>
                  <w:r w:rsidRPr="00EA402C">
                    <w:rPr>
                      <w:b/>
                      <w:bCs/>
                    </w:rPr>
                    <w:t>Themes 1 &amp; 2</w:t>
                  </w:r>
                </w:p>
              </w:tc>
            </w:tr>
          </w:tbl>
          <w:p w14:paraId="04CF12E9" w14:textId="77777777" w:rsidR="00763B96" w:rsidRPr="00EA402C" w:rsidRDefault="00763B96" w:rsidP="00C31CF7"/>
        </w:tc>
      </w:tr>
    </w:tbl>
    <w:p w14:paraId="59FBFB7D" w14:textId="5D88062F" w:rsidR="0086570F" w:rsidRDefault="0086570F"/>
    <w:p w14:paraId="32EBCAB2" w14:textId="77777777" w:rsidR="0086570F" w:rsidRDefault="0086570F">
      <w:pPr>
        <w:pStyle w:val="Heading3"/>
      </w:pPr>
      <w:r>
        <w:rPr>
          <w:rStyle w:val="Strong"/>
          <w:b w:val="0"/>
          <w:bCs w:val="0"/>
        </w:rPr>
        <w:t>Appendix D – Coding Framework / Thematic Analysis Table</w:t>
      </w:r>
    </w:p>
    <w:p w14:paraId="1ACBD1CD" w14:textId="77777777" w:rsidR="0086570F" w:rsidRDefault="0086570F" w:rsidP="0086570F">
      <w:pPr>
        <w:pStyle w:val="NormalWeb"/>
        <w:numPr>
          <w:ilvl w:val="0"/>
          <w:numId w:val="148"/>
        </w:numPr>
      </w:pPr>
      <w:r>
        <w:t>Initial codes</w:t>
      </w:r>
    </w:p>
    <w:p w14:paraId="183C75B9" w14:textId="77777777" w:rsidR="0086570F" w:rsidRDefault="0086570F" w:rsidP="0086570F">
      <w:pPr>
        <w:pStyle w:val="NormalWeb"/>
        <w:numPr>
          <w:ilvl w:val="0"/>
          <w:numId w:val="148"/>
        </w:numPr>
      </w:pPr>
      <w:r>
        <w:t>Sub-codes</w:t>
      </w:r>
    </w:p>
    <w:p w14:paraId="627D0249" w14:textId="77777777" w:rsidR="0086570F" w:rsidRDefault="0086570F" w:rsidP="0086570F">
      <w:pPr>
        <w:pStyle w:val="NormalWeb"/>
        <w:numPr>
          <w:ilvl w:val="0"/>
          <w:numId w:val="148"/>
        </w:numPr>
      </w:pPr>
      <w:r>
        <w:t>Final themes (e.g. clinical outcomes, usability, equity)</w:t>
      </w:r>
    </w:p>
    <w:p w14:paraId="70CDA0AE" w14:textId="77777777" w:rsidR="0086570F" w:rsidRDefault="0086570F" w:rsidP="0086570F">
      <w:pPr>
        <w:pStyle w:val="NormalWeb"/>
        <w:numPr>
          <w:ilvl w:val="0"/>
          <w:numId w:val="148"/>
        </w:numPr>
      </w:pPr>
      <w:r>
        <w:t>Example quotes or summary points from included studies</w:t>
      </w:r>
    </w:p>
    <w:p w14:paraId="1B9A1E36" w14:textId="08F71825" w:rsidR="0086570F" w:rsidRDefault="0086570F">
      <w:pPr>
        <w:pStyle w:val="NormalWeb"/>
      </w:pPr>
      <w:r>
        <w:rPr>
          <w:rStyle w:val="Strong"/>
          <w:rFonts w:eastAsia="Calibri Light"/>
        </w:rPr>
        <w:t>Chapter 4 – Findings and Discussion</w:t>
      </w:r>
      <w:r>
        <w:t>.</w:t>
      </w:r>
    </w:p>
    <w:p w14:paraId="0285BFC8" w14:textId="77777777" w:rsidR="0086570F" w:rsidRDefault="0086570F">
      <w:r>
        <w:pict w14:anchorId="279E9B49">
          <v:rect id="_x0000_i1127" style="width:0;height:1.5pt" o:hralign="center" o:hrstd="t" o:hr="t" fillcolor="#a0a0a0" stroked="f"/>
        </w:pict>
      </w:r>
    </w:p>
    <w:p w14:paraId="601B1E0B" w14:textId="77777777" w:rsidR="0086570F" w:rsidRDefault="0086570F">
      <w:pPr>
        <w:pStyle w:val="Heading3"/>
      </w:pPr>
      <w:r>
        <w:rPr>
          <w:rStyle w:val="Strong"/>
          <w:b w:val="0"/>
          <w:bCs w:val="0"/>
        </w:rPr>
        <w:t>Appendix E – Ethics and Integrity Statement</w:t>
      </w:r>
    </w:p>
    <w:p w14:paraId="0B5C634B" w14:textId="77777777" w:rsidR="0086570F" w:rsidRDefault="0086570F">
      <w:pPr>
        <w:pStyle w:val="NormalWeb"/>
      </w:pPr>
      <w:r>
        <w:t>A short summary could include:</w:t>
      </w:r>
    </w:p>
    <w:p w14:paraId="7259EFD0" w14:textId="77777777" w:rsidR="0086570F" w:rsidRDefault="0086570F" w:rsidP="0086570F">
      <w:pPr>
        <w:pStyle w:val="NormalWeb"/>
        <w:numPr>
          <w:ilvl w:val="0"/>
          <w:numId w:val="149"/>
        </w:numPr>
      </w:pPr>
      <w:r>
        <w:t>Confirmation that only existing published sources were used</w:t>
      </w:r>
    </w:p>
    <w:p w14:paraId="7F51E7E8" w14:textId="77777777" w:rsidR="0086570F" w:rsidRDefault="0086570F" w:rsidP="0086570F">
      <w:pPr>
        <w:pStyle w:val="NormalWeb"/>
        <w:numPr>
          <w:ilvl w:val="0"/>
          <w:numId w:val="149"/>
        </w:numPr>
      </w:pPr>
      <w:r>
        <w:t>No primary data collection</w:t>
      </w:r>
    </w:p>
    <w:p w14:paraId="043ABE79" w14:textId="77777777" w:rsidR="0086570F" w:rsidRDefault="0086570F" w:rsidP="0086570F">
      <w:pPr>
        <w:pStyle w:val="NormalWeb"/>
        <w:numPr>
          <w:ilvl w:val="0"/>
          <w:numId w:val="149"/>
        </w:numPr>
      </w:pPr>
      <w:r>
        <w:t>No NHS/REC approval required</w:t>
      </w:r>
    </w:p>
    <w:p w14:paraId="5CA9DFED" w14:textId="77777777" w:rsidR="0086570F" w:rsidRDefault="0086570F" w:rsidP="0086570F">
      <w:pPr>
        <w:pStyle w:val="NormalWeb"/>
        <w:numPr>
          <w:ilvl w:val="0"/>
          <w:numId w:val="149"/>
        </w:numPr>
      </w:pPr>
      <w:r>
        <w:t>Use of Harvard referencing throughout</w:t>
      </w:r>
    </w:p>
    <w:p w14:paraId="7C007B3C" w14:textId="77777777" w:rsidR="0086570F" w:rsidRDefault="0086570F" w:rsidP="0086570F">
      <w:pPr>
        <w:pStyle w:val="NormalWeb"/>
        <w:numPr>
          <w:ilvl w:val="0"/>
          <w:numId w:val="149"/>
        </w:numPr>
      </w:pPr>
      <w:r>
        <w:t>Steps taken to avoid plagiarism and misinterpretation</w:t>
      </w:r>
    </w:p>
    <w:p w14:paraId="39849B77" w14:textId="77777777" w:rsidR="0086570F" w:rsidRDefault="0086570F">
      <w:r>
        <w:pict w14:anchorId="0AB80E33">
          <v:rect id="_x0000_i1128" style="width:0;height:1.5pt" o:hralign="center" o:hrstd="t" o:hr="t" fillcolor="#a0a0a0" stroked="f"/>
        </w:pict>
      </w:r>
    </w:p>
    <w:p w14:paraId="1E71B70C" w14:textId="0A6605E8" w:rsidR="0086570F" w:rsidRDefault="0086570F"/>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9B264" w14:textId="77777777" w:rsidR="0093466F" w:rsidRDefault="0093466F" w:rsidP="00211184">
      <w:pPr>
        <w:spacing w:after="0" w:line="240" w:lineRule="auto"/>
      </w:pPr>
      <w:r>
        <w:separator/>
      </w:r>
    </w:p>
  </w:endnote>
  <w:endnote w:type="continuationSeparator" w:id="0">
    <w:p w14:paraId="07902C18" w14:textId="77777777" w:rsidR="0093466F" w:rsidRDefault="0093466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1757F" w14:textId="77777777" w:rsidR="0093466F" w:rsidRDefault="0093466F" w:rsidP="00211184">
      <w:pPr>
        <w:spacing w:after="0" w:line="240" w:lineRule="auto"/>
      </w:pPr>
      <w:r>
        <w:separator/>
      </w:r>
    </w:p>
  </w:footnote>
  <w:footnote w:type="continuationSeparator" w:id="0">
    <w:p w14:paraId="0072FD74" w14:textId="77777777" w:rsidR="0093466F" w:rsidRDefault="0093466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E17F2"/>
    <w:multiLevelType w:val="multilevel"/>
    <w:tmpl w:val="AB9E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931921"/>
    <w:multiLevelType w:val="multilevel"/>
    <w:tmpl w:val="5C185FAC"/>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4" w15:restartNumberingAfterBreak="0">
    <w:nsid w:val="02C27C7A"/>
    <w:multiLevelType w:val="multilevel"/>
    <w:tmpl w:val="48D22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3BA317A"/>
    <w:multiLevelType w:val="multilevel"/>
    <w:tmpl w:val="A7DAD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55B2A9B"/>
    <w:multiLevelType w:val="multilevel"/>
    <w:tmpl w:val="4912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5925EA3"/>
    <w:multiLevelType w:val="multilevel"/>
    <w:tmpl w:val="D38A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5997A53"/>
    <w:multiLevelType w:val="multilevel"/>
    <w:tmpl w:val="3B8A6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080F607A"/>
    <w:multiLevelType w:val="multilevel"/>
    <w:tmpl w:val="C178C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0A7014F5"/>
    <w:multiLevelType w:val="multilevel"/>
    <w:tmpl w:val="7532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ABA34A4"/>
    <w:multiLevelType w:val="multilevel"/>
    <w:tmpl w:val="59A0B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AD37D6B"/>
    <w:multiLevelType w:val="multilevel"/>
    <w:tmpl w:val="99141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B4E5ED8"/>
    <w:multiLevelType w:val="multilevel"/>
    <w:tmpl w:val="BBAE9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0D8A1150"/>
    <w:multiLevelType w:val="multilevel"/>
    <w:tmpl w:val="B2A63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0E557BB3"/>
    <w:multiLevelType w:val="multilevel"/>
    <w:tmpl w:val="951CD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14E53D39"/>
    <w:multiLevelType w:val="multilevel"/>
    <w:tmpl w:val="F656F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158B320E"/>
    <w:multiLevelType w:val="multilevel"/>
    <w:tmpl w:val="11F09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A195A85"/>
    <w:multiLevelType w:val="multilevel"/>
    <w:tmpl w:val="B6847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ADA4902"/>
    <w:multiLevelType w:val="multilevel"/>
    <w:tmpl w:val="2ED0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B0F4F33"/>
    <w:multiLevelType w:val="multilevel"/>
    <w:tmpl w:val="3E989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45"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46"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1D6D1224"/>
    <w:multiLevelType w:val="multilevel"/>
    <w:tmpl w:val="66962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DA33962"/>
    <w:multiLevelType w:val="multilevel"/>
    <w:tmpl w:val="29F2A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1F537584"/>
    <w:multiLevelType w:val="multilevel"/>
    <w:tmpl w:val="43268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20A05FFD"/>
    <w:multiLevelType w:val="multilevel"/>
    <w:tmpl w:val="588A1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2B11DDC"/>
    <w:multiLevelType w:val="multilevel"/>
    <w:tmpl w:val="57D01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9"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5544BE0"/>
    <w:multiLevelType w:val="multilevel"/>
    <w:tmpl w:val="3DFE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2A913830"/>
    <w:multiLevelType w:val="multilevel"/>
    <w:tmpl w:val="801E8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ABA6FAC"/>
    <w:multiLevelType w:val="multilevel"/>
    <w:tmpl w:val="B05C2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B383B1A"/>
    <w:multiLevelType w:val="multilevel"/>
    <w:tmpl w:val="4D1C9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C1B4E67"/>
    <w:multiLevelType w:val="multilevel"/>
    <w:tmpl w:val="1A1AA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2DA00738"/>
    <w:multiLevelType w:val="multilevel"/>
    <w:tmpl w:val="65C2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2E187AB8"/>
    <w:multiLevelType w:val="multilevel"/>
    <w:tmpl w:val="68AC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305B4452"/>
    <w:multiLevelType w:val="multilevel"/>
    <w:tmpl w:val="7F823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5B513F0"/>
    <w:multiLevelType w:val="multilevel"/>
    <w:tmpl w:val="233AF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69827A1"/>
    <w:multiLevelType w:val="multilevel"/>
    <w:tmpl w:val="11E4D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7D056DF"/>
    <w:multiLevelType w:val="multilevel"/>
    <w:tmpl w:val="CCF67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38635D50"/>
    <w:multiLevelType w:val="multilevel"/>
    <w:tmpl w:val="21C8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38D9149C"/>
    <w:multiLevelType w:val="multilevel"/>
    <w:tmpl w:val="C152E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3BF03918"/>
    <w:multiLevelType w:val="multilevel"/>
    <w:tmpl w:val="40406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3D330C65"/>
    <w:multiLevelType w:val="multilevel"/>
    <w:tmpl w:val="82D80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3DCE3F81"/>
    <w:multiLevelType w:val="multilevel"/>
    <w:tmpl w:val="D0748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3E4E67B9"/>
    <w:multiLevelType w:val="multilevel"/>
    <w:tmpl w:val="FA8E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0816631"/>
    <w:multiLevelType w:val="multilevel"/>
    <w:tmpl w:val="5456D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0BB1774"/>
    <w:multiLevelType w:val="multilevel"/>
    <w:tmpl w:val="E8023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3" w15:restartNumberingAfterBreak="0">
    <w:nsid w:val="41DF4CEE"/>
    <w:multiLevelType w:val="multilevel"/>
    <w:tmpl w:val="18223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1F76BB4"/>
    <w:multiLevelType w:val="multilevel"/>
    <w:tmpl w:val="454CF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425741DA"/>
    <w:multiLevelType w:val="multilevel"/>
    <w:tmpl w:val="0A36F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42C95804"/>
    <w:multiLevelType w:val="multilevel"/>
    <w:tmpl w:val="CAE8B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32D5AFC"/>
    <w:multiLevelType w:val="multilevel"/>
    <w:tmpl w:val="7C72A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443B6054"/>
    <w:multiLevelType w:val="multilevel"/>
    <w:tmpl w:val="9E00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44DA3527"/>
    <w:multiLevelType w:val="multilevel"/>
    <w:tmpl w:val="9594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45836816"/>
    <w:multiLevelType w:val="multilevel"/>
    <w:tmpl w:val="BE3EF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4661277F"/>
    <w:multiLevelType w:val="multilevel"/>
    <w:tmpl w:val="DE5AB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46C4059E"/>
    <w:multiLevelType w:val="multilevel"/>
    <w:tmpl w:val="46964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9" w15:restartNumberingAfterBreak="0">
    <w:nsid w:val="48813684"/>
    <w:multiLevelType w:val="multilevel"/>
    <w:tmpl w:val="34864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2" w15:restartNumberingAfterBreak="0">
    <w:nsid w:val="4A462AD5"/>
    <w:multiLevelType w:val="multilevel"/>
    <w:tmpl w:val="F41E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4B9607E0"/>
    <w:multiLevelType w:val="multilevel"/>
    <w:tmpl w:val="A162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4C0065CE"/>
    <w:multiLevelType w:val="multilevel"/>
    <w:tmpl w:val="DC70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8"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4F4B3BAB"/>
    <w:multiLevelType w:val="multilevel"/>
    <w:tmpl w:val="A850A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52401B2D"/>
    <w:multiLevelType w:val="multilevel"/>
    <w:tmpl w:val="8A50A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8" w15:restartNumberingAfterBreak="0">
    <w:nsid w:val="549228F2"/>
    <w:multiLevelType w:val="multilevel"/>
    <w:tmpl w:val="2700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1"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3" w15:restartNumberingAfterBreak="0">
    <w:nsid w:val="56BC2287"/>
    <w:multiLevelType w:val="multilevel"/>
    <w:tmpl w:val="90825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1"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5D6255D7"/>
    <w:multiLevelType w:val="multilevel"/>
    <w:tmpl w:val="AEEAF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5"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5EB9337E"/>
    <w:multiLevelType w:val="multilevel"/>
    <w:tmpl w:val="5462C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8"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612B6DA5"/>
    <w:multiLevelType w:val="multilevel"/>
    <w:tmpl w:val="31B20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1" w15:restartNumberingAfterBreak="0">
    <w:nsid w:val="62D2518C"/>
    <w:multiLevelType w:val="multilevel"/>
    <w:tmpl w:val="54F48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62E41CC5"/>
    <w:multiLevelType w:val="multilevel"/>
    <w:tmpl w:val="E466B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9" w15:restartNumberingAfterBreak="0">
    <w:nsid w:val="65DB5B34"/>
    <w:multiLevelType w:val="multilevel"/>
    <w:tmpl w:val="2B76B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2" w15:restartNumberingAfterBreak="0">
    <w:nsid w:val="68677B2A"/>
    <w:multiLevelType w:val="multilevel"/>
    <w:tmpl w:val="8E4EA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4"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6A9E709A"/>
    <w:multiLevelType w:val="multilevel"/>
    <w:tmpl w:val="0880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6BC665DC"/>
    <w:multiLevelType w:val="multilevel"/>
    <w:tmpl w:val="EBC2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6CD86950"/>
    <w:multiLevelType w:val="multilevel"/>
    <w:tmpl w:val="CACEF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6D885070"/>
    <w:multiLevelType w:val="multilevel"/>
    <w:tmpl w:val="216A2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6DDC5882"/>
    <w:multiLevelType w:val="multilevel"/>
    <w:tmpl w:val="8AAEA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6"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72BC5E71"/>
    <w:multiLevelType w:val="multilevel"/>
    <w:tmpl w:val="D0143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747213F2"/>
    <w:multiLevelType w:val="multilevel"/>
    <w:tmpl w:val="E3BC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74E079EA"/>
    <w:multiLevelType w:val="multilevel"/>
    <w:tmpl w:val="929AB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5" w15:restartNumberingAfterBreak="0">
    <w:nsid w:val="77BA72EE"/>
    <w:multiLevelType w:val="multilevel"/>
    <w:tmpl w:val="E7D4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7"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8"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2" w15:restartNumberingAfterBreak="0">
    <w:nsid w:val="790B5EB5"/>
    <w:multiLevelType w:val="multilevel"/>
    <w:tmpl w:val="36B6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4"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5"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7"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8"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9"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0"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1" w15:restartNumberingAfterBreak="0">
    <w:nsid w:val="7D8E006E"/>
    <w:multiLevelType w:val="multilevel"/>
    <w:tmpl w:val="6FE2A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7EF24FDA"/>
    <w:multiLevelType w:val="multilevel"/>
    <w:tmpl w:val="4870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7F2D2DCA"/>
    <w:multiLevelType w:val="multilevel"/>
    <w:tmpl w:val="DA1C1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7F6A53DC"/>
    <w:multiLevelType w:val="multilevel"/>
    <w:tmpl w:val="CDDC0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7F7C0232"/>
    <w:multiLevelType w:val="multilevel"/>
    <w:tmpl w:val="C75A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7FC57D60"/>
    <w:multiLevelType w:val="multilevel"/>
    <w:tmpl w:val="4A2A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59"/>
  </w:num>
  <w:num w:numId="2" w16cid:durableId="1790927071">
    <w:abstractNumId w:val="44"/>
  </w:num>
  <w:num w:numId="3" w16cid:durableId="1092819689">
    <w:abstractNumId w:val="211"/>
  </w:num>
  <w:num w:numId="4" w16cid:durableId="1500121260">
    <w:abstractNumId w:val="130"/>
  </w:num>
  <w:num w:numId="5" w16cid:durableId="438111508">
    <w:abstractNumId w:val="197"/>
  </w:num>
  <w:num w:numId="6" w16cid:durableId="106121269">
    <w:abstractNumId w:val="36"/>
  </w:num>
  <w:num w:numId="7" w16cid:durableId="1859468656">
    <w:abstractNumId w:val="218"/>
  </w:num>
  <w:num w:numId="8" w16cid:durableId="407923627">
    <w:abstractNumId w:val="216"/>
  </w:num>
  <w:num w:numId="9" w16cid:durableId="1173763238">
    <w:abstractNumId w:val="155"/>
  </w:num>
  <w:num w:numId="10" w16cid:durableId="515197422">
    <w:abstractNumId w:val="106"/>
  </w:num>
  <w:num w:numId="11" w16cid:durableId="650984044">
    <w:abstractNumId w:val="29"/>
  </w:num>
  <w:num w:numId="12" w16cid:durableId="676225712">
    <w:abstractNumId w:val="204"/>
  </w:num>
  <w:num w:numId="13" w16cid:durableId="654647421">
    <w:abstractNumId w:val="152"/>
  </w:num>
  <w:num w:numId="14" w16cid:durableId="972827862">
    <w:abstractNumId w:val="157"/>
  </w:num>
  <w:num w:numId="15" w16cid:durableId="73359902">
    <w:abstractNumId w:val="103"/>
  </w:num>
  <w:num w:numId="16" w16cid:durableId="1233615214">
    <w:abstractNumId w:val="25"/>
  </w:num>
  <w:num w:numId="17" w16cid:durableId="1037585576">
    <w:abstractNumId w:val="214"/>
  </w:num>
  <w:num w:numId="18" w16cid:durableId="1454127918">
    <w:abstractNumId w:val="181"/>
  </w:num>
  <w:num w:numId="19" w16cid:durableId="1655717882">
    <w:abstractNumId w:val="67"/>
  </w:num>
  <w:num w:numId="20" w16cid:durableId="679818721">
    <w:abstractNumId w:val="16"/>
  </w:num>
  <w:num w:numId="21" w16cid:durableId="820851363">
    <w:abstractNumId w:val="7"/>
  </w:num>
  <w:num w:numId="22" w16cid:durableId="1752123437">
    <w:abstractNumId w:val="138"/>
  </w:num>
  <w:num w:numId="23" w16cid:durableId="776406381">
    <w:abstractNumId w:val="23"/>
  </w:num>
  <w:num w:numId="24" w16cid:durableId="2003772795">
    <w:abstractNumId w:val="219"/>
  </w:num>
  <w:num w:numId="25" w16cid:durableId="471214588">
    <w:abstractNumId w:val="21"/>
  </w:num>
  <w:num w:numId="26" w16cid:durableId="747188340">
    <w:abstractNumId w:val="195"/>
  </w:num>
  <w:num w:numId="27" w16cid:durableId="1617635105">
    <w:abstractNumId w:val="43"/>
  </w:num>
  <w:num w:numId="28" w16cid:durableId="1919750537">
    <w:abstractNumId w:val="207"/>
  </w:num>
  <w:num w:numId="29" w16cid:durableId="1917666381">
    <w:abstractNumId w:val="12"/>
  </w:num>
  <w:num w:numId="30" w16cid:durableId="836925604">
    <w:abstractNumId w:val="180"/>
  </w:num>
  <w:num w:numId="31" w16cid:durableId="881479433">
    <w:abstractNumId w:val="158"/>
  </w:num>
  <w:num w:numId="32" w16cid:durableId="164788852">
    <w:abstractNumId w:val="164"/>
  </w:num>
  <w:num w:numId="33" w16cid:durableId="735323509">
    <w:abstractNumId w:val="33"/>
  </w:num>
  <w:num w:numId="34" w16cid:durableId="1000431254">
    <w:abstractNumId w:val="101"/>
  </w:num>
  <w:num w:numId="35" w16cid:durableId="434404662">
    <w:abstractNumId w:val="51"/>
  </w:num>
  <w:num w:numId="36" w16cid:durableId="792409853">
    <w:abstractNumId w:val="127"/>
  </w:num>
  <w:num w:numId="37" w16cid:durableId="70469880">
    <w:abstractNumId w:val="136"/>
  </w:num>
  <w:num w:numId="38" w16cid:durableId="1255548974">
    <w:abstractNumId w:val="117"/>
  </w:num>
  <w:num w:numId="39" w16cid:durableId="509951972">
    <w:abstractNumId w:val="82"/>
  </w:num>
  <w:num w:numId="40" w16cid:durableId="1491873496">
    <w:abstractNumId w:val="146"/>
  </w:num>
  <w:num w:numId="41" w16cid:durableId="1277179892">
    <w:abstractNumId w:val="163"/>
  </w:num>
  <w:num w:numId="42" w16cid:durableId="1137721610">
    <w:abstractNumId w:val="137"/>
  </w:num>
  <w:num w:numId="43" w16cid:durableId="1569337486">
    <w:abstractNumId w:val="220"/>
  </w:num>
  <w:num w:numId="44" w16cid:durableId="1771851078">
    <w:abstractNumId w:val="13"/>
  </w:num>
  <w:num w:numId="45" w16cid:durableId="1096747610">
    <w:abstractNumId w:val="49"/>
  </w:num>
  <w:num w:numId="46" w16cid:durableId="1853105471">
    <w:abstractNumId w:val="183"/>
  </w:num>
  <w:num w:numId="47" w16cid:durableId="2016615092">
    <w:abstractNumId w:val="128"/>
  </w:num>
  <w:num w:numId="48" w16cid:durableId="439030946">
    <w:abstractNumId w:val="159"/>
  </w:num>
  <w:num w:numId="49" w16cid:durableId="315690756">
    <w:abstractNumId w:val="84"/>
  </w:num>
  <w:num w:numId="50" w16cid:durableId="1252278660">
    <w:abstractNumId w:val="28"/>
  </w:num>
  <w:num w:numId="51" w16cid:durableId="1719351677">
    <w:abstractNumId w:val="170"/>
  </w:num>
  <w:num w:numId="52" w16cid:durableId="1107427397">
    <w:abstractNumId w:val="57"/>
  </w:num>
  <w:num w:numId="53" w16cid:durableId="371266753">
    <w:abstractNumId w:val="160"/>
  </w:num>
  <w:num w:numId="54" w16cid:durableId="491869272">
    <w:abstractNumId w:val="65"/>
  </w:num>
  <w:num w:numId="55" w16cid:durableId="1351251430">
    <w:abstractNumId w:val="167"/>
  </w:num>
  <w:num w:numId="56" w16cid:durableId="1368607436">
    <w:abstractNumId w:val="210"/>
  </w:num>
  <w:num w:numId="57" w16cid:durableId="1588029100">
    <w:abstractNumId w:val="217"/>
  </w:num>
  <w:num w:numId="58" w16cid:durableId="415832180">
    <w:abstractNumId w:val="198"/>
  </w:num>
  <w:num w:numId="59" w16cid:durableId="1178735139">
    <w:abstractNumId w:val="104"/>
  </w:num>
  <w:num w:numId="60" w16cid:durableId="721834200">
    <w:abstractNumId w:val="131"/>
  </w:num>
  <w:num w:numId="61" w16cid:durableId="686251813">
    <w:abstractNumId w:val="5"/>
  </w:num>
  <w:num w:numId="62" w16cid:durableId="1960641414">
    <w:abstractNumId w:val="31"/>
  </w:num>
  <w:num w:numId="63" w16cid:durableId="39089564">
    <w:abstractNumId w:val="115"/>
  </w:num>
  <w:num w:numId="64" w16cid:durableId="1192718157">
    <w:abstractNumId w:val="46"/>
  </w:num>
  <w:num w:numId="65" w16cid:durableId="1777825955">
    <w:abstractNumId w:val="173"/>
  </w:num>
  <w:num w:numId="66" w16cid:durableId="286199487">
    <w:abstractNumId w:val="60"/>
  </w:num>
  <w:num w:numId="67" w16cid:durableId="1119490663">
    <w:abstractNumId w:val="144"/>
  </w:num>
  <w:num w:numId="68" w16cid:durableId="1353922786">
    <w:abstractNumId w:val="77"/>
  </w:num>
  <w:num w:numId="69" w16cid:durableId="492723980">
    <w:abstractNumId w:val="150"/>
  </w:num>
  <w:num w:numId="70" w16cid:durableId="526941613">
    <w:abstractNumId w:val="78"/>
  </w:num>
  <w:num w:numId="71" w16cid:durableId="320043301">
    <w:abstractNumId w:val="147"/>
  </w:num>
  <w:num w:numId="72" w16cid:durableId="2037610982">
    <w:abstractNumId w:val="15"/>
  </w:num>
  <w:num w:numId="73" w16cid:durableId="1079794559">
    <w:abstractNumId w:val="96"/>
  </w:num>
  <w:num w:numId="74" w16cid:durableId="503403534">
    <w:abstractNumId w:val="80"/>
  </w:num>
  <w:num w:numId="75" w16cid:durableId="194734275">
    <w:abstractNumId w:val="27"/>
  </w:num>
  <w:num w:numId="76" w16cid:durableId="424033359">
    <w:abstractNumId w:val="112"/>
  </w:num>
  <w:num w:numId="77" w16cid:durableId="1335066293">
    <w:abstractNumId w:val="191"/>
  </w:num>
  <w:num w:numId="78" w16cid:durableId="662587085">
    <w:abstractNumId w:val="86"/>
  </w:num>
  <w:num w:numId="79" w16cid:durableId="2071072074">
    <w:abstractNumId w:val="178"/>
  </w:num>
  <w:num w:numId="80" w16cid:durableId="1573662111">
    <w:abstractNumId w:val="213"/>
  </w:num>
  <w:num w:numId="81" w16cid:durableId="131678057">
    <w:abstractNumId w:val="199"/>
  </w:num>
  <w:num w:numId="82" w16cid:durableId="2103643901">
    <w:abstractNumId w:val="177"/>
  </w:num>
  <w:num w:numId="83" w16cid:durableId="99565733">
    <w:abstractNumId w:val="63"/>
  </w:num>
  <w:num w:numId="84" w16cid:durableId="834734195">
    <w:abstractNumId w:val="45"/>
  </w:num>
  <w:num w:numId="85" w16cid:durableId="1810784339">
    <w:abstractNumId w:val="156"/>
  </w:num>
  <w:num w:numId="86" w16cid:durableId="294062445">
    <w:abstractNumId w:val="151"/>
  </w:num>
  <w:num w:numId="87" w16cid:durableId="461116587">
    <w:abstractNumId w:val="165"/>
  </w:num>
  <w:num w:numId="88" w16cid:durableId="1771701466">
    <w:abstractNumId w:val="34"/>
  </w:num>
  <w:num w:numId="89" w16cid:durableId="458109583">
    <w:abstractNumId w:val="85"/>
  </w:num>
  <w:num w:numId="90" w16cid:durableId="1118372837">
    <w:abstractNumId w:val="176"/>
  </w:num>
  <w:num w:numId="91" w16cid:durableId="928196919">
    <w:abstractNumId w:val="88"/>
  </w:num>
  <w:num w:numId="92" w16cid:durableId="540751746">
    <w:abstractNumId w:val="26"/>
  </w:num>
  <w:num w:numId="93" w16cid:durableId="1732345686">
    <w:abstractNumId w:val="66"/>
  </w:num>
  <w:num w:numId="94" w16cid:durableId="1491748033">
    <w:abstractNumId w:val="175"/>
  </w:num>
  <w:num w:numId="95" w16cid:durableId="670565925">
    <w:abstractNumId w:val="39"/>
  </w:num>
  <w:num w:numId="96" w16cid:durableId="920025912">
    <w:abstractNumId w:val="52"/>
  </w:num>
  <w:num w:numId="97" w16cid:durableId="385184188">
    <w:abstractNumId w:val="38"/>
  </w:num>
  <w:num w:numId="98" w16cid:durableId="433670804">
    <w:abstractNumId w:val="184"/>
  </w:num>
  <w:num w:numId="99" w16cid:durableId="1986471659">
    <w:abstractNumId w:val="143"/>
  </w:num>
  <w:num w:numId="100" w16cid:durableId="384569146">
    <w:abstractNumId w:val="109"/>
  </w:num>
  <w:num w:numId="101" w16cid:durableId="211696971">
    <w:abstractNumId w:val="61"/>
  </w:num>
  <w:num w:numId="102" w16cid:durableId="1773429901">
    <w:abstractNumId w:val="100"/>
  </w:num>
  <w:num w:numId="103" w16cid:durableId="1313095327">
    <w:abstractNumId w:val="81"/>
  </w:num>
  <w:num w:numId="104" w16cid:durableId="520290349">
    <w:abstractNumId w:val="62"/>
  </w:num>
  <w:num w:numId="105" w16cid:durableId="1512571936">
    <w:abstractNumId w:val="196"/>
  </w:num>
  <w:num w:numId="106" w16cid:durableId="804733676">
    <w:abstractNumId w:val="70"/>
  </w:num>
  <w:num w:numId="107" w16cid:durableId="488864096">
    <w:abstractNumId w:val="192"/>
  </w:num>
  <w:num w:numId="108" w16cid:durableId="1599749197">
    <w:abstractNumId w:val="99"/>
  </w:num>
  <w:num w:numId="109" w16cid:durableId="1729497930">
    <w:abstractNumId w:val="90"/>
  </w:num>
  <w:num w:numId="110" w16cid:durableId="202600046">
    <w:abstractNumId w:val="140"/>
  </w:num>
  <w:num w:numId="111" w16cid:durableId="705715569">
    <w:abstractNumId w:val="89"/>
  </w:num>
  <w:num w:numId="112" w16cid:durableId="1726679607">
    <w:abstractNumId w:val="55"/>
  </w:num>
  <w:num w:numId="113" w16cid:durableId="1630209448">
    <w:abstractNumId w:val="120"/>
  </w:num>
  <w:num w:numId="114" w16cid:durableId="928663234">
    <w:abstractNumId w:val="149"/>
  </w:num>
  <w:num w:numId="115" w16cid:durableId="1492596474">
    <w:abstractNumId w:val="154"/>
  </w:num>
  <w:num w:numId="116" w16cid:durableId="801120737">
    <w:abstractNumId w:val="133"/>
  </w:num>
  <w:num w:numId="117" w16cid:durableId="214050367">
    <w:abstractNumId w:val="194"/>
  </w:num>
  <w:num w:numId="118" w16cid:durableId="119765671">
    <w:abstractNumId w:val="74"/>
  </w:num>
  <w:num w:numId="119" w16cid:durableId="655495887">
    <w:abstractNumId w:val="79"/>
  </w:num>
  <w:num w:numId="120" w16cid:durableId="329139902">
    <w:abstractNumId w:val="87"/>
  </w:num>
  <w:num w:numId="121" w16cid:durableId="2017072952">
    <w:abstractNumId w:val="168"/>
  </w:num>
  <w:num w:numId="122" w16cid:durableId="58405484">
    <w:abstractNumId w:val="72"/>
  </w:num>
  <w:num w:numId="123" w16cid:durableId="1817530714">
    <w:abstractNumId w:val="35"/>
  </w:num>
  <w:num w:numId="124" w16cid:durableId="2141336387">
    <w:abstractNumId w:val="142"/>
  </w:num>
  <w:num w:numId="125" w16cid:durableId="1325282792">
    <w:abstractNumId w:val="8"/>
  </w:num>
  <w:num w:numId="126" w16cid:durableId="1319654748">
    <w:abstractNumId w:val="174"/>
  </w:num>
  <w:num w:numId="127" w16cid:durableId="1431050858">
    <w:abstractNumId w:val="93"/>
  </w:num>
  <w:num w:numId="128" w16cid:durableId="1905674203">
    <w:abstractNumId w:val="209"/>
  </w:num>
  <w:num w:numId="129" w16cid:durableId="1172839593">
    <w:abstractNumId w:val="139"/>
  </w:num>
  <w:num w:numId="130" w16cid:durableId="556555801">
    <w:abstractNumId w:val="2"/>
  </w:num>
  <w:num w:numId="131" w16cid:durableId="1903828627">
    <w:abstractNumId w:val="37"/>
  </w:num>
  <w:num w:numId="132" w16cid:durableId="281425930">
    <w:abstractNumId w:val="126"/>
  </w:num>
  <w:num w:numId="133" w16cid:durableId="218833604">
    <w:abstractNumId w:val="54"/>
  </w:num>
  <w:num w:numId="134" w16cid:durableId="1947999269">
    <w:abstractNumId w:val="208"/>
  </w:num>
  <w:num w:numId="135" w16cid:durableId="1491553762">
    <w:abstractNumId w:val="92"/>
  </w:num>
  <w:num w:numId="136" w16cid:durableId="965625632">
    <w:abstractNumId w:val="187"/>
  </w:num>
  <w:num w:numId="137" w16cid:durableId="1420058146">
    <w:abstractNumId w:val="161"/>
  </w:num>
  <w:num w:numId="138" w16cid:durableId="829950104">
    <w:abstractNumId w:val="203"/>
  </w:num>
  <w:num w:numId="139" w16cid:durableId="1481145624">
    <w:abstractNumId w:val="223"/>
  </w:num>
  <w:num w:numId="140" w16cid:durableId="29957555">
    <w:abstractNumId w:val="215"/>
  </w:num>
  <w:num w:numId="141" w16cid:durableId="1042821728">
    <w:abstractNumId w:val="193"/>
  </w:num>
  <w:num w:numId="142" w16cid:durableId="1995062474">
    <w:abstractNumId w:val="0"/>
  </w:num>
  <w:num w:numId="143" w16cid:durableId="633143735">
    <w:abstractNumId w:val="206"/>
  </w:num>
  <w:num w:numId="144" w16cid:durableId="1100951892">
    <w:abstractNumId w:val="58"/>
  </w:num>
  <w:num w:numId="145" w16cid:durableId="816186807">
    <w:abstractNumId w:val="76"/>
  </w:num>
  <w:num w:numId="146" w16cid:durableId="558246203">
    <w:abstractNumId w:val="222"/>
  </w:num>
  <w:num w:numId="147" w16cid:durableId="1953317238">
    <w:abstractNumId w:val="185"/>
  </w:num>
  <w:num w:numId="148" w16cid:durableId="1405058574">
    <w:abstractNumId w:val="17"/>
  </w:num>
  <w:num w:numId="149" w16cid:durableId="84886266">
    <w:abstractNumId w:val="111"/>
  </w:num>
  <w:num w:numId="150" w16cid:durableId="1790539983">
    <w:abstractNumId w:val="121"/>
  </w:num>
  <w:num w:numId="151" w16cid:durableId="179467318">
    <w:abstractNumId w:val="202"/>
  </w:num>
  <w:num w:numId="152" w16cid:durableId="791899599">
    <w:abstractNumId w:val="24"/>
  </w:num>
  <w:num w:numId="153" w16cid:durableId="814760144">
    <w:abstractNumId w:val="221"/>
  </w:num>
  <w:num w:numId="154" w16cid:durableId="723792570">
    <w:abstractNumId w:val="47"/>
  </w:num>
  <w:num w:numId="155" w16cid:durableId="1622806627">
    <w:abstractNumId w:val="118"/>
  </w:num>
  <w:num w:numId="156" w16cid:durableId="1910460399">
    <w:abstractNumId w:val="179"/>
  </w:num>
  <w:num w:numId="157" w16cid:durableId="728266542">
    <w:abstractNumId w:val="110"/>
  </w:num>
  <w:num w:numId="158" w16cid:durableId="1871185623">
    <w:abstractNumId w:val="116"/>
  </w:num>
  <w:num w:numId="159" w16cid:durableId="861286300">
    <w:abstractNumId w:val="22"/>
  </w:num>
  <w:num w:numId="160" w16cid:durableId="459885497">
    <w:abstractNumId w:val="71"/>
  </w:num>
  <w:num w:numId="161" w16cid:durableId="1559903789">
    <w:abstractNumId w:val="114"/>
  </w:num>
  <w:num w:numId="162" w16cid:durableId="561603197">
    <w:abstractNumId w:val="225"/>
  </w:num>
  <w:num w:numId="163" w16cid:durableId="890504927">
    <w:abstractNumId w:val="40"/>
  </w:num>
  <w:num w:numId="164" w16cid:durableId="2040815286">
    <w:abstractNumId w:val="94"/>
  </w:num>
  <w:num w:numId="165" w16cid:durableId="276721148">
    <w:abstractNumId w:val="64"/>
  </w:num>
  <w:num w:numId="166" w16cid:durableId="974722332">
    <w:abstractNumId w:val="108"/>
  </w:num>
  <w:num w:numId="167" w16cid:durableId="1154106591">
    <w:abstractNumId w:val="212"/>
  </w:num>
  <w:num w:numId="168" w16cid:durableId="1545629586">
    <w:abstractNumId w:val="182"/>
  </w:num>
  <w:num w:numId="169" w16cid:durableId="965888136">
    <w:abstractNumId w:val="1"/>
  </w:num>
  <w:num w:numId="170" w16cid:durableId="1475030142">
    <w:abstractNumId w:val="113"/>
  </w:num>
  <w:num w:numId="171" w16cid:durableId="948394020">
    <w:abstractNumId w:val="73"/>
  </w:num>
  <w:num w:numId="172" w16cid:durableId="2016178907">
    <w:abstractNumId w:val="41"/>
  </w:num>
  <w:num w:numId="173" w16cid:durableId="944775954">
    <w:abstractNumId w:val="226"/>
  </w:num>
  <w:num w:numId="174" w16cid:durableId="1273051406">
    <w:abstractNumId w:val="56"/>
  </w:num>
  <w:num w:numId="175" w16cid:durableId="1110392485">
    <w:abstractNumId w:val="48"/>
  </w:num>
  <w:num w:numId="176" w16cid:durableId="237135637">
    <w:abstractNumId w:val="132"/>
  </w:num>
  <w:num w:numId="177" w16cid:durableId="701711124">
    <w:abstractNumId w:val="189"/>
  </w:num>
  <w:num w:numId="178" w16cid:durableId="714933166">
    <w:abstractNumId w:val="18"/>
  </w:num>
  <w:num w:numId="179" w16cid:durableId="698240681">
    <w:abstractNumId w:val="166"/>
  </w:num>
  <w:num w:numId="180" w16cid:durableId="1468668995">
    <w:abstractNumId w:val="3"/>
  </w:num>
  <w:num w:numId="181" w16cid:durableId="1521971721">
    <w:abstractNumId w:val="224"/>
  </w:num>
  <w:num w:numId="182" w16cid:durableId="379211117">
    <w:abstractNumId w:val="42"/>
  </w:num>
  <w:num w:numId="183" w16cid:durableId="1582134574">
    <w:abstractNumId w:val="14"/>
  </w:num>
  <w:num w:numId="184" w16cid:durableId="2114006751">
    <w:abstractNumId w:val="75"/>
  </w:num>
  <w:num w:numId="185" w16cid:durableId="575938311">
    <w:abstractNumId w:val="172"/>
  </w:num>
  <w:num w:numId="186" w16cid:durableId="1313489058">
    <w:abstractNumId w:val="19"/>
  </w:num>
  <w:num w:numId="187" w16cid:durableId="1127163563">
    <w:abstractNumId w:val="97"/>
  </w:num>
  <w:num w:numId="188" w16cid:durableId="1890874233">
    <w:abstractNumId w:val="95"/>
  </w:num>
  <w:num w:numId="189" w16cid:durableId="1338195258">
    <w:abstractNumId w:val="129"/>
  </w:num>
  <w:num w:numId="190" w16cid:durableId="1621306175">
    <w:abstractNumId w:val="30"/>
  </w:num>
  <w:num w:numId="191" w16cid:durableId="2038508605">
    <w:abstractNumId w:val="102"/>
  </w:num>
  <w:num w:numId="192" w16cid:durableId="2040620503">
    <w:abstractNumId w:val="141"/>
  </w:num>
  <w:num w:numId="193" w16cid:durableId="1356734454">
    <w:abstractNumId w:val="124"/>
  </w:num>
  <w:num w:numId="194" w16cid:durableId="556891356">
    <w:abstractNumId w:val="134"/>
  </w:num>
  <w:num w:numId="195" w16cid:durableId="216549261">
    <w:abstractNumId w:val="123"/>
  </w:num>
  <w:num w:numId="196" w16cid:durableId="132332185">
    <w:abstractNumId w:val="107"/>
  </w:num>
  <w:num w:numId="197" w16cid:durableId="1137643552">
    <w:abstractNumId w:val="135"/>
  </w:num>
  <w:num w:numId="198" w16cid:durableId="251089660">
    <w:abstractNumId w:val="169"/>
  </w:num>
  <w:num w:numId="199" w16cid:durableId="1535002974">
    <w:abstractNumId w:val="122"/>
  </w:num>
  <w:num w:numId="200" w16cid:durableId="288516837">
    <w:abstractNumId w:val="148"/>
  </w:num>
  <w:num w:numId="201" w16cid:durableId="1509783466">
    <w:abstractNumId w:val="32"/>
  </w:num>
  <w:num w:numId="202" w16cid:durableId="1415543745">
    <w:abstractNumId w:val="205"/>
  </w:num>
  <w:num w:numId="203" w16cid:durableId="2070570027">
    <w:abstractNumId w:val="188"/>
  </w:num>
  <w:num w:numId="204" w16cid:durableId="783036115">
    <w:abstractNumId w:val="50"/>
  </w:num>
  <w:num w:numId="205" w16cid:durableId="1881629239">
    <w:abstractNumId w:val="227"/>
  </w:num>
  <w:num w:numId="206" w16cid:durableId="1730573609">
    <w:abstractNumId w:val="11"/>
  </w:num>
  <w:num w:numId="207" w16cid:durableId="838040224">
    <w:abstractNumId w:val="186"/>
  </w:num>
  <w:num w:numId="208" w16cid:durableId="2100637810">
    <w:abstractNumId w:val="69"/>
  </w:num>
  <w:num w:numId="209" w16cid:durableId="97069300">
    <w:abstractNumId w:val="83"/>
  </w:num>
  <w:num w:numId="210" w16cid:durableId="1538354081">
    <w:abstractNumId w:val="125"/>
  </w:num>
  <w:num w:numId="211" w16cid:durableId="1541937905">
    <w:abstractNumId w:val="10"/>
  </w:num>
  <w:num w:numId="212" w16cid:durableId="1367876885">
    <w:abstractNumId w:val="153"/>
  </w:num>
  <w:num w:numId="213" w16cid:durableId="1318874438">
    <w:abstractNumId w:val="145"/>
  </w:num>
  <w:num w:numId="214" w16cid:durableId="1636524124">
    <w:abstractNumId w:val="201"/>
  </w:num>
  <w:num w:numId="215" w16cid:durableId="149830586">
    <w:abstractNumId w:val="9"/>
  </w:num>
  <w:num w:numId="216" w16cid:durableId="1021736860">
    <w:abstractNumId w:val="53"/>
  </w:num>
  <w:num w:numId="217" w16cid:durableId="1135831759">
    <w:abstractNumId w:val="190"/>
  </w:num>
  <w:num w:numId="218" w16cid:durableId="1409494630">
    <w:abstractNumId w:val="171"/>
  </w:num>
  <w:num w:numId="219" w16cid:durableId="415247410">
    <w:abstractNumId w:val="105"/>
  </w:num>
  <w:num w:numId="220" w16cid:durableId="524295447">
    <w:abstractNumId w:val="91"/>
  </w:num>
  <w:num w:numId="221" w16cid:durableId="1699165320">
    <w:abstractNumId w:val="119"/>
  </w:num>
  <w:num w:numId="222" w16cid:durableId="1645115091">
    <w:abstractNumId w:val="20"/>
  </w:num>
  <w:num w:numId="223" w16cid:durableId="1860658863">
    <w:abstractNumId w:val="68"/>
  </w:num>
  <w:num w:numId="224" w16cid:durableId="215237191">
    <w:abstractNumId w:val="4"/>
  </w:num>
  <w:num w:numId="225" w16cid:durableId="1160149895">
    <w:abstractNumId w:val="200"/>
  </w:num>
  <w:num w:numId="226" w16cid:durableId="923104016">
    <w:abstractNumId w:val="98"/>
  </w:num>
  <w:num w:numId="227" w16cid:durableId="1228956904">
    <w:abstractNumId w:val="6"/>
  </w:num>
  <w:num w:numId="228" w16cid:durableId="1788045792">
    <w:abstractNumId w:val="162"/>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1D2F"/>
    <w:rsid w:val="00063B4C"/>
    <w:rsid w:val="000D05D8"/>
    <w:rsid w:val="000D0641"/>
    <w:rsid w:val="000D2B00"/>
    <w:rsid w:val="000F4EE0"/>
    <w:rsid w:val="001601E6"/>
    <w:rsid w:val="001C3AF6"/>
    <w:rsid w:val="001D1485"/>
    <w:rsid w:val="001F19A6"/>
    <w:rsid w:val="00211184"/>
    <w:rsid w:val="0021364B"/>
    <w:rsid w:val="00217AE9"/>
    <w:rsid w:val="00232A96"/>
    <w:rsid w:val="0025020C"/>
    <w:rsid w:val="00256951"/>
    <w:rsid w:val="002865F5"/>
    <w:rsid w:val="00292A36"/>
    <w:rsid w:val="002D64A3"/>
    <w:rsid w:val="002F5E53"/>
    <w:rsid w:val="00312A5A"/>
    <w:rsid w:val="003135AD"/>
    <w:rsid w:val="00314202"/>
    <w:rsid w:val="003626F7"/>
    <w:rsid w:val="00393F39"/>
    <w:rsid w:val="003A66FD"/>
    <w:rsid w:val="003B1E32"/>
    <w:rsid w:val="004717FF"/>
    <w:rsid w:val="004D4021"/>
    <w:rsid w:val="005119DE"/>
    <w:rsid w:val="005446BF"/>
    <w:rsid w:val="00550038"/>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63B96"/>
    <w:rsid w:val="0077163A"/>
    <w:rsid w:val="00785752"/>
    <w:rsid w:val="007A59C8"/>
    <w:rsid w:val="007A712E"/>
    <w:rsid w:val="007B2C72"/>
    <w:rsid w:val="007C246B"/>
    <w:rsid w:val="007C685B"/>
    <w:rsid w:val="007F7847"/>
    <w:rsid w:val="00804B94"/>
    <w:rsid w:val="00807B11"/>
    <w:rsid w:val="0082760D"/>
    <w:rsid w:val="0086570F"/>
    <w:rsid w:val="00880B2D"/>
    <w:rsid w:val="00883AB0"/>
    <w:rsid w:val="00894108"/>
    <w:rsid w:val="008B1DFA"/>
    <w:rsid w:val="008C38C3"/>
    <w:rsid w:val="008D6F0F"/>
    <w:rsid w:val="008E7B2E"/>
    <w:rsid w:val="00916814"/>
    <w:rsid w:val="009342C6"/>
    <w:rsid w:val="0093466F"/>
    <w:rsid w:val="00995444"/>
    <w:rsid w:val="009D06C5"/>
    <w:rsid w:val="009D534C"/>
    <w:rsid w:val="009D728C"/>
    <w:rsid w:val="009E5B14"/>
    <w:rsid w:val="00A90A7A"/>
    <w:rsid w:val="00AA437C"/>
    <w:rsid w:val="00AB78F0"/>
    <w:rsid w:val="00B01396"/>
    <w:rsid w:val="00B2418B"/>
    <w:rsid w:val="00B26973"/>
    <w:rsid w:val="00B575E2"/>
    <w:rsid w:val="00B7073C"/>
    <w:rsid w:val="00B858A1"/>
    <w:rsid w:val="00BB65AC"/>
    <w:rsid w:val="00BD2909"/>
    <w:rsid w:val="00C17A49"/>
    <w:rsid w:val="00C91479"/>
    <w:rsid w:val="00CA1730"/>
    <w:rsid w:val="00CB3AF6"/>
    <w:rsid w:val="00CB3C13"/>
    <w:rsid w:val="00CE3FD1"/>
    <w:rsid w:val="00CE620E"/>
    <w:rsid w:val="00CF1ED5"/>
    <w:rsid w:val="00D13A82"/>
    <w:rsid w:val="00D13DB7"/>
    <w:rsid w:val="00DA6718"/>
    <w:rsid w:val="00DB71AC"/>
    <w:rsid w:val="00DC00D1"/>
    <w:rsid w:val="00DD02A4"/>
    <w:rsid w:val="00DE1A02"/>
    <w:rsid w:val="00E05C6C"/>
    <w:rsid w:val="00E157E1"/>
    <w:rsid w:val="00E2182C"/>
    <w:rsid w:val="00E325CF"/>
    <w:rsid w:val="00E40B0D"/>
    <w:rsid w:val="00E62B36"/>
    <w:rsid w:val="00E71420"/>
    <w:rsid w:val="00E94DA0"/>
    <w:rsid w:val="00EA5CC3"/>
    <w:rsid w:val="00EB484B"/>
    <w:rsid w:val="00EF6341"/>
    <w:rsid w:val="00F0560A"/>
    <w:rsid w:val="00F158D7"/>
    <w:rsid w:val="00F16D9B"/>
    <w:rsid w:val="00F20EE5"/>
    <w:rsid w:val="00F44833"/>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570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6570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6570F"/>
    <w:rPr>
      <w:i/>
      <w:iCs/>
    </w:rPr>
  </w:style>
  <w:style w:type="character" w:customStyle="1" w:styleId="Heading5Char">
    <w:name w:val="Heading 5 Char"/>
    <w:basedOn w:val="DefaultParagraphFont"/>
    <w:link w:val="Heading5"/>
    <w:uiPriority w:val="9"/>
    <w:semiHidden/>
    <w:rsid w:val="0086570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6570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x.nhs.uk" TargetMode="External"/><Relationship Id="rId5" Type="http://schemas.openxmlformats.org/officeDocument/2006/relationships/webSettings" Target="webSettings.xml"/><Relationship Id="rId10" Type="http://schemas.openxmlformats.org/officeDocument/2006/relationships/hyperlink" Target="https://www.dementiauk.org"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12083</Words>
  <Characters>68877</Characters>
  <Application>Microsoft Office Word</Application>
  <DocSecurity>0</DocSecurity>
  <Lines>573</Lines>
  <Paragraphs>161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Nazmeena Begum (2220774)</cp:lastModifiedBy>
  <cp:revision>6</cp:revision>
  <dcterms:created xsi:type="dcterms:W3CDTF">2025-12-05T14:49:00Z</dcterms:created>
  <dcterms:modified xsi:type="dcterms:W3CDTF">2025-12-05T15:20:00Z</dcterms:modified>
</cp:coreProperties>
</file>