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4C28C" w14:textId="05A05985" w:rsidR="00FB0D69" w:rsidRPr="00F16C2B" w:rsidRDefault="00F16C2B" w:rsidP="00F16C2B">
      <w:pPr>
        <w:jc w:val="center"/>
        <w:rPr>
          <w:rFonts w:ascii="Times New Roman" w:hAnsi="Times New Roman" w:cs="Times New Roman"/>
          <w:b/>
          <w:bCs/>
          <w:u w:val="single"/>
        </w:rPr>
      </w:pPr>
      <w:r w:rsidRPr="00F16C2B">
        <w:rPr>
          <w:rFonts w:ascii="Times New Roman" w:hAnsi="Times New Roman" w:cs="Times New Roman"/>
          <w:b/>
          <w:bCs/>
          <w:u w:val="single"/>
        </w:rPr>
        <w:t>Task 1</w:t>
      </w:r>
    </w:p>
    <w:p w14:paraId="22652354" w14:textId="77777777" w:rsidR="00F16C2B" w:rsidRPr="00F16C2B" w:rsidRDefault="00F16C2B" w:rsidP="00F16C2B">
      <w:pPr>
        <w:pStyle w:val="NormalWeb"/>
        <w:rPr>
          <w:color w:val="000000"/>
        </w:rPr>
      </w:pPr>
      <w:r w:rsidRPr="00F16C2B">
        <w:rPr>
          <w:rStyle w:val="Strong"/>
          <w:rFonts w:eastAsiaTheme="majorEastAsia"/>
          <w:color w:val="000000"/>
        </w:rPr>
        <w:t>Introduction</w:t>
      </w:r>
    </w:p>
    <w:p w14:paraId="1D090411" w14:textId="77777777" w:rsidR="00F16C2B" w:rsidRPr="00F16C2B" w:rsidRDefault="00F16C2B" w:rsidP="00F16C2B">
      <w:pPr>
        <w:pStyle w:val="NormalWeb"/>
        <w:rPr>
          <w:color w:val="000000"/>
        </w:rPr>
      </w:pPr>
      <w:r w:rsidRPr="00F16C2B">
        <w:rPr>
          <w:color w:val="000000"/>
        </w:rPr>
        <w:t xml:space="preserve">Sport organisations operate in dynamic and continually evolving environments shaped by commercial pressures, technological change, and shifting expectations from fans, sponsors, and wider stakeholder groups. These conditions create a complex and high-stakes operating context in which organisational and competitive advantage cannot be assumed. In response, sport organisations must engage in structured and systematic strategic management processes that help them interpret environmental signals, define a coherent strategic direction, translate strategic intent into practical action, and manage organisational change effectively (O’Brien et al., 2019; </w:t>
      </w:r>
      <w:proofErr w:type="spellStart"/>
      <w:r w:rsidRPr="00F16C2B">
        <w:rPr>
          <w:color w:val="000000"/>
        </w:rPr>
        <w:t>Hoye</w:t>
      </w:r>
      <w:proofErr w:type="spellEnd"/>
      <w:r w:rsidRPr="00F16C2B">
        <w:rPr>
          <w:color w:val="000000"/>
        </w:rPr>
        <w:t xml:space="preserve"> et al., 2018). Strategic management therefore serves as a key mechanism for aligning organisational capabilities with external demands while maintaining a long-term performance focus (Slack &amp; Parent, 202). This assignment examines four core components of the strategic management process: internal and external analysis, strategic direction, strategy implementation, and the management of change, drawing on contemporary sport management literature to illustrate how these elements underpin organisational performance and sustainability.</w:t>
      </w:r>
    </w:p>
    <w:p w14:paraId="7DEDBCA4" w14:textId="77777777" w:rsidR="00F16C2B" w:rsidRPr="00F16C2B" w:rsidRDefault="00F16C2B" w:rsidP="00F16C2B">
      <w:pPr>
        <w:pStyle w:val="NormalWeb"/>
        <w:rPr>
          <w:color w:val="000000"/>
        </w:rPr>
      </w:pPr>
      <w:r w:rsidRPr="00F16C2B">
        <w:rPr>
          <w:rStyle w:val="Strong"/>
          <w:rFonts w:eastAsiaTheme="majorEastAsia"/>
          <w:color w:val="000000"/>
        </w:rPr>
        <w:t>Internal and External Analysis</w:t>
      </w:r>
    </w:p>
    <w:p w14:paraId="246ACFD3" w14:textId="7AADC53E" w:rsidR="00F16C2B" w:rsidRPr="00F16C2B" w:rsidRDefault="00F16C2B" w:rsidP="00F16C2B">
      <w:pPr>
        <w:pStyle w:val="NormalWeb"/>
        <w:rPr>
          <w:color w:val="000000"/>
        </w:rPr>
      </w:pPr>
      <w:r w:rsidRPr="00F16C2B">
        <w:rPr>
          <w:color w:val="000000"/>
        </w:rPr>
        <w:t>A sound understanding of both the organisation and the environment in which it operates is fundamental to effective strategic management. Internal analysis involves a systematic evaluation of organisational resources, competencies, culture, and operational systems. As O’Brien et al. (2019) explain, such analysis enables sport organisations to identify their inherent strengths and weaknesses, forming the basis for informed strategic decision-making. Key internal dimensions include financial capacity, human resources, leadership quality, organisational culture, and the efficiency of daily operations (</w:t>
      </w:r>
      <w:proofErr w:type="spellStart"/>
      <w:r w:rsidRPr="00F16C2B">
        <w:rPr>
          <w:color w:val="000000"/>
        </w:rPr>
        <w:t>Hoye</w:t>
      </w:r>
      <w:proofErr w:type="spellEnd"/>
      <w:r w:rsidRPr="00F16C2B">
        <w:rPr>
          <w:color w:val="000000"/>
        </w:rPr>
        <w:t xml:space="preserve"> et al., 2018). For example, a football club with a strong youth academy holds a valuable strategic asset, whereas limited commercial revenue streams may represent a significant vulnerability. External analysis, in contrast, requires sport organisations to assess the broader political, economic, social, technological, legal, and environmental forces that shape their operating context. Frameworks such as PESTLE and Porter’s Five Forces assist managers in identifying emerging opportunities and potential threats, as well as understanding competitive dynamics and stakeholder expectations (Slack &amp; Parent, 202). The sport sector is particularly sensitive to rapid environmental shifts; sponsorship markets fluctuate, technological innovations reshape fan engagement, and consumer preferences evolve quickly (O’Brien et al., 2019). For instance, the rise of digital streaming platforms has created new commercial opportunities while also intensifying competition for audience attention (Smith &amp; Stewart, 2015). Research reinforces the importance of environmental analysis for strategic coherence. </w:t>
      </w:r>
      <w:proofErr w:type="spellStart"/>
      <w:r w:rsidRPr="00F16C2B">
        <w:rPr>
          <w:color w:val="000000"/>
        </w:rPr>
        <w:t>Berqi</w:t>
      </w:r>
      <w:proofErr w:type="spellEnd"/>
      <w:r w:rsidRPr="00F16C2B">
        <w:rPr>
          <w:color w:val="000000"/>
        </w:rPr>
        <w:t xml:space="preserve"> (2023) notes that football clubs</w:t>
      </w:r>
      <w:r w:rsidRPr="00F16C2B">
        <w:rPr>
          <w:color w:val="000000"/>
        </w:rPr>
        <w:t xml:space="preserve"> are</w:t>
      </w:r>
      <w:r w:rsidRPr="00F16C2B">
        <w:rPr>
          <w:color w:val="000000"/>
        </w:rPr>
        <w:t xml:space="preserve"> heavily influenced by stakeholder pressures and competitive forces, requiring proactive and adaptive strategic responses. Similarly, </w:t>
      </w:r>
      <w:proofErr w:type="spellStart"/>
      <w:r w:rsidRPr="00F16C2B">
        <w:rPr>
          <w:color w:val="000000"/>
        </w:rPr>
        <w:t>Shilbury</w:t>
      </w:r>
      <w:proofErr w:type="spellEnd"/>
      <w:r w:rsidRPr="00F16C2B">
        <w:rPr>
          <w:color w:val="000000"/>
        </w:rPr>
        <w:t xml:space="preserve"> and </w:t>
      </w:r>
      <w:proofErr w:type="spellStart"/>
      <w:r w:rsidRPr="00F16C2B">
        <w:rPr>
          <w:color w:val="000000"/>
        </w:rPr>
        <w:t>Ferkins</w:t>
      </w:r>
      <w:proofErr w:type="spellEnd"/>
      <w:r w:rsidRPr="00F16C2B">
        <w:rPr>
          <w:color w:val="000000"/>
        </w:rPr>
        <w:t xml:space="preserve"> (2021) observe that organisations lacking robust environmental analysis struggle to align internal strengths with external demands. When conducted effectively, </w:t>
      </w:r>
      <w:r w:rsidRPr="00F16C2B">
        <w:rPr>
          <w:color w:val="000000"/>
        </w:rPr>
        <w:t>internal,</w:t>
      </w:r>
      <w:r w:rsidRPr="00F16C2B">
        <w:rPr>
          <w:color w:val="000000"/>
        </w:rPr>
        <w:t xml:space="preserve"> and external analyses provide the empirical foundation on which sound strategic choices are built.</w:t>
      </w:r>
    </w:p>
    <w:p w14:paraId="30B388E0" w14:textId="77777777" w:rsidR="00F16C2B" w:rsidRPr="00F16C2B" w:rsidRDefault="00F16C2B" w:rsidP="00F16C2B">
      <w:pPr>
        <w:pStyle w:val="NormalWeb"/>
        <w:rPr>
          <w:color w:val="000000"/>
        </w:rPr>
      </w:pPr>
      <w:r w:rsidRPr="00F16C2B">
        <w:rPr>
          <w:rStyle w:val="Strong"/>
          <w:rFonts w:eastAsiaTheme="majorEastAsia"/>
          <w:color w:val="000000"/>
        </w:rPr>
        <w:t>Establishing Strategic Direction</w:t>
      </w:r>
    </w:p>
    <w:p w14:paraId="7296CE31" w14:textId="04984DE9" w:rsidR="00F16C2B" w:rsidRPr="00F16C2B" w:rsidRDefault="00F16C2B" w:rsidP="00F16C2B">
      <w:pPr>
        <w:pStyle w:val="NormalWeb"/>
        <w:rPr>
          <w:color w:val="000000"/>
        </w:rPr>
      </w:pPr>
      <w:r w:rsidRPr="00F16C2B">
        <w:rPr>
          <w:color w:val="000000"/>
        </w:rPr>
        <w:t xml:space="preserve">After environmental analysis, sport organisations must establish a clear and coherent strategic direction. This involves defining the organisation’s mission, vision, values, and long-term </w:t>
      </w:r>
      <w:r w:rsidRPr="00F16C2B">
        <w:rPr>
          <w:color w:val="000000"/>
        </w:rPr>
        <w:lastRenderedPageBreak/>
        <w:t xml:space="preserve">objectives, thereby providing a framework that guides decision-making and aligns organisational efforts. O’Brien et al. (2019) argue that without a well-articulated strategic direction, organisational activity becomes fragmented and </w:t>
      </w:r>
      <w:r w:rsidRPr="00F16C2B">
        <w:rPr>
          <w:color w:val="000000"/>
        </w:rPr>
        <w:t>lack’s</w:t>
      </w:r>
      <w:r w:rsidRPr="00F16C2B">
        <w:rPr>
          <w:color w:val="000000"/>
        </w:rPr>
        <w:t xml:space="preserve"> purpose. Strategic direction thus clarifies not only what the organisation seeks to achieve but also the pathways through which these goals will be pursued. Leadership plays a central role in this process. Effective leaders must communicate a compelling vision, build stakeholder commitment, and ensure accountability throughout the organisation (</w:t>
      </w:r>
      <w:proofErr w:type="spellStart"/>
      <w:r w:rsidRPr="00F16C2B">
        <w:rPr>
          <w:color w:val="000000"/>
        </w:rPr>
        <w:t>Ferkins</w:t>
      </w:r>
      <w:proofErr w:type="spellEnd"/>
      <w:r w:rsidRPr="00F16C2B">
        <w:rPr>
          <w:color w:val="000000"/>
        </w:rPr>
        <w:t xml:space="preserve"> &amp; </w:t>
      </w:r>
      <w:proofErr w:type="spellStart"/>
      <w:r w:rsidRPr="00F16C2B">
        <w:rPr>
          <w:color w:val="000000"/>
        </w:rPr>
        <w:t>Shilbury</w:t>
      </w:r>
      <w:proofErr w:type="spellEnd"/>
      <w:r w:rsidRPr="00F16C2B">
        <w:rPr>
          <w:color w:val="000000"/>
        </w:rPr>
        <w:t>, 2015). In team sport contexts, strategic direction often requires balancing multiple priorities, including athletic performance, financial sustainability, community engagement, and stakeholder expectations (</w:t>
      </w:r>
      <w:proofErr w:type="spellStart"/>
      <w:r w:rsidRPr="00F16C2B">
        <w:rPr>
          <w:color w:val="000000"/>
        </w:rPr>
        <w:t>Walzel</w:t>
      </w:r>
      <w:proofErr w:type="spellEnd"/>
      <w:r w:rsidRPr="00F16C2B">
        <w:rPr>
          <w:color w:val="000000"/>
        </w:rPr>
        <w:t xml:space="preserve">, 202). For instance, a rugby club may aim to improve competitive performance, expand commercial partnerships, and strengthen community outreach initiatives simultaneously. Crucially, strategic direction must be grounded in organisational reality. </w:t>
      </w:r>
      <w:proofErr w:type="spellStart"/>
      <w:r w:rsidRPr="00F16C2B">
        <w:rPr>
          <w:color w:val="000000"/>
        </w:rPr>
        <w:t>Hoye</w:t>
      </w:r>
      <w:proofErr w:type="spellEnd"/>
      <w:r w:rsidRPr="00F16C2B">
        <w:rPr>
          <w:color w:val="000000"/>
        </w:rPr>
        <w:t xml:space="preserve"> et al. (2018) emphasise that strategic objectives must be achievable and aligned with available resources and capabilities. Ambitious yet realistic strategic direction ensures that organisational progress remains purposeful and sustainable.</w:t>
      </w:r>
    </w:p>
    <w:p w14:paraId="1E711F52" w14:textId="77777777" w:rsidR="00F16C2B" w:rsidRPr="00F16C2B" w:rsidRDefault="00F16C2B" w:rsidP="00F16C2B">
      <w:pPr>
        <w:pStyle w:val="NormalWeb"/>
        <w:rPr>
          <w:color w:val="000000"/>
        </w:rPr>
      </w:pPr>
      <w:r w:rsidRPr="00F16C2B">
        <w:rPr>
          <w:rStyle w:val="Strong"/>
          <w:rFonts w:eastAsiaTheme="majorEastAsia"/>
          <w:color w:val="000000"/>
        </w:rPr>
        <w:t>Strategy Implementation</w:t>
      </w:r>
    </w:p>
    <w:p w14:paraId="74CB4774" w14:textId="77777777" w:rsidR="00F16C2B" w:rsidRPr="00F16C2B" w:rsidRDefault="00F16C2B" w:rsidP="00F16C2B">
      <w:pPr>
        <w:pStyle w:val="NormalWeb"/>
        <w:rPr>
          <w:color w:val="000000"/>
        </w:rPr>
      </w:pPr>
      <w:r w:rsidRPr="00F16C2B">
        <w:rPr>
          <w:color w:val="000000"/>
        </w:rPr>
        <w:t xml:space="preserve">Once strategic direction has been established, the challenge shifts to implementation, the process of converting strategic intent into operational outcomes. This stage involves resource allocation, organisational structuring, staff engagement, and the development of monitoring and evaluation mechanisms. O’Brien et al. (2019) identify implementation as one of the most demanding phases of strategic management, as it requires coordinated action across multiple organisational levels. </w:t>
      </w:r>
      <w:proofErr w:type="spellStart"/>
      <w:r w:rsidRPr="00F16C2B">
        <w:rPr>
          <w:color w:val="000000"/>
        </w:rPr>
        <w:t>Walzel</w:t>
      </w:r>
      <w:proofErr w:type="spellEnd"/>
      <w:r w:rsidRPr="00F16C2B">
        <w:rPr>
          <w:color w:val="000000"/>
        </w:rPr>
        <w:t xml:space="preserve"> (202) notes that successful implementation in sport organisations depends heavily on cultural alignment and staff commitment. Strategies cannot simply be imposed; they must be embedded within organisational practices and supported by those responsible for delivering them. For instance, implementing a new talent development strategy may require adjustments to coaching methods, recruitment processes, and performance evaluation systems. Similarly, enhancing digital fan engagement calls for investment in technology, staff training, and revised marketing approaches (Smith &amp; Stewart, 2015). Effective implementation also depends on robust control systems that allow leaders to track progress, identify emerging issues, and make timely adjustments (Slack &amp; Parent, 202). Without such mechanisms, even well-designed strategies risk failure at the execution stage. Ultimately, implementation acts as the bridge between strategic planning and tangible organisational outcomes.</w:t>
      </w:r>
    </w:p>
    <w:p w14:paraId="358135F6" w14:textId="77777777" w:rsidR="00F16C2B" w:rsidRPr="00F16C2B" w:rsidRDefault="00F16C2B" w:rsidP="00F16C2B">
      <w:pPr>
        <w:pStyle w:val="NormalWeb"/>
        <w:rPr>
          <w:color w:val="000000"/>
        </w:rPr>
      </w:pPr>
      <w:r w:rsidRPr="00F16C2B">
        <w:rPr>
          <w:rStyle w:val="Strong"/>
          <w:rFonts w:eastAsiaTheme="majorEastAsia"/>
          <w:color w:val="000000"/>
        </w:rPr>
        <w:t>The Change Process</w:t>
      </w:r>
    </w:p>
    <w:p w14:paraId="38FFEBC5" w14:textId="77777777" w:rsidR="00F16C2B" w:rsidRPr="00F16C2B" w:rsidRDefault="00F16C2B" w:rsidP="00F16C2B">
      <w:pPr>
        <w:pStyle w:val="NormalWeb"/>
        <w:rPr>
          <w:color w:val="000000"/>
        </w:rPr>
      </w:pPr>
      <w:r w:rsidRPr="00F16C2B">
        <w:rPr>
          <w:color w:val="000000"/>
        </w:rPr>
        <w:t>Change is an inherent feature of the sport industry, driven by market volatility, technological innovation, and evolving stakeholder expectations. Therefore, sport organisations must develop the capacity to manage change in a structured and deliberate manner. Kotter’s (1996) eight-step model, which emphasises creating urgency, forming guiding coalitions, and consolidating early wins, provides a widely used framework for managing organisational change, particularly where resistance may be strong. Lewin’s (1951) three-stage model of unfreezing, changing, and refreezing offers another conceptual lens, highlighting the need to destabilise existing practices, introduce new behaviours, and institutionalise change to ensure long-term stability. In sport organisations, this may involve adopting new technologies, restructuring governance systems, or shifting organisational culture (</w:t>
      </w:r>
      <w:proofErr w:type="spellStart"/>
      <w:r w:rsidRPr="00F16C2B">
        <w:rPr>
          <w:color w:val="000000"/>
        </w:rPr>
        <w:t>Hoye</w:t>
      </w:r>
      <w:proofErr w:type="spellEnd"/>
      <w:r w:rsidRPr="00F16C2B">
        <w:rPr>
          <w:color w:val="000000"/>
        </w:rPr>
        <w:t xml:space="preserve"> et al., 2018). Contextual factors play a significant role in shaping the change process. </w:t>
      </w:r>
      <w:proofErr w:type="spellStart"/>
      <w:r w:rsidRPr="00F16C2B">
        <w:rPr>
          <w:color w:val="000000"/>
        </w:rPr>
        <w:t>Berqi</w:t>
      </w:r>
      <w:proofErr w:type="spellEnd"/>
      <w:r w:rsidRPr="00F16C2B">
        <w:rPr>
          <w:color w:val="000000"/>
        </w:rPr>
        <w:t xml:space="preserve"> (2023) suggests that sport organisations must adopt adaptive and iterative approaches to change, as </w:t>
      </w:r>
      <w:r w:rsidRPr="00F16C2B">
        <w:rPr>
          <w:color w:val="000000"/>
        </w:rPr>
        <w:lastRenderedPageBreak/>
        <w:t>rigid models often fail to capture the sector’s complexity. The increasing commercialisation of sport illustrates this point: traditional volunteer-driven structures have become insufficient, requiring more professionalised management practices (Smith &amp; Stewart, 2015). Effective change management ensures that strategic initiatives are embedded, sustained, and capable of supporting long-term organisational resilience.</w:t>
      </w:r>
    </w:p>
    <w:p w14:paraId="4D04B065" w14:textId="77777777" w:rsidR="00F16C2B" w:rsidRPr="00F16C2B" w:rsidRDefault="00F16C2B" w:rsidP="00F16C2B">
      <w:pPr>
        <w:pStyle w:val="NormalWeb"/>
        <w:rPr>
          <w:color w:val="000000"/>
        </w:rPr>
      </w:pPr>
      <w:r w:rsidRPr="00F16C2B">
        <w:rPr>
          <w:rStyle w:val="Strong"/>
          <w:rFonts w:eastAsiaTheme="majorEastAsia"/>
          <w:color w:val="000000"/>
        </w:rPr>
        <w:t>Conclusion</w:t>
      </w:r>
    </w:p>
    <w:p w14:paraId="47EFE5A3" w14:textId="77777777" w:rsidR="00F16C2B" w:rsidRPr="00F16C2B" w:rsidRDefault="00F16C2B" w:rsidP="00F16C2B">
      <w:pPr>
        <w:pStyle w:val="NormalWeb"/>
        <w:rPr>
          <w:color w:val="000000"/>
        </w:rPr>
      </w:pPr>
      <w:r w:rsidRPr="00F16C2B">
        <w:rPr>
          <w:color w:val="000000"/>
        </w:rPr>
        <w:t>Strategic management is essential for sport organisations operating in dynamic and competitive environments. Comprehensive internal and external analysis provides the foundation for understanding organisational capabilities and environmental pressures. Clear strategic direction aligns organisational efforts and establishes long-term priorities. Effective implementation translates strategic intent into operational reality, while robust change management ensures that organisations remain adaptive and resilient. Together, these components form an integrated strategic management framework that supports sustained organisational performance and long-term development within the sport sector.</w:t>
      </w:r>
    </w:p>
    <w:p w14:paraId="3CABCF1E" w14:textId="21AAC6DB" w:rsidR="00F16C2B" w:rsidRPr="00F16C2B" w:rsidRDefault="00F16C2B" w:rsidP="00F16C2B">
      <w:pPr>
        <w:rPr>
          <w:rFonts w:ascii="Times New Roman" w:hAnsi="Times New Roman" w:cs="Times New Roman"/>
        </w:rPr>
      </w:pPr>
    </w:p>
    <w:p w14:paraId="29A29352" w14:textId="77777777" w:rsidR="00F16C2B" w:rsidRPr="00F16C2B" w:rsidRDefault="00F16C2B" w:rsidP="00F16C2B">
      <w:pPr>
        <w:rPr>
          <w:rFonts w:ascii="Times New Roman" w:hAnsi="Times New Roman" w:cs="Times New Roman"/>
        </w:rPr>
      </w:pPr>
    </w:p>
    <w:p w14:paraId="0D69906E" w14:textId="77777777" w:rsidR="00F16C2B" w:rsidRPr="00F16C2B" w:rsidRDefault="00F16C2B" w:rsidP="00F16C2B">
      <w:pPr>
        <w:rPr>
          <w:rFonts w:ascii="Times New Roman" w:hAnsi="Times New Roman" w:cs="Times New Roman"/>
        </w:rPr>
      </w:pPr>
    </w:p>
    <w:p w14:paraId="3128BA42" w14:textId="77777777" w:rsidR="00F16C2B" w:rsidRPr="00F16C2B" w:rsidRDefault="00F16C2B" w:rsidP="00F16C2B">
      <w:pPr>
        <w:rPr>
          <w:rFonts w:ascii="Times New Roman" w:hAnsi="Times New Roman" w:cs="Times New Roman"/>
        </w:rPr>
      </w:pPr>
    </w:p>
    <w:p w14:paraId="3F64BDA8" w14:textId="77777777" w:rsidR="00F16C2B" w:rsidRPr="00F16C2B" w:rsidRDefault="00F16C2B" w:rsidP="00F16C2B">
      <w:pPr>
        <w:rPr>
          <w:rFonts w:ascii="Times New Roman" w:hAnsi="Times New Roman" w:cs="Times New Roman"/>
        </w:rPr>
      </w:pPr>
    </w:p>
    <w:p w14:paraId="423C8C73" w14:textId="77777777" w:rsidR="00F16C2B" w:rsidRPr="00F16C2B" w:rsidRDefault="00F16C2B" w:rsidP="00F16C2B">
      <w:pPr>
        <w:rPr>
          <w:rFonts w:ascii="Times New Roman" w:hAnsi="Times New Roman" w:cs="Times New Roman"/>
        </w:rPr>
      </w:pPr>
    </w:p>
    <w:p w14:paraId="15C5642F" w14:textId="77777777" w:rsidR="00F16C2B" w:rsidRPr="00F16C2B" w:rsidRDefault="00F16C2B" w:rsidP="00F16C2B">
      <w:pPr>
        <w:rPr>
          <w:rFonts w:ascii="Times New Roman" w:hAnsi="Times New Roman" w:cs="Times New Roman"/>
        </w:rPr>
      </w:pPr>
    </w:p>
    <w:p w14:paraId="50D2800E" w14:textId="77777777" w:rsidR="00F16C2B" w:rsidRPr="00F16C2B" w:rsidRDefault="00F16C2B" w:rsidP="00F16C2B">
      <w:pPr>
        <w:rPr>
          <w:rFonts w:ascii="Times New Roman" w:hAnsi="Times New Roman" w:cs="Times New Roman"/>
        </w:rPr>
      </w:pPr>
    </w:p>
    <w:p w14:paraId="05819D93" w14:textId="77777777" w:rsidR="00F16C2B" w:rsidRPr="00F16C2B" w:rsidRDefault="00F16C2B" w:rsidP="00F16C2B">
      <w:pPr>
        <w:rPr>
          <w:rFonts w:ascii="Times New Roman" w:hAnsi="Times New Roman" w:cs="Times New Roman"/>
        </w:rPr>
      </w:pPr>
    </w:p>
    <w:p w14:paraId="4603F5AD" w14:textId="77777777" w:rsidR="00F16C2B" w:rsidRPr="00F16C2B" w:rsidRDefault="00F16C2B" w:rsidP="00F16C2B">
      <w:pPr>
        <w:rPr>
          <w:rFonts w:ascii="Times New Roman" w:hAnsi="Times New Roman" w:cs="Times New Roman"/>
        </w:rPr>
      </w:pPr>
    </w:p>
    <w:p w14:paraId="6A07D7D2" w14:textId="77777777" w:rsidR="00F16C2B" w:rsidRPr="00F16C2B" w:rsidRDefault="00F16C2B" w:rsidP="00F16C2B">
      <w:pPr>
        <w:rPr>
          <w:rFonts w:ascii="Times New Roman" w:hAnsi="Times New Roman" w:cs="Times New Roman"/>
        </w:rPr>
      </w:pPr>
    </w:p>
    <w:p w14:paraId="070E398B" w14:textId="77777777" w:rsidR="00F16C2B" w:rsidRPr="00F16C2B" w:rsidRDefault="00F16C2B" w:rsidP="00F16C2B">
      <w:pPr>
        <w:rPr>
          <w:rFonts w:ascii="Times New Roman" w:hAnsi="Times New Roman" w:cs="Times New Roman"/>
        </w:rPr>
      </w:pPr>
    </w:p>
    <w:p w14:paraId="0305BE7C" w14:textId="77777777" w:rsidR="00F16C2B" w:rsidRPr="00F16C2B" w:rsidRDefault="00F16C2B" w:rsidP="00F16C2B">
      <w:pPr>
        <w:rPr>
          <w:rFonts w:ascii="Times New Roman" w:hAnsi="Times New Roman" w:cs="Times New Roman"/>
        </w:rPr>
      </w:pPr>
    </w:p>
    <w:p w14:paraId="78E7DCFF" w14:textId="77777777" w:rsidR="00F16C2B" w:rsidRPr="00F16C2B" w:rsidRDefault="00F16C2B" w:rsidP="00F16C2B">
      <w:pPr>
        <w:rPr>
          <w:rFonts w:ascii="Times New Roman" w:hAnsi="Times New Roman" w:cs="Times New Roman"/>
        </w:rPr>
      </w:pPr>
    </w:p>
    <w:p w14:paraId="56FB5B93" w14:textId="77777777" w:rsidR="00F16C2B" w:rsidRPr="00F16C2B" w:rsidRDefault="00F16C2B" w:rsidP="00F16C2B">
      <w:pPr>
        <w:rPr>
          <w:rFonts w:ascii="Times New Roman" w:hAnsi="Times New Roman" w:cs="Times New Roman"/>
        </w:rPr>
      </w:pPr>
    </w:p>
    <w:p w14:paraId="68663889" w14:textId="77777777" w:rsidR="00F16C2B" w:rsidRPr="00F16C2B" w:rsidRDefault="00F16C2B" w:rsidP="00F16C2B">
      <w:pPr>
        <w:rPr>
          <w:rFonts w:ascii="Times New Roman" w:hAnsi="Times New Roman" w:cs="Times New Roman"/>
        </w:rPr>
      </w:pPr>
    </w:p>
    <w:p w14:paraId="260FFBA2" w14:textId="77777777" w:rsidR="00F16C2B" w:rsidRPr="00F16C2B" w:rsidRDefault="00F16C2B" w:rsidP="00F16C2B">
      <w:pPr>
        <w:rPr>
          <w:rFonts w:ascii="Times New Roman" w:hAnsi="Times New Roman" w:cs="Times New Roman"/>
        </w:rPr>
      </w:pPr>
    </w:p>
    <w:p w14:paraId="6C67A02E" w14:textId="77777777" w:rsidR="00F16C2B" w:rsidRPr="00F16C2B" w:rsidRDefault="00F16C2B" w:rsidP="00F16C2B">
      <w:pPr>
        <w:rPr>
          <w:rFonts w:ascii="Times New Roman" w:hAnsi="Times New Roman" w:cs="Times New Roman"/>
        </w:rPr>
      </w:pPr>
    </w:p>
    <w:p w14:paraId="6179B0E0" w14:textId="77777777" w:rsidR="00F16C2B" w:rsidRPr="00F16C2B" w:rsidRDefault="00F16C2B" w:rsidP="00F16C2B">
      <w:pPr>
        <w:rPr>
          <w:rFonts w:ascii="Times New Roman" w:hAnsi="Times New Roman" w:cs="Times New Roman"/>
        </w:rPr>
      </w:pPr>
    </w:p>
    <w:p w14:paraId="134E451B" w14:textId="77777777" w:rsidR="00F16C2B" w:rsidRPr="00F16C2B" w:rsidRDefault="00F16C2B" w:rsidP="00F16C2B">
      <w:pPr>
        <w:rPr>
          <w:rFonts w:ascii="Times New Roman" w:hAnsi="Times New Roman" w:cs="Times New Roman"/>
        </w:rPr>
      </w:pPr>
    </w:p>
    <w:p w14:paraId="59FD65E7" w14:textId="77777777" w:rsidR="00F16C2B" w:rsidRPr="00F16C2B" w:rsidRDefault="00F16C2B" w:rsidP="00F16C2B">
      <w:pPr>
        <w:rPr>
          <w:rFonts w:ascii="Times New Roman" w:hAnsi="Times New Roman" w:cs="Times New Roman"/>
        </w:rPr>
      </w:pPr>
    </w:p>
    <w:p w14:paraId="2218184A" w14:textId="77777777" w:rsidR="00F16C2B" w:rsidRPr="00F16C2B" w:rsidRDefault="00F16C2B" w:rsidP="00F16C2B">
      <w:pPr>
        <w:rPr>
          <w:rFonts w:ascii="Times New Roman" w:hAnsi="Times New Roman" w:cs="Times New Roman"/>
        </w:rPr>
      </w:pPr>
    </w:p>
    <w:p w14:paraId="769C38B2" w14:textId="77777777" w:rsidR="00F16C2B" w:rsidRPr="00F16C2B" w:rsidRDefault="00F16C2B" w:rsidP="00F16C2B">
      <w:pPr>
        <w:rPr>
          <w:rFonts w:ascii="Times New Roman" w:hAnsi="Times New Roman" w:cs="Times New Roman"/>
        </w:rPr>
      </w:pPr>
    </w:p>
    <w:p w14:paraId="1919F617" w14:textId="77777777" w:rsidR="00F16C2B" w:rsidRPr="00F16C2B" w:rsidRDefault="00F16C2B" w:rsidP="00F16C2B">
      <w:pPr>
        <w:rPr>
          <w:rFonts w:ascii="Times New Roman" w:hAnsi="Times New Roman" w:cs="Times New Roman"/>
        </w:rPr>
      </w:pPr>
    </w:p>
    <w:p w14:paraId="43EC417C" w14:textId="77777777" w:rsidR="00F16C2B" w:rsidRPr="00F16C2B" w:rsidRDefault="00F16C2B" w:rsidP="00F16C2B">
      <w:pPr>
        <w:rPr>
          <w:rFonts w:ascii="Times New Roman" w:hAnsi="Times New Roman" w:cs="Times New Roman"/>
        </w:rPr>
      </w:pPr>
    </w:p>
    <w:p w14:paraId="5F55B60A" w14:textId="77777777" w:rsidR="00F16C2B" w:rsidRPr="00F16C2B" w:rsidRDefault="00F16C2B" w:rsidP="00F16C2B">
      <w:pPr>
        <w:rPr>
          <w:rFonts w:ascii="Times New Roman" w:hAnsi="Times New Roman" w:cs="Times New Roman"/>
        </w:rPr>
      </w:pPr>
    </w:p>
    <w:p w14:paraId="00769D9E" w14:textId="77777777" w:rsidR="00F16C2B" w:rsidRDefault="00F16C2B" w:rsidP="00F16C2B">
      <w:pPr>
        <w:rPr>
          <w:rFonts w:ascii="Times New Roman" w:hAnsi="Times New Roman" w:cs="Times New Roman"/>
        </w:rPr>
      </w:pPr>
    </w:p>
    <w:p w14:paraId="0B2E3E39" w14:textId="77777777" w:rsidR="00F16C2B" w:rsidRDefault="00F16C2B" w:rsidP="00F16C2B">
      <w:pPr>
        <w:rPr>
          <w:rFonts w:ascii="Times New Roman" w:hAnsi="Times New Roman" w:cs="Times New Roman"/>
        </w:rPr>
      </w:pPr>
    </w:p>
    <w:p w14:paraId="4730A3F1" w14:textId="77777777" w:rsidR="00F16C2B" w:rsidRDefault="00F16C2B" w:rsidP="00F16C2B">
      <w:pPr>
        <w:rPr>
          <w:rFonts w:ascii="Times New Roman" w:hAnsi="Times New Roman" w:cs="Times New Roman"/>
        </w:rPr>
      </w:pPr>
    </w:p>
    <w:p w14:paraId="2D1ECC98" w14:textId="77777777" w:rsidR="00F16C2B" w:rsidRDefault="00F16C2B" w:rsidP="00F16C2B">
      <w:pPr>
        <w:rPr>
          <w:rFonts w:ascii="Times New Roman" w:hAnsi="Times New Roman" w:cs="Times New Roman"/>
        </w:rPr>
      </w:pPr>
    </w:p>
    <w:p w14:paraId="1C12F842" w14:textId="77777777" w:rsidR="00F16C2B" w:rsidRPr="00F16C2B" w:rsidRDefault="00F16C2B" w:rsidP="00F16C2B">
      <w:pPr>
        <w:rPr>
          <w:rFonts w:ascii="Times New Roman" w:hAnsi="Times New Roman" w:cs="Times New Roman"/>
        </w:rPr>
      </w:pPr>
    </w:p>
    <w:p w14:paraId="7147B5AE" w14:textId="77777777" w:rsidR="00F16C2B" w:rsidRPr="00F16C2B" w:rsidRDefault="00F16C2B" w:rsidP="00F16C2B">
      <w:pPr>
        <w:rPr>
          <w:rFonts w:ascii="Times New Roman" w:hAnsi="Times New Roman" w:cs="Times New Roman"/>
        </w:rPr>
      </w:pPr>
    </w:p>
    <w:p w14:paraId="323F95FB" w14:textId="77777777" w:rsidR="00F16C2B" w:rsidRPr="00F16C2B" w:rsidRDefault="00F16C2B" w:rsidP="00F16C2B">
      <w:pPr>
        <w:rPr>
          <w:rFonts w:ascii="Times New Roman" w:hAnsi="Times New Roman" w:cs="Times New Roman"/>
        </w:rPr>
      </w:pPr>
    </w:p>
    <w:p w14:paraId="0AE8851F" w14:textId="29439368" w:rsidR="00F16C2B" w:rsidRPr="00F16C2B" w:rsidRDefault="00F16C2B" w:rsidP="00F16C2B">
      <w:pPr>
        <w:jc w:val="center"/>
        <w:rPr>
          <w:rFonts w:ascii="Times New Roman" w:hAnsi="Times New Roman" w:cs="Times New Roman"/>
          <w:b/>
          <w:bCs/>
          <w:u w:val="single"/>
        </w:rPr>
      </w:pPr>
      <w:r w:rsidRPr="00F16C2B">
        <w:rPr>
          <w:rFonts w:ascii="Times New Roman" w:hAnsi="Times New Roman" w:cs="Times New Roman"/>
          <w:b/>
          <w:bCs/>
          <w:u w:val="single"/>
        </w:rPr>
        <w:lastRenderedPageBreak/>
        <w:t>Task 2</w:t>
      </w:r>
    </w:p>
    <w:p w14:paraId="3715E07F" w14:textId="79632F23" w:rsidR="00F16C2B" w:rsidRPr="00F16C2B" w:rsidRDefault="00F16C2B" w:rsidP="00F16C2B">
      <w:pPr>
        <w:spacing w:before="100" w:beforeAutospacing="1" w:after="100" w:afterAutospacing="1"/>
        <w:outlineLvl w:val="1"/>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Introduction</w:t>
      </w:r>
    </w:p>
    <w:p w14:paraId="5D522EA5"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Football Association of Wales (FAW) published </w:t>
      </w:r>
      <w:r w:rsidRPr="00F16C2B">
        <w:rPr>
          <w:rFonts w:ascii="Times New Roman" w:eastAsia="Times New Roman" w:hAnsi="Times New Roman" w:cs="Times New Roman"/>
          <w:i/>
          <w:iCs/>
          <w:color w:val="000000"/>
          <w:kern w:val="0"/>
          <w:lang w:eastAsia="en-GB"/>
          <w14:ligatures w14:val="none"/>
        </w:rPr>
        <w:t>Our Wales: The Strategic Plan for Welsh Football 2021–2026</w:t>
      </w:r>
      <w:r w:rsidRPr="00F16C2B">
        <w:rPr>
          <w:rFonts w:ascii="Times New Roman" w:eastAsia="Times New Roman" w:hAnsi="Times New Roman" w:cs="Times New Roman"/>
          <w:color w:val="000000"/>
          <w:kern w:val="0"/>
          <w:lang w:eastAsia="en-GB"/>
          <w14:ligatures w14:val="none"/>
        </w:rPr>
        <w:t> as a comprehensive framework for transforming Welsh football at elite, grassroots, and community levels. The plan sets out an ambitious vision for a “global local Wales,” highlighting inclusivity, performance excellence, and long</w:t>
      </w:r>
      <w:r w:rsidRPr="00F16C2B">
        <w:rPr>
          <w:rFonts w:ascii="Times New Roman" w:eastAsia="Times New Roman" w:hAnsi="Times New Roman" w:cs="Times New Roman"/>
          <w:color w:val="000000"/>
          <w:kern w:val="0"/>
          <w:lang w:eastAsia="en-GB"/>
          <w14:ligatures w14:val="none"/>
        </w:rPr>
        <w:noBreakHyphen/>
        <w:t>term sustainability. This assignment critically examines three main aspects of the FAW’s strategic approach: (1) its internal and external strategic analysis, (2) its identification of common purpose and establishment of strategic direction, and (3) its approach to strategy implementation and the management of change. Drawing on strategic</w:t>
      </w:r>
      <w:r w:rsidRPr="00F16C2B">
        <w:rPr>
          <w:rFonts w:ascii="Times New Roman" w:eastAsia="Times New Roman" w:hAnsi="Times New Roman" w:cs="Times New Roman"/>
          <w:color w:val="000000"/>
          <w:kern w:val="0"/>
          <w:lang w:eastAsia="en-GB"/>
          <w14:ligatures w14:val="none"/>
        </w:rPr>
        <w:noBreakHyphen/>
        <w:t>management literature, the analysis assesses the strengths and limitations of the FAW’s methods and the extent to which the plan aligns with best practice in sport governance and organisational strategy.</w:t>
      </w:r>
    </w:p>
    <w:p w14:paraId="0746CE58" w14:textId="77777777" w:rsidR="00F16C2B" w:rsidRPr="00F16C2B" w:rsidRDefault="00F16C2B" w:rsidP="00F16C2B">
      <w:pPr>
        <w:spacing w:before="100" w:beforeAutospacing="1" w:after="100" w:afterAutospacing="1"/>
        <w:outlineLvl w:val="1"/>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Internal and External Strategic Analysis</w:t>
      </w:r>
    </w:p>
    <w:p w14:paraId="4EAF345F" w14:textId="3F38F61F" w:rsidR="00F16C2B" w:rsidRPr="00F16C2B" w:rsidRDefault="00F16C2B" w:rsidP="00F16C2B">
      <w:pPr>
        <w:spacing w:before="100" w:beforeAutospacing="1" w:after="100" w:afterAutospacing="1"/>
        <w:outlineLvl w:val="1"/>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Internal Analysis: Strengths, Weaknesses, and Organisational Capacity</w:t>
      </w:r>
    </w:p>
    <w:p w14:paraId="3279012C"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FAW’s internal analysis is integrated throughout the strategic plan rather than presented as a separate diagnostic. The organisation identifies several internal strengths, including the recent international success of the men’s and women’s national teams, a strong sense of national identity, and an expanding participation base. These strengths correspond with what O’Brien et al. (2019) describe as “core organisational capabilities” that can be used for competitive advantage.</w:t>
      </w:r>
    </w:p>
    <w:p w14:paraId="672EB499"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FAW also recognises internal weaknesses, such as inconsistent facility quality, uneven governance structures across regions, and the need for a more diverse and skilled workforce. These issues mirror common challenges faced by national governing bodies (</w:t>
      </w:r>
      <w:proofErr w:type="spellStart"/>
      <w:r w:rsidRPr="00F16C2B">
        <w:rPr>
          <w:rFonts w:ascii="Times New Roman" w:eastAsia="Times New Roman" w:hAnsi="Times New Roman" w:cs="Times New Roman"/>
          <w:color w:val="000000"/>
          <w:kern w:val="0"/>
          <w:lang w:eastAsia="en-GB"/>
          <w14:ligatures w14:val="none"/>
        </w:rPr>
        <w:t>Hoye</w:t>
      </w:r>
      <w:proofErr w:type="spellEnd"/>
      <w:r w:rsidRPr="00F16C2B">
        <w:rPr>
          <w:rFonts w:ascii="Times New Roman" w:eastAsia="Times New Roman" w:hAnsi="Times New Roman" w:cs="Times New Roman"/>
          <w:color w:val="000000"/>
          <w:kern w:val="0"/>
          <w:lang w:eastAsia="en-GB"/>
          <w14:ligatures w14:val="none"/>
        </w:rPr>
        <w:t xml:space="preserve"> et al., 2018), particularly those operating in smaller sporting economies.</w:t>
      </w:r>
    </w:p>
    <w:p w14:paraId="05D33398"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However, the FAW’s internal analysis lacks the structured format typically associated with strategic tools such as SWOT or VRIO. While strengths and weaknesses are implied, they are not explicitly categorised or prioritised. This constrains the organisation’s ability to determine which internal capabilities are truly distinctive and which weaknesses pose the greatest strategic risk. Slack and Parent (202) argue that without clear prioritisation, internal analysis risks becoming descriptive rather than actionable.</w:t>
      </w:r>
    </w:p>
    <w:p w14:paraId="126EF1D0"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In addition, the FAW’s internal analysis is not strongly evidence</w:t>
      </w:r>
      <w:r w:rsidRPr="00F16C2B">
        <w:rPr>
          <w:rFonts w:ascii="Times New Roman" w:eastAsia="Times New Roman" w:hAnsi="Times New Roman" w:cs="Times New Roman"/>
          <w:color w:val="000000"/>
          <w:kern w:val="0"/>
          <w:lang w:eastAsia="en-GB"/>
          <w14:ligatures w14:val="none"/>
        </w:rPr>
        <w:noBreakHyphen/>
        <w:t xml:space="preserve">based. The plan refers to the need to improve facilities, governance, and pathways but provides little baseline data or measurable indicators. </w:t>
      </w:r>
      <w:proofErr w:type="spellStart"/>
      <w:r w:rsidRPr="00F16C2B">
        <w:rPr>
          <w:rFonts w:ascii="Times New Roman" w:eastAsia="Times New Roman" w:hAnsi="Times New Roman" w:cs="Times New Roman"/>
          <w:color w:val="000000"/>
          <w:kern w:val="0"/>
          <w:lang w:eastAsia="en-GB"/>
          <w14:ligatures w14:val="none"/>
        </w:rPr>
        <w:t>Shilbury</w:t>
      </w:r>
      <w:proofErr w:type="spellEnd"/>
      <w:r w:rsidRPr="00F16C2B">
        <w:rPr>
          <w:rFonts w:ascii="Times New Roman" w:eastAsia="Times New Roman" w:hAnsi="Times New Roman" w:cs="Times New Roman"/>
          <w:color w:val="000000"/>
          <w:kern w:val="0"/>
          <w:lang w:eastAsia="en-GB"/>
          <w14:ligatures w14:val="none"/>
        </w:rPr>
        <w:t xml:space="preserve"> and </w:t>
      </w:r>
      <w:proofErr w:type="spellStart"/>
      <w:r w:rsidRPr="00F16C2B">
        <w:rPr>
          <w:rFonts w:ascii="Times New Roman" w:eastAsia="Times New Roman" w:hAnsi="Times New Roman" w:cs="Times New Roman"/>
          <w:color w:val="000000"/>
          <w:kern w:val="0"/>
          <w:lang w:eastAsia="en-GB"/>
          <w14:ligatures w14:val="none"/>
        </w:rPr>
        <w:t>Ferkins</w:t>
      </w:r>
      <w:proofErr w:type="spellEnd"/>
      <w:r w:rsidRPr="00F16C2B">
        <w:rPr>
          <w:rFonts w:ascii="Times New Roman" w:eastAsia="Times New Roman" w:hAnsi="Times New Roman" w:cs="Times New Roman"/>
          <w:color w:val="000000"/>
          <w:kern w:val="0"/>
          <w:lang w:eastAsia="en-GB"/>
          <w14:ligatures w14:val="none"/>
        </w:rPr>
        <w:t xml:space="preserve"> (2021) stress that strategic planning requires diagnostic precision; without quantifiable evidence, internal analysis becomes aspirational rather than analytical.</w:t>
      </w:r>
    </w:p>
    <w:p w14:paraId="453F76C1" w14:textId="1A9E8B4F" w:rsidR="00F16C2B" w:rsidRPr="00F16C2B" w:rsidRDefault="00F16C2B" w:rsidP="00F16C2B">
      <w:pPr>
        <w:spacing w:before="100" w:beforeAutospacing="1" w:after="100" w:afterAutospacing="1"/>
        <w:outlineLvl w:val="2"/>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External Analysis: Opportunities, Threats, and Environmental Pressures</w:t>
      </w:r>
    </w:p>
    <w:p w14:paraId="2EBB9AD0"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FAW’s external analysis is more clearly articulated than its internal assessment. The plan identifies several macro</w:t>
      </w:r>
      <w:r w:rsidRPr="00F16C2B">
        <w:rPr>
          <w:rFonts w:ascii="Times New Roman" w:eastAsia="Times New Roman" w:hAnsi="Times New Roman" w:cs="Times New Roman"/>
          <w:color w:val="000000"/>
          <w:kern w:val="0"/>
          <w:lang w:eastAsia="en-GB"/>
          <w14:ligatures w14:val="none"/>
        </w:rPr>
        <w:noBreakHyphen/>
        <w:t>level trends shaping Welsh football, including:</w:t>
      </w:r>
    </w:p>
    <w:p w14:paraId="6E2EE916" w14:textId="77777777" w:rsidR="00F16C2B" w:rsidRPr="00F16C2B" w:rsidRDefault="00F16C2B" w:rsidP="00F16C2B">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Growth in women’s football</w:t>
      </w:r>
    </w:p>
    <w:p w14:paraId="18B0F4CB" w14:textId="77777777" w:rsidR="00F16C2B" w:rsidRPr="00F16C2B" w:rsidRDefault="00F16C2B" w:rsidP="00F16C2B">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lastRenderedPageBreak/>
        <w:t>Digital transformation of fan engagement</w:t>
      </w:r>
    </w:p>
    <w:p w14:paraId="57ABD6B4" w14:textId="77777777" w:rsidR="00F16C2B" w:rsidRPr="00F16C2B" w:rsidRDefault="00F16C2B" w:rsidP="00F16C2B">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Socio</w:t>
      </w:r>
      <w:r w:rsidRPr="00F16C2B">
        <w:rPr>
          <w:rFonts w:ascii="Times New Roman" w:eastAsia="Times New Roman" w:hAnsi="Times New Roman" w:cs="Times New Roman"/>
          <w:color w:val="000000"/>
          <w:kern w:val="0"/>
          <w:lang w:eastAsia="en-GB"/>
          <w14:ligatures w14:val="none"/>
        </w:rPr>
        <w:noBreakHyphen/>
        <w:t>political movements (e.g., Black Lives Matter, climate activism)</w:t>
      </w:r>
    </w:p>
    <w:p w14:paraId="765891C0" w14:textId="77777777" w:rsidR="00F16C2B" w:rsidRPr="00F16C2B" w:rsidRDefault="00F16C2B" w:rsidP="00F16C2B">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Economic pressures and facility costs</w:t>
      </w:r>
    </w:p>
    <w:p w14:paraId="3EDC7533" w14:textId="77777777" w:rsidR="00F16C2B" w:rsidRPr="00F16C2B" w:rsidRDefault="00F16C2B" w:rsidP="00F16C2B">
      <w:pPr>
        <w:numPr>
          <w:ilvl w:val="0"/>
          <w:numId w:val="1"/>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Post</w:t>
      </w:r>
      <w:r w:rsidRPr="00F16C2B">
        <w:rPr>
          <w:rFonts w:ascii="Times New Roman" w:eastAsia="Times New Roman" w:hAnsi="Times New Roman" w:cs="Times New Roman"/>
          <w:color w:val="000000"/>
          <w:kern w:val="0"/>
          <w:lang w:eastAsia="en-GB"/>
          <w14:ligatures w14:val="none"/>
        </w:rPr>
        <w:noBreakHyphen/>
        <w:t>Covid uncertainty</w:t>
      </w:r>
    </w:p>
    <w:p w14:paraId="2A890882"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These reflect key PESTLE dimensions commonly used in sport strategy (</w:t>
      </w:r>
      <w:proofErr w:type="spellStart"/>
      <w:r w:rsidRPr="00F16C2B">
        <w:rPr>
          <w:rFonts w:ascii="Times New Roman" w:eastAsia="Times New Roman" w:hAnsi="Times New Roman" w:cs="Times New Roman"/>
          <w:color w:val="000000"/>
          <w:kern w:val="0"/>
          <w:lang w:eastAsia="en-GB"/>
          <w14:ligatures w14:val="none"/>
        </w:rPr>
        <w:t>Hoye</w:t>
      </w:r>
      <w:proofErr w:type="spellEnd"/>
      <w:r w:rsidRPr="00F16C2B">
        <w:rPr>
          <w:rFonts w:ascii="Times New Roman" w:eastAsia="Times New Roman" w:hAnsi="Times New Roman" w:cs="Times New Roman"/>
          <w:color w:val="000000"/>
          <w:kern w:val="0"/>
          <w:lang w:eastAsia="en-GB"/>
          <w14:ligatures w14:val="none"/>
        </w:rPr>
        <w:t xml:space="preserve"> et al., 2018).</w:t>
      </w:r>
    </w:p>
    <w:p w14:paraId="66183B0A" w14:textId="77777777" w:rsidR="00F16C2B" w:rsidRPr="00F16C2B" w:rsidRDefault="00F16C2B" w:rsidP="00F16C2B">
      <w:pPr>
        <w:spacing w:before="100" w:beforeAutospacing="1" w:after="100" w:afterAutospacing="1"/>
        <w:outlineLvl w:val="3"/>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Political and Governance Factors</w:t>
      </w:r>
    </w:p>
    <w:p w14:paraId="4A9DEA57"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FAW acknowledges the importance of aligning with Welsh Government priorities, particularly around health, education, and community development. This shows awareness of the political environment and the interdependence between sport policy and public funding (</w:t>
      </w:r>
      <w:proofErr w:type="spellStart"/>
      <w:r w:rsidRPr="00F16C2B">
        <w:rPr>
          <w:rFonts w:ascii="Times New Roman" w:eastAsia="Times New Roman" w:hAnsi="Times New Roman" w:cs="Times New Roman"/>
          <w:color w:val="000000"/>
          <w:kern w:val="0"/>
          <w:lang w:eastAsia="en-GB"/>
          <w14:ligatures w14:val="none"/>
        </w:rPr>
        <w:t>Walzel</w:t>
      </w:r>
      <w:proofErr w:type="spellEnd"/>
      <w:r w:rsidRPr="00F16C2B">
        <w:rPr>
          <w:rFonts w:ascii="Times New Roman" w:eastAsia="Times New Roman" w:hAnsi="Times New Roman" w:cs="Times New Roman"/>
          <w:color w:val="000000"/>
          <w:kern w:val="0"/>
          <w:lang w:eastAsia="en-GB"/>
          <w14:ligatures w14:val="none"/>
        </w:rPr>
        <w:t>, 2020).</w:t>
      </w:r>
    </w:p>
    <w:p w14:paraId="2733E12D" w14:textId="77777777" w:rsidR="00F16C2B" w:rsidRPr="00F16C2B" w:rsidRDefault="00F16C2B" w:rsidP="00F16C2B">
      <w:pPr>
        <w:spacing w:before="100" w:beforeAutospacing="1" w:after="100" w:afterAutospacing="1"/>
        <w:outlineLvl w:val="3"/>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Economic Factors</w:t>
      </w:r>
    </w:p>
    <w:p w14:paraId="0C523F76"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plan recognises financial constraints across Welsh football, including limited commercial markets compared to larger nations. This supports Smith and Stewart’s (2015) argument that smaller football economies face structural disadvantages in sponsorship and media revenue.</w:t>
      </w:r>
    </w:p>
    <w:p w14:paraId="4A59499D" w14:textId="77777777" w:rsidR="00F16C2B" w:rsidRPr="00F16C2B" w:rsidRDefault="00F16C2B" w:rsidP="00F16C2B">
      <w:pPr>
        <w:spacing w:before="100" w:beforeAutospacing="1" w:after="100" w:afterAutospacing="1"/>
        <w:outlineLvl w:val="3"/>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Social and Cultural Trends</w:t>
      </w:r>
    </w:p>
    <w:p w14:paraId="5E69EB44"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FAW highlights growing demand for inclusive, community</w:t>
      </w:r>
      <w:r w:rsidRPr="00F16C2B">
        <w:rPr>
          <w:rFonts w:ascii="Times New Roman" w:eastAsia="Times New Roman" w:hAnsi="Times New Roman" w:cs="Times New Roman"/>
          <w:color w:val="000000"/>
          <w:kern w:val="0"/>
          <w:lang w:eastAsia="en-GB"/>
          <w14:ligatures w14:val="none"/>
        </w:rPr>
        <w:noBreakHyphen/>
        <w:t>based football opportunities. The focus on women’s football represents a significant opportunity for growth, consistent with global patterns (FIFA, 202).</w:t>
      </w:r>
    </w:p>
    <w:p w14:paraId="20738ABD" w14:textId="77777777" w:rsidR="00F16C2B" w:rsidRPr="00F16C2B" w:rsidRDefault="00F16C2B" w:rsidP="00F16C2B">
      <w:pPr>
        <w:spacing w:before="100" w:beforeAutospacing="1" w:after="100" w:afterAutospacing="1"/>
        <w:outlineLvl w:val="3"/>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Technological Change</w:t>
      </w:r>
    </w:p>
    <w:p w14:paraId="0B9E31E1"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plan identifies digital engagement as a key opportunity, acknowledging the shift in how fans consume football content. This aligns with contemporary sport marketing literature that views digital transformation as a strategic necessity (Smith &amp; Stewart, 2015).</w:t>
      </w:r>
    </w:p>
    <w:p w14:paraId="4EEC4793" w14:textId="77777777" w:rsidR="00F16C2B" w:rsidRPr="00F16C2B" w:rsidRDefault="00F16C2B" w:rsidP="00F16C2B">
      <w:pPr>
        <w:spacing w:before="100" w:beforeAutospacing="1" w:after="100" w:afterAutospacing="1"/>
        <w:outlineLvl w:val="3"/>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Critical Weaknesses in External Analysis</w:t>
      </w:r>
    </w:p>
    <w:p w14:paraId="5982AD24"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Despite these strengths, the FAW’s external analysis remains largely descriptive. It identifies trends but does not fully consider their strategic implications or associated risks. For example:</w:t>
      </w:r>
    </w:p>
    <w:p w14:paraId="053916A6" w14:textId="77777777" w:rsidR="00F16C2B" w:rsidRPr="00F16C2B" w:rsidRDefault="00F16C2B" w:rsidP="00F16C2B">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Digital engagement is presented as an opportunity, but the plan does not address competition from global football brands.</w:t>
      </w:r>
    </w:p>
    <w:p w14:paraId="7A26863D" w14:textId="77777777" w:rsidR="00F16C2B" w:rsidRPr="00F16C2B" w:rsidRDefault="00F16C2B" w:rsidP="00F16C2B">
      <w:pPr>
        <w:numPr>
          <w:ilvl w:val="0"/>
          <w:numId w:val="2"/>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Economic constraints are recognised, but the plan does not analyse how financial volatility might affect long</w:t>
      </w:r>
      <w:r w:rsidRPr="00F16C2B">
        <w:rPr>
          <w:rFonts w:ascii="Times New Roman" w:eastAsia="Times New Roman" w:hAnsi="Times New Roman" w:cs="Times New Roman"/>
          <w:color w:val="000000"/>
          <w:kern w:val="0"/>
          <w:lang w:eastAsia="en-GB"/>
          <w14:ligatures w14:val="none"/>
        </w:rPr>
        <w:noBreakHyphen/>
        <w:t>term sustainability.</w:t>
      </w:r>
    </w:p>
    <w:p w14:paraId="4DF2EF87"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Moreover, the FAW does not explicitly apply structured analytical tools such as PESTLE or Porter’s Five Forces. O’Brien et al. (2019) note that systematic environmental scanning is essential for evidence</w:t>
      </w:r>
      <w:r w:rsidRPr="00F16C2B">
        <w:rPr>
          <w:rFonts w:ascii="Times New Roman" w:eastAsia="Times New Roman" w:hAnsi="Times New Roman" w:cs="Times New Roman"/>
          <w:color w:val="000000"/>
          <w:kern w:val="0"/>
          <w:lang w:eastAsia="en-GB"/>
          <w14:ligatures w14:val="none"/>
        </w:rPr>
        <w:noBreakHyphen/>
        <w:t>based strategy. The FAW’s approach, while conceptually aligned with external analysis, lacks methodological rigour.</w:t>
      </w:r>
    </w:p>
    <w:p w14:paraId="0D99F7BF" w14:textId="4A94EA72"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Stakeholder Analysis</w:t>
      </w:r>
    </w:p>
    <w:p w14:paraId="66C21547"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lastRenderedPageBreak/>
        <w:t>One of the FAW’s strongest analytical components is its recognition of stakeholder complexity. The plan stresses collaboration with:</w:t>
      </w:r>
    </w:p>
    <w:p w14:paraId="3EB73C27" w14:textId="77777777" w:rsidR="00F16C2B" w:rsidRPr="00F16C2B" w:rsidRDefault="00F16C2B" w:rsidP="00F16C2B">
      <w:pPr>
        <w:numPr>
          <w:ilvl w:val="0"/>
          <w:numId w:val="3"/>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Clubs</w:t>
      </w:r>
    </w:p>
    <w:p w14:paraId="168B8B92" w14:textId="77777777" w:rsidR="00F16C2B" w:rsidRPr="00F16C2B" w:rsidRDefault="00F16C2B" w:rsidP="00F16C2B">
      <w:pPr>
        <w:numPr>
          <w:ilvl w:val="0"/>
          <w:numId w:val="3"/>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Leagues</w:t>
      </w:r>
    </w:p>
    <w:p w14:paraId="02762CFF" w14:textId="77777777" w:rsidR="00F16C2B" w:rsidRPr="00F16C2B" w:rsidRDefault="00F16C2B" w:rsidP="00F16C2B">
      <w:pPr>
        <w:numPr>
          <w:ilvl w:val="0"/>
          <w:numId w:val="3"/>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Local authorities</w:t>
      </w:r>
    </w:p>
    <w:p w14:paraId="0AA8D4A8" w14:textId="77777777" w:rsidR="00F16C2B" w:rsidRPr="00F16C2B" w:rsidRDefault="00F16C2B" w:rsidP="00F16C2B">
      <w:pPr>
        <w:numPr>
          <w:ilvl w:val="0"/>
          <w:numId w:val="3"/>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Schools</w:t>
      </w:r>
    </w:p>
    <w:p w14:paraId="09F2F659" w14:textId="77777777" w:rsidR="00F16C2B" w:rsidRPr="00F16C2B" w:rsidRDefault="00F16C2B" w:rsidP="00F16C2B">
      <w:pPr>
        <w:numPr>
          <w:ilvl w:val="0"/>
          <w:numId w:val="3"/>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Volunteers</w:t>
      </w:r>
    </w:p>
    <w:p w14:paraId="48E1591D" w14:textId="77777777" w:rsidR="00F16C2B" w:rsidRPr="00F16C2B" w:rsidRDefault="00F16C2B" w:rsidP="00F16C2B">
      <w:pPr>
        <w:numPr>
          <w:ilvl w:val="0"/>
          <w:numId w:val="3"/>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Commercial partners</w:t>
      </w:r>
    </w:p>
    <w:p w14:paraId="08247F3D"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This aligns with stakeholder theory, which highlights the importance of managing diverse interests in sport governance (</w:t>
      </w:r>
      <w:proofErr w:type="spellStart"/>
      <w:r w:rsidRPr="00F16C2B">
        <w:rPr>
          <w:rFonts w:ascii="Times New Roman" w:eastAsia="Times New Roman" w:hAnsi="Times New Roman" w:cs="Times New Roman"/>
          <w:color w:val="000000"/>
          <w:kern w:val="0"/>
          <w:lang w:eastAsia="en-GB"/>
          <w14:ligatures w14:val="none"/>
        </w:rPr>
        <w:t>Ferkins</w:t>
      </w:r>
      <w:proofErr w:type="spellEnd"/>
      <w:r w:rsidRPr="00F16C2B">
        <w:rPr>
          <w:rFonts w:ascii="Times New Roman" w:eastAsia="Times New Roman" w:hAnsi="Times New Roman" w:cs="Times New Roman"/>
          <w:color w:val="000000"/>
          <w:kern w:val="0"/>
          <w:lang w:eastAsia="en-GB"/>
          <w14:ligatures w14:val="none"/>
        </w:rPr>
        <w:t xml:space="preserve"> &amp; </w:t>
      </w:r>
      <w:proofErr w:type="spellStart"/>
      <w:r w:rsidRPr="00F16C2B">
        <w:rPr>
          <w:rFonts w:ascii="Times New Roman" w:eastAsia="Times New Roman" w:hAnsi="Times New Roman" w:cs="Times New Roman"/>
          <w:color w:val="000000"/>
          <w:kern w:val="0"/>
          <w:lang w:eastAsia="en-GB"/>
          <w14:ligatures w14:val="none"/>
        </w:rPr>
        <w:t>Shilbury</w:t>
      </w:r>
      <w:proofErr w:type="spellEnd"/>
      <w:r w:rsidRPr="00F16C2B">
        <w:rPr>
          <w:rFonts w:ascii="Times New Roman" w:eastAsia="Times New Roman" w:hAnsi="Times New Roman" w:cs="Times New Roman"/>
          <w:color w:val="000000"/>
          <w:kern w:val="0"/>
          <w:lang w:eastAsia="en-GB"/>
          <w14:ligatures w14:val="none"/>
        </w:rPr>
        <w:t>, 2015).</w:t>
      </w:r>
    </w:p>
    <w:p w14:paraId="7B32019A"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However, the FAW does not fully map stakeholder power, influence, or potential conflict. For instance, tensions between elite and grassroots priorities are not explicitly addressed. This omission limits the FAW’s ability to anticipate stakeholder resistance, an important factor in strategic implementation (</w:t>
      </w:r>
      <w:proofErr w:type="spellStart"/>
      <w:r w:rsidRPr="00F16C2B">
        <w:rPr>
          <w:rFonts w:ascii="Times New Roman" w:eastAsia="Times New Roman" w:hAnsi="Times New Roman" w:cs="Times New Roman"/>
          <w:color w:val="000000"/>
          <w:kern w:val="0"/>
          <w:lang w:eastAsia="en-GB"/>
          <w14:ligatures w14:val="none"/>
        </w:rPr>
        <w:t>Walzel</w:t>
      </w:r>
      <w:proofErr w:type="spellEnd"/>
      <w:r w:rsidRPr="00F16C2B">
        <w:rPr>
          <w:rFonts w:ascii="Times New Roman" w:eastAsia="Times New Roman" w:hAnsi="Times New Roman" w:cs="Times New Roman"/>
          <w:color w:val="000000"/>
          <w:kern w:val="0"/>
          <w:lang w:eastAsia="en-GB"/>
          <w14:ligatures w14:val="none"/>
        </w:rPr>
        <w:t>, 202).</w:t>
      </w:r>
    </w:p>
    <w:p w14:paraId="487464DC" w14:textId="411E8535" w:rsidR="00F16C2B" w:rsidRPr="00F16C2B" w:rsidRDefault="00F16C2B" w:rsidP="00F16C2B">
      <w:pPr>
        <w:spacing w:before="100" w:beforeAutospacing="1" w:after="100" w:afterAutospacing="1"/>
        <w:outlineLvl w:val="1"/>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Common Purpose and Strategic Direction</w:t>
      </w:r>
    </w:p>
    <w:p w14:paraId="344E25C3" w14:textId="02687D83" w:rsidR="00F16C2B" w:rsidRPr="00F16C2B" w:rsidRDefault="00F16C2B" w:rsidP="00F16C2B">
      <w:pPr>
        <w:spacing w:before="100" w:beforeAutospacing="1" w:after="100" w:afterAutospacing="1"/>
        <w:outlineLvl w:val="2"/>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Constructing a Shared Purpose</w:t>
      </w:r>
    </w:p>
    <w:p w14:paraId="350B7B83"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 xml:space="preserve">The FAW positions “Our Wales” as a unifying narrative designed to align the football community behind a shared purpose. The plan highlights national identity, inclusivity, and collective ambition. This corresponds with </w:t>
      </w:r>
      <w:proofErr w:type="spellStart"/>
      <w:r w:rsidRPr="00F16C2B">
        <w:rPr>
          <w:rFonts w:ascii="Times New Roman" w:eastAsia="Times New Roman" w:hAnsi="Times New Roman" w:cs="Times New Roman"/>
          <w:color w:val="000000"/>
          <w:kern w:val="0"/>
          <w:lang w:eastAsia="en-GB"/>
          <w14:ligatures w14:val="none"/>
        </w:rPr>
        <w:t>Ferkins</w:t>
      </w:r>
      <w:proofErr w:type="spellEnd"/>
      <w:r w:rsidRPr="00F16C2B">
        <w:rPr>
          <w:rFonts w:ascii="Times New Roman" w:eastAsia="Times New Roman" w:hAnsi="Times New Roman" w:cs="Times New Roman"/>
          <w:color w:val="000000"/>
          <w:kern w:val="0"/>
          <w:lang w:eastAsia="en-GB"/>
          <w14:ligatures w14:val="none"/>
        </w:rPr>
        <w:t xml:space="preserve"> and </w:t>
      </w:r>
      <w:proofErr w:type="spellStart"/>
      <w:r w:rsidRPr="00F16C2B">
        <w:rPr>
          <w:rFonts w:ascii="Times New Roman" w:eastAsia="Times New Roman" w:hAnsi="Times New Roman" w:cs="Times New Roman"/>
          <w:color w:val="000000"/>
          <w:kern w:val="0"/>
          <w:lang w:eastAsia="en-GB"/>
          <w14:ligatures w14:val="none"/>
        </w:rPr>
        <w:t>Shilbury’s</w:t>
      </w:r>
      <w:proofErr w:type="spellEnd"/>
      <w:r w:rsidRPr="00F16C2B">
        <w:rPr>
          <w:rFonts w:ascii="Times New Roman" w:eastAsia="Times New Roman" w:hAnsi="Times New Roman" w:cs="Times New Roman"/>
          <w:color w:val="000000"/>
          <w:kern w:val="0"/>
          <w:lang w:eastAsia="en-GB"/>
          <w14:ligatures w14:val="none"/>
        </w:rPr>
        <w:t xml:space="preserve"> (2015) argument that NGBs must build shared purpose to overcome structural fragmentation.</w:t>
      </w:r>
    </w:p>
    <w:p w14:paraId="148E29FB"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However, while the FAW’s language of unity is persuasive, the plan provides little detail on how shared purpose will be operationalised. The mechanisms for building consensus, such as structured consultation processes or shared governance frameworks, are not fully explained. Research indicates that shared purpose requires deliberate processes of negotiation and alignment, not simply rhetorical commitment (</w:t>
      </w:r>
      <w:proofErr w:type="spellStart"/>
      <w:r w:rsidRPr="00F16C2B">
        <w:rPr>
          <w:rFonts w:ascii="Times New Roman" w:eastAsia="Times New Roman" w:hAnsi="Times New Roman" w:cs="Times New Roman"/>
          <w:color w:val="000000"/>
          <w:kern w:val="0"/>
          <w:lang w:eastAsia="en-GB"/>
          <w14:ligatures w14:val="none"/>
        </w:rPr>
        <w:t>Shilbury</w:t>
      </w:r>
      <w:proofErr w:type="spellEnd"/>
      <w:r w:rsidRPr="00F16C2B">
        <w:rPr>
          <w:rFonts w:ascii="Times New Roman" w:eastAsia="Times New Roman" w:hAnsi="Times New Roman" w:cs="Times New Roman"/>
          <w:color w:val="000000"/>
          <w:kern w:val="0"/>
          <w:lang w:eastAsia="en-GB"/>
          <w14:ligatures w14:val="none"/>
        </w:rPr>
        <w:t xml:space="preserve"> &amp; </w:t>
      </w:r>
      <w:proofErr w:type="spellStart"/>
      <w:r w:rsidRPr="00F16C2B">
        <w:rPr>
          <w:rFonts w:ascii="Times New Roman" w:eastAsia="Times New Roman" w:hAnsi="Times New Roman" w:cs="Times New Roman"/>
          <w:color w:val="000000"/>
          <w:kern w:val="0"/>
          <w:lang w:eastAsia="en-GB"/>
          <w14:ligatures w14:val="none"/>
        </w:rPr>
        <w:t>Ferkins</w:t>
      </w:r>
      <w:proofErr w:type="spellEnd"/>
      <w:r w:rsidRPr="00F16C2B">
        <w:rPr>
          <w:rFonts w:ascii="Times New Roman" w:eastAsia="Times New Roman" w:hAnsi="Times New Roman" w:cs="Times New Roman"/>
          <w:color w:val="000000"/>
          <w:kern w:val="0"/>
          <w:lang w:eastAsia="en-GB"/>
          <w14:ligatures w14:val="none"/>
        </w:rPr>
        <w:t>, 2021).</w:t>
      </w:r>
    </w:p>
    <w:p w14:paraId="2CED5069" w14:textId="6D27DEBE" w:rsidR="00F16C2B" w:rsidRPr="00F16C2B" w:rsidRDefault="00F16C2B" w:rsidP="00F16C2B">
      <w:pPr>
        <w:spacing w:before="100" w:beforeAutospacing="1" w:after="100" w:afterAutospacing="1"/>
        <w:outlineLvl w:val="2"/>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Vision, Mission, and Values</w:t>
      </w:r>
    </w:p>
    <w:p w14:paraId="273297E6"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FAW’s strategic direction is expressed through a clear vision for Welsh football, supported by strategic pillars and organisational values. The vision stresses excellence, inclusivity, and long</w:t>
      </w:r>
      <w:r w:rsidRPr="00F16C2B">
        <w:rPr>
          <w:rFonts w:ascii="Times New Roman" w:eastAsia="Times New Roman" w:hAnsi="Times New Roman" w:cs="Times New Roman"/>
          <w:color w:val="000000"/>
          <w:kern w:val="0"/>
          <w:lang w:eastAsia="en-GB"/>
          <w14:ligatures w14:val="none"/>
        </w:rPr>
        <w:noBreakHyphen/>
        <w:t>term development, aligning with best</w:t>
      </w:r>
      <w:r w:rsidRPr="00F16C2B">
        <w:rPr>
          <w:rFonts w:ascii="Times New Roman" w:eastAsia="Times New Roman" w:hAnsi="Times New Roman" w:cs="Times New Roman"/>
          <w:color w:val="000000"/>
          <w:kern w:val="0"/>
          <w:lang w:eastAsia="en-GB"/>
          <w14:ligatures w14:val="none"/>
        </w:rPr>
        <w:noBreakHyphen/>
        <w:t>practice principles of strategic leadership (O’Brien et al., 2019).</w:t>
      </w:r>
    </w:p>
    <w:p w14:paraId="5AFA1E88" w14:textId="77777777" w:rsidR="00F16C2B" w:rsidRPr="00F16C2B" w:rsidRDefault="00F16C2B" w:rsidP="00F16C2B">
      <w:pPr>
        <w:spacing w:before="100" w:beforeAutospacing="1" w:after="100" w:afterAutospacing="1"/>
        <w:outlineLvl w:val="3"/>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Strengths</w:t>
      </w:r>
    </w:p>
    <w:p w14:paraId="4872284A" w14:textId="77777777" w:rsidR="00F16C2B" w:rsidRPr="00F16C2B" w:rsidRDefault="00F16C2B" w:rsidP="00F16C2B">
      <w:pPr>
        <w:numPr>
          <w:ilvl w:val="0"/>
          <w:numId w:val="4"/>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vision is aspirational and unifying.</w:t>
      </w:r>
    </w:p>
    <w:p w14:paraId="5E807366" w14:textId="77777777" w:rsidR="00F16C2B" w:rsidRPr="00F16C2B" w:rsidRDefault="00F16C2B" w:rsidP="00F16C2B">
      <w:pPr>
        <w:numPr>
          <w:ilvl w:val="0"/>
          <w:numId w:val="4"/>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Strategic pillars provide a coherent structure.</w:t>
      </w:r>
    </w:p>
    <w:p w14:paraId="00D80C11" w14:textId="77777777" w:rsidR="00F16C2B" w:rsidRPr="00F16C2B" w:rsidRDefault="00F16C2B" w:rsidP="00F16C2B">
      <w:pPr>
        <w:numPr>
          <w:ilvl w:val="0"/>
          <w:numId w:val="4"/>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Values (excellence, respect, family) align with contemporary governance expectations.</w:t>
      </w:r>
    </w:p>
    <w:p w14:paraId="7B538CE3" w14:textId="77777777" w:rsidR="00F16C2B" w:rsidRPr="00F16C2B" w:rsidRDefault="00F16C2B" w:rsidP="00F16C2B">
      <w:pPr>
        <w:spacing w:before="100" w:beforeAutospacing="1" w:after="100" w:afterAutospacing="1"/>
        <w:outlineLvl w:val="3"/>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Limitations</w:t>
      </w:r>
    </w:p>
    <w:p w14:paraId="4F50E0D1" w14:textId="77777777" w:rsidR="00F16C2B" w:rsidRPr="00F16C2B" w:rsidRDefault="00F16C2B" w:rsidP="00F16C2B">
      <w:pPr>
        <w:numPr>
          <w:ilvl w:val="0"/>
          <w:numId w:val="5"/>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vision is broad and lacks prioritisation.</w:t>
      </w:r>
    </w:p>
    <w:p w14:paraId="6CCD9CFF" w14:textId="77777777" w:rsidR="00F16C2B" w:rsidRPr="00F16C2B" w:rsidRDefault="00F16C2B" w:rsidP="00F16C2B">
      <w:pPr>
        <w:numPr>
          <w:ilvl w:val="0"/>
          <w:numId w:val="5"/>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lastRenderedPageBreak/>
        <w:t>Several objectives require significant financial investment, yet resource modelling is absent.</w:t>
      </w:r>
    </w:p>
    <w:p w14:paraId="270CD222" w14:textId="77777777" w:rsidR="00F16C2B" w:rsidRPr="00F16C2B" w:rsidRDefault="00F16C2B" w:rsidP="00F16C2B">
      <w:pPr>
        <w:numPr>
          <w:ilvl w:val="0"/>
          <w:numId w:val="5"/>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plan does not explicitly link each strategic priority to specific environmental insights.</w:t>
      </w:r>
    </w:p>
    <w:p w14:paraId="31E6209E"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proofErr w:type="spellStart"/>
      <w:r w:rsidRPr="00F16C2B">
        <w:rPr>
          <w:rFonts w:ascii="Times New Roman" w:eastAsia="Times New Roman" w:hAnsi="Times New Roman" w:cs="Times New Roman"/>
          <w:color w:val="000000"/>
          <w:kern w:val="0"/>
          <w:lang w:eastAsia="en-GB"/>
          <w14:ligatures w14:val="none"/>
        </w:rPr>
        <w:t>Hoye</w:t>
      </w:r>
      <w:proofErr w:type="spellEnd"/>
      <w:r w:rsidRPr="00F16C2B">
        <w:rPr>
          <w:rFonts w:ascii="Times New Roman" w:eastAsia="Times New Roman" w:hAnsi="Times New Roman" w:cs="Times New Roman"/>
          <w:color w:val="000000"/>
          <w:kern w:val="0"/>
          <w:lang w:eastAsia="en-GB"/>
          <w14:ligatures w14:val="none"/>
        </w:rPr>
        <w:t xml:space="preserve"> et al. (2018) argue that strategic direction must be grounded in realistic assessments of organisational capacity. Without explicit resource modelling, the FAW’s strategic direction risks being seen as ambitious but insufficiently anchored in operational feasibility.</w:t>
      </w:r>
    </w:p>
    <w:p w14:paraId="647E2510" w14:textId="62B7746C" w:rsidR="00F16C2B" w:rsidRPr="00F16C2B" w:rsidRDefault="00F16C2B" w:rsidP="00F16C2B">
      <w:pPr>
        <w:spacing w:before="100" w:beforeAutospacing="1" w:after="100" w:afterAutospacing="1"/>
        <w:outlineLvl w:val="2"/>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Inclusivity and Stakeholder Alignment</w:t>
      </w:r>
    </w:p>
    <w:p w14:paraId="5660C495"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FAW’s strategic direction places strong emphasis on inclusivity, particularly regarding gender equity and community access. This aligns with broader sport governance trends (Smith &amp; Stewart, 2015). However, the plan does not fully explain how inclusivity will be embedded across all levels of Welsh football. For example:</w:t>
      </w:r>
    </w:p>
    <w:p w14:paraId="596265F0" w14:textId="77777777" w:rsidR="00F16C2B" w:rsidRPr="00F16C2B" w:rsidRDefault="00F16C2B" w:rsidP="00F16C2B">
      <w:pPr>
        <w:numPr>
          <w:ilvl w:val="0"/>
          <w:numId w:val="6"/>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Commitments to women’s football lack detailed resource allocation.</w:t>
      </w:r>
    </w:p>
    <w:p w14:paraId="2EED91EA" w14:textId="77777777" w:rsidR="00F16C2B" w:rsidRPr="00F16C2B" w:rsidRDefault="00F16C2B" w:rsidP="00F16C2B">
      <w:pPr>
        <w:numPr>
          <w:ilvl w:val="0"/>
          <w:numId w:val="6"/>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Community engagement strategies are not operationally defined.</w:t>
      </w:r>
    </w:p>
    <w:p w14:paraId="6B037CCC"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Stakeholder alignment is implied but not systematically addressed. The absence of a stakeholder map or conflict</w:t>
      </w:r>
      <w:r w:rsidRPr="00F16C2B">
        <w:rPr>
          <w:rFonts w:ascii="Times New Roman" w:eastAsia="Times New Roman" w:hAnsi="Times New Roman" w:cs="Times New Roman"/>
          <w:color w:val="000000"/>
          <w:kern w:val="0"/>
          <w:lang w:eastAsia="en-GB"/>
          <w14:ligatures w14:val="none"/>
        </w:rPr>
        <w:noBreakHyphen/>
        <w:t>management strategy remains a notable gap.</w:t>
      </w:r>
    </w:p>
    <w:p w14:paraId="7FD78030" w14:textId="07026194" w:rsidR="00F16C2B" w:rsidRPr="00F16C2B" w:rsidRDefault="00F16C2B" w:rsidP="00F16C2B">
      <w:pPr>
        <w:spacing w:before="100" w:beforeAutospacing="1" w:after="100" w:afterAutospacing="1"/>
        <w:outlineLvl w:val="1"/>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Strategy Implementation and the Change Process</w:t>
      </w:r>
    </w:p>
    <w:p w14:paraId="095DA8CD" w14:textId="007EEEAF" w:rsidR="00F16C2B" w:rsidRPr="00F16C2B" w:rsidRDefault="00F16C2B" w:rsidP="00F16C2B">
      <w:pPr>
        <w:spacing w:before="100" w:beforeAutospacing="1" w:after="100" w:afterAutospacing="1"/>
        <w:outlineLvl w:val="2"/>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Implementation Framework</w:t>
      </w:r>
    </w:p>
    <w:p w14:paraId="69218195"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FAW outlines five strategic enablers to support implementation:</w:t>
      </w:r>
    </w:p>
    <w:p w14:paraId="45752B69" w14:textId="77777777" w:rsidR="00F16C2B" w:rsidRPr="00F16C2B" w:rsidRDefault="00F16C2B" w:rsidP="00F16C2B">
      <w:pPr>
        <w:numPr>
          <w:ilvl w:val="0"/>
          <w:numId w:val="7"/>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Investment</w:t>
      </w:r>
    </w:p>
    <w:p w14:paraId="3B0F45C5" w14:textId="77777777" w:rsidR="00F16C2B" w:rsidRPr="00F16C2B" w:rsidRDefault="00F16C2B" w:rsidP="00F16C2B">
      <w:pPr>
        <w:numPr>
          <w:ilvl w:val="0"/>
          <w:numId w:val="7"/>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Insight</w:t>
      </w:r>
    </w:p>
    <w:p w14:paraId="53F45C40" w14:textId="77777777" w:rsidR="00F16C2B" w:rsidRPr="00F16C2B" w:rsidRDefault="00F16C2B" w:rsidP="00F16C2B">
      <w:pPr>
        <w:numPr>
          <w:ilvl w:val="0"/>
          <w:numId w:val="7"/>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Systems</w:t>
      </w:r>
    </w:p>
    <w:p w14:paraId="6083DA3D" w14:textId="77777777" w:rsidR="00F16C2B" w:rsidRPr="00F16C2B" w:rsidRDefault="00F16C2B" w:rsidP="00F16C2B">
      <w:pPr>
        <w:numPr>
          <w:ilvl w:val="0"/>
          <w:numId w:val="7"/>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Engagement</w:t>
      </w:r>
    </w:p>
    <w:p w14:paraId="3D5851F1" w14:textId="77777777" w:rsidR="00F16C2B" w:rsidRPr="00F16C2B" w:rsidRDefault="00F16C2B" w:rsidP="00F16C2B">
      <w:pPr>
        <w:numPr>
          <w:ilvl w:val="0"/>
          <w:numId w:val="7"/>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Image</w:t>
      </w:r>
    </w:p>
    <w:p w14:paraId="004C6717"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These enablers form a coherent framework for operationalising the strategy. The FAW also commits to developing a six</w:t>
      </w:r>
      <w:r w:rsidRPr="00F16C2B">
        <w:rPr>
          <w:rFonts w:ascii="Times New Roman" w:eastAsia="Times New Roman" w:hAnsi="Times New Roman" w:cs="Times New Roman"/>
          <w:color w:val="000000"/>
          <w:kern w:val="0"/>
          <w:lang w:eastAsia="en-GB"/>
          <w14:ligatures w14:val="none"/>
        </w:rPr>
        <w:noBreakHyphen/>
        <w:t>year implementation plan and a performance dashboard to track progress. This aligns with O’Brien et al.’s (2019) emphasis on monitoring and evaluation in sport strategy.</w:t>
      </w:r>
    </w:p>
    <w:p w14:paraId="0E1B9D59"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However, the plan does not include detailed implementation timelines, costings, or risk assessments. Without these, implementation risks becoming fragmented or overly reliant on external funding.</w:t>
      </w:r>
    </w:p>
    <w:p w14:paraId="54701774" w14:textId="77777777" w:rsidR="00F16C2B" w:rsidRPr="00F16C2B" w:rsidRDefault="00F16C2B" w:rsidP="00F16C2B">
      <w:pPr>
        <w:spacing w:before="100" w:beforeAutospacing="1" w:after="100" w:afterAutospacing="1"/>
        <w:outlineLvl w:val="2"/>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4.2 Change Management</w:t>
      </w:r>
    </w:p>
    <w:p w14:paraId="6B40A738"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FAW acknowledges the need for organisational agility in response to rapid environmental change. This reflects Kotter’s (1996) argument that successful change requires urgency, leadership, and continuous reinforcement.</w:t>
      </w:r>
    </w:p>
    <w:p w14:paraId="2A5BF8D8" w14:textId="77777777" w:rsidR="00F16C2B" w:rsidRPr="00F16C2B" w:rsidRDefault="00F16C2B" w:rsidP="00F16C2B">
      <w:pPr>
        <w:spacing w:before="100" w:beforeAutospacing="1" w:after="100" w:afterAutospacing="1"/>
        <w:outlineLvl w:val="3"/>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Strengths</w:t>
      </w:r>
    </w:p>
    <w:p w14:paraId="256646B8" w14:textId="77777777" w:rsidR="00F16C2B" w:rsidRPr="00F16C2B" w:rsidRDefault="00F16C2B" w:rsidP="00F16C2B">
      <w:pPr>
        <w:numPr>
          <w:ilvl w:val="0"/>
          <w:numId w:val="8"/>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lastRenderedPageBreak/>
        <w:t>Recognition of Covid</w:t>
      </w:r>
      <w:r w:rsidRPr="00F16C2B">
        <w:rPr>
          <w:rFonts w:ascii="Times New Roman" w:eastAsia="Times New Roman" w:hAnsi="Times New Roman" w:cs="Times New Roman"/>
          <w:color w:val="000000"/>
          <w:kern w:val="0"/>
          <w:lang w:eastAsia="en-GB"/>
          <w14:ligatures w14:val="none"/>
        </w:rPr>
        <w:noBreakHyphen/>
        <w:t>19, climate change, and social</w:t>
      </w:r>
      <w:r w:rsidRPr="00F16C2B">
        <w:rPr>
          <w:rFonts w:ascii="Times New Roman" w:eastAsia="Times New Roman" w:hAnsi="Times New Roman" w:cs="Times New Roman"/>
          <w:color w:val="000000"/>
          <w:kern w:val="0"/>
          <w:lang w:eastAsia="en-GB"/>
          <w14:ligatures w14:val="none"/>
        </w:rPr>
        <w:noBreakHyphen/>
        <w:t>justice movements as drivers of change.</w:t>
      </w:r>
    </w:p>
    <w:p w14:paraId="5FB3C8EC" w14:textId="77777777" w:rsidR="00F16C2B" w:rsidRPr="00F16C2B" w:rsidRDefault="00F16C2B" w:rsidP="00F16C2B">
      <w:pPr>
        <w:numPr>
          <w:ilvl w:val="0"/>
          <w:numId w:val="8"/>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Commitment to modernising governance structures.</w:t>
      </w:r>
    </w:p>
    <w:p w14:paraId="0F2FFBE6" w14:textId="77777777" w:rsidR="00F16C2B" w:rsidRPr="00F16C2B" w:rsidRDefault="00F16C2B" w:rsidP="00F16C2B">
      <w:pPr>
        <w:numPr>
          <w:ilvl w:val="0"/>
          <w:numId w:val="8"/>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Emphasis on data</w:t>
      </w:r>
      <w:r w:rsidRPr="00F16C2B">
        <w:rPr>
          <w:rFonts w:ascii="Times New Roman" w:eastAsia="Times New Roman" w:hAnsi="Times New Roman" w:cs="Times New Roman"/>
          <w:color w:val="000000"/>
          <w:kern w:val="0"/>
          <w:lang w:eastAsia="en-GB"/>
          <w14:ligatures w14:val="none"/>
        </w:rPr>
        <w:noBreakHyphen/>
        <w:t>driven decision</w:t>
      </w:r>
      <w:r w:rsidRPr="00F16C2B">
        <w:rPr>
          <w:rFonts w:ascii="Times New Roman" w:eastAsia="Times New Roman" w:hAnsi="Times New Roman" w:cs="Times New Roman"/>
          <w:color w:val="000000"/>
          <w:kern w:val="0"/>
          <w:lang w:eastAsia="en-GB"/>
          <w14:ligatures w14:val="none"/>
        </w:rPr>
        <w:noBreakHyphen/>
        <w:t>making.</w:t>
      </w:r>
    </w:p>
    <w:p w14:paraId="3EDF6B30" w14:textId="77777777" w:rsidR="00F16C2B" w:rsidRPr="00F16C2B" w:rsidRDefault="00F16C2B" w:rsidP="00F16C2B">
      <w:pPr>
        <w:spacing w:before="100" w:beforeAutospacing="1" w:after="100" w:afterAutospacing="1"/>
        <w:outlineLvl w:val="3"/>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Limitations</w:t>
      </w:r>
    </w:p>
    <w:p w14:paraId="1C1FF8F7" w14:textId="77777777" w:rsidR="00F16C2B" w:rsidRPr="00F16C2B" w:rsidRDefault="00F16C2B" w:rsidP="00F16C2B">
      <w:pPr>
        <w:numPr>
          <w:ilvl w:val="0"/>
          <w:numId w:val="9"/>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plan does not explicitly reference change</w:t>
      </w:r>
      <w:r w:rsidRPr="00F16C2B">
        <w:rPr>
          <w:rFonts w:ascii="Times New Roman" w:eastAsia="Times New Roman" w:hAnsi="Times New Roman" w:cs="Times New Roman"/>
          <w:color w:val="000000"/>
          <w:kern w:val="0"/>
          <w:lang w:eastAsia="en-GB"/>
          <w14:ligatures w14:val="none"/>
        </w:rPr>
        <w:noBreakHyphen/>
        <w:t>management models such as Kotter or Lewin.</w:t>
      </w:r>
    </w:p>
    <w:p w14:paraId="119EDE1F" w14:textId="77777777" w:rsidR="00F16C2B" w:rsidRPr="00F16C2B" w:rsidRDefault="00F16C2B" w:rsidP="00F16C2B">
      <w:pPr>
        <w:numPr>
          <w:ilvl w:val="0"/>
          <w:numId w:val="9"/>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There is limited discussion of potential resistance to change.</w:t>
      </w:r>
    </w:p>
    <w:p w14:paraId="16BBFC31" w14:textId="77777777" w:rsidR="00F16C2B" w:rsidRPr="00F16C2B" w:rsidRDefault="00F16C2B" w:rsidP="00F16C2B">
      <w:pPr>
        <w:numPr>
          <w:ilvl w:val="0"/>
          <w:numId w:val="9"/>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FAW does not outline how cultural change will be embedded across regional associations.</w:t>
      </w:r>
    </w:p>
    <w:p w14:paraId="44C6AEBB"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Lewin’s (1951) model stresses the need to “unfreeze” existing behaviours before introducing new ones. The FAW’s plan recognises the need for cultural change but does not specify how this unfreezing process will take place.</w:t>
      </w:r>
    </w:p>
    <w:p w14:paraId="152A07FD" w14:textId="18EB681C" w:rsidR="00F16C2B" w:rsidRPr="00F16C2B" w:rsidRDefault="00F16C2B" w:rsidP="00F16C2B">
      <w:pPr>
        <w:spacing w:before="100" w:beforeAutospacing="1" w:after="100" w:afterAutospacing="1"/>
        <w:outlineLvl w:val="2"/>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Organisational Capacity and Feasibility</w:t>
      </w:r>
    </w:p>
    <w:p w14:paraId="08813667"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FAW’s ambitions are extensive, covering elite performance, grassroots participation, facilities, governance, and community impact. However, the plan does not fully address:</w:t>
      </w:r>
    </w:p>
    <w:p w14:paraId="6010B773" w14:textId="77777777" w:rsidR="00F16C2B" w:rsidRPr="00F16C2B" w:rsidRDefault="00F16C2B" w:rsidP="00F16C2B">
      <w:pPr>
        <w:numPr>
          <w:ilvl w:val="0"/>
          <w:numId w:val="10"/>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Staffing capacity</w:t>
      </w:r>
    </w:p>
    <w:p w14:paraId="7C5AB328" w14:textId="77777777" w:rsidR="00F16C2B" w:rsidRPr="00F16C2B" w:rsidRDefault="00F16C2B" w:rsidP="00F16C2B">
      <w:pPr>
        <w:numPr>
          <w:ilvl w:val="0"/>
          <w:numId w:val="10"/>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Financial constraints</w:t>
      </w:r>
    </w:p>
    <w:p w14:paraId="3E97F374" w14:textId="77777777" w:rsidR="00F16C2B" w:rsidRPr="00F16C2B" w:rsidRDefault="00F16C2B" w:rsidP="00F16C2B">
      <w:pPr>
        <w:numPr>
          <w:ilvl w:val="0"/>
          <w:numId w:val="10"/>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Regional disparities</w:t>
      </w:r>
    </w:p>
    <w:p w14:paraId="66636E99" w14:textId="77777777" w:rsidR="00F16C2B" w:rsidRPr="00F16C2B" w:rsidRDefault="00F16C2B" w:rsidP="00F16C2B">
      <w:pPr>
        <w:numPr>
          <w:ilvl w:val="0"/>
          <w:numId w:val="10"/>
        </w:num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Long</w:t>
      </w:r>
      <w:r w:rsidRPr="00F16C2B">
        <w:rPr>
          <w:rFonts w:ascii="Times New Roman" w:eastAsia="Times New Roman" w:hAnsi="Times New Roman" w:cs="Times New Roman"/>
          <w:color w:val="000000"/>
          <w:kern w:val="0"/>
          <w:lang w:eastAsia="en-GB"/>
          <w14:ligatures w14:val="none"/>
        </w:rPr>
        <w:noBreakHyphen/>
        <w:t>term sustainability</w:t>
      </w:r>
    </w:p>
    <w:p w14:paraId="0F96CC09"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proofErr w:type="spellStart"/>
      <w:r w:rsidRPr="00F16C2B">
        <w:rPr>
          <w:rFonts w:ascii="Times New Roman" w:eastAsia="Times New Roman" w:hAnsi="Times New Roman" w:cs="Times New Roman"/>
          <w:color w:val="000000"/>
          <w:kern w:val="0"/>
          <w:lang w:eastAsia="en-GB"/>
          <w14:ligatures w14:val="none"/>
        </w:rPr>
        <w:t>Shilbury</w:t>
      </w:r>
      <w:proofErr w:type="spellEnd"/>
      <w:r w:rsidRPr="00F16C2B">
        <w:rPr>
          <w:rFonts w:ascii="Times New Roman" w:eastAsia="Times New Roman" w:hAnsi="Times New Roman" w:cs="Times New Roman"/>
          <w:color w:val="000000"/>
          <w:kern w:val="0"/>
          <w:lang w:eastAsia="en-GB"/>
          <w14:ligatures w14:val="none"/>
        </w:rPr>
        <w:t xml:space="preserve"> and </w:t>
      </w:r>
      <w:proofErr w:type="spellStart"/>
      <w:r w:rsidRPr="00F16C2B">
        <w:rPr>
          <w:rFonts w:ascii="Times New Roman" w:eastAsia="Times New Roman" w:hAnsi="Times New Roman" w:cs="Times New Roman"/>
          <w:color w:val="000000"/>
          <w:kern w:val="0"/>
          <w:lang w:eastAsia="en-GB"/>
          <w14:ligatures w14:val="none"/>
        </w:rPr>
        <w:t>Ferkins</w:t>
      </w:r>
      <w:proofErr w:type="spellEnd"/>
      <w:r w:rsidRPr="00F16C2B">
        <w:rPr>
          <w:rFonts w:ascii="Times New Roman" w:eastAsia="Times New Roman" w:hAnsi="Times New Roman" w:cs="Times New Roman"/>
          <w:color w:val="000000"/>
          <w:kern w:val="0"/>
          <w:lang w:eastAsia="en-GB"/>
          <w14:ligatures w14:val="none"/>
        </w:rPr>
        <w:t xml:space="preserve"> (2021) argue that NGBs must align strategic ambition with organisational capacity. The FAW’s plan is visionary but risks overstretch without clear resource planning.</w:t>
      </w:r>
    </w:p>
    <w:p w14:paraId="271E30B1" w14:textId="02AF52B6" w:rsidR="00F16C2B" w:rsidRPr="00F16C2B" w:rsidRDefault="00F16C2B" w:rsidP="00F16C2B">
      <w:pPr>
        <w:spacing w:before="100" w:beforeAutospacing="1" w:after="100" w:afterAutospacing="1"/>
        <w:outlineLvl w:val="1"/>
        <w:rPr>
          <w:rFonts w:ascii="Times New Roman" w:eastAsia="Times New Roman" w:hAnsi="Times New Roman" w:cs="Times New Roman"/>
          <w:b/>
          <w:bCs/>
          <w:color w:val="000000"/>
          <w:kern w:val="0"/>
          <w:lang w:eastAsia="en-GB"/>
          <w14:ligatures w14:val="none"/>
        </w:rPr>
      </w:pPr>
      <w:r w:rsidRPr="00F16C2B">
        <w:rPr>
          <w:rFonts w:ascii="Times New Roman" w:eastAsia="Times New Roman" w:hAnsi="Times New Roman" w:cs="Times New Roman"/>
          <w:b/>
          <w:bCs/>
          <w:color w:val="000000"/>
          <w:kern w:val="0"/>
          <w:lang w:eastAsia="en-GB"/>
          <w14:ligatures w14:val="none"/>
        </w:rPr>
        <w:t>Conclusion</w:t>
      </w:r>
    </w:p>
    <w:p w14:paraId="4C3EAB59" w14:textId="77777777" w:rsidR="00F16C2B" w:rsidRPr="00F16C2B" w:rsidRDefault="00F16C2B" w:rsidP="00F16C2B">
      <w:pPr>
        <w:spacing w:before="100" w:beforeAutospacing="1" w:after="100" w:afterAutospacing="1"/>
        <w:rPr>
          <w:rFonts w:ascii="Times New Roman" w:eastAsia="Times New Roman" w:hAnsi="Times New Roman" w:cs="Times New Roman"/>
          <w:color w:val="000000"/>
          <w:kern w:val="0"/>
          <w:lang w:eastAsia="en-GB"/>
          <w14:ligatures w14:val="none"/>
        </w:rPr>
      </w:pPr>
      <w:r w:rsidRPr="00F16C2B">
        <w:rPr>
          <w:rFonts w:ascii="Times New Roman" w:eastAsia="Times New Roman" w:hAnsi="Times New Roman" w:cs="Times New Roman"/>
          <w:color w:val="000000"/>
          <w:kern w:val="0"/>
          <w:lang w:eastAsia="en-GB"/>
          <w14:ligatures w14:val="none"/>
        </w:rPr>
        <w:t>The FAW’s </w:t>
      </w:r>
      <w:r w:rsidRPr="00F16C2B">
        <w:rPr>
          <w:rFonts w:ascii="Times New Roman" w:eastAsia="Times New Roman" w:hAnsi="Times New Roman" w:cs="Times New Roman"/>
          <w:i/>
          <w:iCs/>
          <w:color w:val="000000"/>
          <w:kern w:val="0"/>
          <w:lang w:eastAsia="en-GB"/>
          <w14:ligatures w14:val="none"/>
        </w:rPr>
        <w:t>Our Wales</w:t>
      </w:r>
      <w:r w:rsidRPr="00F16C2B">
        <w:rPr>
          <w:rFonts w:ascii="Times New Roman" w:eastAsia="Times New Roman" w:hAnsi="Times New Roman" w:cs="Times New Roman"/>
          <w:color w:val="000000"/>
          <w:kern w:val="0"/>
          <w:lang w:eastAsia="en-GB"/>
          <w14:ligatures w14:val="none"/>
        </w:rPr>
        <w:t> strategic plan represents an ambitious and forward</w:t>
      </w:r>
      <w:r w:rsidRPr="00F16C2B">
        <w:rPr>
          <w:rFonts w:ascii="Times New Roman" w:eastAsia="Times New Roman" w:hAnsi="Times New Roman" w:cs="Times New Roman"/>
          <w:color w:val="000000"/>
          <w:kern w:val="0"/>
          <w:lang w:eastAsia="en-GB"/>
          <w14:ligatures w14:val="none"/>
        </w:rPr>
        <w:noBreakHyphen/>
        <w:t>looking attempt to transform Welsh football between 2021 and 2026. The organisation shows strong awareness of the internal and external factors shaping its environment, although its analysis lacks the structured rigour associated with formal strategic tools. The FAW presents a compelling vision and shared purpose, but operational mechanisms for stakeholder alignment and resource allocation need further development. Its implementation framework is conceptually sound, yet the absence of detailed timelines, costings, and risk assessments limits practical feasibility. Overall, the FAW offers a bold and inclusive strategy, but its success will depend on strengthening analytical foundations, deepening stakeholder engagement, and ensuring that organisational capacity aligns with strategic ambition.</w:t>
      </w:r>
    </w:p>
    <w:p w14:paraId="6A95EAAE" w14:textId="77777777" w:rsidR="00F16C2B" w:rsidRDefault="00F16C2B" w:rsidP="00F16C2B">
      <w:pPr>
        <w:jc w:val="center"/>
        <w:rPr>
          <w:rFonts w:ascii="Times New Roman" w:hAnsi="Times New Roman" w:cs="Times New Roman"/>
          <w:b/>
          <w:bCs/>
          <w:u w:val="single"/>
        </w:rPr>
      </w:pPr>
    </w:p>
    <w:p w14:paraId="60D3A5A6" w14:textId="77777777" w:rsidR="00F16C2B" w:rsidRDefault="00F16C2B" w:rsidP="00F16C2B">
      <w:pPr>
        <w:jc w:val="center"/>
        <w:rPr>
          <w:rFonts w:ascii="Times New Roman" w:hAnsi="Times New Roman" w:cs="Times New Roman"/>
          <w:b/>
          <w:bCs/>
          <w:u w:val="single"/>
        </w:rPr>
      </w:pPr>
    </w:p>
    <w:p w14:paraId="73801AB0" w14:textId="77777777" w:rsidR="00F16C2B" w:rsidRDefault="00F16C2B" w:rsidP="00F16C2B">
      <w:pPr>
        <w:jc w:val="center"/>
        <w:rPr>
          <w:rFonts w:ascii="Times New Roman" w:hAnsi="Times New Roman" w:cs="Times New Roman"/>
          <w:b/>
          <w:bCs/>
          <w:u w:val="single"/>
        </w:rPr>
      </w:pPr>
    </w:p>
    <w:p w14:paraId="7849ED8D" w14:textId="77777777" w:rsidR="00F16C2B" w:rsidRDefault="00F16C2B" w:rsidP="00F16C2B">
      <w:pPr>
        <w:jc w:val="center"/>
        <w:rPr>
          <w:rFonts w:ascii="Times New Roman" w:hAnsi="Times New Roman" w:cs="Times New Roman"/>
          <w:b/>
          <w:bCs/>
          <w:u w:val="single"/>
        </w:rPr>
      </w:pPr>
    </w:p>
    <w:p w14:paraId="5E42723A" w14:textId="77777777" w:rsidR="00F16C2B" w:rsidRPr="00F16C2B" w:rsidRDefault="00F16C2B" w:rsidP="00F16C2B">
      <w:pPr>
        <w:jc w:val="center"/>
        <w:rPr>
          <w:rFonts w:ascii="Times New Roman" w:hAnsi="Times New Roman" w:cs="Times New Roman"/>
          <w:b/>
          <w:bCs/>
          <w:u w:val="single"/>
        </w:rPr>
      </w:pPr>
    </w:p>
    <w:p w14:paraId="630EEE6B" w14:textId="77777777" w:rsidR="00F16C2B" w:rsidRPr="00F16C2B" w:rsidRDefault="00F16C2B" w:rsidP="00F16C2B">
      <w:pPr>
        <w:jc w:val="center"/>
        <w:rPr>
          <w:rFonts w:ascii="Times New Roman" w:hAnsi="Times New Roman" w:cs="Times New Roman"/>
          <w:b/>
          <w:bCs/>
          <w:u w:val="single"/>
        </w:rPr>
      </w:pPr>
    </w:p>
    <w:p w14:paraId="1F61501B" w14:textId="493EE88E" w:rsidR="00F16C2B" w:rsidRPr="00F16C2B" w:rsidRDefault="00F16C2B" w:rsidP="00F16C2B">
      <w:pPr>
        <w:rPr>
          <w:rFonts w:ascii="Times New Roman" w:hAnsi="Times New Roman" w:cs="Times New Roman"/>
          <w:b/>
          <w:bCs/>
          <w:u w:val="single"/>
        </w:rPr>
      </w:pPr>
      <w:r w:rsidRPr="00F16C2B">
        <w:rPr>
          <w:rFonts w:ascii="Times New Roman" w:hAnsi="Times New Roman" w:cs="Times New Roman"/>
          <w:b/>
          <w:bCs/>
          <w:u w:val="single"/>
        </w:rPr>
        <w:lastRenderedPageBreak/>
        <w:t xml:space="preserve">Reference List </w:t>
      </w:r>
    </w:p>
    <w:p w14:paraId="479F6011" w14:textId="798AFEE5" w:rsidR="00F16C2B" w:rsidRPr="00F16C2B" w:rsidRDefault="00F16C2B" w:rsidP="00F16C2B">
      <w:pPr>
        <w:pStyle w:val="NormalWeb"/>
        <w:rPr>
          <w:color w:val="000000"/>
        </w:rPr>
      </w:pPr>
      <w:proofErr w:type="spellStart"/>
      <w:r w:rsidRPr="00F16C2B">
        <w:rPr>
          <w:color w:val="000000"/>
        </w:rPr>
        <w:t>Berqi</w:t>
      </w:r>
      <w:proofErr w:type="spellEnd"/>
      <w:r w:rsidRPr="00F16C2B">
        <w:rPr>
          <w:color w:val="000000"/>
        </w:rPr>
        <w:t xml:space="preserve">, A. (2023) </w:t>
      </w:r>
      <w:r w:rsidRPr="00F16C2B">
        <w:rPr>
          <w:rStyle w:val="Emphasis"/>
          <w:rFonts w:eastAsiaTheme="majorEastAsia"/>
          <w:color w:val="000000"/>
        </w:rPr>
        <w:t>The internal and external context of sports organizations and its impact on the strategy developed</w:t>
      </w:r>
      <w:r w:rsidRPr="00F16C2B">
        <w:rPr>
          <w:color w:val="000000"/>
        </w:rPr>
        <w:t xml:space="preserve">. </w:t>
      </w:r>
      <w:proofErr w:type="spellStart"/>
      <w:r w:rsidRPr="00F16C2B">
        <w:rPr>
          <w:color w:val="000000"/>
        </w:rPr>
        <w:t>Zenodo</w:t>
      </w:r>
      <w:proofErr w:type="spellEnd"/>
      <w:r w:rsidRPr="00F16C2B">
        <w:rPr>
          <w:color w:val="000000"/>
        </w:rPr>
        <w:t xml:space="preserve">. Available at: </w:t>
      </w:r>
      <w:hyperlink r:id="rId5" w:history="1">
        <w:r w:rsidRPr="00F16C2B">
          <w:rPr>
            <w:rStyle w:val="Hyperlink"/>
            <w:rFonts w:eastAsiaTheme="majorEastAsia"/>
          </w:rPr>
          <w:t>https://zenodo.org/</w:t>
        </w:r>
      </w:hyperlink>
      <w:r w:rsidRPr="00F16C2B">
        <w:rPr>
          <w:color w:val="000000"/>
        </w:rPr>
        <w:t xml:space="preserve"> (Accessed: </w:t>
      </w:r>
      <w:r w:rsidRPr="00F16C2B">
        <w:rPr>
          <w:color w:val="000000"/>
        </w:rPr>
        <w:t xml:space="preserve">29, </w:t>
      </w:r>
      <w:proofErr w:type="gramStart"/>
      <w:r w:rsidRPr="00F16C2B">
        <w:rPr>
          <w:color w:val="000000"/>
        </w:rPr>
        <w:t>April,</w:t>
      </w:r>
      <w:proofErr w:type="gramEnd"/>
      <w:r w:rsidRPr="00F16C2B">
        <w:rPr>
          <w:color w:val="000000"/>
        </w:rPr>
        <w:t xml:space="preserve"> 2026</w:t>
      </w:r>
      <w:r w:rsidRPr="00F16C2B">
        <w:rPr>
          <w:color w:val="000000"/>
        </w:rPr>
        <w:t>).</w:t>
      </w:r>
    </w:p>
    <w:p w14:paraId="48355A18" w14:textId="77777777" w:rsidR="00F16C2B" w:rsidRPr="00F16C2B" w:rsidRDefault="00F16C2B" w:rsidP="00F16C2B">
      <w:pPr>
        <w:pStyle w:val="NormalWeb"/>
        <w:rPr>
          <w:color w:val="000000"/>
        </w:rPr>
      </w:pPr>
      <w:proofErr w:type="spellStart"/>
      <w:r w:rsidRPr="00F16C2B">
        <w:rPr>
          <w:color w:val="000000"/>
        </w:rPr>
        <w:t>Ferkins</w:t>
      </w:r>
      <w:proofErr w:type="spellEnd"/>
      <w:r w:rsidRPr="00F16C2B">
        <w:rPr>
          <w:color w:val="000000"/>
        </w:rPr>
        <w:t xml:space="preserve">, L. and </w:t>
      </w:r>
      <w:proofErr w:type="spellStart"/>
      <w:r w:rsidRPr="00F16C2B">
        <w:rPr>
          <w:color w:val="000000"/>
        </w:rPr>
        <w:t>Shilbury</w:t>
      </w:r>
      <w:proofErr w:type="spellEnd"/>
      <w:r w:rsidRPr="00F16C2B">
        <w:rPr>
          <w:color w:val="000000"/>
        </w:rPr>
        <w:t>, D. (2015) ‘The stakeholder dilemma in sport governance: Toward the notion of “</w:t>
      </w:r>
      <w:proofErr w:type="spellStart"/>
      <w:r w:rsidRPr="00F16C2B">
        <w:rPr>
          <w:color w:val="000000"/>
        </w:rPr>
        <w:t>stakeowner</w:t>
      </w:r>
      <w:proofErr w:type="spellEnd"/>
      <w:r w:rsidRPr="00F16C2B">
        <w:rPr>
          <w:color w:val="000000"/>
        </w:rPr>
        <w:t xml:space="preserve">”’, </w:t>
      </w:r>
      <w:r w:rsidRPr="00F16C2B">
        <w:rPr>
          <w:rStyle w:val="Emphasis"/>
          <w:rFonts w:eastAsiaTheme="majorEastAsia"/>
          <w:color w:val="000000"/>
        </w:rPr>
        <w:t>Journal of Sport Management</w:t>
      </w:r>
      <w:r w:rsidRPr="00F16C2B">
        <w:rPr>
          <w:color w:val="000000"/>
        </w:rPr>
        <w:t>, 29(1), pp. 93–108.</w:t>
      </w:r>
    </w:p>
    <w:p w14:paraId="41CE3677" w14:textId="3495AD8A" w:rsidR="00F16C2B" w:rsidRPr="00F16C2B" w:rsidRDefault="00F16C2B" w:rsidP="00F16C2B">
      <w:pPr>
        <w:pStyle w:val="NormalWeb"/>
        <w:rPr>
          <w:color w:val="000000"/>
        </w:rPr>
      </w:pPr>
      <w:r w:rsidRPr="00F16C2B">
        <w:rPr>
          <w:color w:val="000000"/>
        </w:rPr>
        <w:t xml:space="preserve">Football Association of Wales (FAW) (2021) </w:t>
      </w:r>
      <w:r w:rsidRPr="00F16C2B">
        <w:rPr>
          <w:rStyle w:val="Emphasis"/>
          <w:rFonts w:eastAsiaTheme="majorEastAsia"/>
          <w:color w:val="000000"/>
        </w:rPr>
        <w:t>Our Wales: The Strategic Plan for Welsh Football 2021–2026</w:t>
      </w:r>
      <w:r w:rsidRPr="00F16C2B">
        <w:rPr>
          <w:color w:val="000000"/>
        </w:rPr>
        <w:t xml:space="preserve">. Cardiff: FAW. Available at: </w:t>
      </w:r>
      <w:hyperlink r:id="rId6" w:history="1">
        <w:r w:rsidRPr="00F16C2B">
          <w:rPr>
            <w:rStyle w:val="Hyperlink"/>
            <w:rFonts w:eastAsiaTheme="majorEastAsia"/>
          </w:rPr>
          <w:t>https://faw.cymru</w:t>
        </w:r>
      </w:hyperlink>
      <w:r w:rsidRPr="00F16C2B">
        <w:rPr>
          <w:color w:val="000000"/>
        </w:rPr>
        <w:t xml:space="preserve"> (Accessed: 29, </w:t>
      </w:r>
      <w:proofErr w:type="gramStart"/>
      <w:r w:rsidRPr="00F16C2B">
        <w:rPr>
          <w:color w:val="000000"/>
        </w:rPr>
        <w:t>April,</w:t>
      </w:r>
      <w:proofErr w:type="gramEnd"/>
      <w:r w:rsidRPr="00F16C2B">
        <w:rPr>
          <w:color w:val="000000"/>
        </w:rPr>
        <w:t xml:space="preserve"> 2026).</w:t>
      </w:r>
    </w:p>
    <w:p w14:paraId="1F0C54B7" w14:textId="77777777" w:rsidR="00F16C2B" w:rsidRPr="00F16C2B" w:rsidRDefault="00F16C2B" w:rsidP="00F16C2B">
      <w:pPr>
        <w:pStyle w:val="NormalWeb"/>
        <w:rPr>
          <w:color w:val="000000"/>
        </w:rPr>
      </w:pPr>
      <w:proofErr w:type="spellStart"/>
      <w:r w:rsidRPr="00F16C2B">
        <w:rPr>
          <w:color w:val="000000"/>
        </w:rPr>
        <w:t>Hoye</w:t>
      </w:r>
      <w:proofErr w:type="spellEnd"/>
      <w:r w:rsidRPr="00F16C2B">
        <w:rPr>
          <w:color w:val="000000"/>
        </w:rPr>
        <w:t xml:space="preserve">, R., Smith, A., Nicholson, M., Stewart, B. and </w:t>
      </w:r>
      <w:proofErr w:type="spellStart"/>
      <w:r w:rsidRPr="00F16C2B">
        <w:rPr>
          <w:color w:val="000000"/>
        </w:rPr>
        <w:t>Westerbeek</w:t>
      </w:r>
      <w:proofErr w:type="spellEnd"/>
      <w:r w:rsidRPr="00F16C2B">
        <w:rPr>
          <w:color w:val="000000"/>
        </w:rPr>
        <w:t xml:space="preserve">, H. (2018) </w:t>
      </w:r>
      <w:r w:rsidRPr="00F16C2B">
        <w:rPr>
          <w:rStyle w:val="Emphasis"/>
          <w:rFonts w:eastAsiaTheme="majorEastAsia"/>
          <w:color w:val="000000"/>
        </w:rPr>
        <w:t>Sport Management: Principles and Applications</w:t>
      </w:r>
      <w:r w:rsidRPr="00F16C2B">
        <w:rPr>
          <w:color w:val="000000"/>
        </w:rPr>
        <w:t xml:space="preserve">. 5th </w:t>
      </w:r>
      <w:proofErr w:type="spellStart"/>
      <w:r w:rsidRPr="00F16C2B">
        <w:rPr>
          <w:color w:val="000000"/>
        </w:rPr>
        <w:t>edn</w:t>
      </w:r>
      <w:proofErr w:type="spellEnd"/>
      <w:r w:rsidRPr="00F16C2B">
        <w:rPr>
          <w:color w:val="000000"/>
        </w:rPr>
        <w:t>. London: Routledge.</w:t>
      </w:r>
    </w:p>
    <w:p w14:paraId="371AB005" w14:textId="77777777" w:rsidR="00F16C2B" w:rsidRPr="00F16C2B" w:rsidRDefault="00F16C2B" w:rsidP="00F16C2B">
      <w:pPr>
        <w:pStyle w:val="NormalWeb"/>
        <w:rPr>
          <w:color w:val="000000"/>
        </w:rPr>
      </w:pPr>
      <w:r w:rsidRPr="00F16C2B">
        <w:rPr>
          <w:color w:val="000000"/>
        </w:rPr>
        <w:t xml:space="preserve">Kotter, J.P. (1996) </w:t>
      </w:r>
      <w:r w:rsidRPr="00F16C2B">
        <w:rPr>
          <w:rStyle w:val="Emphasis"/>
          <w:rFonts w:eastAsiaTheme="majorEastAsia"/>
          <w:color w:val="000000"/>
        </w:rPr>
        <w:t>Leading Change</w:t>
      </w:r>
      <w:r w:rsidRPr="00F16C2B">
        <w:rPr>
          <w:color w:val="000000"/>
        </w:rPr>
        <w:t>. Boston: Harvard Business School Press.</w:t>
      </w:r>
    </w:p>
    <w:p w14:paraId="15DF8ADB" w14:textId="77777777" w:rsidR="00F16C2B" w:rsidRPr="00F16C2B" w:rsidRDefault="00F16C2B" w:rsidP="00F16C2B">
      <w:pPr>
        <w:pStyle w:val="NormalWeb"/>
        <w:rPr>
          <w:color w:val="000000"/>
        </w:rPr>
      </w:pPr>
      <w:r w:rsidRPr="00F16C2B">
        <w:rPr>
          <w:color w:val="000000"/>
        </w:rPr>
        <w:t xml:space="preserve">Lewin, K. (1951) </w:t>
      </w:r>
      <w:r w:rsidRPr="00F16C2B">
        <w:rPr>
          <w:rStyle w:val="Emphasis"/>
          <w:rFonts w:eastAsiaTheme="majorEastAsia"/>
          <w:color w:val="000000"/>
        </w:rPr>
        <w:t>Field Theory in Social Science</w:t>
      </w:r>
      <w:r w:rsidRPr="00F16C2B">
        <w:rPr>
          <w:color w:val="000000"/>
        </w:rPr>
        <w:t>. New York: Harper &amp; Brothers.</w:t>
      </w:r>
    </w:p>
    <w:p w14:paraId="3BDEC1A2" w14:textId="77777777" w:rsidR="00F16C2B" w:rsidRPr="00F16C2B" w:rsidRDefault="00F16C2B" w:rsidP="00F16C2B">
      <w:pPr>
        <w:pStyle w:val="NormalWeb"/>
        <w:rPr>
          <w:color w:val="000000"/>
        </w:rPr>
      </w:pPr>
      <w:r w:rsidRPr="00F16C2B">
        <w:rPr>
          <w:color w:val="000000"/>
        </w:rPr>
        <w:t xml:space="preserve">O’Brien, D., Parent, M., </w:t>
      </w:r>
      <w:proofErr w:type="spellStart"/>
      <w:r w:rsidRPr="00F16C2B">
        <w:rPr>
          <w:color w:val="000000"/>
        </w:rPr>
        <w:t>Ferkins</w:t>
      </w:r>
      <w:proofErr w:type="spellEnd"/>
      <w:r w:rsidRPr="00F16C2B">
        <w:rPr>
          <w:color w:val="000000"/>
        </w:rPr>
        <w:t xml:space="preserve">, L. and </w:t>
      </w:r>
      <w:proofErr w:type="spellStart"/>
      <w:r w:rsidRPr="00F16C2B">
        <w:rPr>
          <w:color w:val="000000"/>
        </w:rPr>
        <w:t>Gowthorp</w:t>
      </w:r>
      <w:proofErr w:type="spellEnd"/>
      <w:r w:rsidRPr="00F16C2B">
        <w:rPr>
          <w:color w:val="000000"/>
        </w:rPr>
        <w:t xml:space="preserve">, L. (2019) </w:t>
      </w:r>
      <w:r w:rsidRPr="00F16C2B">
        <w:rPr>
          <w:rStyle w:val="Emphasis"/>
          <w:rFonts w:eastAsiaTheme="majorEastAsia"/>
          <w:color w:val="000000"/>
        </w:rPr>
        <w:t>Strategic Management in Sport</w:t>
      </w:r>
      <w:r w:rsidRPr="00F16C2B">
        <w:rPr>
          <w:color w:val="000000"/>
        </w:rPr>
        <w:t>. London: Routledge.</w:t>
      </w:r>
    </w:p>
    <w:p w14:paraId="6BB74807" w14:textId="77777777" w:rsidR="00F16C2B" w:rsidRPr="00F16C2B" w:rsidRDefault="00F16C2B" w:rsidP="00F16C2B">
      <w:pPr>
        <w:pStyle w:val="NormalWeb"/>
        <w:rPr>
          <w:color w:val="000000"/>
        </w:rPr>
      </w:pPr>
      <w:proofErr w:type="spellStart"/>
      <w:r w:rsidRPr="00F16C2B">
        <w:rPr>
          <w:color w:val="000000"/>
        </w:rPr>
        <w:t>Shilbury</w:t>
      </w:r>
      <w:proofErr w:type="spellEnd"/>
      <w:r w:rsidRPr="00F16C2B">
        <w:rPr>
          <w:color w:val="000000"/>
        </w:rPr>
        <w:t xml:space="preserve">, D. and </w:t>
      </w:r>
      <w:proofErr w:type="spellStart"/>
      <w:r w:rsidRPr="00F16C2B">
        <w:rPr>
          <w:color w:val="000000"/>
        </w:rPr>
        <w:t>Ferkins</w:t>
      </w:r>
      <w:proofErr w:type="spellEnd"/>
      <w:r w:rsidRPr="00F16C2B">
        <w:rPr>
          <w:color w:val="000000"/>
        </w:rPr>
        <w:t xml:space="preserve">, L. (2021) ‘Strategic capability in sport organisations’, </w:t>
      </w:r>
      <w:r w:rsidRPr="00F16C2B">
        <w:rPr>
          <w:rStyle w:val="Emphasis"/>
          <w:rFonts w:eastAsiaTheme="majorEastAsia"/>
          <w:color w:val="000000"/>
        </w:rPr>
        <w:t>European Sport Management Quarterly</w:t>
      </w:r>
      <w:r w:rsidRPr="00F16C2B">
        <w:rPr>
          <w:color w:val="000000"/>
        </w:rPr>
        <w:t>, 21(3), pp. 345–364.</w:t>
      </w:r>
    </w:p>
    <w:p w14:paraId="71532F1F" w14:textId="77777777" w:rsidR="00F16C2B" w:rsidRPr="00F16C2B" w:rsidRDefault="00F16C2B" w:rsidP="00F16C2B">
      <w:pPr>
        <w:pStyle w:val="NormalWeb"/>
        <w:rPr>
          <w:color w:val="000000"/>
        </w:rPr>
      </w:pPr>
      <w:r w:rsidRPr="00F16C2B">
        <w:rPr>
          <w:color w:val="000000"/>
        </w:rPr>
        <w:t xml:space="preserve">Slack, T. and Parent, M. (2020) </w:t>
      </w:r>
      <w:r w:rsidRPr="00F16C2B">
        <w:rPr>
          <w:rStyle w:val="Emphasis"/>
          <w:rFonts w:eastAsiaTheme="majorEastAsia"/>
          <w:color w:val="000000"/>
        </w:rPr>
        <w:t>Understanding Sport Organizations: Applications for Sport Managers</w:t>
      </w:r>
      <w:r w:rsidRPr="00F16C2B">
        <w:rPr>
          <w:color w:val="000000"/>
        </w:rPr>
        <w:t xml:space="preserve">. 3rd </w:t>
      </w:r>
      <w:proofErr w:type="spellStart"/>
      <w:r w:rsidRPr="00F16C2B">
        <w:rPr>
          <w:color w:val="000000"/>
        </w:rPr>
        <w:t>edn</w:t>
      </w:r>
      <w:proofErr w:type="spellEnd"/>
      <w:r w:rsidRPr="00F16C2B">
        <w:rPr>
          <w:color w:val="000000"/>
        </w:rPr>
        <w:t>. Champaign, IL: Human Kinetics.</w:t>
      </w:r>
    </w:p>
    <w:p w14:paraId="1F43BEC3" w14:textId="77777777" w:rsidR="00F16C2B" w:rsidRPr="00F16C2B" w:rsidRDefault="00F16C2B" w:rsidP="00F16C2B">
      <w:pPr>
        <w:pStyle w:val="NormalWeb"/>
        <w:rPr>
          <w:color w:val="000000"/>
        </w:rPr>
      </w:pPr>
      <w:r w:rsidRPr="00F16C2B">
        <w:rPr>
          <w:color w:val="000000"/>
        </w:rPr>
        <w:t xml:space="preserve">Smith, A. and Stewart, B. (2015) </w:t>
      </w:r>
      <w:r w:rsidRPr="00F16C2B">
        <w:rPr>
          <w:rStyle w:val="Emphasis"/>
          <w:rFonts w:eastAsiaTheme="majorEastAsia"/>
          <w:color w:val="000000"/>
        </w:rPr>
        <w:t>Introduction to Sport Marketing</w:t>
      </w:r>
      <w:r w:rsidRPr="00F16C2B">
        <w:rPr>
          <w:color w:val="000000"/>
        </w:rPr>
        <w:t xml:space="preserve">. 2nd </w:t>
      </w:r>
      <w:proofErr w:type="spellStart"/>
      <w:r w:rsidRPr="00F16C2B">
        <w:rPr>
          <w:color w:val="000000"/>
        </w:rPr>
        <w:t>edn</w:t>
      </w:r>
      <w:proofErr w:type="spellEnd"/>
      <w:r w:rsidRPr="00F16C2B">
        <w:rPr>
          <w:color w:val="000000"/>
        </w:rPr>
        <w:t>. London: Routledge.</w:t>
      </w:r>
    </w:p>
    <w:p w14:paraId="04F9F41E" w14:textId="77777777" w:rsidR="00F16C2B" w:rsidRPr="00F16C2B" w:rsidRDefault="00F16C2B" w:rsidP="00F16C2B">
      <w:pPr>
        <w:pStyle w:val="NormalWeb"/>
        <w:rPr>
          <w:color w:val="000000"/>
        </w:rPr>
      </w:pPr>
      <w:proofErr w:type="spellStart"/>
      <w:r w:rsidRPr="00F16C2B">
        <w:rPr>
          <w:color w:val="000000"/>
        </w:rPr>
        <w:t>Walzel</w:t>
      </w:r>
      <w:proofErr w:type="spellEnd"/>
      <w:r w:rsidRPr="00F16C2B">
        <w:rPr>
          <w:color w:val="000000"/>
        </w:rPr>
        <w:t xml:space="preserve">, S. (2020) </w:t>
      </w:r>
      <w:r w:rsidRPr="00F16C2B">
        <w:rPr>
          <w:rStyle w:val="Emphasis"/>
          <w:rFonts w:eastAsiaTheme="majorEastAsia"/>
          <w:color w:val="000000"/>
        </w:rPr>
        <w:t>Strategic Management of Team Sports Organisations</w:t>
      </w:r>
      <w:r w:rsidRPr="00F16C2B">
        <w:rPr>
          <w:color w:val="000000"/>
        </w:rPr>
        <w:t>. Cham: Springer.</w:t>
      </w:r>
    </w:p>
    <w:p w14:paraId="38167C7D" w14:textId="77777777" w:rsidR="00F16C2B" w:rsidRPr="00F16C2B" w:rsidRDefault="00F16C2B" w:rsidP="00F16C2B">
      <w:pPr>
        <w:rPr>
          <w:rFonts w:ascii="Times New Roman" w:hAnsi="Times New Roman" w:cs="Times New Roman"/>
          <w:b/>
          <w:bCs/>
          <w:u w:val="single"/>
        </w:rPr>
      </w:pPr>
    </w:p>
    <w:sectPr w:rsidR="00F16C2B" w:rsidRPr="00F16C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9487A"/>
    <w:multiLevelType w:val="multilevel"/>
    <w:tmpl w:val="84345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53FCE"/>
    <w:multiLevelType w:val="multilevel"/>
    <w:tmpl w:val="E2380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456D9B"/>
    <w:multiLevelType w:val="multilevel"/>
    <w:tmpl w:val="65828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CF6649"/>
    <w:multiLevelType w:val="multilevel"/>
    <w:tmpl w:val="7BE2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F960BF"/>
    <w:multiLevelType w:val="multilevel"/>
    <w:tmpl w:val="B8F05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B7534C"/>
    <w:multiLevelType w:val="multilevel"/>
    <w:tmpl w:val="B5FE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4D6C4B"/>
    <w:multiLevelType w:val="multilevel"/>
    <w:tmpl w:val="AB88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3F4343"/>
    <w:multiLevelType w:val="multilevel"/>
    <w:tmpl w:val="48E4A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A11B89"/>
    <w:multiLevelType w:val="multilevel"/>
    <w:tmpl w:val="03E8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3522B8"/>
    <w:multiLevelType w:val="multilevel"/>
    <w:tmpl w:val="49468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5850778">
    <w:abstractNumId w:val="7"/>
  </w:num>
  <w:num w:numId="2" w16cid:durableId="1480879277">
    <w:abstractNumId w:val="6"/>
  </w:num>
  <w:num w:numId="3" w16cid:durableId="1039085251">
    <w:abstractNumId w:val="0"/>
  </w:num>
  <w:num w:numId="4" w16cid:durableId="1060978787">
    <w:abstractNumId w:val="2"/>
  </w:num>
  <w:num w:numId="5" w16cid:durableId="1900478905">
    <w:abstractNumId w:val="9"/>
  </w:num>
  <w:num w:numId="6" w16cid:durableId="980385154">
    <w:abstractNumId w:val="5"/>
  </w:num>
  <w:num w:numId="7" w16cid:durableId="1530289530">
    <w:abstractNumId w:val="4"/>
  </w:num>
  <w:num w:numId="8" w16cid:durableId="1780447336">
    <w:abstractNumId w:val="8"/>
  </w:num>
  <w:num w:numId="9" w16cid:durableId="1124421594">
    <w:abstractNumId w:val="1"/>
  </w:num>
  <w:num w:numId="10" w16cid:durableId="6954993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C2B"/>
    <w:rsid w:val="003E7DFB"/>
    <w:rsid w:val="00BF04F2"/>
    <w:rsid w:val="00C02CDE"/>
    <w:rsid w:val="00F16C2B"/>
    <w:rsid w:val="00FB0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B510A9"/>
  <w15:chartTrackingRefBased/>
  <w15:docId w15:val="{AE6AA1F0-E516-7A4B-B8AA-0DB15AFDE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6C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6C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16C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16C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6C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6C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6C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6C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6C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C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6C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16C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16C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6C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6C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6C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6C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6C2B"/>
    <w:rPr>
      <w:rFonts w:eastAsiaTheme="majorEastAsia" w:cstheme="majorBidi"/>
      <w:color w:val="272727" w:themeColor="text1" w:themeTint="D8"/>
    </w:rPr>
  </w:style>
  <w:style w:type="paragraph" w:styleId="Title">
    <w:name w:val="Title"/>
    <w:basedOn w:val="Normal"/>
    <w:next w:val="Normal"/>
    <w:link w:val="TitleChar"/>
    <w:uiPriority w:val="10"/>
    <w:qFormat/>
    <w:rsid w:val="00F16C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6C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6C2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6C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6C2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16C2B"/>
    <w:rPr>
      <w:i/>
      <w:iCs/>
      <w:color w:val="404040" w:themeColor="text1" w:themeTint="BF"/>
    </w:rPr>
  </w:style>
  <w:style w:type="paragraph" w:styleId="ListParagraph">
    <w:name w:val="List Paragraph"/>
    <w:basedOn w:val="Normal"/>
    <w:uiPriority w:val="34"/>
    <w:qFormat/>
    <w:rsid w:val="00F16C2B"/>
    <w:pPr>
      <w:ind w:left="720"/>
      <w:contextualSpacing/>
    </w:pPr>
  </w:style>
  <w:style w:type="character" w:styleId="IntenseEmphasis">
    <w:name w:val="Intense Emphasis"/>
    <w:basedOn w:val="DefaultParagraphFont"/>
    <w:uiPriority w:val="21"/>
    <w:qFormat/>
    <w:rsid w:val="00F16C2B"/>
    <w:rPr>
      <w:i/>
      <w:iCs/>
      <w:color w:val="0F4761" w:themeColor="accent1" w:themeShade="BF"/>
    </w:rPr>
  </w:style>
  <w:style w:type="paragraph" w:styleId="IntenseQuote">
    <w:name w:val="Intense Quote"/>
    <w:basedOn w:val="Normal"/>
    <w:next w:val="Normal"/>
    <w:link w:val="IntenseQuoteChar"/>
    <w:uiPriority w:val="30"/>
    <w:qFormat/>
    <w:rsid w:val="00F16C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6C2B"/>
    <w:rPr>
      <w:i/>
      <w:iCs/>
      <w:color w:val="0F4761" w:themeColor="accent1" w:themeShade="BF"/>
    </w:rPr>
  </w:style>
  <w:style w:type="character" w:styleId="IntenseReference">
    <w:name w:val="Intense Reference"/>
    <w:basedOn w:val="DefaultParagraphFont"/>
    <w:uiPriority w:val="32"/>
    <w:qFormat/>
    <w:rsid w:val="00F16C2B"/>
    <w:rPr>
      <w:b/>
      <w:bCs/>
      <w:smallCaps/>
      <w:color w:val="0F4761" w:themeColor="accent1" w:themeShade="BF"/>
      <w:spacing w:val="5"/>
    </w:rPr>
  </w:style>
  <w:style w:type="character" w:customStyle="1" w:styleId="apple-converted-space">
    <w:name w:val="apple-converted-space"/>
    <w:basedOn w:val="DefaultParagraphFont"/>
    <w:rsid w:val="00F16C2B"/>
  </w:style>
  <w:style w:type="character" w:customStyle="1" w:styleId="bg-red-200">
    <w:name w:val="bg-red-200"/>
    <w:basedOn w:val="DefaultParagraphFont"/>
    <w:rsid w:val="00F16C2B"/>
  </w:style>
  <w:style w:type="character" w:styleId="Strong">
    <w:name w:val="Strong"/>
    <w:basedOn w:val="DefaultParagraphFont"/>
    <w:uiPriority w:val="22"/>
    <w:qFormat/>
    <w:rsid w:val="00F16C2B"/>
    <w:rPr>
      <w:b/>
      <w:bCs/>
    </w:rPr>
  </w:style>
  <w:style w:type="paragraph" w:styleId="NormalWeb">
    <w:name w:val="Normal (Web)"/>
    <w:basedOn w:val="Normal"/>
    <w:uiPriority w:val="99"/>
    <w:semiHidden/>
    <w:unhideWhenUsed/>
    <w:rsid w:val="00F16C2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16C2B"/>
    <w:rPr>
      <w:i/>
      <w:iCs/>
    </w:rPr>
  </w:style>
  <w:style w:type="character" w:styleId="Hyperlink">
    <w:name w:val="Hyperlink"/>
    <w:basedOn w:val="DefaultParagraphFont"/>
    <w:uiPriority w:val="99"/>
    <w:semiHidden/>
    <w:unhideWhenUsed/>
    <w:rsid w:val="00F16C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955">
      <w:bodyDiv w:val="1"/>
      <w:marLeft w:val="0"/>
      <w:marRight w:val="0"/>
      <w:marTop w:val="0"/>
      <w:marBottom w:val="0"/>
      <w:divBdr>
        <w:top w:val="none" w:sz="0" w:space="0" w:color="auto"/>
        <w:left w:val="none" w:sz="0" w:space="0" w:color="auto"/>
        <w:bottom w:val="none" w:sz="0" w:space="0" w:color="auto"/>
        <w:right w:val="none" w:sz="0" w:space="0" w:color="auto"/>
      </w:divBdr>
    </w:div>
    <w:div w:id="435911022">
      <w:bodyDiv w:val="1"/>
      <w:marLeft w:val="0"/>
      <w:marRight w:val="0"/>
      <w:marTop w:val="0"/>
      <w:marBottom w:val="0"/>
      <w:divBdr>
        <w:top w:val="none" w:sz="0" w:space="0" w:color="auto"/>
        <w:left w:val="none" w:sz="0" w:space="0" w:color="auto"/>
        <w:bottom w:val="none" w:sz="0" w:space="0" w:color="auto"/>
        <w:right w:val="none" w:sz="0" w:space="0" w:color="auto"/>
      </w:divBdr>
    </w:div>
    <w:div w:id="785932899">
      <w:bodyDiv w:val="1"/>
      <w:marLeft w:val="0"/>
      <w:marRight w:val="0"/>
      <w:marTop w:val="0"/>
      <w:marBottom w:val="0"/>
      <w:divBdr>
        <w:top w:val="none" w:sz="0" w:space="0" w:color="auto"/>
        <w:left w:val="none" w:sz="0" w:space="0" w:color="auto"/>
        <w:bottom w:val="none" w:sz="0" w:space="0" w:color="auto"/>
        <w:right w:val="none" w:sz="0" w:space="0" w:color="auto"/>
      </w:divBdr>
    </w:div>
    <w:div w:id="1478768038">
      <w:bodyDiv w:val="1"/>
      <w:marLeft w:val="0"/>
      <w:marRight w:val="0"/>
      <w:marTop w:val="0"/>
      <w:marBottom w:val="0"/>
      <w:divBdr>
        <w:top w:val="none" w:sz="0" w:space="0" w:color="auto"/>
        <w:left w:val="none" w:sz="0" w:space="0" w:color="auto"/>
        <w:bottom w:val="none" w:sz="0" w:space="0" w:color="auto"/>
        <w:right w:val="none" w:sz="0" w:space="0" w:color="auto"/>
      </w:divBdr>
    </w:div>
    <w:div w:id="2012835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aw.cymru/" TargetMode="External"/><Relationship Id="rId5" Type="http://schemas.openxmlformats.org/officeDocument/2006/relationships/hyperlink" Target="https://zenodo.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9</Pages>
  <Words>3223</Words>
  <Characters>18372</Characters>
  <Application>Microsoft Office Word</Application>
  <DocSecurity>0</DocSecurity>
  <Lines>153</Lines>
  <Paragraphs>43</Paragraphs>
  <ScaleCrop>false</ScaleCrop>
  <Company/>
  <LinksUpToDate>false</LinksUpToDate>
  <CharactersWithSpaces>21552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Ifan Rossiter (2304255)</dc:creator>
  <cp:keywords/>
  <dc:description/>
  <cp:lastModifiedBy>Ifan Rossiter (2304255)</cp:lastModifiedBy>
  <cp:revision>1</cp:revision>
  <dcterms:created xsi:type="dcterms:W3CDTF">2026-05-01T20:59:00Z</dcterms:created>
  <dcterms:modified xsi:type="dcterms:W3CDTF">2026-05-01T23:00:00Z</dcterms:modified>
</cp:coreProperties>
</file>