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743B2" w14:textId="767FEF8F" w:rsidR="0094521F" w:rsidRDefault="0094521F">
      <w:pPr>
        <w:rPr>
          <w:rStyle w:val="match"/>
          <w:rFonts w:ascii="Arial" w:hAnsi="Arial" w:cs="Arial"/>
          <w:color w:val="000000"/>
        </w:rPr>
      </w:pPr>
    </w:p>
    <w:p w14:paraId="64C85359" w14:textId="635936D7" w:rsidR="0094521F" w:rsidRDefault="0094521F">
      <w:pPr>
        <w:rPr>
          <w:rStyle w:val="match"/>
          <w:rFonts w:ascii="Arial" w:hAnsi="Arial" w:cs="Arial"/>
          <w:color w:val="000000"/>
        </w:rPr>
      </w:pPr>
    </w:p>
    <w:p w14:paraId="4E3AD722" w14:textId="64A5F8A2" w:rsidR="0094521F" w:rsidRDefault="0094521F">
      <w:pPr>
        <w:rPr>
          <w:rStyle w:val="match"/>
          <w:rFonts w:ascii="Arial" w:hAnsi="Arial" w:cs="Arial"/>
          <w:color w:val="000000"/>
        </w:rPr>
      </w:pPr>
    </w:p>
    <w:p w14:paraId="617B5693" w14:textId="4E404DBF" w:rsidR="0094521F" w:rsidRDefault="00C846BD">
      <w:pPr>
        <w:rPr>
          <w:rStyle w:val="match"/>
          <w:rFonts w:ascii="Arial" w:hAnsi="Arial" w:cs="Arial"/>
          <w:color w:val="000000"/>
        </w:rPr>
      </w:pPr>
      <w:bookmarkStart w:id="0" w:name="_Toc199679037"/>
      <w:r w:rsidRPr="00F72537">
        <w:rPr>
          <w:rFonts w:ascii="Times New Roman" w:hAnsi="Times New Roman" w:cs="Times New Roman"/>
          <w:noProof/>
          <w:sz w:val="24"/>
          <w:szCs w:val="24"/>
        </w:rPr>
        <w:drawing>
          <wp:anchor distT="0" distB="0" distL="114300" distR="114300" simplePos="0" relativeHeight="251659264" behindDoc="0" locked="0" layoutInCell="1" allowOverlap="1" wp14:anchorId="45C85BE5" wp14:editId="70613265">
            <wp:simplePos x="0" y="0"/>
            <wp:positionH relativeFrom="column">
              <wp:posOffset>1996440</wp:posOffset>
            </wp:positionH>
            <wp:positionV relativeFrom="paragraph">
              <wp:posOffset>97790</wp:posOffset>
            </wp:positionV>
            <wp:extent cx="2292351" cy="916940"/>
            <wp:effectExtent l="0" t="0" r="0" b="0"/>
            <wp:wrapNone/>
            <wp:docPr id="2050"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Discove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2351" cy="916940"/>
                    </a:xfrm>
                    <a:prstGeom prst="rect">
                      <a:avLst/>
                    </a:prstGeom>
                    <a:noFill/>
                  </pic:spPr>
                </pic:pic>
              </a:graphicData>
            </a:graphic>
          </wp:anchor>
        </w:drawing>
      </w:r>
      <w:bookmarkEnd w:id="0"/>
    </w:p>
    <w:p w14:paraId="67179836" w14:textId="179C21EF" w:rsidR="0094521F" w:rsidRDefault="0094521F">
      <w:pPr>
        <w:rPr>
          <w:rStyle w:val="match"/>
          <w:rFonts w:ascii="Arial" w:hAnsi="Arial" w:cs="Arial"/>
          <w:b/>
          <w:bCs/>
          <w:color w:val="000000"/>
          <w:sz w:val="36"/>
          <w:szCs w:val="36"/>
        </w:rPr>
      </w:pPr>
    </w:p>
    <w:p w14:paraId="597E5783" w14:textId="77777777" w:rsidR="00D15357" w:rsidRDefault="00D15357">
      <w:pPr>
        <w:rPr>
          <w:rStyle w:val="match"/>
          <w:rFonts w:ascii="Arial" w:hAnsi="Arial" w:cs="Arial"/>
          <w:b/>
          <w:bCs/>
          <w:color w:val="000000"/>
          <w:sz w:val="36"/>
          <w:szCs w:val="36"/>
        </w:rPr>
      </w:pPr>
    </w:p>
    <w:p w14:paraId="3CE0FCE4" w14:textId="77777777" w:rsidR="00D15357" w:rsidRDefault="00D15357">
      <w:pPr>
        <w:rPr>
          <w:rStyle w:val="match"/>
          <w:rFonts w:ascii="Arial" w:hAnsi="Arial" w:cs="Arial"/>
          <w:b/>
          <w:bCs/>
          <w:color w:val="000000"/>
          <w:sz w:val="36"/>
          <w:szCs w:val="36"/>
        </w:rPr>
      </w:pPr>
    </w:p>
    <w:p w14:paraId="7C674C2C" w14:textId="77777777" w:rsidR="00D15357" w:rsidRDefault="00D15357">
      <w:pPr>
        <w:rPr>
          <w:rStyle w:val="match"/>
          <w:rFonts w:ascii="Arial" w:hAnsi="Arial" w:cs="Arial"/>
          <w:b/>
          <w:bCs/>
          <w:color w:val="000000"/>
          <w:sz w:val="36"/>
          <w:szCs w:val="36"/>
        </w:rPr>
      </w:pPr>
    </w:p>
    <w:p w14:paraId="440C10A0" w14:textId="77777777" w:rsidR="00D15357" w:rsidRDefault="00D15357">
      <w:pPr>
        <w:rPr>
          <w:rStyle w:val="match"/>
          <w:rFonts w:ascii="Arial" w:hAnsi="Arial" w:cs="Arial"/>
          <w:b/>
          <w:bCs/>
          <w:color w:val="000000"/>
          <w:sz w:val="36"/>
          <w:szCs w:val="36"/>
        </w:rPr>
      </w:pPr>
    </w:p>
    <w:p w14:paraId="7C88F7BC" w14:textId="77777777" w:rsidR="00D15357" w:rsidRPr="00D15357" w:rsidRDefault="00D15357">
      <w:pPr>
        <w:rPr>
          <w:rStyle w:val="match"/>
          <w:rFonts w:ascii="Arial" w:hAnsi="Arial" w:cs="Arial"/>
          <w:b/>
          <w:bCs/>
          <w:color w:val="000000"/>
          <w:sz w:val="36"/>
          <w:szCs w:val="36"/>
        </w:rPr>
      </w:pPr>
    </w:p>
    <w:p w14:paraId="535232C2" w14:textId="1E5286C7" w:rsidR="0094521F" w:rsidRPr="00D15357" w:rsidRDefault="0094521F" w:rsidP="00D15357">
      <w:pPr>
        <w:ind w:left="1440" w:firstLine="720"/>
        <w:rPr>
          <w:rStyle w:val="match"/>
          <w:rFonts w:ascii="Arial" w:hAnsi="Arial" w:cs="Arial"/>
          <w:b/>
          <w:bCs/>
          <w:color w:val="000000"/>
          <w:sz w:val="36"/>
          <w:szCs w:val="36"/>
        </w:rPr>
      </w:pPr>
      <w:r w:rsidRPr="00D15357">
        <w:rPr>
          <w:rFonts w:ascii="Arial" w:hAnsi="Arial" w:cs="Arial"/>
          <w:b/>
          <w:bCs/>
          <w:sz w:val="36"/>
          <w:szCs w:val="36"/>
        </w:rPr>
        <w:t>BA (Hons) Business Management</w:t>
      </w:r>
      <w:r w:rsidR="00D15357">
        <w:rPr>
          <w:rFonts w:ascii="Arial" w:hAnsi="Arial" w:cs="Arial"/>
          <w:b/>
          <w:bCs/>
          <w:sz w:val="36"/>
          <w:szCs w:val="36"/>
        </w:rPr>
        <w:tab/>
      </w:r>
    </w:p>
    <w:p w14:paraId="7EBE5956" w14:textId="58DB7451" w:rsidR="0094521F" w:rsidRPr="00D15357" w:rsidRDefault="00D15357" w:rsidP="00D15357">
      <w:pPr>
        <w:ind w:left="1440" w:firstLine="720"/>
        <w:rPr>
          <w:rStyle w:val="match"/>
          <w:rFonts w:ascii="Arial" w:hAnsi="Arial" w:cs="Arial"/>
          <w:b/>
          <w:bCs/>
          <w:color w:val="000000"/>
          <w:sz w:val="36"/>
          <w:szCs w:val="36"/>
        </w:rPr>
      </w:pPr>
      <w:r w:rsidRPr="00D15357">
        <w:rPr>
          <w:rStyle w:val="match"/>
          <w:rFonts w:ascii="Arial" w:hAnsi="Arial" w:cs="Arial"/>
          <w:b/>
          <w:bCs/>
          <w:color w:val="000000"/>
          <w:sz w:val="36"/>
          <w:szCs w:val="36"/>
        </w:rPr>
        <w:t>Module code:</w:t>
      </w:r>
      <w:r w:rsidR="00B1680C">
        <w:rPr>
          <w:rStyle w:val="match"/>
          <w:rFonts w:ascii="Arial" w:hAnsi="Arial" w:cs="Arial"/>
          <w:b/>
          <w:bCs/>
          <w:color w:val="000000"/>
          <w:sz w:val="36"/>
          <w:szCs w:val="36"/>
        </w:rPr>
        <w:t xml:space="preserve"> </w:t>
      </w:r>
      <w:r w:rsidRPr="00D15357">
        <w:rPr>
          <w:rStyle w:val="match"/>
          <w:rFonts w:ascii="Arial" w:hAnsi="Arial" w:cs="Arial"/>
          <w:b/>
          <w:bCs/>
          <w:color w:val="000000"/>
          <w:sz w:val="36"/>
          <w:szCs w:val="36"/>
        </w:rPr>
        <w:t>LCBB5010</w:t>
      </w:r>
    </w:p>
    <w:p w14:paraId="2A252256" w14:textId="3E9E4575" w:rsidR="0094521F" w:rsidRPr="00D15357" w:rsidRDefault="00D15357" w:rsidP="00D15357">
      <w:pPr>
        <w:ind w:left="1440" w:firstLine="720"/>
        <w:rPr>
          <w:rStyle w:val="match"/>
          <w:rFonts w:ascii="Arial" w:hAnsi="Arial" w:cs="Arial"/>
          <w:b/>
          <w:bCs/>
          <w:color w:val="000000"/>
          <w:sz w:val="36"/>
          <w:szCs w:val="36"/>
        </w:rPr>
      </w:pPr>
      <w:r w:rsidRPr="00D15357">
        <w:rPr>
          <w:rStyle w:val="match"/>
          <w:rFonts w:ascii="Arial" w:hAnsi="Arial" w:cs="Arial"/>
          <w:b/>
          <w:bCs/>
          <w:color w:val="000000"/>
          <w:sz w:val="36"/>
          <w:szCs w:val="36"/>
        </w:rPr>
        <w:t>Student Number:</w:t>
      </w:r>
      <w:r w:rsidR="00B1680C">
        <w:rPr>
          <w:rStyle w:val="match"/>
          <w:rFonts w:ascii="Arial" w:hAnsi="Arial" w:cs="Arial"/>
          <w:b/>
          <w:bCs/>
          <w:color w:val="000000"/>
          <w:sz w:val="36"/>
          <w:szCs w:val="36"/>
        </w:rPr>
        <w:t xml:space="preserve"> </w:t>
      </w:r>
      <w:r w:rsidRPr="00D15357">
        <w:rPr>
          <w:rStyle w:val="match"/>
          <w:rFonts w:ascii="Arial" w:hAnsi="Arial" w:cs="Arial"/>
          <w:b/>
          <w:bCs/>
          <w:color w:val="000000"/>
          <w:sz w:val="36"/>
          <w:szCs w:val="36"/>
        </w:rPr>
        <w:t>2227500</w:t>
      </w:r>
    </w:p>
    <w:p w14:paraId="2A085307" w14:textId="25EE361A" w:rsidR="00D15357" w:rsidRPr="00D15357" w:rsidRDefault="00D15357" w:rsidP="00D15357">
      <w:pPr>
        <w:ind w:left="1440" w:firstLine="720"/>
        <w:rPr>
          <w:rStyle w:val="match"/>
          <w:rFonts w:ascii="Arial" w:hAnsi="Arial" w:cs="Arial"/>
          <w:b/>
          <w:bCs/>
          <w:color w:val="000000"/>
          <w:sz w:val="36"/>
          <w:szCs w:val="36"/>
        </w:rPr>
      </w:pPr>
      <w:r w:rsidRPr="00D15357">
        <w:rPr>
          <w:rStyle w:val="match"/>
          <w:rFonts w:ascii="Arial" w:hAnsi="Arial" w:cs="Arial"/>
          <w:b/>
          <w:bCs/>
          <w:color w:val="000000"/>
          <w:sz w:val="36"/>
          <w:szCs w:val="36"/>
        </w:rPr>
        <w:t>Student Name:</w:t>
      </w:r>
      <w:r w:rsidR="00B1680C">
        <w:rPr>
          <w:rStyle w:val="match"/>
          <w:rFonts w:ascii="Arial" w:hAnsi="Arial" w:cs="Arial"/>
          <w:b/>
          <w:bCs/>
          <w:color w:val="000000"/>
          <w:sz w:val="36"/>
          <w:szCs w:val="36"/>
        </w:rPr>
        <w:t xml:space="preserve"> </w:t>
      </w:r>
      <w:r w:rsidRPr="00D15357">
        <w:rPr>
          <w:rStyle w:val="match"/>
          <w:rFonts w:ascii="Arial" w:hAnsi="Arial" w:cs="Arial"/>
          <w:b/>
          <w:bCs/>
          <w:color w:val="000000"/>
          <w:sz w:val="36"/>
          <w:szCs w:val="36"/>
        </w:rPr>
        <w:t xml:space="preserve">Maria </w:t>
      </w:r>
      <w:proofErr w:type="spellStart"/>
      <w:r w:rsidRPr="00D15357">
        <w:rPr>
          <w:rStyle w:val="match"/>
          <w:rFonts w:ascii="Arial" w:hAnsi="Arial" w:cs="Arial"/>
          <w:b/>
          <w:bCs/>
          <w:color w:val="000000"/>
          <w:sz w:val="36"/>
          <w:szCs w:val="36"/>
        </w:rPr>
        <w:t>Encean</w:t>
      </w:r>
      <w:proofErr w:type="spellEnd"/>
    </w:p>
    <w:p w14:paraId="133A5132" w14:textId="6DCE7F15" w:rsidR="00D15357" w:rsidRPr="00D15357" w:rsidRDefault="00D15357" w:rsidP="00D15357">
      <w:pPr>
        <w:ind w:left="1440" w:firstLine="720"/>
        <w:rPr>
          <w:rStyle w:val="match"/>
          <w:rFonts w:ascii="Arial" w:hAnsi="Arial" w:cs="Arial"/>
          <w:b/>
          <w:bCs/>
          <w:color w:val="000000"/>
          <w:sz w:val="36"/>
          <w:szCs w:val="36"/>
        </w:rPr>
      </w:pPr>
      <w:r w:rsidRPr="00D15357">
        <w:rPr>
          <w:rStyle w:val="match"/>
          <w:rFonts w:ascii="Arial" w:hAnsi="Arial" w:cs="Arial"/>
          <w:b/>
          <w:bCs/>
          <w:color w:val="000000"/>
          <w:sz w:val="36"/>
          <w:szCs w:val="36"/>
        </w:rPr>
        <w:t>Assignment Title:</w:t>
      </w:r>
      <w:r w:rsidR="00B1680C">
        <w:rPr>
          <w:rStyle w:val="match"/>
          <w:rFonts w:ascii="Arial" w:hAnsi="Arial" w:cs="Arial"/>
          <w:b/>
          <w:bCs/>
          <w:color w:val="000000"/>
          <w:sz w:val="36"/>
          <w:szCs w:val="36"/>
        </w:rPr>
        <w:t xml:space="preserve"> </w:t>
      </w:r>
      <w:r w:rsidRPr="00D15357">
        <w:rPr>
          <w:rStyle w:val="match"/>
          <w:rFonts w:ascii="Arial" w:hAnsi="Arial" w:cs="Arial"/>
          <w:b/>
          <w:bCs/>
          <w:color w:val="000000"/>
          <w:sz w:val="36"/>
          <w:szCs w:val="36"/>
        </w:rPr>
        <w:t>Individual Report</w:t>
      </w:r>
    </w:p>
    <w:p w14:paraId="7E81E103" w14:textId="2A3FD4AB" w:rsidR="00D15357" w:rsidRPr="00D15357" w:rsidRDefault="00D15357" w:rsidP="00D15357">
      <w:pPr>
        <w:ind w:left="1440" w:firstLine="720"/>
        <w:rPr>
          <w:rStyle w:val="match"/>
          <w:rFonts w:ascii="Arial" w:hAnsi="Arial" w:cs="Arial"/>
          <w:b/>
          <w:bCs/>
          <w:color w:val="000000"/>
          <w:sz w:val="36"/>
          <w:szCs w:val="36"/>
        </w:rPr>
      </w:pPr>
      <w:r w:rsidRPr="00D15357">
        <w:rPr>
          <w:rStyle w:val="match"/>
          <w:rFonts w:ascii="Arial" w:hAnsi="Arial" w:cs="Arial"/>
          <w:b/>
          <w:bCs/>
          <w:color w:val="000000"/>
          <w:sz w:val="36"/>
          <w:szCs w:val="36"/>
        </w:rPr>
        <w:t>Lecturer Name:</w:t>
      </w:r>
      <w:r w:rsidR="00B1680C">
        <w:rPr>
          <w:rStyle w:val="match"/>
          <w:rFonts w:ascii="Arial" w:hAnsi="Arial" w:cs="Arial"/>
          <w:b/>
          <w:bCs/>
          <w:color w:val="000000"/>
          <w:sz w:val="36"/>
          <w:szCs w:val="36"/>
        </w:rPr>
        <w:t xml:space="preserve"> </w:t>
      </w:r>
      <w:r w:rsidRPr="00D15357">
        <w:rPr>
          <w:rStyle w:val="match"/>
          <w:rFonts w:ascii="Arial" w:hAnsi="Arial" w:cs="Arial"/>
          <w:b/>
          <w:bCs/>
          <w:color w:val="000000"/>
          <w:sz w:val="36"/>
          <w:szCs w:val="36"/>
        </w:rPr>
        <w:t>Mudassar Hasan</w:t>
      </w:r>
    </w:p>
    <w:p w14:paraId="2D1CD98D" w14:textId="46F7C4A5" w:rsidR="00D15357" w:rsidRPr="00D15357" w:rsidRDefault="00D15357" w:rsidP="00D15357">
      <w:pPr>
        <w:ind w:left="2160" w:firstLine="720"/>
        <w:rPr>
          <w:rStyle w:val="match"/>
          <w:rFonts w:ascii="Arial" w:hAnsi="Arial" w:cs="Arial"/>
          <w:b/>
          <w:bCs/>
          <w:color w:val="000000"/>
          <w:sz w:val="36"/>
          <w:szCs w:val="36"/>
        </w:rPr>
      </w:pPr>
      <w:r w:rsidRPr="00D15357">
        <w:rPr>
          <w:rStyle w:val="match"/>
          <w:rFonts w:ascii="Arial" w:hAnsi="Arial" w:cs="Arial"/>
          <w:b/>
          <w:bCs/>
          <w:color w:val="000000"/>
          <w:sz w:val="36"/>
          <w:szCs w:val="36"/>
        </w:rPr>
        <w:t>Company</w:t>
      </w:r>
      <w:r w:rsidR="00B1680C">
        <w:rPr>
          <w:rStyle w:val="match"/>
          <w:rFonts w:ascii="Arial" w:hAnsi="Arial" w:cs="Arial"/>
          <w:b/>
          <w:bCs/>
          <w:color w:val="000000"/>
          <w:sz w:val="36"/>
          <w:szCs w:val="36"/>
        </w:rPr>
        <w:t>:</w:t>
      </w:r>
      <w:r w:rsidRPr="00D15357">
        <w:rPr>
          <w:rStyle w:val="match"/>
          <w:rFonts w:ascii="Arial" w:hAnsi="Arial" w:cs="Arial"/>
          <w:b/>
          <w:bCs/>
          <w:color w:val="000000"/>
          <w:sz w:val="36"/>
          <w:szCs w:val="36"/>
        </w:rPr>
        <w:t xml:space="preserve"> Sainsburys</w:t>
      </w:r>
    </w:p>
    <w:p w14:paraId="23018617" w14:textId="77777777" w:rsidR="0094521F" w:rsidRPr="00D15357" w:rsidRDefault="0094521F">
      <w:pPr>
        <w:rPr>
          <w:rStyle w:val="match"/>
          <w:rFonts w:ascii="Arial" w:hAnsi="Arial" w:cs="Arial"/>
          <w:b/>
          <w:bCs/>
          <w:color w:val="000000"/>
          <w:sz w:val="36"/>
          <w:szCs w:val="36"/>
        </w:rPr>
      </w:pPr>
    </w:p>
    <w:p w14:paraId="6E1B07DB" w14:textId="77777777" w:rsidR="0094521F" w:rsidRDefault="0094521F">
      <w:pPr>
        <w:rPr>
          <w:rStyle w:val="match"/>
          <w:rFonts w:ascii="Arial" w:hAnsi="Arial" w:cs="Arial"/>
          <w:color w:val="000000"/>
        </w:rPr>
      </w:pPr>
    </w:p>
    <w:p w14:paraId="65C01309" w14:textId="77777777" w:rsidR="0094521F" w:rsidRDefault="0094521F">
      <w:pPr>
        <w:rPr>
          <w:rStyle w:val="match"/>
          <w:rFonts w:ascii="Arial" w:hAnsi="Arial" w:cs="Arial"/>
          <w:color w:val="000000"/>
        </w:rPr>
      </w:pPr>
    </w:p>
    <w:p w14:paraId="6E3EE0B0" w14:textId="77777777" w:rsidR="0094521F" w:rsidRDefault="0094521F">
      <w:pPr>
        <w:rPr>
          <w:rStyle w:val="match"/>
          <w:rFonts w:ascii="Arial" w:hAnsi="Arial" w:cs="Arial"/>
          <w:color w:val="000000"/>
        </w:rPr>
      </w:pPr>
    </w:p>
    <w:p w14:paraId="2C2AE54D" w14:textId="77777777" w:rsidR="0094521F" w:rsidRDefault="0094521F">
      <w:pPr>
        <w:rPr>
          <w:rStyle w:val="match"/>
          <w:rFonts w:ascii="Arial" w:hAnsi="Arial" w:cs="Arial"/>
          <w:color w:val="000000"/>
        </w:rPr>
      </w:pPr>
    </w:p>
    <w:p w14:paraId="45B23EA6" w14:textId="77777777" w:rsidR="0094521F" w:rsidRDefault="0094521F">
      <w:pPr>
        <w:rPr>
          <w:rStyle w:val="match"/>
          <w:rFonts w:ascii="Arial" w:hAnsi="Arial" w:cs="Arial"/>
          <w:color w:val="000000"/>
        </w:rPr>
      </w:pPr>
    </w:p>
    <w:p w14:paraId="232FE7B8" w14:textId="77777777" w:rsidR="0094521F" w:rsidRDefault="0094521F">
      <w:pPr>
        <w:rPr>
          <w:rStyle w:val="match"/>
          <w:rFonts w:ascii="Arial" w:hAnsi="Arial" w:cs="Arial"/>
          <w:color w:val="000000"/>
        </w:rPr>
      </w:pPr>
    </w:p>
    <w:p w14:paraId="4EDAB3B2" w14:textId="77777777" w:rsidR="0094521F" w:rsidRDefault="0094521F">
      <w:pPr>
        <w:rPr>
          <w:rStyle w:val="match"/>
          <w:rFonts w:ascii="Arial" w:hAnsi="Arial" w:cs="Arial"/>
          <w:color w:val="000000"/>
        </w:rPr>
      </w:pPr>
    </w:p>
    <w:p w14:paraId="442ED4AC" w14:textId="77777777" w:rsidR="0094521F" w:rsidRDefault="0094521F">
      <w:pPr>
        <w:rPr>
          <w:rStyle w:val="match"/>
          <w:rFonts w:ascii="Arial" w:hAnsi="Arial" w:cs="Arial"/>
          <w:color w:val="000000"/>
        </w:rPr>
      </w:pPr>
    </w:p>
    <w:p w14:paraId="7AF61826" w14:textId="77777777" w:rsidR="0094521F" w:rsidRDefault="0094521F">
      <w:pPr>
        <w:rPr>
          <w:rStyle w:val="match"/>
          <w:rFonts w:ascii="Arial" w:hAnsi="Arial" w:cs="Arial"/>
          <w:color w:val="000000"/>
        </w:rPr>
      </w:pPr>
    </w:p>
    <w:sdt>
      <w:sdtPr>
        <w:rPr>
          <w:rFonts w:asciiTheme="minorHAnsi" w:eastAsiaTheme="minorHAnsi" w:hAnsiTheme="minorHAnsi" w:cstheme="minorBidi"/>
          <w:color w:val="auto"/>
          <w:kern w:val="2"/>
          <w:sz w:val="22"/>
          <w:szCs w:val="22"/>
          <w:lang w:eastAsia="en-US"/>
          <w14:ligatures w14:val="standardContextual"/>
        </w:rPr>
        <w:id w:val="390936198"/>
        <w:docPartObj>
          <w:docPartGallery w:val="Table of Contents"/>
          <w:docPartUnique/>
        </w:docPartObj>
      </w:sdtPr>
      <w:sdtEndPr>
        <w:rPr>
          <w:b/>
          <w:bCs/>
        </w:rPr>
      </w:sdtEndPr>
      <w:sdtContent>
        <w:p w14:paraId="3726AC46" w14:textId="301AB537" w:rsidR="00784360" w:rsidRDefault="00784360">
          <w:pPr>
            <w:pStyle w:val="TOCHeading"/>
          </w:pPr>
          <w:r>
            <w:t>Contents</w:t>
          </w:r>
        </w:p>
        <w:p w14:paraId="34AEAB74" w14:textId="6B55D8CF" w:rsidR="00B1680C" w:rsidRDefault="0078436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1461854" w:history="1">
            <w:r w:rsidR="00B1680C" w:rsidRPr="006A0F1E">
              <w:rPr>
                <w:rStyle w:val="Hyperlink"/>
                <w:noProof/>
              </w:rPr>
              <w:t>Introduction</w:t>
            </w:r>
            <w:r w:rsidR="00B1680C">
              <w:rPr>
                <w:noProof/>
                <w:webHidden/>
              </w:rPr>
              <w:tab/>
            </w:r>
            <w:r w:rsidR="00B1680C">
              <w:rPr>
                <w:noProof/>
                <w:webHidden/>
              </w:rPr>
              <w:fldChar w:fldCharType="begin"/>
            </w:r>
            <w:r w:rsidR="00B1680C">
              <w:rPr>
                <w:noProof/>
                <w:webHidden/>
              </w:rPr>
              <w:instrText xml:space="preserve"> PAGEREF _Toc221461854 \h </w:instrText>
            </w:r>
            <w:r w:rsidR="00B1680C">
              <w:rPr>
                <w:noProof/>
                <w:webHidden/>
              </w:rPr>
            </w:r>
            <w:r w:rsidR="00B1680C">
              <w:rPr>
                <w:noProof/>
                <w:webHidden/>
              </w:rPr>
              <w:fldChar w:fldCharType="separate"/>
            </w:r>
            <w:r w:rsidR="00B1680C">
              <w:rPr>
                <w:noProof/>
                <w:webHidden/>
              </w:rPr>
              <w:t>3</w:t>
            </w:r>
            <w:r w:rsidR="00B1680C">
              <w:rPr>
                <w:noProof/>
                <w:webHidden/>
              </w:rPr>
              <w:fldChar w:fldCharType="end"/>
            </w:r>
          </w:hyperlink>
        </w:p>
        <w:p w14:paraId="2BF44195" w14:textId="4FE7DF0F" w:rsidR="00B1680C" w:rsidRDefault="00B1680C">
          <w:pPr>
            <w:pStyle w:val="TOC1"/>
            <w:tabs>
              <w:tab w:val="right" w:leader="dot" w:pos="9016"/>
            </w:tabs>
            <w:rPr>
              <w:rFonts w:eastAsiaTheme="minorEastAsia"/>
              <w:noProof/>
              <w:sz w:val="24"/>
              <w:szCs w:val="24"/>
              <w:lang w:eastAsia="en-GB"/>
            </w:rPr>
          </w:pPr>
          <w:hyperlink w:anchor="_Toc221461855" w:history="1">
            <w:r w:rsidRPr="006A0F1E">
              <w:rPr>
                <w:rStyle w:val="Hyperlink"/>
                <w:noProof/>
              </w:rPr>
              <w:t>Pricing Strategy and Cost Analysis</w:t>
            </w:r>
            <w:r>
              <w:rPr>
                <w:noProof/>
                <w:webHidden/>
              </w:rPr>
              <w:tab/>
            </w:r>
            <w:r>
              <w:rPr>
                <w:noProof/>
                <w:webHidden/>
              </w:rPr>
              <w:fldChar w:fldCharType="begin"/>
            </w:r>
            <w:r>
              <w:rPr>
                <w:noProof/>
                <w:webHidden/>
              </w:rPr>
              <w:instrText xml:space="preserve"> PAGEREF _Toc221461855 \h </w:instrText>
            </w:r>
            <w:r>
              <w:rPr>
                <w:noProof/>
                <w:webHidden/>
              </w:rPr>
            </w:r>
            <w:r>
              <w:rPr>
                <w:noProof/>
                <w:webHidden/>
              </w:rPr>
              <w:fldChar w:fldCharType="separate"/>
            </w:r>
            <w:r>
              <w:rPr>
                <w:noProof/>
                <w:webHidden/>
              </w:rPr>
              <w:t>3</w:t>
            </w:r>
            <w:r>
              <w:rPr>
                <w:noProof/>
                <w:webHidden/>
              </w:rPr>
              <w:fldChar w:fldCharType="end"/>
            </w:r>
          </w:hyperlink>
        </w:p>
        <w:p w14:paraId="5484ACB2" w14:textId="546EA8D7" w:rsidR="00B1680C" w:rsidRDefault="00B1680C">
          <w:pPr>
            <w:pStyle w:val="TOC1"/>
            <w:tabs>
              <w:tab w:val="right" w:leader="dot" w:pos="9016"/>
            </w:tabs>
            <w:rPr>
              <w:rFonts w:eastAsiaTheme="minorEastAsia"/>
              <w:noProof/>
              <w:sz w:val="24"/>
              <w:szCs w:val="24"/>
              <w:lang w:eastAsia="en-GB"/>
            </w:rPr>
          </w:pPr>
          <w:hyperlink w:anchor="_Toc221461856" w:history="1">
            <w:r w:rsidR="009437B7">
              <w:rPr>
                <w:rStyle w:val="Hyperlink"/>
                <w:noProof/>
              </w:rPr>
              <w:t>Financial Planning and Budgeting</w:t>
            </w:r>
            <w:r w:rsidR="009437B7">
              <w:rPr>
                <w:rStyle w:val="Hyperlink"/>
                <w:noProof/>
              </w:rPr>
              <w:tab/>
              <w:t>4</w:t>
            </w:r>
          </w:hyperlink>
        </w:p>
        <w:p w14:paraId="00E21204" w14:textId="23EA4C2A" w:rsidR="00B1680C" w:rsidRDefault="00B1680C">
          <w:pPr>
            <w:pStyle w:val="TOC1"/>
            <w:tabs>
              <w:tab w:val="right" w:leader="dot" w:pos="9016"/>
            </w:tabs>
            <w:rPr>
              <w:rFonts w:eastAsiaTheme="minorEastAsia"/>
              <w:noProof/>
              <w:sz w:val="24"/>
              <w:szCs w:val="24"/>
              <w:lang w:eastAsia="en-GB"/>
            </w:rPr>
          </w:pPr>
          <w:hyperlink w:anchor="_Toc221461857" w:history="1">
            <w:r w:rsidRPr="006A0F1E">
              <w:rPr>
                <w:rStyle w:val="Hyperlink"/>
                <w:noProof/>
              </w:rPr>
              <w:t>Making Decisions and Measuring Performance</w:t>
            </w:r>
            <w:r>
              <w:rPr>
                <w:noProof/>
                <w:webHidden/>
              </w:rPr>
              <w:tab/>
            </w:r>
            <w:r>
              <w:rPr>
                <w:noProof/>
                <w:webHidden/>
              </w:rPr>
              <w:fldChar w:fldCharType="begin"/>
            </w:r>
            <w:r>
              <w:rPr>
                <w:noProof/>
                <w:webHidden/>
              </w:rPr>
              <w:instrText xml:space="preserve"> PAGEREF _Toc221461857 \h </w:instrText>
            </w:r>
            <w:r>
              <w:rPr>
                <w:noProof/>
                <w:webHidden/>
              </w:rPr>
            </w:r>
            <w:r>
              <w:rPr>
                <w:noProof/>
                <w:webHidden/>
              </w:rPr>
              <w:fldChar w:fldCharType="separate"/>
            </w:r>
            <w:r>
              <w:rPr>
                <w:noProof/>
                <w:webHidden/>
              </w:rPr>
              <w:t>5</w:t>
            </w:r>
            <w:r>
              <w:rPr>
                <w:noProof/>
                <w:webHidden/>
              </w:rPr>
              <w:fldChar w:fldCharType="end"/>
            </w:r>
          </w:hyperlink>
        </w:p>
        <w:p w14:paraId="7BD9E5C3" w14:textId="2541FF8C" w:rsidR="00B1680C" w:rsidRDefault="00B1680C">
          <w:pPr>
            <w:pStyle w:val="TOC1"/>
            <w:tabs>
              <w:tab w:val="right" w:leader="dot" w:pos="9016"/>
            </w:tabs>
            <w:rPr>
              <w:rFonts w:eastAsiaTheme="minorEastAsia"/>
              <w:noProof/>
              <w:sz w:val="24"/>
              <w:szCs w:val="24"/>
              <w:lang w:eastAsia="en-GB"/>
            </w:rPr>
          </w:pPr>
          <w:hyperlink w:anchor="_Toc221461858" w:history="1">
            <w:r w:rsidRPr="006A0F1E">
              <w:rPr>
                <w:rStyle w:val="Hyperlink"/>
                <w:noProof/>
              </w:rPr>
              <w:t>Ethical and Sustainable Considerations</w:t>
            </w:r>
            <w:r>
              <w:rPr>
                <w:noProof/>
                <w:webHidden/>
              </w:rPr>
              <w:tab/>
            </w:r>
            <w:r>
              <w:rPr>
                <w:noProof/>
                <w:webHidden/>
              </w:rPr>
              <w:fldChar w:fldCharType="begin"/>
            </w:r>
            <w:r>
              <w:rPr>
                <w:noProof/>
                <w:webHidden/>
              </w:rPr>
              <w:instrText xml:space="preserve"> PAGEREF _Toc221461858 \h </w:instrText>
            </w:r>
            <w:r>
              <w:rPr>
                <w:noProof/>
                <w:webHidden/>
              </w:rPr>
            </w:r>
            <w:r>
              <w:rPr>
                <w:noProof/>
                <w:webHidden/>
              </w:rPr>
              <w:fldChar w:fldCharType="separate"/>
            </w:r>
            <w:r>
              <w:rPr>
                <w:noProof/>
                <w:webHidden/>
              </w:rPr>
              <w:t>6</w:t>
            </w:r>
            <w:r>
              <w:rPr>
                <w:noProof/>
                <w:webHidden/>
              </w:rPr>
              <w:fldChar w:fldCharType="end"/>
            </w:r>
          </w:hyperlink>
        </w:p>
        <w:p w14:paraId="71506086" w14:textId="333DCAE5" w:rsidR="00B1680C" w:rsidRDefault="00B1680C">
          <w:pPr>
            <w:pStyle w:val="TOC1"/>
            <w:tabs>
              <w:tab w:val="right" w:leader="dot" w:pos="9016"/>
            </w:tabs>
            <w:rPr>
              <w:rFonts w:eastAsiaTheme="minorEastAsia"/>
              <w:noProof/>
              <w:sz w:val="24"/>
              <w:szCs w:val="24"/>
              <w:lang w:eastAsia="en-GB"/>
            </w:rPr>
          </w:pPr>
          <w:hyperlink w:anchor="_Toc221461859" w:history="1">
            <w:r w:rsidRPr="006A0F1E">
              <w:rPr>
                <w:rStyle w:val="Hyperlink"/>
                <w:noProof/>
              </w:rPr>
              <w:t>Conclusion</w:t>
            </w:r>
            <w:r>
              <w:rPr>
                <w:noProof/>
                <w:webHidden/>
              </w:rPr>
              <w:tab/>
            </w:r>
            <w:r>
              <w:rPr>
                <w:noProof/>
                <w:webHidden/>
              </w:rPr>
              <w:fldChar w:fldCharType="begin"/>
            </w:r>
            <w:r>
              <w:rPr>
                <w:noProof/>
                <w:webHidden/>
              </w:rPr>
              <w:instrText xml:space="preserve"> PAGEREF _Toc221461859 \h </w:instrText>
            </w:r>
            <w:r>
              <w:rPr>
                <w:noProof/>
                <w:webHidden/>
              </w:rPr>
            </w:r>
            <w:r>
              <w:rPr>
                <w:noProof/>
                <w:webHidden/>
              </w:rPr>
              <w:fldChar w:fldCharType="separate"/>
            </w:r>
            <w:r>
              <w:rPr>
                <w:noProof/>
                <w:webHidden/>
              </w:rPr>
              <w:t>7</w:t>
            </w:r>
            <w:r>
              <w:rPr>
                <w:noProof/>
                <w:webHidden/>
              </w:rPr>
              <w:fldChar w:fldCharType="end"/>
            </w:r>
          </w:hyperlink>
        </w:p>
        <w:p w14:paraId="3393F5A2" w14:textId="0A74C660" w:rsidR="00B1680C" w:rsidRDefault="00B1680C">
          <w:pPr>
            <w:pStyle w:val="TOC1"/>
            <w:tabs>
              <w:tab w:val="right" w:leader="dot" w:pos="9016"/>
            </w:tabs>
            <w:rPr>
              <w:rFonts w:eastAsiaTheme="minorEastAsia"/>
              <w:noProof/>
              <w:sz w:val="24"/>
              <w:szCs w:val="24"/>
              <w:lang w:eastAsia="en-GB"/>
            </w:rPr>
          </w:pPr>
          <w:hyperlink w:anchor="_Toc221461860" w:history="1">
            <w:r w:rsidRPr="006A0F1E">
              <w:rPr>
                <w:rStyle w:val="Hyperlink"/>
                <w:noProof/>
              </w:rPr>
              <w:t>References</w:t>
            </w:r>
            <w:r>
              <w:rPr>
                <w:noProof/>
                <w:webHidden/>
              </w:rPr>
              <w:tab/>
            </w:r>
            <w:r>
              <w:rPr>
                <w:noProof/>
                <w:webHidden/>
              </w:rPr>
              <w:fldChar w:fldCharType="begin"/>
            </w:r>
            <w:r>
              <w:rPr>
                <w:noProof/>
                <w:webHidden/>
              </w:rPr>
              <w:instrText xml:space="preserve"> PAGEREF _Toc221461860 \h </w:instrText>
            </w:r>
            <w:r>
              <w:rPr>
                <w:noProof/>
                <w:webHidden/>
              </w:rPr>
            </w:r>
            <w:r>
              <w:rPr>
                <w:noProof/>
                <w:webHidden/>
              </w:rPr>
              <w:fldChar w:fldCharType="separate"/>
            </w:r>
            <w:r>
              <w:rPr>
                <w:noProof/>
                <w:webHidden/>
              </w:rPr>
              <w:t>9</w:t>
            </w:r>
            <w:r>
              <w:rPr>
                <w:noProof/>
                <w:webHidden/>
              </w:rPr>
              <w:fldChar w:fldCharType="end"/>
            </w:r>
          </w:hyperlink>
        </w:p>
        <w:p w14:paraId="61ABD06B" w14:textId="4E43128E" w:rsidR="00784360" w:rsidRDefault="00784360">
          <w:r>
            <w:rPr>
              <w:b/>
              <w:bCs/>
            </w:rPr>
            <w:fldChar w:fldCharType="end"/>
          </w:r>
        </w:p>
      </w:sdtContent>
    </w:sdt>
    <w:p w14:paraId="59C1A5A5" w14:textId="77777777" w:rsidR="0094521F" w:rsidRDefault="0094521F">
      <w:pPr>
        <w:rPr>
          <w:rStyle w:val="match"/>
          <w:rFonts w:ascii="Arial" w:hAnsi="Arial" w:cs="Arial"/>
          <w:color w:val="000000"/>
        </w:rPr>
      </w:pPr>
    </w:p>
    <w:p w14:paraId="192DBF6C" w14:textId="77777777" w:rsidR="0094521F" w:rsidRDefault="0094521F">
      <w:pPr>
        <w:rPr>
          <w:rStyle w:val="match"/>
          <w:rFonts w:ascii="Arial" w:hAnsi="Arial" w:cs="Arial"/>
          <w:color w:val="000000"/>
        </w:rPr>
      </w:pPr>
    </w:p>
    <w:p w14:paraId="4BF1D3D6" w14:textId="77777777" w:rsidR="0094521F" w:rsidRDefault="0094521F">
      <w:pPr>
        <w:rPr>
          <w:rStyle w:val="match"/>
          <w:rFonts w:ascii="Arial" w:hAnsi="Arial" w:cs="Arial"/>
          <w:color w:val="000000"/>
        </w:rPr>
      </w:pPr>
    </w:p>
    <w:p w14:paraId="3F5A8901" w14:textId="77777777" w:rsidR="0094521F" w:rsidRDefault="0094521F">
      <w:pPr>
        <w:rPr>
          <w:rStyle w:val="match"/>
          <w:rFonts w:ascii="Arial" w:hAnsi="Arial" w:cs="Arial"/>
          <w:color w:val="000000"/>
        </w:rPr>
      </w:pPr>
    </w:p>
    <w:p w14:paraId="27A97D58" w14:textId="77777777" w:rsidR="0094521F" w:rsidRDefault="0094521F">
      <w:pPr>
        <w:rPr>
          <w:rStyle w:val="match"/>
          <w:rFonts w:ascii="Arial" w:hAnsi="Arial" w:cs="Arial"/>
          <w:color w:val="000000"/>
        </w:rPr>
      </w:pPr>
    </w:p>
    <w:p w14:paraId="541D7CE1" w14:textId="77777777" w:rsidR="0094521F" w:rsidRDefault="0094521F">
      <w:pPr>
        <w:rPr>
          <w:rStyle w:val="match"/>
          <w:rFonts w:ascii="Arial" w:hAnsi="Arial" w:cs="Arial"/>
          <w:color w:val="000000"/>
        </w:rPr>
      </w:pPr>
    </w:p>
    <w:p w14:paraId="6A592299" w14:textId="77777777" w:rsidR="00052C10" w:rsidRDefault="00052C10">
      <w:pPr>
        <w:rPr>
          <w:rStyle w:val="match"/>
          <w:rFonts w:ascii="Arial" w:hAnsi="Arial" w:cs="Arial"/>
          <w:color w:val="000000"/>
        </w:rPr>
      </w:pPr>
    </w:p>
    <w:p w14:paraId="76DDCE50" w14:textId="77777777" w:rsidR="00052C10" w:rsidRDefault="00052C10">
      <w:pPr>
        <w:rPr>
          <w:rStyle w:val="match"/>
          <w:rFonts w:ascii="Arial" w:hAnsi="Arial" w:cs="Arial"/>
          <w:color w:val="000000"/>
        </w:rPr>
      </w:pPr>
    </w:p>
    <w:p w14:paraId="6CDC4D24" w14:textId="77777777" w:rsidR="00052C10" w:rsidRDefault="00052C10">
      <w:pPr>
        <w:rPr>
          <w:rStyle w:val="match"/>
          <w:rFonts w:ascii="Arial" w:hAnsi="Arial" w:cs="Arial"/>
          <w:color w:val="000000"/>
        </w:rPr>
      </w:pPr>
    </w:p>
    <w:p w14:paraId="3B8A6E01" w14:textId="77777777" w:rsidR="00052C10" w:rsidRDefault="00052C10">
      <w:pPr>
        <w:rPr>
          <w:rStyle w:val="match"/>
          <w:rFonts w:ascii="Arial" w:hAnsi="Arial" w:cs="Arial"/>
          <w:color w:val="000000"/>
        </w:rPr>
      </w:pPr>
    </w:p>
    <w:p w14:paraId="63AB03EE" w14:textId="77777777" w:rsidR="00052C10" w:rsidRDefault="00052C10">
      <w:pPr>
        <w:rPr>
          <w:rStyle w:val="match"/>
          <w:rFonts w:ascii="Arial" w:hAnsi="Arial" w:cs="Arial"/>
          <w:color w:val="000000"/>
        </w:rPr>
      </w:pPr>
    </w:p>
    <w:p w14:paraId="6FE37E19" w14:textId="77777777" w:rsidR="00052C10" w:rsidRDefault="00052C10">
      <w:pPr>
        <w:rPr>
          <w:rStyle w:val="match"/>
          <w:rFonts w:ascii="Arial" w:hAnsi="Arial" w:cs="Arial"/>
          <w:color w:val="000000"/>
        </w:rPr>
      </w:pPr>
    </w:p>
    <w:p w14:paraId="39AFCFEC" w14:textId="77777777" w:rsidR="00052C10" w:rsidRDefault="00052C10">
      <w:pPr>
        <w:rPr>
          <w:rStyle w:val="match"/>
          <w:rFonts w:ascii="Arial" w:hAnsi="Arial" w:cs="Arial"/>
          <w:color w:val="000000"/>
        </w:rPr>
      </w:pPr>
    </w:p>
    <w:p w14:paraId="2C3474FF" w14:textId="77777777" w:rsidR="00052C10" w:rsidRDefault="00052C10">
      <w:pPr>
        <w:rPr>
          <w:rStyle w:val="match"/>
          <w:rFonts w:ascii="Arial" w:hAnsi="Arial" w:cs="Arial"/>
          <w:color w:val="000000"/>
        </w:rPr>
      </w:pPr>
    </w:p>
    <w:p w14:paraId="5ADDBB91" w14:textId="77777777" w:rsidR="00052C10" w:rsidRDefault="00052C10">
      <w:pPr>
        <w:rPr>
          <w:rStyle w:val="match"/>
          <w:rFonts w:ascii="Arial" w:hAnsi="Arial" w:cs="Arial"/>
          <w:color w:val="000000"/>
        </w:rPr>
      </w:pPr>
    </w:p>
    <w:p w14:paraId="2AF1580E" w14:textId="77777777" w:rsidR="00052C10" w:rsidRDefault="00052C10">
      <w:pPr>
        <w:rPr>
          <w:rStyle w:val="match"/>
          <w:rFonts w:ascii="Arial" w:hAnsi="Arial" w:cs="Arial"/>
          <w:color w:val="000000"/>
        </w:rPr>
      </w:pPr>
    </w:p>
    <w:p w14:paraId="329373B4" w14:textId="77777777" w:rsidR="00052C10" w:rsidRDefault="00052C10">
      <w:pPr>
        <w:rPr>
          <w:rStyle w:val="match"/>
          <w:rFonts w:ascii="Arial" w:hAnsi="Arial" w:cs="Arial"/>
          <w:color w:val="000000"/>
        </w:rPr>
      </w:pPr>
    </w:p>
    <w:p w14:paraId="41A54E6F" w14:textId="77777777" w:rsidR="00052C10" w:rsidRDefault="00052C10">
      <w:pPr>
        <w:rPr>
          <w:rStyle w:val="match"/>
          <w:rFonts w:ascii="Arial" w:hAnsi="Arial" w:cs="Arial"/>
          <w:color w:val="000000"/>
        </w:rPr>
      </w:pPr>
    </w:p>
    <w:p w14:paraId="19780AA0" w14:textId="77777777" w:rsidR="00052C10" w:rsidRDefault="00052C10">
      <w:pPr>
        <w:rPr>
          <w:rStyle w:val="match"/>
          <w:rFonts w:ascii="Arial" w:hAnsi="Arial" w:cs="Arial"/>
          <w:color w:val="000000"/>
        </w:rPr>
      </w:pPr>
    </w:p>
    <w:p w14:paraId="01756E34" w14:textId="77777777" w:rsidR="00052C10" w:rsidRDefault="00052C10">
      <w:pPr>
        <w:rPr>
          <w:rStyle w:val="match"/>
          <w:rFonts w:ascii="Arial" w:hAnsi="Arial" w:cs="Arial"/>
          <w:color w:val="000000"/>
        </w:rPr>
      </w:pPr>
    </w:p>
    <w:p w14:paraId="643FDC1D" w14:textId="77777777" w:rsidR="00052C10" w:rsidRDefault="00052C10">
      <w:pPr>
        <w:rPr>
          <w:rStyle w:val="match"/>
          <w:rFonts w:ascii="Arial" w:hAnsi="Arial" w:cs="Arial"/>
          <w:color w:val="000000"/>
        </w:rPr>
      </w:pPr>
    </w:p>
    <w:p w14:paraId="0211B414" w14:textId="77777777" w:rsidR="00052C10" w:rsidRDefault="00052C10">
      <w:pPr>
        <w:rPr>
          <w:rStyle w:val="match"/>
          <w:rFonts w:ascii="Arial" w:hAnsi="Arial" w:cs="Arial"/>
          <w:color w:val="000000"/>
        </w:rPr>
      </w:pPr>
    </w:p>
    <w:p w14:paraId="7F481945" w14:textId="1148487B" w:rsidR="00784360" w:rsidRDefault="00555157" w:rsidP="00B1680C">
      <w:pPr>
        <w:tabs>
          <w:tab w:val="left" w:pos="851"/>
        </w:tabs>
        <w:spacing w:line="360" w:lineRule="auto"/>
        <w:rPr>
          <w:rStyle w:val="match"/>
          <w:rFonts w:ascii="Arial" w:hAnsi="Arial" w:cs="Arial"/>
          <w:color w:val="000000"/>
        </w:rPr>
      </w:pPr>
      <w:bookmarkStart w:id="1" w:name="_Toc221461854"/>
      <w:r w:rsidRPr="00052C10">
        <w:rPr>
          <w:rStyle w:val="Heading1Char"/>
        </w:rPr>
        <w:lastRenderedPageBreak/>
        <w:t>Introduction</w:t>
      </w:r>
      <w:bookmarkEnd w:id="1"/>
      <w:r>
        <w:rPr>
          <w:rFonts w:ascii="Arial" w:hAnsi="Arial" w:cs="Arial"/>
          <w:color w:val="000000"/>
        </w:rPr>
        <w:br/>
      </w:r>
      <w:r>
        <w:rPr>
          <w:rFonts w:ascii="Arial" w:hAnsi="Arial" w:cs="Arial"/>
          <w:color w:val="000000"/>
        </w:rPr>
        <w:br/>
      </w:r>
      <w:r>
        <w:rPr>
          <w:rStyle w:val="match"/>
          <w:rFonts w:ascii="Arial" w:hAnsi="Arial" w:cs="Arial"/>
          <w:color w:val="000000"/>
        </w:rPr>
        <w:t>Sainsbury's is one of the biggest supermarket companies in the United Kingdom, operating in the very competitive grocery retail sector. The firm, which was established in 1869, has expanded into a significant retailer with a solid national presence. Millions of customers in the United Kingdom are served by Sainsbury's wide selection of products, including fresh food, general merchandise, and clothing, through its extensive network of physical stores and online platforms (Sainsbury's Annual Report, 2023).</w:t>
      </w:r>
      <w:r>
        <w:rPr>
          <w:rFonts w:ascii="Arial" w:hAnsi="Arial" w:cs="Arial"/>
          <w:color w:val="000000"/>
        </w:rPr>
        <w:br/>
      </w:r>
      <w:r>
        <w:rPr>
          <w:rStyle w:val="match"/>
          <w:rFonts w:ascii="Arial" w:hAnsi="Arial" w:cs="Arial"/>
          <w:color w:val="000000"/>
        </w:rPr>
        <w:t>Intense competition, modest profit margins, and significant price pressure from both consumers and rival retailers define the grocery industry in the United Kingdom. To maintain product quality and customer satisfaction, supermarkets must continuously manage costs. Effective financial planning and control are thus critical to the success of any business.</w:t>
      </w:r>
      <w:r>
        <w:rPr>
          <w:rFonts w:ascii="Arial" w:hAnsi="Arial" w:cs="Arial"/>
          <w:color w:val="000000"/>
        </w:rPr>
        <w:br/>
      </w:r>
      <w:r>
        <w:rPr>
          <w:rStyle w:val="match"/>
          <w:rFonts w:ascii="Arial" w:hAnsi="Arial" w:cs="Arial"/>
          <w:color w:val="000000"/>
        </w:rPr>
        <w:t>Management accounting is crucial in assisting with decision-making in this setting. Managers can use management accounting to make informed decisions about pricing, sourcing, inventory management, and capital expenditures since it offers timely and relevant financial data. Drury (2018) claims that these tools assist increase productivity and maintain profitability in a tough market scenario.</w:t>
      </w:r>
      <w:r>
        <w:rPr>
          <w:rFonts w:ascii="Arial" w:hAnsi="Arial" w:cs="Arial"/>
          <w:color w:val="000000"/>
        </w:rPr>
        <w:br/>
      </w:r>
      <w:r>
        <w:rPr>
          <w:rStyle w:val="match"/>
          <w:rFonts w:ascii="Arial" w:hAnsi="Arial" w:cs="Arial"/>
          <w:color w:val="000000"/>
        </w:rPr>
        <w:t xml:space="preserve">This paper </w:t>
      </w:r>
      <w:r w:rsidR="009437B7">
        <w:rPr>
          <w:rStyle w:val="match"/>
          <w:rFonts w:ascii="Arial" w:hAnsi="Arial" w:cs="Arial"/>
          <w:color w:val="000000"/>
        </w:rPr>
        <w:t>analyses</w:t>
      </w:r>
      <w:r>
        <w:rPr>
          <w:rStyle w:val="match"/>
          <w:rFonts w:ascii="Arial" w:hAnsi="Arial" w:cs="Arial"/>
          <w:color w:val="000000"/>
        </w:rPr>
        <w:t xml:space="preserve"> how Sainsbury's employs essential management accounting methods and strategies to inform financial choices related to strategy and operations. It emphasizes cost analysis, budgeting, and performance metrics, demonstrating how these strategies enable managers to manage resources and assess business performance.</w:t>
      </w:r>
      <w:r>
        <w:rPr>
          <w:rFonts w:ascii="Arial" w:hAnsi="Arial" w:cs="Arial"/>
          <w:color w:val="000000"/>
        </w:rPr>
        <w:br/>
      </w:r>
      <w:r>
        <w:rPr>
          <w:rStyle w:val="match"/>
          <w:rFonts w:ascii="Arial" w:hAnsi="Arial" w:cs="Arial"/>
          <w:color w:val="000000"/>
        </w:rPr>
        <w:t>Additionally, the study examines how Sainsbury's incorporates ethical and environmental concerns into its financial choices. The report highlights the significance of management accounting in facilitating well-informed choices and long-term company sustainability through an analysis of these domains (Sainsbury’s Annual Report, 2023; Drury, 2018).</w:t>
      </w:r>
    </w:p>
    <w:p w14:paraId="399AEFAD" w14:textId="77777777" w:rsidR="00784360" w:rsidRDefault="00784360">
      <w:pPr>
        <w:rPr>
          <w:rStyle w:val="match"/>
          <w:rFonts w:ascii="Arial" w:hAnsi="Arial" w:cs="Arial"/>
          <w:color w:val="000000"/>
        </w:rPr>
      </w:pPr>
    </w:p>
    <w:p w14:paraId="40E9A310" w14:textId="19E98778" w:rsidR="00784360" w:rsidRDefault="00784360" w:rsidP="00B1680C">
      <w:pPr>
        <w:spacing w:line="360" w:lineRule="auto"/>
        <w:rPr>
          <w:rStyle w:val="match"/>
          <w:rFonts w:ascii="Arial" w:hAnsi="Arial" w:cs="Arial"/>
          <w:color w:val="000000"/>
        </w:rPr>
      </w:pPr>
      <w:bookmarkStart w:id="2" w:name="_Toc221461855"/>
      <w:r w:rsidRPr="00784360">
        <w:rPr>
          <w:rStyle w:val="Heading1Char"/>
        </w:rPr>
        <w:t>Pricing Strategy and Cost Analysis</w:t>
      </w:r>
      <w:bookmarkEnd w:id="2"/>
      <w:r w:rsidR="00555157">
        <w:rPr>
          <w:rFonts w:ascii="Arial" w:hAnsi="Arial" w:cs="Arial"/>
          <w:color w:val="000000"/>
        </w:rPr>
        <w:br/>
      </w:r>
      <w:r w:rsidR="00555157">
        <w:rPr>
          <w:rFonts w:ascii="Arial" w:hAnsi="Arial" w:cs="Arial"/>
          <w:color w:val="000000"/>
        </w:rPr>
        <w:br/>
      </w:r>
      <w:r w:rsidR="00555157">
        <w:rPr>
          <w:rStyle w:val="match"/>
          <w:rFonts w:ascii="Arial" w:hAnsi="Arial" w:cs="Arial"/>
          <w:color w:val="000000"/>
        </w:rPr>
        <w:t xml:space="preserve">Unlike Aldi and Lidl, Sainsbury's business strategy </w:t>
      </w:r>
      <w:proofErr w:type="spellStart"/>
      <w:r w:rsidR="00555157">
        <w:rPr>
          <w:rStyle w:val="match"/>
          <w:rFonts w:ascii="Arial" w:hAnsi="Arial" w:cs="Arial"/>
          <w:color w:val="000000"/>
        </w:rPr>
        <w:t>centers</w:t>
      </w:r>
      <w:proofErr w:type="spellEnd"/>
      <w:r w:rsidR="00555157">
        <w:rPr>
          <w:rStyle w:val="match"/>
          <w:rFonts w:ascii="Arial" w:hAnsi="Arial" w:cs="Arial"/>
          <w:color w:val="000000"/>
        </w:rPr>
        <w:t xml:space="preserve"> on selling a large quantity of goods at low prices, focusing on quality, private-label brands, and customer service, and frequently costing a bit more than its rivals. Additionally, Sainsbury's competes directly with Tesco and Asda (McGoldrick 2021). Because the revenue plan relies on everyday transactional sales across numerous channels, such as Argos (acquired in 2016), big supermarkets, and convenience stores (Sainsbury's Local), it increases its target market </w:t>
      </w:r>
      <w:r w:rsidR="00555157">
        <w:rPr>
          <w:rStyle w:val="match"/>
          <w:rFonts w:ascii="Arial" w:hAnsi="Arial" w:cs="Arial"/>
          <w:color w:val="000000"/>
        </w:rPr>
        <w:lastRenderedPageBreak/>
        <w:t>(Sainsbury's Annual Report 2023). Good cost base management is essential due to the industry's inclination to engage in price wars.</w:t>
      </w:r>
      <w:r w:rsidR="00555157">
        <w:rPr>
          <w:rFonts w:ascii="Arial" w:hAnsi="Arial" w:cs="Arial"/>
          <w:color w:val="000000"/>
        </w:rPr>
        <w:br/>
      </w:r>
      <w:r w:rsidR="00555157">
        <w:rPr>
          <w:rStyle w:val="match"/>
          <w:rFonts w:ascii="Arial" w:hAnsi="Arial" w:cs="Arial"/>
          <w:color w:val="000000"/>
        </w:rPr>
        <w:t xml:space="preserve">A significant portion of Sainsbury's cost structure is made up of fixed and variable costs. Key variable costs are major variables that directly influence sales volume. The cost of commodities sold (COGS), which is the highest cost, is one example. Purchasing, keeping, and delivering goods are all examples of this (Kaplan and Cooper 1998). Fuel and utilities, as well as sales commissions that are directly tied to store operations, also fluctuate in response to activity levels when they are relevant. In contrast, Sainsbury's has significant fixed costs that are essential for maintaining the functionality of its physical infrastructure and organizational structure. Rent or depreciation on distribution </w:t>
      </w:r>
      <w:proofErr w:type="spellStart"/>
      <w:r w:rsidR="00555157">
        <w:rPr>
          <w:rStyle w:val="match"/>
          <w:rFonts w:ascii="Arial" w:hAnsi="Arial" w:cs="Arial"/>
          <w:color w:val="000000"/>
        </w:rPr>
        <w:t>centers</w:t>
      </w:r>
      <w:proofErr w:type="spellEnd"/>
      <w:r w:rsidR="00555157">
        <w:rPr>
          <w:rStyle w:val="match"/>
          <w:rFonts w:ascii="Arial" w:hAnsi="Arial" w:cs="Arial"/>
          <w:color w:val="000000"/>
        </w:rPr>
        <w:t xml:space="preserve"> and stores, salaries for key administrative and management workers, and a significant outlay for the IT infrastructure necessary for modern retail operations are among these fixed costs (Weygandt et al. 2019).</w:t>
      </w:r>
      <w:r w:rsidR="00555157">
        <w:rPr>
          <w:rFonts w:ascii="Arial" w:hAnsi="Arial" w:cs="Arial"/>
          <w:color w:val="000000"/>
        </w:rPr>
        <w:br/>
      </w:r>
      <w:r w:rsidR="00555157">
        <w:rPr>
          <w:rStyle w:val="match"/>
          <w:rFonts w:ascii="Arial" w:hAnsi="Arial" w:cs="Arial"/>
          <w:color w:val="000000"/>
        </w:rPr>
        <w:t>In contrast to only focusing on what it costs to operate a department, management accounting uses methods such as Activity Based Costing (ABC) to gather extremely specific data on the true cost drivers. For example, by comparing the cost of serving different store types—such as a small convenience store versus a large supermarket—management can set fair internal transfer rates or change the level of service provided. Additionally, marginal costing methods are crucial for making near-term choices like determining the lowest acceptable price for clearance items or assessing the viability of running marketing programs. Knowing the contribution margin, which is revenue minus variable costs, aids in selecting the optimal mix of products to sell. For example, if a store has a small amount of space, knowing the contribution margin can help determine if it should concentrate on selling high-margin, own-brand groceries or low-margin, everyday items (CIMA 2019). Break-even analysis, a fundamental tool for assessing the viability of launching new shops or comprehending the repercussions of potential shop closures, depends on properly distinguishing between fixed and variable costs.</w:t>
      </w:r>
    </w:p>
    <w:p w14:paraId="3E03D43D" w14:textId="1371B268" w:rsidR="00784360" w:rsidRDefault="00784360" w:rsidP="00B1680C">
      <w:pPr>
        <w:spacing w:line="360" w:lineRule="auto"/>
        <w:rPr>
          <w:rFonts w:ascii="Arial" w:hAnsi="Arial" w:cs="Arial"/>
          <w:color w:val="000000"/>
        </w:rPr>
      </w:pPr>
      <w:bookmarkStart w:id="3" w:name="_Toc221461856"/>
      <w:r w:rsidRPr="00784360">
        <w:rPr>
          <w:rStyle w:val="Heading1Char"/>
        </w:rPr>
        <w:t xml:space="preserve">Financial </w:t>
      </w:r>
      <w:r w:rsidR="009437B7">
        <w:rPr>
          <w:rStyle w:val="Heading1Char"/>
        </w:rPr>
        <w:t>Planning</w:t>
      </w:r>
      <w:r w:rsidRPr="00784360">
        <w:rPr>
          <w:rStyle w:val="Heading1Char"/>
        </w:rPr>
        <w:t xml:space="preserve"> and Budgeting</w:t>
      </w:r>
      <w:bookmarkEnd w:id="3"/>
      <w:r w:rsidR="00555157" w:rsidRPr="0094521F">
        <w:rPr>
          <w:rFonts w:ascii="Arial" w:hAnsi="Arial" w:cs="Arial"/>
          <w:b/>
          <w:bCs/>
          <w:color w:val="000000"/>
          <w:sz w:val="32"/>
          <w:szCs w:val="32"/>
        </w:rPr>
        <w:br/>
      </w:r>
      <w:r w:rsidR="00555157">
        <w:rPr>
          <w:rFonts w:ascii="Arial" w:hAnsi="Arial" w:cs="Arial"/>
          <w:color w:val="000000"/>
        </w:rPr>
        <w:br/>
      </w:r>
      <w:r w:rsidR="00555157">
        <w:rPr>
          <w:rStyle w:val="match"/>
          <w:rFonts w:ascii="Arial" w:hAnsi="Arial" w:cs="Arial"/>
          <w:color w:val="000000"/>
        </w:rPr>
        <w:t xml:space="preserve">Budgeting is the cornerstone of financial planning and control at Sainsbury's. For each operating unit, it converts strategic objectives into measurable financial goals (Hilton and Platt 2020). The budgeting procedure in a high-end retail establishment typically entails a top-down hierarchy of directives on overall profit objectives that are filtered down through functional departments like purchasing, logistics, and marketing, ultimately leading to comprehensive bottom-up operational budgets for each individual store. The alignment between everyday activities and company goals is ensured by this holistic approach. Master </w:t>
      </w:r>
      <w:r w:rsidR="00555157">
        <w:rPr>
          <w:rStyle w:val="match"/>
          <w:rFonts w:ascii="Arial" w:hAnsi="Arial" w:cs="Arial"/>
          <w:color w:val="000000"/>
        </w:rPr>
        <w:lastRenderedPageBreak/>
        <w:t>budgets, which include sales budgets, production/purchasing budgets, and, last but not least, budgeted financial statements, serve as the road map for the financial year.</w:t>
      </w:r>
      <w:r w:rsidR="00555157">
        <w:rPr>
          <w:rFonts w:ascii="Arial" w:hAnsi="Arial" w:cs="Arial"/>
          <w:color w:val="000000"/>
        </w:rPr>
        <w:br/>
      </w:r>
      <w:r w:rsidR="00555157">
        <w:rPr>
          <w:rStyle w:val="match"/>
          <w:rFonts w:ascii="Arial" w:hAnsi="Arial" w:cs="Arial"/>
          <w:color w:val="000000"/>
        </w:rPr>
        <w:t>A close look at publicly available financial data, such Google Finance, reveals significant differences in operational costs, which are particularly evident in recent years as a result of macroeconomic pressures and strategic moves. The annual change in operating costs, for example, often highlights the effects of inflation or supply chain issues. Many UK retailers experienced a significant increase in their operating expenses between 2022 and 2023, according to data. The primary reasons for this were increasing wages and energy costs (Sainsbury's Annual Report 2023). Management decisions made inside the company to directly mitigate this instability include choosing energy-saving technologies or entering into long-term, fixed-price energy contracts. Simultaneously, outside macroeconomic factors, such as the Bank of England's interest rate increases, increase the cost of maintaining existing business debt, which puts a lot of strain on profitability indicators that are closely monitored through the operating expense line (Bank of England Data 2024). Management's choice to focus primarily on supply chain optimization and hedging against specific commodity price increases aims to protect market share by utilizing budgetary forecasting models to absorb rather than merely transmit all inflationary pressures to the consumer (Brealey et al. 2020). Variance analysis helps management accountants to quickly determine whether negative variances are the result of internal operational inefficiencies or unforeseen market developments (external) by comparing real operating costs with the budget. This helps guide corrective steps such as renegotiating supplier agreements or changing promotional spending strategies.</w:t>
      </w:r>
      <w:r w:rsidR="00555157">
        <w:rPr>
          <w:rFonts w:ascii="Arial" w:hAnsi="Arial" w:cs="Arial"/>
          <w:color w:val="000000"/>
        </w:rPr>
        <w:br/>
      </w:r>
    </w:p>
    <w:p w14:paraId="413AC427" w14:textId="77777777" w:rsidR="00B1680C" w:rsidRDefault="00784360" w:rsidP="00B1680C">
      <w:pPr>
        <w:spacing w:line="360" w:lineRule="auto"/>
        <w:rPr>
          <w:rStyle w:val="match"/>
          <w:rFonts w:ascii="Arial" w:hAnsi="Arial" w:cs="Arial"/>
          <w:color w:val="000000"/>
        </w:rPr>
      </w:pPr>
      <w:bookmarkStart w:id="4" w:name="_Toc221461857"/>
      <w:r w:rsidRPr="00B1680C">
        <w:rPr>
          <w:rStyle w:val="Heading1Char"/>
        </w:rPr>
        <w:t>Making Decisions and Measuring Performance</w:t>
      </w:r>
      <w:bookmarkEnd w:id="4"/>
      <w:r w:rsidR="00555157">
        <w:rPr>
          <w:rFonts w:ascii="Arial" w:hAnsi="Arial" w:cs="Arial"/>
          <w:color w:val="000000"/>
        </w:rPr>
        <w:br/>
      </w:r>
      <w:r w:rsidR="00555157">
        <w:rPr>
          <w:rFonts w:ascii="Arial" w:hAnsi="Arial" w:cs="Arial"/>
          <w:color w:val="000000"/>
        </w:rPr>
        <w:br/>
      </w:r>
      <w:r w:rsidR="00555157">
        <w:rPr>
          <w:rStyle w:val="match"/>
          <w:rFonts w:ascii="Arial" w:hAnsi="Arial" w:cs="Arial"/>
          <w:color w:val="000000"/>
        </w:rPr>
        <w:t>In a large organization like Sainsbury's, sound financial choices rely on a robust set of performance indicators that go beyond simple profit figures. Key Performance Indicators (KPIs) are essential for monitoring progress toward strategic goals (Atkinson et al. 2019).</w:t>
      </w:r>
    </w:p>
    <w:p w14:paraId="5E1C228F" w14:textId="00D2AC92" w:rsidR="00B1680C" w:rsidRDefault="00555157" w:rsidP="00B1680C">
      <w:pPr>
        <w:spacing w:line="360" w:lineRule="auto"/>
        <w:rPr>
          <w:rStyle w:val="match"/>
          <w:rFonts w:ascii="Arial" w:hAnsi="Arial" w:cs="Arial"/>
          <w:color w:val="000000"/>
        </w:rPr>
      </w:pPr>
      <w:r w:rsidRPr="0094521F">
        <w:rPr>
          <w:rStyle w:val="match"/>
          <w:rFonts w:ascii="Arial" w:hAnsi="Arial" w:cs="Arial"/>
          <w:b/>
          <w:bCs/>
          <w:color w:val="000000"/>
        </w:rPr>
        <w:t>The five most important Sainsbury's KPIs are</w:t>
      </w:r>
      <w:r>
        <w:rPr>
          <w:rStyle w:val="match"/>
          <w:rFonts w:ascii="Arial" w:hAnsi="Arial" w:cs="Arial"/>
          <w:color w:val="000000"/>
        </w:rPr>
        <w:t>:</w:t>
      </w:r>
      <w:r>
        <w:rPr>
          <w:rFonts w:ascii="Arial" w:hAnsi="Arial" w:cs="Arial"/>
          <w:color w:val="000000"/>
        </w:rPr>
        <w:br/>
      </w:r>
      <w:r>
        <w:rPr>
          <w:rFonts w:ascii="Arial" w:hAnsi="Arial" w:cs="Arial"/>
          <w:color w:val="000000"/>
        </w:rPr>
        <w:br/>
      </w:r>
      <w:r>
        <w:rPr>
          <w:rStyle w:val="match"/>
          <w:rFonts w:ascii="Arial" w:hAnsi="Arial" w:cs="Arial"/>
          <w:color w:val="000000"/>
        </w:rPr>
        <w:t>1. Keeping track of annual sales fluctuations by category and channel (online vs. in-store) will enable Sainsbury's to make more informed choices regarding its marketing and inventory expenditures (Sainsbury's Annual Report 2023).</w:t>
      </w:r>
      <w:r>
        <w:rPr>
          <w:rFonts w:ascii="Arial" w:hAnsi="Arial" w:cs="Arial"/>
          <w:color w:val="000000"/>
        </w:rPr>
        <w:br/>
      </w:r>
      <w:r>
        <w:rPr>
          <w:rFonts w:ascii="Arial" w:hAnsi="Arial" w:cs="Arial"/>
          <w:color w:val="000000"/>
        </w:rPr>
        <w:br/>
      </w:r>
      <w:r>
        <w:rPr>
          <w:rStyle w:val="match"/>
          <w:rFonts w:ascii="Arial" w:hAnsi="Arial" w:cs="Arial"/>
          <w:color w:val="000000"/>
        </w:rPr>
        <w:t xml:space="preserve">2. Gross Margin Percentage (Financial): The primary indicator of the effectiveness of </w:t>
      </w:r>
      <w:r>
        <w:rPr>
          <w:rStyle w:val="match"/>
          <w:rFonts w:ascii="Arial" w:hAnsi="Arial" w:cs="Arial"/>
          <w:color w:val="000000"/>
        </w:rPr>
        <w:lastRenderedPageBreak/>
        <w:t>purchasing and selling. A decline suggests potential issues with either competitive pricing pressures or input costs (Drury 2018).</w:t>
      </w:r>
      <w:r>
        <w:rPr>
          <w:rFonts w:ascii="Arial" w:hAnsi="Arial" w:cs="Arial"/>
          <w:color w:val="000000"/>
        </w:rPr>
        <w:br/>
      </w:r>
      <w:r>
        <w:rPr>
          <w:rFonts w:ascii="Arial" w:hAnsi="Arial" w:cs="Arial"/>
          <w:color w:val="000000"/>
        </w:rPr>
        <w:br/>
      </w:r>
      <w:r>
        <w:rPr>
          <w:rStyle w:val="match"/>
          <w:rFonts w:ascii="Arial" w:hAnsi="Arial" w:cs="Arial"/>
          <w:color w:val="000000"/>
        </w:rPr>
        <w:t>3. Inventory Turnover Ratio (Financial): This ratio indicates the speed with which inventory is sold. A high turnover rate indicates good inventory management and reduced carrying costs, while a low turnover rate indicates potential obsolescence or overstocking, which restricts working capital (Weygandt et al. 2019).</w:t>
      </w:r>
      <w:r>
        <w:rPr>
          <w:rFonts w:ascii="Arial" w:hAnsi="Arial" w:cs="Arial"/>
          <w:color w:val="000000"/>
        </w:rPr>
        <w:br/>
      </w:r>
      <w:r>
        <w:rPr>
          <w:rFonts w:ascii="Arial" w:hAnsi="Arial" w:cs="Arial"/>
          <w:color w:val="000000"/>
        </w:rPr>
        <w:br/>
      </w:r>
      <w:r>
        <w:rPr>
          <w:rStyle w:val="match"/>
          <w:rFonts w:ascii="Arial" w:hAnsi="Arial" w:cs="Arial"/>
          <w:color w:val="000000"/>
        </w:rPr>
        <w:t>4. Not financial Customer Satisfaction Score: This measure, which is frequently derived from surveys or mystery shopping, is particularly crucial since repeat sales are driven by customer loyalty. This is routinely compared by Sainsbury's with its competitors (YouGov 2024).</w:t>
      </w:r>
      <w:r>
        <w:rPr>
          <w:rFonts w:ascii="Arial" w:hAnsi="Arial" w:cs="Arial"/>
          <w:color w:val="000000"/>
        </w:rPr>
        <w:br/>
      </w:r>
      <w:r>
        <w:rPr>
          <w:rFonts w:ascii="Arial" w:hAnsi="Arial" w:cs="Arial"/>
          <w:color w:val="000000"/>
        </w:rPr>
        <w:br/>
      </w:r>
      <w:r>
        <w:rPr>
          <w:rStyle w:val="match"/>
          <w:rFonts w:ascii="Arial" w:hAnsi="Arial" w:cs="Arial"/>
          <w:color w:val="000000"/>
        </w:rPr>
        <w:t>5. Percentage of Non-Financial Waste Reduction: This is directly tied to cost control and sustainability. Reducing food waste enhances the company's moral position, lowers disposal and COGS costs, and supports Sainsbury's ESG Report 2023.</w:t>
      </w:r>
      <w:r>
        <w:rPr>
          <w:rFonts w:ascii="Arial" w:hAnsi="Arial" w:cs="Arial"/>
          <w:color w:val="000000"/>
        </w:rPr>
        <w:br/>
      </w:r>
      <w:r>
        <w:rPr>
          <w:rFonts w:ascii="Arial" w:hAnsi="Arial" w:cs="Arial"/>
          <w:color w:val="000000"/>
        </w:rPr>
        <w:br/>
      </w:r>
      <w:r>
        <w:rPr>
          <w:rStyle w:val="match"/>
          <w:rFonts w:ascii="Arial" w:hAnsi="Arial" w:cs="Arial"/>
          <w:color w:val="000000"/>
        </w:rPr>
        <w:t xml:space="preserve">Strategic decisions are primarily influenced by these facts and statistics. For instance, if data shows strong online sales growth coupled with a high customer satisfaction score (KPI 1 and 4), Sainsbury's may decide to accelerate investments in local </w:t>
      </w:r>
      <w:proofErr w:type="spellStart"/>
      <w:r>
        <w:rPr>
          <w:rStyle w:val="match"/>
          <w:rFonts w:ascii="Arial" w:hAnsi="Arial" w:cs="Arial"/>
          <w:color w:val="000000"/>
        </w:rPr>
        <w:t>fulfillment</w:t>
      </w:r>
      <w:proofErr w:type="spellEnd"/>
      <w:r>
        <w:rPr>
          <w:rStyle w:val="match"/>
          <w:rFonts w:ascii="Arial" w:hAnsi="Arial" w:cs="Arial"/>
          <w:color w:val="000000"/>
        </w:rPr>
        <w:t xml:space="preserve"> </w:t>
      </w:r>
      <w:proofErr w:type="spellStart"/>
      <w:r>
        <w:rPr>
          <w:rStyle w:val="match"/>
          <w:rFonts w:ascii="Arial" w:hAnsi="Arial" w:cs="Arial"/>
          <w:color w:val="000000"/>
        </w:rPr>
        <w:t>centers</w:t>
      </w:r>
      <w:proofErr w:type="spellEnd"/>
      <w:r>
        <w:rPr>
          <w:rStyle w:val="match"/>
          <w:rFonts w:ascii="Arial" w:hAnsi="Arial" w:cs="Arial"/>
          <w:color w:val="000000"/>
        </w:rPr>
        <w:t xml:space="preserve"> and digital infrastructure, thus supporting the capital expenditure based on the predicted long-term revenue streams (Sainsbury's Annual Report 2023). If the Gross Margin Percentage decreases significantly (KPI 2) while the Inventory Turnover also decreases (KPI 3), the management team must begin implementing cost-cutting strategies. This may involve making product pricing decisions, such as lowering rates on underperforming items, or negotiating better rates with suppliers (cost management). By </w:t>
      </w:r>
      <w:proofErr w:type="spellStart"/>
      <w:r>
        <w:rPr>
          <w:rStyle w:val="match"/>
          <w:rFonts w:ascii="Arial" w:hAnsi="Arial" w:cs="Arial"/>
          <w:color w:val="000000"/>
        </w:rPr>
        <w:t>favoring</w:t>
      </w:r>
      <w:proofErr w:type="spellEnd"/>
      <w:r>
        <w:rPr>
          <w:rStyle w:val="match"/>
          <w:rFonts w:ascii="Arial" w:hAnsi="Arial" w:cs="Arial"/>
          <w:color w:val="000000"/>
        </w:rPr>
        <w:t xml:space="preserve"> suppliers who offer superior shelf-life guarantees or are involved in more efficient logistical networks, the inclusion of non-financial KPIs such Waste Reduction (KPI 5) helps to steer the procurement plan (Kaplan and Norton 2008). The Balanced Scorecard framework, which assures that financial outcomes are supported by associated modifications in employee development, internal processes, and customer relations, is a natural guide for Sainsbury's.</w:t>
      </w:r>
    </w:p>
    <w:p w14:paraId="1B902E0F" w14:textId="47E37098" w:rsidR="00B1680C" w:rsidRDefault="00B1680C" w:rsidP="00B1680C">
      <w:pPr>
        <w:spacing w:line="360" w:lineRule="auto"/>
        <w:rPr>
          <w:rStyle w:val="match"/>
          <w:rFonts w:ascii="Arial" w:hAnsi="Arial" w:cs="Arial"/>
          <w:color w:val="000000"/>
        </w:rPr>
      </w:pPr>
      <w:bookmarkStart w:id="5" w:name="_Toc221461858"/>
      <w:r w:rsidRPr="00B1680C">
        <w:rPr>
          <w:rStyle w:val="Heading1Char"/>
        </w:rPr>
        <w:t>Ethical and Sustainable Considerations</w:t>
      </w:r>
      <w:bookmarkEnd w:id="5"/>
      <w:r w:rsidR="00555157">
        <w:rPr>
          <w:rFonts w:ascii="Arial" w:hAnsi="Arial" w:cs="Arial"/>
          <w:color w:val="000000"/>
        </w:rPr>
        <w:br/>
      </w:r>
      <w:r w:rsidR="00555157">
        <w:rPr>
          <w:rFonts w:ascii="Arial" w:hAnsi="Arial" w:cs="Arial"/>
          <w:color w:val="000000"/>
        </w:rPr>
        <w:br/>
      </w:r>
      <w:r w:rsidR="00555157">
        <w:rPr>
          <w:rStyle w:val="match"/>
          <w:rFonts w:ascii="Arial" w:hAnsi="Arial" w:cs="Arial"/>
          <w:color w:val="000000"/>
        </w:rPr>
        <w:t xml:space="preserve">Sustainability is no longer a choice for large corporations; it has a direct impact on stakeholder perception and long-term viability (Eccles et al. 2014). Sainsbury's employs </w:t>
      </w:r>
      <w:r w:rsidR="00555157">
        <w:rPr>
          <w:rStyle w:val="match"/>
          <w:rFonts w:ascii="Arial" w:hAnsi="Arial" w:cs="Arial"/>
          <w:color w:val="000000"/>
        </w:rPr>
        <w:lastRenderedPageBreak/>
        <w:t>investment assessment techniques that take sustainability into consideration beyond simply calculating the Net Present Value (NPV). Requests for new refrigeration equipment, for example, are evaluated based on energy savings, which is a direct financial benefit that lowers variable costs, and on reduced carbon emissions, which enhances brand reputation and reduces potential regulatory dangers in the future (Sainsbury's ESG Report 2023). By allowing the company to quantify the financial effects of waste, carbon footprint, and water consumption, management accounting methods such social and environmental cost accounting enable the company to demonstrate to shareholders that environmentally sustainable decisions are economically sound (Cooper 1999).</w:t>
      </w:r>
      <w:r w:rsidR="00555157">
        <w:rPr>
          <w:rFonts w:ascii="Arial" w:hAnsi="Arial" w:cs="Arial"/>
          <w:color w:val="000000"/>
        </w:rPr>
        <w:br/>
      </w:r>
      <w:r w:rsidR="00555157">
        <w:rPr>
          <w:rStyle w:val="match"/>
          <w:rFonts w:ascii="Arial" w:hAnsi="Arial" w:cs="Arial"/>
          <w:color w:val="000000"/>
        </w:rPr>
        <w:t xml:space="preserve">Ethical considerations have a significant impact on cost management and pricing strategies. Ethical sourcing in cost management requires paying fair prices to main manufacturers, particularly in developing nations, which frequently means accepting a somewhat higher cost of goods sold than when purchasing from suppliers with less stringent </w:t>
      </w:r>
      <w:proofErr w:type="spellStart"/>
      <w:r w:rsidR="00555157">
        <w:rPr>
          <w:rStyle w:val="match"/>
          <w:rFonts w:ascii="Arial" w:hAnsi="Arial" w:cs="Arial"/>
          <w:color w:val="000000"/>
        </w:rPr>
        <w:t>labor</w:t>
      </w:r>
      <w:proofErr w:type="spellEnd"/>
      <w:r w:rsidR="00555157">
        <w:rPr>
          <w:rStyle w:val="match"/>
          <w:rFonts w:ascii="Arial" w:hAnsi="Arial" w:cs="Arial"/>
          <w:color w:val="000000"/>
        </w:rPr>
        <w:t xml:space="preserve"> regulations. Sainsbury's commitment to reducing plastic packaging is environmentally beneficial, but it requires investments in alternative materials that may initially be more expensive and, as a result, have an impact on gross margins in the near future (Sainsbury's Annual Report 2023). Honesty in pricing necessitates clear discussion of discounts and the avoidance of predatory pricing in areas where Sainsbury's has a strong market position, particularly in smaller communities where a Sainsbury's Local may be the sole actual supermarket. Management accountants are in charge of ensuring that pricing models comply with competition legislation and maintain the perception of fairness; They achieve this by employing contribution margin analysis to guarantee that they are generating enough revenue without exploiting people's needs (Donaldson 2012). Strong quality control procedures are necessary for maintaining product quality, particularly in fresh foods, and this is another cost </w:t>
      </w:r>
      <w:proofErr w:type="spellStart"/>
      <w:r w:rsidR="00555157">
        <w:rPr>
          <w:rStyle w:val="match"/>
          <w:rFonts w:ascii="Arial" w:hAnsi="Arial" w:cs="Arial"/>
          <w:color w:val="000000"/>
        </w:rPr>
        <w:t>center</w:t>
      </w:r>
      <w:proofErr w:type="spellEnd"/>
      <w:r w:rsidR="00555157">
        <w:rPr>
          <w:rStyle w:val="match"/>
          <w:rFonts w:ascii="Arial" w:hAnsi="Arial" w:cs="Arial"/>
          <w:color w:val="000000"/>
        </w:rPr>
        <w:t xml:space="preserve"> that management must defend with associated reputation benefits and a lower risk of incurring product recall costs.</w:t>
      </w:r>
    </w:p>
    <w:p w14:paraId="2B0CEAED" w14:textId="77777777" w:rsidR="00B1680C" w:rsidRDefault="00B1680C" w:rsidP="00B1680C">
      <w:pPr>
        <w:spacing w:line="360" w:lineRule="auto"/>
        <w:rPr>
          <w:rStyle w:val="match"/>
          <w:rFonts w:ascii="Arial" w:hAnsi="Arial" w:cs="Arial"/>
          <w:color w:val="000000"/>
        </w:rPr>
      </w:pPr>
    </w:p>
    <w:p w14:paraId="134E64B1" w14:textId="171FC997" w:rsidR="00B1680C" w:rsidRDefault="00B1680C" w:rsidP="00B1680C">
      <w:pPr>
        <w:spacing w:line="360" w:lineRule="auto"/>
        <w:rPr>
          <w:rStyle w:val="match"/>
          <w:rFonts w:ascii="Arial" w:hAnsi="Arial" w:cs="Arial"/>
          <w:color w:val="000000"/>
        </w:rPr>
      </w:pPr>
      <w:bookmarkStart w:id="6" w:name="_Toc221461859"/>
      <w:r w:rsidRPr="00B1680C">
        <w:rPr>
          <w:rStyle w:val="Heading1Char"/>
        </w:rPr>
        <w:t>Conclusion</w:t>
      </w:r>
      <w:bookmarkEnd w:id="6"/>
      <w:r w:rsidR="00555157">
        <w:rPr>
          <w:rFonts w:ascii="Arial" w:hAnsi="Arial" w:cs="Arial"/>
          <w:color w:val="000000"/>
        </w:rPr>
        <w:br/>
      </w:r>
      <w:r w:rsidR="00555157">
        <w:rPr>
          <w:rFonts w:ascii="Arial" w:hAnsi="Arial" w:cs="Arial"/>
          <w:color w:val="000000"/>
        </w:rPr>
        <w:br/>
      </w:r>
      <w:r w:rsidR="00555157">
        <w:rPr>
          <w:rStyle w:val="match"/>
          <w:rFonts w:ascii="Arial" w:hAnsi="Arial" w:cs="Arial"/>
          <w:color w:val="000000"/>
        </w:rPr>
        <w:t xml:space="preserve">To handle the intricacies of the current grocery store environment, Sainsbury's effectively employs a variety of management accounting methods. Cost analysis using variable/fixed segregation helps with making short-term operational adjustments, whereas a solid budget offers the essential framework for financial management in the face of macroeconomic challenges. Strategic decisions about capital allocation, growth, and efficiency improvements are guided by performance measurement that integrates financial and non-financial KPIs. </w:t>
      </w:r>
      <w:r w:rsidR="00555157">
        <w:rPr>
          <w:rStyle w:val="match"/>
          <w:rFonts w:ascii="Arial" w:hAnsi="Arial" w:cs="Arial"/>
          <w:color w:val="000000"/>
        </w:rPr>
        <w:lastRenderedPageBreak/>
        <w:t xml:space="preserve">Including sustainability criteria </w:t>
      </w:r>
      <w:r w:rsidR="009437B7">
        <w:rPr>
          <w:rStyle w:val="match"/>
          <w:rFonts w:ascii="Arial" w:hAnsi="Arial" w:cs="Arial"/>
          <w:color w:val="000000"/>
        </w:rPr>
        <w:t>in</w:t>
      </w:r>
      <w:r w:rsidR="00555157">
        <w:rPr>
          <w:rStyle w:val="match"/>
          <w:rFonts w:ascii="Arial" w:hAnsi="Arial" w:cs="Arial"/>
          <w:color w:val="000000"/>
        </w:rPr>
        <w:t xml:space="preserve"> investment assessment also demonstrates a forward-thinking financial approach that takes into account non-market hazards and opportunities. In order to stay ahead of experienced rivals and aggressive discount competitors, it is necessary to continuously enhance these products (McGoldrick 2021).</w:t>
      </w:r>
      <w:r w:rsidR="00555157">
        <w:rPr>
          <w:rFonts w:ascii="Arial" w:hAnsi="Arial" w:cs="Arial"/>
          <w:color w:val="000000"/>
        </w:rPr>
        <w:br/>
      </w:r>
      <w:r w:rsidR="00555157">
        <w:rPr>
          <w:rStyle w:val="match"/>
          <w:rFonts w:ascii="Arial" w:hAnsi="Arial" w:cs="Arial"/>
          <w:color w:val="000000"/>
        </w:rPr>
        <w:t>This evaluation suggests two key actions that Sainsbury's may take to enhance its financial decision-making. To begin, Sainsbury's should improve the integration of real-time ABC systems, particularly within its logistics network, so that overhead costs can be allocated more accurately to specific SKUs based on handling complexity rather than volume alone. This would facilitate strategic termination of items that appear profitable under traditional costing but are too expensive to store and handle, as well as dynamic pricing adjustments. In addition to current frameworks, management should also establish a direct link between improvements in non-financial KPIs (such waste reduction) and managerial pay plans. This would help to ensure that sustainability objectives are addressed with the same financial discipline as profit targets, which would encourage greater engagement with cost-effective ethical conduct (Kaplan and Norton 2008). These enhanced management accounting methods will help keep you in a better financial situation.</w:t>
      </w:r>
    </w:p>
    <w:p w14:paraId="72C7745B" w14:textId="77777777" w:rsidR="00B1680C" w:rsidRDefault="00B1680C" w:rsidP="00B1680C">
      <w:pPr>
        <w:spacing w:line="360" w:lineRule="auto"/>
        <w:rPr>
          <w:rStyle w:val="match"/>
          <w:rFonts w:ascii="Arial" w:hAnsi="Arial" w:cs="Arial"/>
          <w:color w:val="000000"/>
        </w:rPr>
      </w:pPr>
    </w:p>
    <w:p w14:paraId="4EEFD83B" w14:textId="77777777" w:rsidR="00B1680C" w:rsidRDefault="00B1680C" w:rsidP="00B1680C">
      <w:pPr>
        <w:spacing w:line="360" w:lineRule="auto"/>
        <w:rPr>
          <w:rStyle w:val="match"/>
          <w:rFonts w:ascii="Arial" w:hAnsi="Arial" w:cs="Arial"/>
          <w:color w:val="000000"/>
        </w:rPr>
      </w:pPr>
    </w:p>
    <w:p w14:paraId="5EF8D4BF" w14:textId="77777777" w:rsidR="00B1680C" w:rsidRDefault="00B1680C" w:rsidP="00B1680C">
      <w:pPr>
        <w:spacing w:line="360" w:lineRule="auto"/>
        <w:rPr>
          <w:rStyle w:val="match"/>
          <w:rFonts w:ascii="Arial" w:hAnsi="Arial" w:cs="Arial"/>
          <w:color w:val="000000"/>
        </w:rPr>
      </w:pPr>
    </w:p>
    <w:p w14:paraId="160428F5" w14:textId="77777777" w:rsidR="00B1680C" w:rsidRDefault="00B1680C" w:rsidP="00B1680C">
      <w:pPr>
        <w:spacing w:line="360" w:lineRule="auto"/>
        <w:rPr>
          <w:rStyle w:val="match"/>
          <w:rFonts w:ascii="Arial" w:hAnsi="Arial" w:cs="Arial"/>
          <w:color w:val="000000"/>
        </w:rPr>
      </w:pPr>
    </w:p>
    <w:p w14:paraId="05214448" w14:textId="77777777" w:rsidR="00B1680C" w:rsidRDefault="00B1680C" w:rsidP="00B1680C">
      <w:pPr>
        <w:spacing w:line="360" w:lineRule="auto"/>
        <w:rPr>
          <w:rStyle w:val="match"/>
          <w:rFonts w:ascii="Arial" w:hAnsi="Arial" w:cs="Arial"/>
          <w:color w:val="000000"/>
        </w:rPr>
      </w:pPr>
    </w:p>
    <w:p w14:paraId="1D57CF3F" w14:textId="77777777" w:rsidR="00B1680C" w:rsidRDefault="00B1680C" w:rsidP="00B1680C">
      <w:pPr>
        <w:spacing w:line="360" w:lineRule="auto"/>
        <w:rPr>
          <w:rStyle w:val="match"/>
          <w:rFonts w:ascii="Arial" w:hAnsi="Arial" w:cs="Arial"/>
          <w:color w:val="000000"/>
        </w:rPr>
      </w:pPr>
    </w:p>
    <w:p w14:paraId="0C68D3B2" w14:textId="77777777" w:rsidR="00B1680C" w:rsidRDefault="00B1680C" w:rsidP="00B1680C">
      <w:pPr>
        <w:spacing w:line="360" w:lineRule="auto"/>
        <w:rPr>
          <w:rStyle w:val="match"/>
          <w:rFonts w:ascii="Arial" w:hAnsi="Arial" w:cs="Arial"/>
          <w:color w:val="000000"/>
        </w:rPr>
      </w:pPr>
    </w:p>
    <w:p w14:paraId="5F39274F" w14:textId="77777777" w:rsidR="00B1680C" w:rsidRDefault="00B1680C" w:rsidP="00B1680C">
      <w:pPr>
        <w:spacing w:line="360" w:lineRule="auto"/>
        <w:rPr>
          <w:rStyle w:val="match"/>
          <w:rFonts w:ascii="Arial" w:hAnsi="Arial" w:cs="Arial"/>
          <w:color w:val="000000"/>
        </w:rPr>
      </w:pPr>
    </w:p>
    <w:p w14:paraId="2F620696" w14:textId="77777777" w:rsidR="00B1680C" w:rsidRDefault="00B1680C" w:rsidP="00B1680C">
      <w:pPr>
        <w:spacing w:line="360" w:lineRule="auto"/>
        <w:rPr>
          <w:rStyle w:val="match"/>
          <w:rFonts w:ascii="Arial" w:hAnsi="Arial" w:cs="Arial"/>
          <w:color w:val="000000"/>
        </w:rPr>
      </w:pPr>
    </w:p>
    <w:p w14:paraId="3F61C45B" w14:textId="77777777" w:rsidR="00B1680C" w:rsidRDefault="00B1680C" w:rsidP="00B1680C">
      <w:pPr>
        <w:spacing w:line="360" w:lineRule="auto"/>
        <w:rPr>
          <w:rStyle w:val="match"/>
          <w:rFonts w:ascii="Arial" w:hAnsi="Arial" w:cs="Arial"/>
          <w:color w:val="000000"/>
        </w:rPr>
      </w:pPr>
    </w:p>
    <w:p w14:paraId="1028D3AB" w14:textId="77777777" w:rsidR="00B1680C" w:rsidRDefault="00B1680C" w:rsidP="00B1680C">
      <w:pPr>
        <w:spacing w:line="360" w:lineRule="auto"/>
        <w:rPr>
          <w:rStyle w:val="match"/>
          <w:rFonts w:ascii="Arial" w:hAnsi="Arial" w:cs="Arial"/>
          <w:color w:val="000000"/>
        </w:rPr>
      </w:pPr>
    </w:p>
    <w:p w14:paraId="52EF533E" w14:textId="38A3F601" w:rsidR="00B1680C" w:rsidRDefault="00555157" w:rsidP="00B1680C">
      <w:pPr>
        <w:spacing w:line="360" w:lineRule="auto"/>
        <w:rPr>
          <w:rFonts w:ascii="Arial" w:hAnsi="Arial" w:cs="Arial"/>
          <w:color w:val="000000"/>
        </w:rPr>
      </w:pPr>
      <w:r>
        <w:rPr>
          <w:rFonts w:ascii="Arial" w:hAnsi="Arial" w:cs="Arial"/>
          <w:color w:val="000000"/>
        </w:rPr>
        <w:br/>
      </w:r>
    </w:p>
    <w:p w14:paraId="2D64F3E8" w14:textId="77777777" w:rsidR="00B1680C" w:rsidRDefault="00B1680C" w:rsidP="00B1680C">
      <w:pPr>
        <w:pStyle w:val="Heading1"/>
      </w:pPr>
      <w:bookmarkStart w:id="7" w:name="_Toc221461860"/>
      <w:r>
        <w:lastRenderedPageBreak/>
        <w:t>References</w:t>
      </w:r>
      <w:bookmarkEnd w:id="7"/>
    </w:p>
    <w:p w14:paraId="5A9CBB00" w14:textId="5CCA39EF" w:rsidR="00BB751D" w:rsidRDefault="00555157">
      <w:r>
        <w:rPr>
          <w:rStyle w:val="match"/>
          <w:rFonts w:ascii="Arial" w:hAnsi="Arial" w:cs="Arial"/>
          <w:color w:val="000000"/>
        </w:rPr>
        <w:t>Monitoring and Managing the Costs of Quality in the Service Industry: In Management Accounting Text (7th ed. ), Pearson Education, by Atkinson, A. A., Kaplan, R. S., Sharma, S., and Cooper, T. (2019).</w:t>
      </w:r>
      <w:r>
        <w:rPr>
          <w:rFonts w:ascii="Arial" w:hAnsi="Arial" w:cs="Arial"/>
          <w:color w:val="000000"/>
        </w:rPr>
        <w:br/>
      </w:r>
      <w:r>
        <w:rPr>
          <w:rFonts w:ascii="Arial" w:hAnsi="Arial" w:cs="Arial"/>
          <w:color w:val="000000"/>
        </w:rPr>
        <w:br/>
      </w:r>
      <w:r>
        <w:rPr>
          <w:rStyle w:val="match"/>
          <w:rFonts w:ascii="Arial" w:hAnsi="Arial" w:cs="Arial"/>
          <w:color w:val="000000"/>
        </w:rPr>
        <w:t>Data from the Bank of England (2024). Summary of Monetary Policy and Interest Rates. Retrieved from the official website of the Bank of England.</w:t>
      </w:r>
      <w:r>
        <w:rPr>
          <w:rFonts w:ascii="Arial" w:hAnsi="Arial" w:cs="Arial"/>
          <w:color w:val="000000"/>
        </w:rPr>
        <w:br/>
      </w:r>
      <w:r>
        <w:rPr>
          <w:rFonts w:ascii="Arial" w:hAnsi="Arial" w:cs="Arial"/>
          <w:color w:val="000000"/>
        </w:rPr>
        <w:br/>
      </w:r>
      <w:r>
        <w:rPr>
          <w:rStyle w:val="match"/>
          <w:rFonts w:ascii="Arial" w:hAnsi="Arial" w:cs="Arial"/>
          <w:color w:val="000000"/>
        </w:rPr>
        <w:t>Principles of Corporate Finance (13th ed.). McGraw-Hill Education, 2020. Brealey, R. A., Myers, S. C., and Allen, F.</w:t>
      </w:r>
      <w:r>
        <w:rPr>
          <w:rFonts w:ascii="Arial" w:hAnsi="Arial" w:cs="Arial"/>
          <w:color w:val="000000"/>
        </w:rPr>
        <w:br/>
      </w:r>
      <w:r>
        <w:rPr>
          <w:rFonts w:ascii="Arial" w:hAnsi="Arial" w:cs="Arial"/>
          <w:color w:val="000000"/>
        </w:rPr>
        <w:br/>
      </w:r>
      <w:r>
        <w:rPr>
          <w:rStyle w:val="match"/>
          <w:rFonts w:ascii="Arial" w:hAnsi="Arial" w:cs="Arial"/>
          <w:color w:val="000000"/>
        </w:rPr>
        <w:t>Chartered Institute of Management Accountants. (2019). Management Accounting for Business Decisions. CIMA.</w:t>
      </w:r>
      <w:r>
        <w:rPr>
          <w:rFonts w:ascii="Arial" w:hAnsi="Arial" w:cs="Arial"/>
          <w:color w:val="000000"/>
        </w:rPr>
        <w:br/>
      </w:r>
      <w:r>
        <w:rPr>
          <w:rFonts w:ascii="Arial" w:hAnsi="Arial" w:cs="Arial"/>
          <w:color w:val="000000"/>
        </w:rPr>
        <w:br/>
      </w:r>
      <w:r>
        <w:rPr>
          <w:rStyle w:val="match"/>
          <w:rFonts w:ascii="Arial" w:hAnsi="Arial" w:cs="Arial"/>
          <w:color w:val="000000"/>
        </w:rPr>
        <w:t>The Evolution of Cost Accounting: From Efficient Production to a Focus on Services and Environmental Concerns. Accounting Horizons, 13(4), 379–395.</w:t>
      </w:r>
      <w:r>
        <w:rPr>
          <w:rFonts w:ascii="Arial" w:hAnsi="Arial" w:cs="Arial"/>
          <w:color w:val="000000"/>
        </w:rPr>
        <w:br/>
      </w:r>
      <w:r>
        <w:rPr>
          <w:rFonts w:ascii="Arial" w:hAnsi="Arial" w:cs="Arial"/>
          <w:color w:val="000000"/>
        </w:rPr>
        <w:br/>
      </w:r>
      <w:r>
        <w:rPr>
          <w:rStyle w:val="match"/>
          <w:rFonts w:ascii="Arial" w:hAnsi="Arial" w:cs="Arial"/>
          <w:color w:val="000000"/>
        </w:rPr>
        <w:t>Donaldson, T. (2012). Corporate Ethics: A Stakeholder and Issues Management Approach (2nd ed. ). Pearson Education.</w:t>
      </w:r>
      <w:r>
        <w:rPr>
          <w:rFonts w:ascii="Arial" w:hAnsi="Arial" w:cs="Arial"/>
          <w:color w:val="000000"/>
        </w:rPr>
        <w:br/>
      </w:r>
      <w:r>
        <w:rPr>
          <w:rFonts w:ascii="Arial" w:hAnsi="Arial" w:cs="Arial"/>
          <w:color w:val="000000"/>
        </w:rPr>
        <w:br/>
      </w:r>
      <w:r>
        <w:rPr>
          <w:rStyle w:val="match"/>
          <w:rFonts w:ascii="Arial" w:hAnsi="Arial" w:cs="Arial"/>
          <w:color w:val="000000"/>
        </w:rPr>
        <w:t>Management and Cost Accounting, 10th Edition, published by Cengage Learning, is written by Dr. Drury.</w:t>
      </w:r>
      <w:r>
        <w:rPr>
          <w:rFonts w:ascii="Arial" w:hAnsi="Arial" w:cs="Arial"/>
          <w:color w:val="000000"/>
        </w:rPr>
        <w:br/>
      </w:r>
      <w:r>
        <w:rPr>
          <w:rFonts w:ascii="Arial" w:hAnsi="Arial" w:cs="Arial"/>
          <w:color w:val="000000"/>
        </w:rPr>
        <w:br/>
      </w:r>
      <w:r>
        <w:rPr>
          <w:rStyle w:val="match"/>
          <w:rFonts w:ascii="Arial" w:hAnsi="Arial" w:cs="Arial"/>
          <w:color w:val="000000"/>
        </w:rPr>
        <w:t>Eccles, R. G., Ioannou, I., &amp; Serafeim, G. (2014). The Consequences of Corporate Sustainability for Organizational Processes and Performance. Management Science, 60(11), 2835–2857.</w:t>
      </w:r>
      <w:r>
        <w:rPr>
          <w:rFonts w:ascii="Arial" w:hAnsi="Arial" w:cs="Arial"/>
          <w:color w:val="000000"/>
        </w:rPr>
        <w:br/>
      </w:r>
      <w:r>
        <w:rPr>
          <w:rFonts w:ascii="Arial" w:hAnsi="Arial" w:cs="Arial"/>
          <w:color w:val="000000"/>
        </w:rPr>
        <w:br/>
      </w:r>
      <w:r>
        <w:rPr>
          <w:rStyle w:val="match"/>
          <w:rFonts w:ascii="Arial" w:hAnsi="Arial" w:cs="Arial"/>
          <w:color w:val="000000"/>
        </w:rPr>
        <w:t>(12th edition). McGraw-Hill Education. Hilton, R. W., and Platt, D. E. (2020). Managerial Accounting: Creating Value in a Dynamic Business Environment.</w:t>
      </w:r>
      <w:r>
        <w:rPr>
          <w:rFonts w:ascii="Arial" w:hAnsi="Arial" w:cs="Arial"/>
          <w:color w:val="000000"/>
        </w:rPr>
        <w:br/>
      </w:r>
      <w:r>
        <w:rPr>
          <w:rFonts w:ascii="Arial" w:hAnsi="Arial" w:cs="Arial"/>
          <w:color w:val="000000"/>
        </w:rPr>
        <w:br/>
      </w:r>
      <w:r>
        <w:rPr>
          <w:rStyle w:val="match"/>
          <w:rFonts w:ascii="Arial" w:hAnsi="Arial" w:cs="Arial"/>
          <w:color w:val="000000"/>
        </w:rPr>
        <w:t>Harvard Business School Press The Implementation of Activity-Based Costing: Cost &amp; Effect, by Kaplan, R. S., &amp; Cooper, R. (1998).</w:t>
      </w:r>
      <w:r>
        <w:rPr>
          <w:rFonts w:ascii="Arial" w:hAnsi="Arial" w:cs="Arial"/>
          <w:color w:val="000000"/>
        </w:rPr>
        <w:br/>
      </w:r>
      <w:r>
        <w:rPr>
          <w:rFonts w:ascii="Arial" w:hAnsi="Arial" w:cs="Arial"/>
          <w:color w:val="000000"/>
        </w:rPr>
        <w:br/>
      </w:r>
      <w:r>
        <w:rPr>
          <w:rStyle w:val="match"/>
          <w:rFonts w:ascii="Arial" w:hAnsi="Arial" w:cs="Arial"/>
          <w:color w:val="000000"/>
        </w:rPr>
        <w:t>Press of the Harvard Business School. The Execution Premium: Connecting Strategy to Operations for Competitive Advantage by Kaplan, R. S., and Norton, D. P. (2008).</w:t>
      </w:r>
      <w:r>
        <w:rPr>
          <w:rFonts w:ascii="Arial" w:hAnsi="Arial" w:cs="Arial"/>
          <w:color w:val="000000"/>
        </w:rPr>
        <w:br/>
      </w:r>
      <w:r>
        <w:rPr>
          <w:rFonts w:ascii="Arial" w:hAnsi="Arial" w:cs="Arial"/>
          <w:color w:val="000000"/>
        </w:rPr>
        <w:br/>
      </w:r>
      <w:r>
        <w:rPr>
          <w:rStyle w:val="match"/>
          <w:rFonts w:ascii="Arial" w:hAnsi="Arial" w:cs="Arial"/>
          <w:color w:val="000000"/>
        </w:rPr>
        <w:t>Retail Marketing and Management, 4th edition, by P. McGoldrick. Pearson Education, 2021.</w:t>
      </w:r>
      <w:r>
        <w:rPr>
          <w:rFonts w:ascii="Arial" w:hAnsi="Arial" w:cs="Arial"/>
          <w:color w:val="000000"/>
        </w:rPr>
        <w:br/>
      </w:r>
      <w:r>
        <w:rPr>
          <w:rFonts w:ascii="Arial" w:hAnsi="Arial" w:cs="Arial"/>
          <w:color w:val="000000"/>
        </w:rPr>
        <w:br/>
      </w:r>
      <w:r>
        <w:rPr>
          <w:rStyle w:val="match"/>
          <w:rFonts w:ascii="Arial" w:hAnsi="Arial" w:cs="Arial"/>
          <w:color w:val="000000"/>
        </w:rPr>
        <w:t>Annual Report for Sainsbury's in 2023. Retrieved from the Investor Relations page of the Sainsbury's website. 2022/2023 Full Year Results.</w:t>
      </w:r>
      <w:r>
        <w:rPr>
          <w:rFonts w:ascii="Arial" w:hAnsi="Arial" w:cs="Arial"/>
          <w:color w:val="000000"/>
        </w:rPr>
        <w:br/>
      </w:r>
      <w:r>
        <w:rPr>
          <w:rFonts w:ascii="Arial" w:hAnsi="Arial" w:cs="Arial"/>
          <w:color w:val="000000"/>
        </w:rPr>
        <w:br/>
      </w:r>
      <w:r>
        <w:rPr>
          <w:rStyle w:val="match"/>
          <w:rFonts w:ascii="Arial" w:hAnsi="Arial" w:cs="Arial"/>
          <w:color w:val="000000"/>
        </w:rPr>
        <w:t>The 2023 Environmental, Social, and Governance Report from Sainsbury's. Retrieved from the Sainsbury's Corporate Responsibility page.</w:t>
      </w:r>
      <w:r>
        <w:rPr>
          <w:rFonts w:ascii="Arial" w:hAnsi="Arial" w:cs="Arial"/>
          <w:color w:val="000000"/>
        </w:rPr>
        <w:br/>
      </w:r>
      <w:r>
        <w:rPr>
          <w:rFonts w:ascii="Arial" w:hAnsi="Arial" w:cs="Arial"/>
          <w:color w:val="000000"/>
        </w:rPr>
        <w:br/>
      </w:r>
      <w:r>
        <w:rPr>
          <w:rStyle w:val="match"/>
          <w:rFonts w:ascii="Arial" w:hAnsi="Arial" w:cs="Arial"/>
          <w:color w:val="000000"/>
        </w:rPr>
        <w:t xml:space="preserve">Wiley, 2019. Financial Accounting: Tools for Business Decision Making, 9th ed. Weygandt, J. J., Kimmel, P. D., and </w:t>
      </w:r>
      <w:proofErr w:type="spellStart"/>
      <w:r>
        <w:rPr>
          <w:rStyle w:val="match"/>
          <w:rFonts w:ascii="Arial" w:hAnsi="Arial" w:cs="Arial"/>
          <w:color w:val="000000"/>
        </w:rPr>
        <w:t>Kieso</w:t>
      </w:r>
      <w:proofErr w:type="spellEnd"/>
      <w:r>
        <w:rPr>
          <w:rStyle w:val="match"/>
          <w:rFonts w:ascii="Arial" w:hAnsi="Arial" w:cs="Arial"/>
          <w:color w:val="000000"/>
        </w:rPr>
        <w:t>, D. E.</w:t>
      </w:r>
      <w:r>
        <w:rPr>
          <w:rFonts w:ascii="Arial" w:hAnsi="Arial" w:cs="Arial"/>
          <w:color w:val="000000"/>
        </w:rPr>
        <w:br/>
      </w:r>
      <w:r>
        <w:rPr>
          <w:rFonts w:ascii="Arial" w:hAnsi="Arial" w:cs="Arial"/>
          <w:color w:val="000000"/>
        </w:rPr>
        <w:br/>
      </w:r>
      <w:r>
        <w:rPr>
          <w:rStyle w:val="match"/>
          <w:rFonts w:ascii="Arial" w:hAnsi="Arial" w:cs="Arial"/>
          <w:color w:val="000000"/>
        </w:rPr>
        <w:t xml:space="preserve">UK Supermarket Rankings and Customer Satisfaction Data from YouGov. </w:t>
      </w:r>
      <w:r w:rsidR="009437B7">
        <w:rPr>
          <w:rStyle w:val="match"/>
          <w:rFonts w:ascii="Arial" w:hAnsi="Arial" w:cs="Arial"/>
          <w:color w:val="000000"/>
        </w:rPr>
        <w:t>Retrieved</w:t>
      </w:r>
      <w:r>
        <w:rPr>
          <w:rStyle w:val="match"/>
          <w:rFonts w:ascii="Arial" w:hAnsi="Arial" w:cs="Arial"/>
          <w:color w:val="000000"/>
        </w:rPr>
        <w:t xml:space="preserve"> from YouGov survey results.</w:t>
      </w:r>
    </w:p>
    <w:sectPr w:rsidR="00BB751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934E3" w14:textId="77777777" w:rsidR="003D28E2" w:rsidRDefault="003D28E2" w:rsidP="00784360">
      <w:pPr>
        <w:spacing w:after="0" w:line="240" w:lineRule="auto"/>
      </w:pPr>
      <w:r>
        <w:separator/>
      </w:r>
    </w:p>
  </w:endnote>
  <w:endnote w:type="continuationSeparator" w:id="0">
    <w:p w14:paraId="7BA06F12" w14:textId="77777777" w:rsidR="003D28E2" w:rsidRDefault="003D28E2" w:rsidP="00784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003269"/>
      <w:docPartObj>
        <w:docPartGallery w:val="Page Numbers (Bottom of Page)"/>
        <w:docPartUnique/>
      </w:docPartObj>
    </w:sdtPr>
    <w:sdtContent>
      <w:p w14:paraId="3A50D60A" w14:textId="77777777" w:rsidR="00784360" w:rsidRDefault="00784360">
        <w:pPr>
          <w:pStyle w:val="Footer"/>
          <w:jc w:val="center"/>
        </w:pPr>
      </w:p>
      <w:p w14:paraId="4DF9FF7A" w14:textId="56B2A93D" w:rsidR="00784360" w:rsidRDefault="00784360">
        <w:pPr>
          <w:pStyle w:val="Footer"/>
          <w:jc w:val="center"/>
        </w:pPr>
        <w:r>
          <w:fldChar w:fldCharType="begin"/>
        </w:r>
        <w:r>
          <w:instrText>PAGE   \* MERGEFORMAT</w:instrText>
        </w:r>
        <w:r>
          <w:fldChar w:fldCharType="separate"/>
        </w:r>
        <w:r>
          <w:t>2</w:t>
        </w:r>
        <w:r>
          <w:fldChar w:fldCharType="end"/>
        </w:r>
      </w:p>
    </w:sdtContent>
  </w:sdt>
  <w:p w14:paraId="7A78093B" w14:textId="77777777" w:rsidR="00784360" w:rsidRDefault="00784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20A6C" w14:textId="77777777" w:rsidR="003D28E2" w:rsidRDefault="003D28E2" w:rsidP="00784360">
      <w:pPr>
        <w:spacing w:after="0" w:line="240" w:lineRule="auto"/>
      </w:pPr>
      <w:r>
        <w:separator/>
      </w:r>
    </w:p>
  </w:footnote>
  <w:footnote w:type="continuationSeparator" w:id="0">
    <w:p w14:paraId="210E1632" w14:textId="77777777" w:rsidR="003D28E2" w:rsidRDefault="003D28E2" w:rsidP="007843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157"/>
    <w:rsid w:val="00052C10"/>
    <w:rsid w:val="00125F22"/>
    <w:rsid w:val="002D7012"/>
    <w:rsid w:val="003D28E2"/>
    <w:rsid w:val="004E1E2B"/>
    <w:rsid w:val="00555157"/>
    <w:rsid w:val="005E5F1B"/>
    <w:rsid w:val="00784360"/>
    <w:rsid w:val="00811FD4"/>
    <w:rsid w:val="009437B7"/>
    <w:rsid w:val="0094521F"/>
    <w:rsid w:val="009D477A"/>
    <w:rsid w:val="00A27A87"/>
    <w:rsid w:val="00B1492C"/>
    <w:rsid w:val="00B1680C"/>
    <w:rsid w:val="00BB751D"/>
    <w:rsid w:val="00C40D76"/>
    <w:rsid w:val="00C6759C"/>
    <w:rsid w:val="00C846BD"/>
    <w:rsid w:val="00D15357"/>
    <w:rsid w:val="00D45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3DFE5"/>
  <w15:chartTrackingRefBased/>
  <w15:docId w15:val="{34018100-0E9C-40CA-8B17-3B0A8E2DC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1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551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51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51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51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51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51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51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51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1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551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51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51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51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51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1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1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157"/>
    <w:rPr>
      <w:rFonts w:eastAsiaTheme="majorEastAsia" w:cstheme="majorBidi"/>
      <w:color w:val="272727" w:themeColor="text1" w:themeTint="D8"/>
    </w:rPr>
  </w:style>
  <w:style w:type="paragraph" w:styleId="Title">
    <w:name w:val="Title"/>
    <w:basedOn w:val="Normal"/>
    <w:next w:val="Normal"/>
    <w:link w:val="TitleChar"/>
    <w:uiPriority w:val="10"/>
    <w:qFormat/>
    <w:rsid w:val="005551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1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1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1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157"/>
    <w:pPr>
      <w:spacing w:before="160"/>
      <w:jc w:val="center"/>
    </w:pPr>
    <w:rPr>
      <w:i/>
      <w:iCs/>
      <w:color w:val="404040" w:themeColor="text1" w:themeTint="BF"/>
    </w:rPr>
  </w:style>
  <w:style w:type="character" w:customStyle="1" w:styleId="QuoteChar">
    <w:name w:val="Quote Char"/>
    <w:basedOn w:val="DefaultParagraphFont"/>
    <w:link w:val="Quote"/>
    <w:uiPriority w:val="29"/>
    <w:rsid w:val="00555157"/>
    <w:rPr>
      <w:i/>
      <w:iCs/>
      <w:color w:val="404040" w:themeColor="text1" w:themeTint="BF"/>
    </w:rPr>
  </w:style>
  <w:style w:type="paragraph" w:styleId="ListParagraph">
    <w:name w:val="List Paragraph"/>
    <w:basedOn w:val="Normal"/>
    <w:uiPriority w:val="34"/>
    <w:qFormat/>
    <w:rsid w:val="00555157"/>
    <w:pPr>
      <w:ind w:left="720"/>
      <w:contextualSpacing/>
    </w:pPr>
  </w:style>
  <w:style w:type="character" w:styleId="IntenseEmphasis">
    <w:name w:val="Intense Emphasis"/>
    <w:basedOn w:val="DefaultParagraphFont"/>
    <w:uiPriority w:val="21"/>
    <w:qFormat/>
    <w:rsid w:val="00555157"/>
    <w:rPr>
      <w:i/>
      <w:iCs/>
      <w:color w:val="2F5496" w:themeColor="accent1" w:themeShade="BF"/>
    </w:rPr>
  </w:style>
  <w:style w:type="paragraph" w:styleId="IntenseQuote">
    <w:name w:val="Intense Quote"/>
    <w:basedOn w:val="Normal"/>
    <w:next w:val="Normal"/>
    <w:link w:val="IntenseQuoteChar"/>
    <w:uiPriority w:val="30"/>
    <w:qFormat/>
    <w:rsid w:val="005551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5157"/>
    <w:rPr>
      <w:i/>
      <w:iCs/>
      <w:color w:val="2F5496" w:themeColor="accent1" w:themeShade="BF"/>
    </w:rPr>
  </w:style>
  <w:style w:type="character" w:styleId="IntenseReference">
    <w:name w:val="Intense Reference"/>
    <w:basedOn w:val="DefaultParagraphFont"/>
    <w:uiPriority w:val="32"/>
    <w:qFormat/>
    <w:rsid w:val="00555157"/>
    <w:rPr>
      <w:b/>
      <w:bCs/>
      <w:smallCaps/>
      <w:color w:val="2F5496" w:themeColor="accent1" w:themeShade="BF"/>
      <w:spacing w:val="5"/>
    </w:rPr>
  </w:style>
  <w:style w:type="character" w:customStyle="1" w:styleId="match">
    <w:name w:val="match"/>
    <w:basedOn w:val="DefaultParagraphFont"/>
    <w:rsid w:val="00555157"/>
  </w:style>
  <w:style w:type="paragraph" w:styleId="TOCHeading">
    <w:name w:val="TOC Heading"/>
    <w:basedOn w:val="Heading1"/>
    <w:next w:val="Normal"/>
    <w:uiPriority w:val="39"/>
    <w:unhideWhenUsed/>
    <w:qFormat/>
    <w:rsid w:val="00052C1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52C10"/>
    <w:pPr>
      <w:spacing w:after="100"/>
    </w:pPr>
  </w:style>
  <w:style w:type="character" w:styleId="Hyperlink">
    <w:name w:val="Hyperlink"/>
    <w:basedOn w:val="DefaultParagraphFont"/>
    <w:uiPriority w:val="99"/>
    <w:unhideWhenUsed/>
    <w:rsid w:val="00052C10"/>
    <w:rPr>
      <w:color w:val="0563C1" w:themeColor="hyperlink"/>
      <w:u w:val="single"/>
    </w:rPr>
  </w:style>
  <w:style w:type="paragraph" w:styleId="Header">
    <w:name w:val="header"/>
    <w:basedOn w:val="Normal"/>
    <w:link w:val="HeaderChar"/>
    <w:uiPriority w:val="99"/>
    <w:unhideWhenUsed/>
    <w:rsid w:val="00784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360"/>
  </w:style>
  <w:style w:type="paragraph" w:styleId="Footer">
    <w:name w:val="footer"/>
    <w:basedOn w:val="Normal"/>
    <w:link w:val="FooterChar"/>
    <w:uiPriority w:val="99"/>
    <w:unhideWhenUsed/>
    <w:rsid w:val="00784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94975-1D5B-4615-809F-74398609F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2634</Words>
  <Characters>15015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alesiaeenisaieushbshswu68263@outlook.com</dc:creator>
  <cp:keywords/>
  <dc:description/>
  <cp:lastModifiedBy>alesiaeenisaieushbshswu68263@outlook.com</cp:lastModifiedBy>
  <cp:revision>2</cp:revision>
  <dcterms:created xsi:type="dcterms:W3CDTF">2026-02-21T15:07:00Z</dcterms:created>
  <dcterms:modified xsi:type="dcterms:W3CDTF">2026-02-21T15:07:00Z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40b7ac22-237e-4af4-96a9-9de0a64debaa</vt:lpwstr>
  </property>
</Properties>
</file>