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F8C" w:rsidRDefault="00F60077" w:rsidP="00F60077">
      <w:pPr>
        <w:spacing w:line="360" w:lineRule="auto"/>
      </w:pPr>
      <w:r>
        <w:t>Slide 1</w:t>
      </w:r>
    </w:p>
    <w:p w:rsidR="00F60077" w:rsidRDefault="00F60077" w:rsidP="00F60077">
      <w:pPr>
        <w:spacing w:line="360" w:lineRule="auto"/>
      </w:pPr>
    </w:p>
    <w:p w:rsidR="00F60077" w:rsidRDefault="00F60077" w:rsidP="00F60077">
      <w:pPr>
        <w:spacing w:line="360" w:lineRule="auto"/>
        <w:jc w:val="center"/>
      </w:pPr>
      <w:r>
        <w:object w:dxaOrig="95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3.6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03914425" r:id="rId5"/>
        </w:object>
      </w:r>
    </w:p>
    <w:p w:rsidR="00F60077" w:rsidRDefault="00F60077" w:rsidP="00F60077">
      <w:pPr>
        <w:spacing w:line="360" w:lineRule="auto"/>
        <w:jc w:val="center"/>
      </w:pPr>
    </w:p>
    <w:p w:rsidR="00F60077" w:rsidRDefault="00F60077" w:rsidP="00F60077">
      <w:pPr>
        <w:spacing w:line="360" w:lineRule="auto"/>
      </w:pPr>
      <w:r>
        <w:t>Slide 2</w:t>
      </w:r>
    </w:p>
    <w:p w:rsidR="00F60077" w:rsidRDefault="00F60077" w:rsidP="00F60077">
      <w:pPr>
        <w:spacing w:line="360" w:lineRule="auto"/>
      </w:pPr>
    </w:p>
    <w:p w:rsidR="00F60077" w:rsidRDefault="00F60077" w:rsidP="00F60077">
      <w:pPr>
        <w:spacing w:line="360" w:lineRule="auto"/>
        <w:jc w:val="center"/>
      </w:pPr>
      <w:r>
        <w:object w:dxaOrig="9598" w:dyaOrig="5398">
          <v:shape id="_x0000_i1030" type="#_x0000_t75" style="width:5in;height:203.6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03914426" r:id="rId7"/>
        </w:object>
      </w:r>
    </w:p>
    <w:p w:rsidR="00F60077" w:rsidRDefault="00F60077" w:rsidP="00F60077">
      <w:pPr>
        <w:spacing w:line="360" w:lineRule="auto"/>
        <w:jc w:val="center"/>
      </w:pPr>
    </w:p>
    <w:p w:rsidR="00F60077" w:rsidRDefault="00F60077" w:rsidP="00F60077">
      <w:pPr>
        <w:spacing w:line="360" w:lineRule="auto"/>
      </w:pPr>
    </w:p>
    <w:p w:rsidR="00F60077" w:rsidRDefault="00F60077" w:rsidP="00F60077">
      <w:pPr>
        <w:spacing w:line="360" w:lineRule="auto"/>
      </w:pPr>
    </w:p>
    <w:p w:rsidR="00F60077" w:rsidRDefault="00F60077" w:rsidP="00F60077">
      <w:pPr>
        <w:spacing w:line="360" w:lineRule="auto"/>
      </w:pPr>
    </w:p>
    <w:p w:rsidR="00F60077" w:rsidRDefault="00F60077" w:rsidP="00F60077">
      <w:pPr>
        <w:spacing w:line="360" w:lineRule="auto"/>
      </w:pPr>
      <w:r>
        <w:lastRenderedPageBreak/>
        <w:t>Slide 3</w:t>
      </w:r>
    </w:p>
    <w:p w:rsidR="00F60077" w:rsidRDefault="00F60077" w:rsidP="00F60077">
      <w:pPr>
        <w:spacing w:line="360" w:lineRule="auto"/>
      </w:pPr>
    </w:p>
    <w:p w:rsidR="00F60077" w:rsidRDefault="00F60077" w:rsidP="00F60077">
      <w:pPr>
        <w:spacing w:line="360" w:lineRule="auto"/>
        <w:jc w:val="center"/>
      </w:pPr>
      <w:r>
        <w:object w:dxaOrig="9598" w:dyaOrig="5398">
          <v:shape id="_x0000_i1035" type="#_x0000_t75" style="width:5in;height:203.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603914427" r:id="rId9"/>
        </w:object>
      </w:r>
    </w:p>
    <w:p w:rsidR="00F60077" w:rsidRDefault="00F60077" w:rsidP="00F60077">
      <w:pPr>
        <w:spacing w:line="360" w:lineRule="auto"/>
      </w:pPr>
      <w:r>
        <w:t>Slide 4</w:t>
      </w:r>
    </w:p>
    <w:p w:rsidR="00F60077" w:rsidRDefault="00F60077" w:rsidP="00F60077">
      <w:pPr>
        <w:spacing w:line="360" w:lineRule="auto"/>
      </w:pPr>
    </w:p>
    <w:p w:rsidR="00F60077" w:rsidRDefault="00F60077" w:rsidP="00F60077">
      <w:pPr>
        <w:spacing w:line="360" w:lineRule="auto"/>
        <w:jc w:val="center"/>
      </w:pPr>
      <w:r>
        <w:object w:dxaOrig="9598" w:dyaOrig="5398">
          <v:shape id="_x0000_i1040" type="#_x0000_t75" style="width:5in;height:203.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603914428" r:id="rId11"/>
        </w:object>
      </w:r>
    </w:p>
    <w:p w:rsidR="00F60077" w:rsidRDefault="00F60077" w:rsidP="00F60077">
      <w:pPr>
        <w:spacing w:line="360" w:lineRule="auto"/>
        <w:jc w:val="center"/>
      </w:pPr>
    </w:p>
    <w:p w:rsidR="00F60077" w:rsidRDefault="00F60077">
      <w:r>
        <w:br w:type="page"/>
      </w:r>
    </w:p>
    <w:p w:rsidR="00F60077" w:rsidRDefault="00F60077" w:rsidP="00F60077">
      <w:pPr>
        <w:spacing w:line="360" w:lineRule="auto"/>
      </w:pPr>
      <w:r>
        <w:lastRenderedPageBreak/>
        <w:t>Slide 5</w:t>
      </w:r>
    </w:p>
    <w:p w:rsidR="00F60077" w:rsidRDefault="00F60077" w:rsidP="00F60077">
      <w:pPr>
        <w:spacing w:line="360" w:lineRule="auto"/>
      </w:pPr>
    </w:p>
    <w:p w:rsidR="00F60077" w:rsidRDefault="00F60077" w:rsidP="00F60077">
      <w:pPr>
        <w:spacing w:line="360" w:lineRule="auto"/>
        <w:jc w:val="center"/>
      </w:pPr>
      <w:r>
        <w:object w:dxaOrig="9598" w:dyaOrig="5398">
          <v:shape id="_x0000_i1045" type="#_x0000_t75" style="width:5in;height:203.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603914429" r:id="rId13"/>
        </w:object>
      </w:r>
    </w:p>
    <w:p w:rsidR="00F60077" w:rsidRDefault="00F60077" w:rsidP="00F60077">
      <w:pPr>
        <w:spacing w:line="360" w:lineRule="auto"/>
        <w:jc w:val="center"/>
      </w:pPr>
    </w:p>
    <w:p w:rsidR="00F60077" w:rsidRDefault="00F60077" w:rsidP="00F60077">
      <w:pPr>
        <w:spacing w:line="360" w:lineRule="auto"/>
      </w:pPr>
      <w:r>
        <w:t>Slide 6</w:t>
      </w:r>
    </w:p>
    <w:p w:rsidR="00F60077" w:rsidRDefault="00F60077" w:rsidP="00F60077">
      <w:pPr>
        <w:spacing w:line="360" w:lineRule="auto"/>
      </w:pPr>
    </w:p>
    <w:p w:rsidR="00F60077" w:rsidRDefault="00F60077" w:rsidP="00F60077">
      <w:pPr>
        <w:spacing w:line="360" w:lineRule="auto"/>
        <w:jc w:val="center"/>
      </w:pPr>
      <w:r>
        <w:object w:dxaOrig="9598" w:dyaOrig="5398">
          <v:shape id="_x0000_i1050" type="#_x0000_t75" style="width:5in;height:203.6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603914430" r:id="rId15"/>
        </w:object>
      </w:r>
    </w:p>
    <w:p w:rsidR="00F60077" w:rsidRDefault="00F60077" w:rsidP="00F60077">
      <w:pPr>
        <w:spacing w:line="360" w:lineRule="auto"/>
        <w:jc w:val="center"/>
      </w:pPr>
    </w:p>
    <w:p w:rsidR="00F60077" w:rsidRDefault="00F60077" w:rsidP="00F60077">
      <w:pPr>
        <w:spacing w:line="360" w:lineRule="auto"/>
      </w:pPr>
    </w:p>
    <w:p w:rsidR="00F60077" w:rsidRDefault="00F60077" w:rsidP="00F60077">
      <w:pPr>
        <w:spacing w:line="360" w:lineRule="auto"/>
      </w:pPr>
    </w:p>
    <w:p w:rsidR="00F60077" w:rsidRDefault="00F60077" w:rsidP="00F60077">
      <w:pPr>
        <w:spacing w:line="360" w:lineRule="auto"/>
      </w:pPr>
    </w:p>
    <w:p w:rsidR="00F60077" w:rsidRDefault="00F60077" w:rsidP="00F60077">
      <w:pPr>
        <w:spacing w:line="360" w:lineRule="auto"/>
      </w:pPr>
      <w:r>
        <w:lastRenderedPageBreak/>
        <w:t>Slide 7</w:t>
      </w:r>
    </w:p>
    <w:p w:rsidR="00F60077" w:rsidRDefault="00F60077" w:rsidP="00F60077">
      <w:pPr>
        <w:spacing w:line="360" w:lineRule="auto"/>
      </w:pPr>
    </w:p>
    <w:p w:rsidR="00F60077" w:rsidRDefault="00F60077" w:rsidP="00F60077">
      <w:pPr>
        <w:spacing w:line="360" w:lineRule="auto"/>
        <w:jc w:val="center"/>
      </w:pPr>
      <w:r>
        <w:object w:dxaOrig="9598" w:dyaOrig="5398">
          <v:shape id="_x0000_i1055" type="#_x0000_t75" style="width:5in;height:203.6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603914431" r:id="rId17"/>
        </w:object>
      </w:r>
    </w:p>
    <w:p w:rsidR="00F60077" w:rsidRDefault="00F60077" w:rsidP="00F60077">
      <w:pPr>
        <w:spacing w:line="360" w:lineRule="auto"/>
        <w:jc w:val="center"/>
      </w:pPr>
    </w:p>
    <w:p w:rsidR="00F60077" w:rsidRDefault="00F60077" w:rsidP="00F60077">
      <w:pPr>
        <w:spacing w:line="360" w:lineRule="auto"/>
      </w:pPr>
      <w:r>
        <w:t>Slide 8</w:t>
      </w:r>
    </w:p>
    <w:p w:rsidR="00F60077" w:rsidRDefault="00F60077" w:rsidP="00F60077">
      <w:pPr>
        <w:spacing w:line="360" w:lineRule="auto"/>
      </w:pPr>
    </w:p>
    <w:p w:rsidR="00F60077" w:rsidRDefault="00F60077" w:rsidP="00F60077">
      <w:pPr>
        <w:spacing w:line="360" w:lineRule="auto"/>
        <w:jc w:val="center"/>
      </w:pPr>
      <w:r>
        <w:object w:dxaOrig="9598" w:dyaOrig="5398">
          <v:shape id="_x0000_i1060" type="#_x0000_t75" style="width:5in;height:203.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603914432" r:id="rId19"/>
        </w:object>
      </w:r>
    </w:p>
    <w:p w:rsidR="00F60077" w:rsidRDefault="00F60077" w:rsidP="00F60077"/>
    <w:p w:rsidR="00F60077" w:rsidRDefault="00F60077" w:rsidP="00F60077"/>
    <w:p w:rsidR="00F60077" w:rsidRDefault="00F60077" w:rsidP="00F60077"/>
    <w:p w:rsidR="00F60077" w:rsidRDefault="00F60077" w:rsidP="00F60077"/>
    <w:p w:rsidR="00F60077" w:rsidRDefault="00F60077" w:rsidP="00F60077"/>
    <w:p w:rsidR="00F60077" w:rsidRDefault="00F60077" w:rsidP="00F60077">
      <w:r>
        <w:lastRenderedPageBreak/>
        <w:t>Slide 9</w:t>
      </w:r>
    </w:p>
    <w:p w:rsidR="00F60077" w:rsidRDefault="00F60077" w:rsidP="00F60077">
      <w:pPr>
        <w:spacing w:line="360" w:lineRule="auto"/>
      </w:pPr>
    </w:p>
    <w:p w:rsidR="00F60077" w:rsidRDefault="00F60077" w:rsidP="00F60077">
      <w:pPr>
        <w:spacing w:line="360" w:lineRule="auto"/>
        <w:jc w:val="center"/>
      </w:pPr>
      <w:r>
        <w:object w:dxaOrig="9598" w:dyaOrig="5398">
          <v:shape id="_x0000_i1065" type="#_x0000_t75" style="width:5in;height:203.6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603914433" r:id="rId21"/>
        </w:object>
      </w:r>
    </w:p>
    <w:p w:rsidR="00F60077" w:rsidRDefault="00F60077" w:rsidP="00F60077">
      <w:pPr>
        <w:spacing w:line="360" w:lineRule="auto"/>
        <w:jc w:val="center"/>
      </w:pPr>
    </w:p>
    <w:p w:rsidR="00F60077" w:rsidRDefault="00F60077" w:rsidP="00F60077">
      <w:pPr>
        <w:spacing w:line="360" w:lineRule="auto"/>
      </w:pPr>
      <w:r>
        <w:t>Slide 10</w:t>
      </w:r>
    </w:p>
    <w:p w:rsidR="00F60077" w:rsidRDefault="00F60077" w:rsidP="00F60077">
      <w:pPr>
        <w:spacing w:line="360" w:lineRule="auto"/>
      </w:pPr>
    </w:p>
    <w:p w:rsidR="00F60077" w:rsidRDefault="00F60077" w:rsidP="00F60077">
      <w:pPr>
        <w:spacing w:line="360" w:lineRule="auto"/>
        <w:jc w:val="center"/>
      </w:pPr>
      <w:r>
        <w:object w:dxaOrig="9598" w:dyaOrig="5398">
          <v:shape id="_x0000_i1070" type="#_x0000_t75" style="width:5in;height:203.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603914434" r:id="rId23"/>
        </w:object>
      </w:r>
    </w:p>
    <w:p w:rsidR="00F60077" w:rsidRDefault="00F60077" w:rsidP="00F60077">
      <w:pPr>
        <w:spacing w:line="360" w:lineRule="auto"/>
        <w:jc w:val="center"/>
      </w:pPr>
    </w:p>
    <w:p w:rsidR="00F60077" w:rsidRDefault="00F60077" w:rsidP="00F60077"/>
    <w:p w:rsidR="00F60077" w:rsidRDefault="00F60077" w:rsidP="00F60077"/>
    <w:p w:rsidR="00F60077" w:rsidRDefault="00F60077" w:rsidP="00F60077"/>
    <w:p w:rsidR="00F60077" w:rsidRDefault="00F60077" w:rsidP="00F60077"/>
    <w:p w:rsidR="00F60077" w:rsidRDefault="00F60077" w:rsidP="00F60077">
      <w:r>
        <w:lastRenderedPageBreak/>
        <w:t>Slide 11</w:t>
      </w:r>
    </w:p>
    <w:p w:rsidR="00F60077" w:rsidRDefault="00F60077" w:rsidP="00F60077">
      <w:pPr>
        <w:spacing w:line="360" w:lineRule="auto"/>
      </w:pPr>
    </w:p>
    <w:p w:rsidR="00F60077" w:rsidRDefault="00F60077" w:rsidP="00F60077">
      <w:pPr>
        <w:spacing w:line="360" w:lineRule="auto"/>
        <w:jc w:val="center"/>
      </w:pPr>
      <w:r>
        <w:object w:dxaOrig="9598" w:dyaOrig="5398">
          <v:shape id="_x0000_i1075" type="#_x0000_t75" style="width:5in;height:203.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603914435" r:id="rId25"/>
        </w:object>
      </w:r>
    </w:p>
    <w:p w:rsidR="00F60077" w:rsidRDefault="00F60077" w:rsidP="00F60077">
      <w:r>
        <w:t>Slide 12</w:t>
      </w:r>
    </w:p>
    <w:p w:rsidR="00F60077" w:rsidRDefault="00F60077" w:rsidP="00F60077">
      <w:pPr>
        <w:spacing w:line="360" w:lineRule="auto"/>
      </w:pPr>
    </w:p>
    <w:p w:rsidR="00F60077" w:rsidRDefault="00F60077" w:rsidP="00F60077">
      <w:pPr>
        <w:spacing w:line="360" w:lineRule="auto"/>
        <w:jc w:val="center"/>
      </w:pPr>
      <w:r>
        <w:object w:dxaOrig="9598" w:dyaOrig="5398">
          <v:shape id="_x0000_i1080" type="#_x0000_t75" style="width:5in;height:203.6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603914436" r:id="rId27"/>
        </w:object>
      </w:r>
    </w:p>
    <w:p w:rsidR="00F60077" w:rsidRDefault="00F60077" w:rsidP="00F60077">
      <w:pPr>
        <w:spacing w:line="360" w:lineRule="auto"/>
        <w:jc w:val="center"/>
      </w:pPr>
    </w:p>
    <w:p w:rsidR="00F60077" w:rsidRDefault="00F60077" w:rsidP="00F60077">
      <w:pPr>
        <w:rPr>
          <w:rFonts w:ascii="Palatino Linotype" w:hAnsi="Palatino Linotype"/>
          <w:sz w:val="32"/>
          <w:szCs w:val="32"/>
        </w:rPr>
      </w:pPr>
    </w:p>
    <w:p w:rsidR="00F60077" w:rsidRDefault="00F60077" w:rsidP="00F60077">
      <w:pPr>
        <w:jc w:val="center"/>
        <w:rPr>
          <w:rFonts w:ascii="Palatino Linotype" w:hAnsi="Palatino Linotype"/>
          <w:sz w:val="32"/>
          <w:szCs w:val="32"/>
        </w:rPr>
      </w:pPr>
    </w:p>
    <w:p w:rsidR="00F60077" w:rsidRDefault="00F60077" w:rsidP="00F60077">
      <w:pPr>
        <w:jc w:val="center"/>
        <w:rPr>
          <w:rFonts w:ascii="Palatino Linotype" w:hAnsi="Palatino Linotype"/>
          <w:sz w:val="32"/>
          <w:szCs w:val="32"/>
        </w:rPr>
      </w:pPr>
    </w:p>
    <w:p w:rsidR="00F60077" w:rsidRDefault="00F60077" w:rsidP="00F60077">
      <w:pPr>
        <w:jc w:val="center"/>
        <w:rPr>
          <w:rFonts w:ascii="Palatino Linotype" w:hAnsi="Palatino Linotype"/>
          <w:sz w:val="32"/>
          <w:szCs w:val="32"/>
        </w:rPr>
      </w:pPr>
    </w:p>
    <w:p w:rsidR="00F60077" w:rsidRDefault="00F60077" w:rsidP="00F60077">
      <w:pPr>
        <w:jc w:val="center"/>
        <w:rPr>
          <w:rFonts w:ascii="Palatino Linotype" w:hAnsi="Palatino Linotype"/>
          <w:sz w:val="32"/>
          <w:szCs w:val="32"/>
        </w:rPr>
      </w:pPr>
      <w:bookmarkStart w:id="0" w:name="_GoBack"/>
      <w:bookmarkEnd w:id="0"/>
      <w:r>
        <w:rPr>
          <w:rFonts w:ascii="Palatino Linotype" w:hAnsi="Palatino Linotype"/>
          <w:sz w:val="32"/>
          <w:szCs w:val="32"/>
        </w:rPr>
        <w:lastRenderedPageBreak/>
        <w:t>Annotated Bibliography.</w:t>
      </w:r>
    </w:p>
    <w:p w:rsidR="00F60077" w:rsidRDefault="00F60077" w:rsidP="00F60077">
      <w:pPr>
        <w:rPr>
          <w:rFonts w:ascii="Palatino Linotype" w:hAnsi="Palatino Linotype"/>
          <w:sz w:val="24"/>
          <w:szCs w:val="24"/>
        </w:rPr>
      </w:pPr>
      <w:proofErr w:type="spellStart"/>
      <w:r>
        <w:rPr>
          <w:rFonts w:ascii="Palatino Linotype" w:hAnsi="Palatino Linotype"/>
          <w:sz w:val="24"/>
          <w:szCs w:val="24"/>
        </w:rPr>
        <w:t>Lepowsky</w:t>
      </w:r>
      <w:proofErr w:type="spellEnd"/>
      <w:r>
        <w:rPr>
          <w:rFonts w:ascii="Palatino Linotype" w:hAnsi="Palatino Linotype"/>
          <w:sz w:val="24"/>
          <w:szCs w:val="24"/>
        </w:rPr>
        <w:t>, M., 1995</w:t>
      </w:r>
      <w:r>
        <w:rPr>
          <w:rFonts w:ascii="Palatino Linotype" w:hAnsi="Palatino Linotype"/>
          <w:i/>
          <w:sz w:val="24"/>
          <w:szCs w:val="24"/>
        </w:rPr>
        <w:t>, Exchange, Gender and Inalienable Possessions</w:t>
      </w:r>
      <w:r>
        <w:rPr>
          <w:rFonts w:ascii="Palatino Linotype" w:hAnsi="Palatino Linotype"/>
          <w:sz w:val="24"/>
          <w:szCs w:val="24"/>
        </w:rPr>
        <w:t xml:space="preserve">, University of Wisconsin, Madison, </w:t>
      </w:r>
      <w:r>
        <w:rPr>
          <w:rFonts w:ascii="Palatino Linotype" w:hAnsi="Palatino Linotype"/>
          <w:i/>
          <w:sz w:val="24"/>
          <w:szCs w:val="24"/>
        </w:rPr>
        <w:t>Book Review Forum</w:t>
      </w:r>
      <w:r>
        <w:rPr>
          <w:rFonts w:ascii="Palatino Linotype" w:hAnsi="Palatino Linotype"/>
          <w:sz w:val="24"/>
          <w:szCs w:val="24"/>
        </w:rPr>
        <w:t>, Vol. 18, pp. 103-114.</w:t>
      </w:r>
    </w:p>
    <w:p w:rsidR="00F60077" w:rsidRDefault="00F60077" w:rsidP="00F60077">
      <w:pPr>
        <w:rPr>
          <w:rFonts w:ascii="Palatino Linotype" w:hAnsi="Palatino Linotype"/>
          <w:sz w:val="24"/>
          <w:szCs w:val="24"/>
        </w:rPr>
      </w:pPr>
      <w:r>
        <w:rPr>
          <w:rFonts w:ascii="Palatino Linotype" w:hAnsi="Palatino Linotype"/>
          <w:sz w:val="24"/>
          <w:szCs w:val="24"/>
        </w:rPr>
        <w:t xml:space="preserve">In this </w:t>
      </w:r>
      <w:r>
        <w:rPr>
          <w:rFonts w:ascii="Palatino Linotype" w:hAnsi="Palatino Linotype"/>
          <w:noProof/>
          <w:sz w:val="24"/>
          <w:szCs w:val="24"/>
        </w:rPr>
        <w:t>peer</w:t>
      </w:r>
      <w:r>
        <w:rPr>
          <w:rFonts w:ascii="Palatino Linotype" w:hAnsi="Palatino Linotype"/>
          <w:sz w:val="24"/>
          <w:szCs w:val="24"/>
        </w:rPr>
        <w:t xml:space="preserve"> review </w:t>
      </w:r>
      <w:proofErr w:type="spellStart"/>
      <w:r>
        <w:rPr>
          <w:rFonts w:ascii="Palatino Linotype" w:hAnsi="Palatino Linotype"/>
          <w:sz w:val="24"/>
          <w:szCs w:val="24"/>
        </w:rPr>
        <w:t>Lepowsky</w:t>
      </w:r>
      <w:proofErr w:type="spellEnd"/>
      <w:r>
        <w:rPr>
          <w:rFonts w:ascii="Palatino Linotype" w:hAnsi="Palatino Linotype"/>
          <w:sz w:val="24"/>
          <w:szCs w:val="24"/>
        </w:rPr>
        <w:t xml:space="preserve"> comments on Weiner’s findings in her publication; </w:t>
      </w:r>
      <w:r>
        <w:rPr>
          <w:rFonts w:ascii="Palatino Linotype" w:hAnsi="Palatino Linotype"/>
          <w:i/>
          <w:sz w:val="24"/>
          <w:szCs w:val="24"/>
        </w:rPr>
        <w:t>Inalienable Possessions,</w:t>
      </w:r>
      <w:r>
        <w:rPr>
          <w:rFonts w:ascii="Palatino Linotype" w:hAnsi="Palatino Linotype"/>
          <w:sz w:val="24"/>
          <w:szCs w:val="24"/>
        </w:rPr>
        <w:t xml:space="preserve"> (1992)</w:t>
      </w:r>
      <w:r>
        <w:rPr>
          <w:rFonts w:ascii="Palatino Linotype" w:hAnsi="Palatino Linotype"/>
          <w:noProof/>
          <w:sz w:val="24"/>
          <w:szCs w:val="24"/>
        </w:rPr>
        <w:t xml:space="preserve">, making a good informational resource, as it condenses a large amount of the theory and its basis from the book into just a dozen pages. Weiner is praised for her courageous and ambitious book which, backed up by her ethnographic volumes and 20 years of fieldwork, research and theoretical framework. With plenty of referencing to the studied </w:t>
      </w:r>
      <w:r w:rsidRPr="00F60077">
        <w:rPr>
          <w:rFonts w:ascii="Palatino Linotype" w:hAnsi="Palatino Linotype"/>
          <w:noProof/>
          <w:sz w:val="24"/>
          <w:szCs w:val="24"/>
        </w:rPr>
        <w:t>piece,</w:t>
      </w:r>
      <w:r>
        <w:rPr>
          <w:rFonts w:ascii="Palatino Linotype" w:hAnsi="Palatino Linotype"/>
          <w:noProof/>
          <w:sz w:val="24"/>
          <w:szCs w:val="24"/>
        </w:rPr>
        <w:t xml:space="preserve"> and other sources, this commentary </w:t>
      </w:r>
      <w:r w:rsidRPr="00F60077">
        <w:rPr>
          <w:rFonts w:ascii="Palatino Linotype" w:hAnsi="Palatino Linotype"/>
          <w:noProof/>
          <w:sz w:val="24"/>
          <w:szCs w:val="24"/>
        </w:rPr>
        <w:t>is makes</w:t>
      </w:r>
      <w:r>
        <w:rPr>
          <w:rFonts w:ascii="Palatino Linotype" w:hAnsi="Palatino Linotype"/>
          <w:noProof/>
          <w:sz w:val="24"/>
          <w:szCs w:val="24"/>
        </w:rPr>
        <w:t xml:space="preserve"> itself useful by singling out Weiner’s points of </w:t>
      </w:r>
      <w:r w:rsidRPr="00F60077">
        <w:rPr>
          <w:rFonts w:ascii="Palatino Linotype" w:hAnsi="Palatino Linotype"/>
          <w:noProof/>
          <w:sz w:val="24"/>
          <w:szCs w:val="24"/>
        </w:rPr>
        <w:t>focus,</w:t>
      </w:r>
      <w:r>
        <w:rPr>
          <w:rFonts w:ascii="Palatino Linotype" w:hAnsi="Palatino Linotype"/>
          <w:noProof/>
          <w:sz w:val="24"/>
          <w:szCs w:val="24"/>
        </w:rPr>
        <w:t xml:space="preserve"> and provides some ethnographic detail. This said, it is a peer review </w:t>
      </w:r>
      <w:r w:rsidRPr="00F60077">
        <w:rPr>
          <w:rFonts w:ascii="Palatino Linotype" w:hAnsi="Palatino Linotype"/>
          <w:noProof/>
          <w:sz w:val="24"/>
          <w:szCs w:val="24"/>
        </w:rPr>
        <w:t>after</w:t>
      </w:r>
      <w:r>
        <w:rPr>
          <w:rFonts w:ascii="Palatino Linotype" w:hAnsi="Palatino Linotype"/>
          <w:noProof/>
          <w:sz w:val="24"/>
          <w:szCs w:val="24"/>
        </w:rPr>
        <w:t xml:space="preserve"> all, therefore lacking in the area of criticism and though this will not affect this project, under different circumstances I would look for a critical review of the book for contrast.</w:t>
      </w: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r>
        <w:rPr>
          <w:rFonts w:ascii="Palatino Linotype" w:hAnsi="Palatino Linotype" w:cs="Arial"/>
          <w:color w:val="000000"/>
        </w:rPr>
        <w:t xml:space="preserve">Malinowski, B., 1932, </w:t>
      </w:r>
      <w:r>
        <w:rPr>
          <w:rFonts w:ascii="Palatino Linotype" w:hAnsi="Palatino Linotype" w:cs="Arial"/>
          <w:i/>
          <w:color w:val="000000"/>
        </w:rPr>
        <w:t>The Sexual Life of Savages, 3</w:t>
      </w:r>
      <w:r>
        <w:rPr>
          <w:rFonts w:ascii="Palatino Linotype" w:hAnsi="Palatino Linotype" w:cs="Arial"/>
          <w:i/>
          <w:color w:val="000000"/>
          <w:vertAlign w:val="superscript"/>
        </w:rPr>
        <w:t>rd</w:t>
      </w:r>
      <w:r>
        <w:rPr>
          <w:rFonts w:ascii="Palatino Linotype" w:hAnsi="Palatino Linotype" w:cs="Arial"/>
          <w:i/>
          <w:color w:val="000000"/>
        </w:rPr>
        <w:t xml:space="preserve"> Edition, </w:t>
      </w:r>
      <w:r>
        <w:rPr>
          <w:rFonts w:ascii="Palatino Linotype" w:hAnsi="Palatino Linotype" w:cs="Arial"/>
          <w:color w:val="000000"/>
        </w:rPr>
        <w:t>Routledge and Kegan Paul, London</w:t>
      </w: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r>
        <w:rPr>
          <w:rFonts w:ascii="Palatino Linotype" w:hAnsi="Palatino Linotype" w:cs="Arial"/>
          <w:color w:val="000000"/>
        </w:rPr>
        <w:t xml:space="preserve">Malinowski’s - somewhat </w:t>
      </w:r>
      <w:proofErr w:type="spellStart"/>
      <w:r>
        <w:rPr>
          <w:rFonts w:ascii="Palatino Linotype" w:hAnsi="Palatino Linotype" w:cs="Arial"/>
          <w:color w:val="000000"/>
        </w:rPr>
        <w:t>groundbreaking</w:t>
      </w:r>
      <w:proofErr w:type="spellEnd"/>
      <w:r>
        <w:rPr>
          <w:rFonts w:ascii="Palatino Linotype" w:hAnsi="Palatino Linotype" w:cs="Arial"/>
          <w:color w:val="000000"/>
        </w:rPr>
        <w:t xml:space="preserve"> at the time - ethnographical work in the Trobriand Islands of Papua New Guinea, was the first of </w:t>
      </w:r>
      <w:proofErr w:type="spellStart"/>
      <w:proofErr w:type="gramStart"/>
      <w:r>
        <w:rPr>
          <w:rFonts w:ascii="Palatino Linotype" w:hAnsi="Palatino Linotype" w:cs="Arial"/>
          <w:color w:val="000000"/>
        </w:rPr>
        <w:t>it’s</w:t>
      </w:r>
      <w:proofErr w:type="spellEnd"/>
      <w:proofErr w:type="gramEnd"/>
      <w:r>
        <w:rPr>
          <w:rFonts w:ascii="Palatino Linotype" w:hAnsi="Palatino Linotype" w:cs="Arial"/>
          <w:color w:val="000000"/>
        </w:rPr>
        <w:t xml:space="preserve"> kind, though partly forced in side-effect to the beginning of the First World War. However, the young German made the most of the opportunity and became the first participant observer, for over 2 years originally, making many later return trips. As the research by Malinowski went to such depth and detail, this </w:t>
      </w:r>
      <w:r>
        <w:rPr>
          <w:rFonts w:ascii="Palatino Linotype" w:hAnsi="Palatino Linotype" w:cs="Arial"/>
          <w:noProof/>
          <w:color w:val="000000"/>
        </w:rPr>
        <w:t>500-page</w:t>
      </w:r>
      <w:r>
        <w:rPr>
          <w:rFonts w:ascii="Palatino Linotype" w:hAnsi="Palatino Linotype" w:cs="Arial"/>
          <w:color w:val="000000"/>
        </w:rPr>
        <w:t xml:space="preserve"> account of the </w:t>
      </w:r>
      <w:proofErr w:type="spellStart"/>
      <w:r>
        <w:rPr>
          <w:rFonts w:ascii="Palatino Linotype" w:hAnsi="Palatino Linotype" w:cs="Arial"/>
          <w:color w:val="000000"/>
        </w:rPr>
        <w:t>Trobrianders</w:t>
      </w:r>
      <w:proofErr w:type="spellEnd"/>
      <w:r>
        <w:rPr>
          <w:rFonts w:ascii="Palatino Linotype" w:hAnsi="Palatino Linotype" w:cs="Arial"/>
          <w:color w:val="000000"/>
        </w:rPr>
        <w:t xml:space="preserve"> holds relevance in any work relating to them, and is quite certainly reliable, as is supported in later works by Weiner, though they drew some contrasting conclusions, which serve well for comparison in this </w:t>
      </w:r>
      <w:proofErr w:type="gramStart"/>
      <w:r>
        <w:rPr>
          <w:rFonts w:ascii="Palatino Linotype" w:hAnsi="Palatino Linotype" w:cs="Arial"/>
          <w:color w:val="000000"/>
        </w:rPr>
        <w:t>particular piece</w:t>
      </w:r>
      <w:proofErr w:type="gramEnd"/>
      <w:r>
        <w:rPr>
          <w:rFonts w:ascii="Palatino Linotype" w:hAnsi="Palatino Linotype" w:cs="Arial"/>
          <w:color w:val="000000"/>
        </w:rPr>
        <w:t xml:space="preserve"> of work. The main limitations of this ethnography are that although Malinowski had founded new research methods, he was still, at least in modern terms, bias due to prejudice and the beliefs of Western Society in the early 20</w:t>
      </w:r>
      <w:r>
        <w:rPr>
          <w:rFonts w:ascii="Palatino Linotype" w:hAnsi="Palatino Linotype" w:cs="Arial"/>
          <w:color w:val="000000"/>
          <w:vertAlign w:val="superscript"/>
        </w:rPr>
        <w:t>th</w:t>
      </w:r>
      <w:r>
        <w:rPr>
          <w:rFonts w:ascii="Palatino Linotype" w:hAnsi="Palatino Linotype" w:cs="Arial"/>
          <w:color w:val="000000"/>
        </w:rPr>
        <w:t xml:space="preserve"> Century</w:t>
      </w:r>
      <w:r>
        <w:rPr>
          <w:rFonts w:ascii="Palatino Linotype" w:hAnsi="Palatino Linotype" w:cs="Arial"/>
          <w:noProof/>
          <w:color w:val="000000"/>
        </w:rPr>
        <w:t>.</w:t>
      </w:r>
      <w:r>
        <w:rPr>
          <w:rFonts w:ascii="Palatino Linotype" w:hAnsi="Palatino Linotype" w:cs="Arial"/>
          <w:color w:val="000000"/>
        </w:rPr>
        <w:t xml:space="preserve"> Despite this, and other controversies around Malinowski (See his later Journal: </w:t>
      </w:r>
      <w:r>
        <w:rPr>
          <w:rFonts w:ascii="Palatino Linotype" w:hAnsi="Palatino Linotype" w:cs="Arial"/>
          <w:i/>
          <w:color w:val="000000"/>
        </w:rPr>
        <w:t xml:space="preserve">A Diary </w:t>
      </w:r>
      <w:proofErr w:type="gramStart"/>
      <w:r>
        <w:rPr>
          <w:rFonts w:ascii="Palatino Linotype" w:hAnsi="Palatino Linotype" w:cs="Arial"/>
          <w:i/>
          <w:color w:val="000000"/>
        </w:rPr>
        <w:t>In</w:t>
      </w:r>
      <w:proofErr w:type="gramEnd"/>
      <w:r>
        <w:rPr>
          <w:rFonts w:ascii="Palatino Linotype" w:hAnsi="Palatino Linotype" w:cs="Arial"/>
          <w:i/>
          <w:color w:val="000000"/>
        </w:rPr>
        <w:t xml:space="preserve"> The Strict Sense of The Term, </w:t>
      </w:r>
      <w:r>
        <w:rPr>
          <w:rFonts w:ascii="Palatino Linotype" w:hAnsi="Palatino Linotype" w:cs="Arial"/>
          <w:color w:val="000000"/>
        </w:rPr>
        <w:t xml:space="preserve">1966) I have a sense of respect for Malinowski as a pioneer of his time, paving the way for later ethnographers and theorists such as </w:t>
      </w:r>
      <w:proofErr w:type="spellStart"/>
      <w:r>
        <w:rPr>
          <w:rFonts w:ascii="Palatino Linotype" w:hAnsi="Palatino Linotype" w:cs="Arial"/>
          <w:color w:val="000000"/>
        </w:rPr>
        <w:t>Chagnon</w:t>
      </w:r>
      <w:proofErr w:type="spellEnd"/>
      <w:r>
        <w:rPr>
          <w:rFonts w:ascii="Palatino Linotype" w:hAnsi="Palatino Linotype" w:cs="Arial"/>
          <w:color w:val="000000"/>
        </w:rPr>
        <w:t xml:space="preserve">, </w:t>
      </w:r>
      <w:proofErr w:type="spellStart"/>
      <w:r>
        <w:rPr>
          <w:rFonts w:ascii="Palatino Linotype" w:hAnsi="Palatino Linotype" w:cs="Arial"/>
          <w:color w:val="000000"/>
        </w:rPr>
        <w:t>Herdt</w:t>
      </w:r>
      <w:proofErr w:type="spellEnd"/>
      <w:r>
        <w:rPr>
          <w:rFonts w:ascii="Palatino Linotype" w:hAnsi="Palatino Linotype" w:cs="Arial"/>
          <w:color w:val="000000"/>
        </w:rPr>
        <w:t xml:space="preserve">, </w:t>
      </w:r>
      <w:proofErr w:type="spellStart"/>
      <w:r>
        <w:rPr>
          <w:rFonts w:ascii="Palatino Linotype" w:hAnsi="Palatino Linotype" w:cs="Arial"/>
          <w:color w:val="000000"/>
        </w:rPr>
        <w:t>Mauss</w:t>
      </w:r>
      <w:proofErr w:type="spellEnd"/>
      <w:r>
        <w:rPr>
          <w:rFonts w:ascii="Palatino Linotype" w:hAnsi="Palatino Linotype" w:cs="Arial"/>
          <w:color w:val="000000"/>
        </w:rPr>
        <w:t xml:space="preserve">, </w:t>
      </w:r>
      <w:proofErr w:type="spellStart"/>
      <w:r>
        <w:rPr>
          <w:rFonts w:ascii="Palatino Linotype" w:hAnsi="Palatino Linotype" w:cs="Arial"/>
          <w:color w:val="000000"/>
        </w:rPr>
        <w:t>Strathern</w:t>
      </w:r>
      <w:proofErr w:type="spellEnd"/>
      <w:r>
        <w:rPr>
          <w:rFonts w:ascii="Palatino Linotype" w:hAnsi="Palatino Linotype" w:cs="Arial"/>
          <w:color w:val="000000"/>
        </w:rPr>
        <w:t xml:space="preserve"> </w:t>
      </w:r>
      <w:r>
        <w:rPr>
          <w:rFonts w:ascii="Palatino Linotype" w:hAnsi="Palatino Linotype" w:cs="Arial"/>
          <w:noProof/>
          <w:color w:val="000000"/>
        </w:rPr>
        <w:t>and Weiner</w:t>
      </w:r>
      <w:r>
        <w:rPr>
          <w:rFonts w:ascii="Palatino Linotype" w:hAnsi="Palatino Linotype" w:cs="Arial"/>
          <w:color w:val="000000"/>
        </w:rPr>
        <w:t>, many of whom cite his work rigorously.</w:t>
      </w: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p>
    <w:p w:rsidR="00F60077" w:rsidRDefault="00F60077" w:rsidP="00F60077">
      <w:pPr>
        <w:pStyle w:val="citation"/>
        <w:shd w:val="clear" w:color="auto" w:fill="FFFFFF"/>
        <w:spacing w:after="150" w:afterAutospacing="0" w:line="312" w:lineRule="atLeast"/>
        <w:rPr>
          <w:rFonts w:ascii="Palatino Linotype" w:hAnsi="Palatino Linotype" w:cs="Arial"/>
          <w:noProof/>
          <w:color w:val="000000"/>
        </w:rPr>
      </w:pPr>
      <w:proofErr w:type="spellStart"/>
      <w:r>
        <w:rPr>
          <w:rFonts w:ascii="Palatino Linotype" w:hAnsi="Palatino Linotype" w:cs="Arial"/>
          <w:color w:val="000000"/>
        </w:rPr>
        <w:lastRenderedPageBreak/>
        <w:t>Mauss</w:t>
      </w:r>
      <w:proofErr w:type="spellEnd"/>
      <w:r>
        <w:rPr>
          <w:rFonts w:ascii="Palatino Linotype" w:hAnsi="Palatino Linotype" w:cs="Arial"/>
          <w:color w:val="000000"/>
        </w:rPr>
        <w:t>, M., 1966. </w:t>
      </w:r>
      <w:r>
        <w:rPr>
          <w:rFonts w:ascii="Palatino Linotype" w:hAnsi="Palatino Linotype" w:cs="Arial"/>
          <w:i/>
          <w:iCs/>
          <w:color w:val="000000"/>
        </w:rPr>
        <w:t>The gift; forms and functions of exchange in archaic societies</w:t>
      </w:r>
      <w:r>
        <w:rPr>
          <w:rFonts w:ascii="Palatino Linotype" w:hAnsi="Palatino Linotype" w:cs="Arial"/>
          <w:color w:val="000000"/>
        </w:rPr>
        <w:t xml:space="preserve">, Cohen &amp; West, London, </w:t>
      </w:r>
      <w:r>
        <w:rPr>
          <w:rFonts w:ascii="Palatino Linotype" w:hAnsi="Palatino Linotype" w:cs="Arial"/>
          <w:noProof/>
          <w:color w:val="000000"/>
        </w:rPr>
        <w:t>pp 6-23.</w:t>
      </w:r>
    </w:p>
    <w:p w:rsidR="00F60077" w:rsidRDefault="00F60077" w:rsidP="00F60077">
      <w:pPr>
        <w:pStyle w:val="citation"/>
        <w:shd w:val="clear" w:color="auto" w:fill="FFFFFF"/>
        <w:spacing w:after="150" w:afterAutospacing="0" w:line="312" w:lineRule="atLeast"/>
        <w:rPr>
          <w:rFonts w:ascii="Palatino Linotype" w:hAnsi="Palatino Linotype" w:cs="Arial"/>
          <w:noProof/>
          <w:color w:val="000000"/>
        </w:rPr>
      </w:pPr>
      <w:r>
        <w:rPr>
          <w:rFonts w:ascii="Palatino Linotype" w:hAnsi="Palatino Linotype" w:cs="Arial"/>
          <w:noProof/>
          <w:color w:val="000000"/>
        </w:rPr>
        <w:t xml:space="preserve">Marcel Mauss published an important piece of literature on exchange and its forms and values in societies around the globe. My main criticism of some of his theory, especially the ‘Potlatch’ is that it is based on the notion that his outlined ‘contracts’, when broken, will result in warfare. However, as </w:t>
      </w:r>
      <w:r w:rsidRPr="00F60077">
        <w:rPr>
          <w:rFonts w:ascii="Palatino Linotype" w:hAnsi="Palatino Linotype" w:cs="Arial"/>
          <w:noProof/>
          <w:color w:val="000000"/>
        </w:rPr>
        <w:t>a main</w:t>
      </w:r>
      <w:r>
        <w:rPr>
          <w:rFonts w:ascii="Palatino Linotype" w:hAnsi="Palatino Linotype" w:cs="Arial"/>
          <w:noProof/>
          <w:color w:val="000000"/>
        </w:rPr>
        <w:t xml:space="preserve"> antagonist for Weiner’s theoretical work, and a core thinker in modern anthropology, his book holds relevance and will be useful to make contrasts in my Presentation.</w:t>
      </w: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r>
        <w:rPr>
          <w:rFonts w:ascii="Palatino Linotype" w:hAnsi="Palatino Linotype" w:cs="Arial"/>
          <w:color w:val="000000"/>
        </w:rPr>
        <w:t xml:space="preserve">Weiner, A.B., 1980, </w:t>
      </w:r>
      <w:r>
        <w:rPr>
          <w:rFonts w:ascii="Palatino Linotype" w:hAnsi="Palatino Linotype" w:cs="Arial"/>
          <w:i/>
          <w:color w:val="000000"/>
        </w:rPr>
        <w:t>Women of Value, Men of Renown,</w:t>
      </w:r>
      <w:r>
        <w:rPr>
          <w:rFonts w:ascii="Palatino Linotype" w:hAnsi="Palatino Linotype" w:cs="Arial"/>
          <w:color w:val="000000"/>
        </w:rPr>
        <w:t xml:space="preserve"> </w:t>
      </w:r>
      <w:r>
        <w:rPr>
          <w:rFonts w:ascii="Palatino Linotype" w:hAnsi="Palatino Linotype" w:cs="Arial"/>
          <w:i/>
          <w:color w:val="000000"/>
        </w:rPr>
        <w:t xml:space="preserve">New Perspectives in Trobriand Exchange, </w:t>
      </w:r>
      <w:r>
        <w:rPr>
          <w:rFonts w:ascii="Palatino Linotype" w:hAnsi="Palatino Linotype" w:cs="Arial"/>
          <w:color w:val="000000"/>
        </w:rPr>
        <w:t>University of Texas, USA.</w:t>
      </w: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r>
        <w:rPr>
          <w:rFonts w:ascii="Palatino Linotype" w:hAnsi="Palatino Linotype" w:cs="Arial"/>
          <w:color w:val="000000"/>
        </w:rPr>
        <w:t xml:space="preserve">50 years on from Malinowski’s first interactions with </w:t>
      </w:r>
      <w:r>
        <w:rPr>
          <w:rFonts w:ascii="Palatino Linotype" w:hAnsi="Palatino Linotype" w:cs="Arial"/>
          <w:noProof/>
          <w:color w:val="000000"/>
        </w:rPr>
        <w:t>the Trobriand Islanders, another series of fieldwork expeditions and following ethnographies follow. This time, however, the author is a modern-day feminist. Annette Weiner followed up the original works by giving us many new perspectives on South Pacific cultures, especially in Papua New Guinea. One</w:t>
      </w:r>
      <w:r>
        <w:rPr>
          <w:rFonts w:ascii="Palatino Linotype" w:hAnsi="Palatino Linotype" w:cs="Arial"/>
          <w:color w:val="000000"/>
        </w:rPr>
        <w:t xml:space="preserve"> of Weiner’s many ethnographic case-studies on the </w:t>
      </w:r>
      <w:proofErr w:type="spellStart"/>
      <w:r>
        <w:rPr>
          <w:rFonts w:ascii="Palatino Linotype" w:hAnsi="Palatino Linotype" w:cs="Arial"/>
          <w:color w:val="000000"/>
        </w:rPr>
        <w:t>Kiriwinans</w:t>
      </w:r>
      <w:proofErr w:type="spellEnd"/>
      <w:r>
        <w:rPr>
          <w:rFonts w:ascii="Palatino Linotype" w:hAnsi="Palatino Linotype" w:cs="Arial"/>
          <w:color w:val="000000"/>
        </w:rPr>
        <w:t xml:space="preserve"> of the Trobriand Islands, </w:t>
      </w:r>
      <w:r>
        <w:rPr>
          <w:rFonts w:ascii="Palatino Linotype" w:hAnsi="Palatino Linotype" w:cs="Arial"/>
          <w:i/>
          <w:color w:val="000000"/>
        </w:rPr>
        <w:t>Women of Value, Men of Renown</w:t>
      </w:r>
      <w:r>
        <w:rPr>
          <w:rFonts w:ascii="Palatino Linotype" w:hAnsi="Palatino Linotype" w:cs="Arial"/>
          <w:color w:val="000000"/>
        </w:rPr>
        <w:t xml:space="preserve"> explores, in great depth, all aspects of the Islanders’ culture. From Birth, marriage and death rituals, relations and politics, to cosmology values and sex/gender roles. What is key here, </w:t>
      </w:r>
      <w:r>
        <w:rPr>
          <w:rFonts w:ascii="Palatino Linotype" w:hAnsi="Palatino Linotype" w:cs="Arial"/>
          <w:noProof/>
          <w:color w:val="000000"/>
        </w:rPr>
        <w:t>however</w:t>
      </w:r>
      <w:r>
        <w:rPr>
          <w:rFonts w:ascii="Palatino Linotype" w:hAnsi="Palatino Linotype" w:cs="Arial"/>
          <w:color w:val="000000"/>
        </w:rPr>
        <w:t xml:space="preserve">, is how Weiner continues to bring the book together by concluding </w:t>
      </w:r>
      <w:proofErr w:type="gramStart"/>
      <w:r>
        <w:rPr>
          <w:rFonts w:ascii="Palatino Linotype" w:hAnsi="Palatino Linotype" w:cs="Arial"/>
          <w:color w:val="000000"/>
        </w:rPr>
        <w:t>all of</w:t>
      </w:r>
      <w:proofErr w:type="gramEnd"/>
      <w:r>
        <w:rPr>
          <w:rFonts w:ascii="Palatino Linotype" w:hAnsi="Palatino Linotype" w:cs="Arial"/>
          <w:color w:val="000000"/>
        </w:rPr>
        <w:t xml:space="preserve"> the afore-mentioned subjects into sub-categories of the main topic of the book; Exchange. Weiner shows us how </w:t>
      </w:r>
      <w:r>
        <w:rPr>
          <w:rFonts w:ascii="Palatino Linotype" w:hAnsi="Palatino Linotype" w:cs="Arial"/>
          <w:noProof/>
          <w:color w:val="000000"/>
        </w:rPr>
        <w:t>exchange</w:t>
      </w:r>
      <w:r>
        <w:rPr>
          <w:rFonts w:ascii="Palatino Linotype" w:hAnsi="Palatino Linotype" w:cs="Arial"/>
          <w:color w:val="000000"/>
        </w:rPr>
        <w:t xml:space="preserve"> is embodied in all parts of a society, hence its importance in this portfolio. The works of Annette Weiner create a useful dichotomy with that of Malinowski, the only limitations of which could </w:t>
      </w:r>
      <w:proofErr w:type="gramStart"/>
      <w:r>
        <w:rPr>
          <w:rFonts w:ascii="Palatino Linotype" w:hAnsi="Palatino Linotype" w:cs="Arial"/>
          <w:color w:val="000000"/>
        </w:rPr>
        <w:t>be considered to be</w:t>
      </w:r>
      <w:proofErr w:type="gramEnd"/>
      <w:r>
        <w:rPr>
          <w:rFonts w:ascii="Palatino Linotype" w:hAnsi="Palatino Linotype" w:cs="Arial"/>
          <w:color w:val="000000"/>
        </w:rPr>
        <w:t xml:space="preserve"> a bias of viewpoint by the observer/participant, due to sex or ethnicity, which could be argued as a case for any works, however, both sides would appear to be covered in this situation. In some so</w:t>
      </w:r>
      <w:r>
        <w:rPr>
          <w:rFonts w:ascii="Palatino Linotype" w:hAnsi="Palatino Linotype" w:cs="Arial"/>
          <w:noProof/>
          <w:color w:val="000000"/>
        </w:rPr>
        <w:t>rt of ho</w:t>
      </w:r>
      <w:r>
        <w:rPr>
          <w:rFonts w:ascii="Palatino Linotype" w:hAnsi="Palatino Linotype" w:cs="Arial"/>
          <w:color w:val="000000"/>
        </w:rPr>
        <w:t>mage to Malinowski, Weiner opens each chapter with a citation from a variety of his works.</w:t>
      </w: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p>
    <w:p w:rsidR="00F60077" w:rsidRDefault="00F60077" w:rsidP="00F60077">
      <w:pPr>
        <w:pStyle w:val="citation"/>
        <w:shd w:val="clear" w:color="auto" w:fill="FFFFFF"/>
        <w:spacing w:after="150" w:afterAutospacing="0" w:line="312" w:lineRule="atLeast"/>
        <w:rPr>
          <w:rFonts w:ascii="Palatino Linotype" w:hAnsi="Palatino Linotype" w:cs="Arial"/>
          <w:color w:val="000000"/>
        </w:rPr>
      </w:pPr>
      <w:r>
        <w:rPr>
          <w:rFonts w:ascii="Palatino Linotype" w:hAnsi="Palatino Linotype" w:cs="Arial"/>
          <w:color w:val="000000"/>
        </w:rPr>
        <w:t xml:space="preserve">Weiner, A.B., 1992, </w:t>
      </w:r>
      <w:r>
        <w:rPr>
          <w:rFonts w:ascii="Palatino Linotype" w:hAnsi="Palatino Linotype" w:cs="Arial"/>
          <w:i/>
          <w:color w:val="000000"/>
        </w:rPr>
        <w:t xml:space="preserve">Inalienable Possessions: The Paradox of Keeping-While-Giving, </w:t>
      </w:r>
      <w:r>
        <w:rPr>
          <w:rFonts w:ascii="Palatino Linotype" w:hAnsi="Palatino Linotype" w:cs="Arial"/>
          <w:color w:val="000000"/>
        </w:rPr>
        <w:t>University of California Press, Berkeley.</w:t>
      </w:r>
    </w:p>
    <w:p w:rsidR="00F60077" w:rsidRDefault="00F60077" w:rsidP="00F60077">
      <w:pPr>
        <w:rPr>
          <w:rFonts w:ascii="Palatino Linotype" w:hAnsi="Palatino Linotype"/>
          <w:sz w:val="24"/>
          <w:szCs w:val="24"/>
        </w:rPr>
      </w:pPr>
      <w:r>
        <w:rPr>
          <w:rFonts w:ascii="Palatino Linotype" w:hAnsi="Palatino Linotype"/>
          <w:sz w:val="24"/>
          <w:szCs w:val="24"/>
        </w:rPr>
        <w:t xml:space="preserve">In more recent years, it has been less common to find completely new or profound anthropological material, and moreover, difficult to find anything that heavily </w:t>
      </w:r>
      <w:r>
        <w:rPr>
          <w:rFonts w:ascii="Palatino Linotype" w:hAnsi="Palatino Linotype"/>
          <w:noProof/>
          <w:sz w:val="24"/>
          <w:szCs w:val="24"/>
        </w:rPr>
        <w:t>contrasts</w:t>
      </w:r>
      <w:r>
        <w:rPr>
          <w:rFonts w:ascii="Palatino Linotype" w:hAnsi="Palatino Linotype"/>
          <w:sz w:val="24"/>
          <w:szCs w:val="24"/>
        </w:rPr>
        <w:t xml:space="preserve"> or challenges earlier works in the same field. </w:t>
      </w:r>
      <w:proofErr w:type="spellStart"/>
      <w:r>
        <w:rPr>
          <w:rFonts w:ascii="Palatino Linotype" w:hAnsi="Palatino Linotype"/>
          <w:sz w:val="24"/>
          <w:szCs w:val="24"/>
        </w:rPr>
        <w:t>Strathern</w:t>
      </w:r>
      <w:proofErr w:type="spellEnd"/>
      <w:r>
        <w:rPr>
          <w:rFonts w:ascii="Palatino Linotype" w:hAnsi="Palatino Linotype"/>
          <w:sz w:val="24"/>
          <w:szCs w:val="24"/>
        </w:rPr>
        <w:t xml:space="preserve">, for example, builds on others’ ideas, theorising around the work of others, drawing diplomatic conclusions </w:t>
      </w:r>
      <w:r>
        <w:rPr>
          <w:rFonts w:ascii="Palatino Linotype" w:hAnsi="Palatino Linotype"/>
          <w:noProof/>
          <w:sz w:val="24"/>
          <w:szCs w:val="24"/>
        </w:rPr>
        <w:t>from light criticism and the use of comparative rhetoric.</w:t>
      </w:r>
      <w:r>
        <w:rPr>
          <w:rFonts w:ascii="Palatino Linotype" w:hAnsi="Palatino Linotype"/>
          <w:sz w:val="24"/>
          <w:szCs w:val="24"/>
        </w:rPr>
        <w:t xml:space="preserve"> Refreshingly, after long years of study and research, Weiner offers up her theoretical work on </w:t>
      </w:r>
      <w:r>
        <w:rPr>
          <w:rFonts w:ascii="Palatino Linotype" w:hAnsi="Palatino Linotype"/>
          <w:noProof/>
          <w:sz w:val="24"/>
          <w:szCs w:val="24"/>
        </w:rPr>
        <w:lastRenderedPageBreak/>
        <w:t>exchange</w:t>
      </w:r>
      <w:r>
        <w:rPr>
          <w:rFonts w:ascii="Palatino Linotype" w:hAnsi="Palatino Linotype"/>
          <w:sz w:val="24"/>
          <w:szCs w:val="24"/>
        </w:rPr>
        <w:t xml:space="preserve">. </w:t>
      </w:r>
      <w:r>
        <w:rPr>
          <w:rFonts w:ascii="Palatino Linotype" w:hAnsi="Palatino Linotype"/>
          <w:i/>
          <w:sz w:val="24"/>
          <w:szCs w:val="24"/>
        </w:rPr>
        <w:t>Inalienable Possessions</w:t>
      </w:r>
      <w:r>
        <w:rPr>
          <w:rFonts w:ascii="Palatino Linotype" w:hAnsi="Palatino Linotype"/>
          <w:sz w:val="24"/>
          <w:szCs w:val="24"/>
        </w:rPr>
        <w:t xml:space="preserve"> challenges previous theory work by </w:t>
      </w:r>
      <w:proofErr w:type="spellStart"/>
      <w:r>
        <w:rPr>
          <w:rFonts w:ascii="Palatino Linotype" w:hAnsi="Palatino Linotype"/>
          <w:sz w:val="24"/>
          <w:szCs w:val="24"/>
        </w:rPr>
        <w:t>Mauss</w:t>
      </w:r>
      <w:proofErr w:type="spellEnd"/>
      <w:r>
        <w:rPr>
          <w:rFonts w:ascii="Palatino Linotype" w:hAnsi="Palatino Linotype"/>
          <w:sz w:val="24"/>
          <w:szCs w:val="24"/>
        </w:rPr>
        <w:t xml:space="preserve"> in </w:t>
      </w:r>
      <w:r>
        <w:rPr>
          <w:rFonts w:ascii="Palatino Linotype" w:hAnsi="Palatino Linotype"/>
          <w:i/>
          <w:sz w:val="24"/>
          <w:szCs w:val="24"/>
        </w:rPr>
        <w:t>The Gift</w:t>
      </w:r>
      <w:r>
        <w:rPr>
          <w:rFonts w:ascii="Palatino Linotype" w:hAnsi="Palatino Linotype"/>
          <w:sz w:val="24"/>
          <w:szCs w:val="24"/>
        </w:rPr>
        <w:t xml:space="preserve"> (1966). The most interesting part for </w:t>
      </w:r>
      <w:r>
        <w:rPr>
          <w:rFonts w:ascii="Palatino Linotype" w:hAnsi="Palatino Linotype"/>
          <w:noProof/>
          <w:sz w:val="24"/>
          <w:szCs w:val="24"/>
        </w:rPr>
        <w:t>me</w:t>
      </w:r>
      <w:r>
        <w:rPr>
          <w:rFonts w:ascii="Palatino Linotype" w:hAnsi="Palatino Linotype"/>
          <w:sz w:val="24"/>
          <w:szCs w:val="24"/>
        </w:rPr>
        <w:t xml:space="preserve"> as far as this project is concerned is the ‘Paradox of Keeping While Giving’ that she puts forward in the introductory chapter, which can be seen in action </w:t>
      </w:r>
      <w:r>
        <w:rPr>
          <w:rFonts w:ascii="Palatino Linotype" w:hAnsi="Palatino Linotype"/>
          <w:noProof/>
          <w:sz w:val="24"/>
          <w:szCs w:val="24"/>
        </w:rPr>
        <w:t xml:space="preserve">in Kiriwinan practices such as the </w:t>
      </w:r>
      <w:r>
        <w:rPr>
          <w:rFonts w:ascii="Palatino Linotype" w:hAnsi="Palatino Linotype"/>
          <w:i/>
          <w:noProof/>
          <w:sz w:val="24"/>
          <w:szCs w:val="24"/>
        </w:rPr>
        <w:t xml:space="preserve">Kula </w:t>
      </w:r>
      <w:r>
        <w:rPr>
          <w:rFonts w:ascii="Palatino Linotype" w:hAnsi="Palatino Linotype"/>
          <w:noProof/>
          <w:sz w:val="24"/>
          <w:szCs w:val="24"/>
        </w:rPr>
        <w:t>Ring (See for detail, Malinowski, 1932, Weiner, 1980).</w:t>
      </w:r>
      <w:r>
        <w:rPr>
          <w:rFonts w:ascii="Palatino Linotype" w:hAnsi="Palatino Linotype"/>
          <w:sz w:val="24"/>
          <w:szCs w:val="24"/>
        </w:rPr>
        <w:t xml:space="preserve"> Weiner proves herself again in this book, not only as a </w:t>
      </w:r>
      <w:r>
        <w:rPr>
          <w:rFonts w:ascii="Palatino Linotype" w:hAnsi="Palatino Linotype"/>
          <w:noProof/>
          <w:sz w:val="24"/>
          <w:szCs w:val="24"/>
        </w:rPr>
        <w:t>theologian</w:t>
      </w:r>
      <w:r>
        <w:rPr>
          <w:rFonts w:ascii="Palatino Linotype" w:hAnsi="Palatino Linotype"/>
          <w:sz w:val="24"/>
          <w:szCs w:val="24"/>
        </w:rPr>
        <w:t xml:space="preserve"> but as an experienced and </w:t>
      </w:r>
      <w:r>
        <w:rPr>
          <w:rFonts w:ascii="Palatino Linotype" w:hAnsi="Palatino Linotype"/>
          <w:noProof/>
          <w:sz w:val="24"/>
          <w:szCs w:val="24"/>
        </w:rPr>
        <w:t>well-read</w:t>
      </w:r>
      <w:r>
        <w:rPr>
          <w:rFonts w:ascii="Palatino Linotype" w:hAnsi="Palatino Linotype"/>
          <w:sz w:val="24"/>
          <w:szCs w:val="24"/>
        </w:rPr>
        <w:t xml:space="preserve"> anthropologist; citing various big thinkers and anthropological theories and concepts, such as Levi-Strauss, Marx and </w:t>
      </w:r>
      <w:proofErr w:type="spellStart"/>
      <w:r>
        <w:rPr>
          <w:rFonts w:ascii="Palatino Linotype" w:hAnsi="Palatino Linotype"/>
          <w:sz w:val="24"/>
          <w:szCs w:val="24"/>
        </w:rPr>
        <w:t>Strathern</w:t>
      </w:r>
      <w:proofErr w:type="spellEnd"/>
      <w:r>
        <w:rPr>
          <w:rFonts w:ascii="Palatino Linotype" w:hAnsi="Palatino Linotype"/>
          <w:sz w:val="24"/>
          <w:szCs w:val="24"/>
        </w:rPr>
        <w:t>, Weiner uses all the right tools to deliver a concise and relevant piece of work.</w:t>
      </w:r>
    </w:p>
    <w:p w:rsidR="00F60077" w:rsidRDefault="00F60077" w:rsidP="00F60077">
      <w:pPr>
        <w:spacing w:line="360" w:lineRule="auto"/>
      </w:pPr>
    </w:p>
    <w:sectPr w:rsidR="00F600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OwMDI1NTOwMDIwMjBX0lEKTi0uzszPAykwrAUAmsNpqCwAAAA="/>
  </w:docVars>
  <w:rsids>
    <w:rsidRoot w:val="00F60077"/>
    <w:rsid w:val="000E266E"/>
    <w:rsid w:val="00AD5707"/>
    <w:rsid w:val="00F60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9588A"/>
  <w15:chartTrackingRefBased/>
  <w15:docId w15:val="{9DC68C57-2C1C-41A5-9425-C20118A8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
    <w:name w:val="citation"/>
    <w:basedOn w:val="Normal"/>
    <w:rsid w:val="00F600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380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alex.hughes54@yahoo.co.uk</dc:creator>
  <cp:keywords/>
  <dc:description/>
  <cp:lastModifiedBy>alex.hughes54@yahoo.co.uk</cp:lastModifiedBy>
  <cp:revision>1</cp:revision>
  <dcterms:created xsi:type="dcterms:W3CDTF">2018-11-16T22:55:00Z</dcterms:created>
  <dcterms:modified xsi:type="dcterms:W3CDTF">2018-11-16T23:00:00Z</dcterms:modified>
</cp:coreProperties>
</file>