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53" w:rsidRDefault="000827ED">
      <w:r>
        <w:rPr>
          <w:noProof/>
          <w:lang w:eastAsia="en-GB"/>
        </w:rPr>
        <w:drawing>
          <wp:inline distT="0" distB="0" distL="0" distR="0" wp14:anchorId="14C0E864" wp14:editId="760A0180">
            <wp:extent cx="5731510" cy="8115545"/>
            <wp:effectExtent l="0" t="0" r="2540" b="0"/>
            <wp:docPr id="1" name="Picture 1" descr="REPORT ON E-BUSINESS&#10;6&#10;This creates a level of complexity seldom experienced before.&#10;A second, more important set of facto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PORT ON E-BUSINESS&#10;6&#10;This creates a level of complexity seldom experienced before.&#10;A second, more important set of facto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35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7ED"/>
    <w:rsid w:val="000827ED"/>
    <w:rsid w:val="00B1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C54150-C937-473A-B858-BE60EC9E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Swansea Metropolitan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David Charles (International Centre)</dc:creator>
  <cp:keywords/>
  <dc:description/>
  <cp:lastModifiedBy>Williams, David Charles (International Centre)</cp:lastModifiedBy>
  <cp:revision>1</cp:revision>
  <dcterms:created xsi:type="dcterms:W3CDTF">2015-11-06T09:45:00Z</dcterms:created>
  <dcterms:modified xsi:type="dcterms:W3CDTF">2015-11-06T09:46:00Z</dcterms:modified>
</cp:coreProperties>
</file>