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E9E7DF" w14:textId="5757EBC5" w:rsidR="008A667C" w:rsidRDefault="008A667C" w:rsidP="008A667C">
      <w:pPr>
        <w:pStyle w:val="NoSpacing"/>
        <w:spacing w:line="360" w:lineRule="auto"/>
        <w:jc w:val="both"/>
      </w:pPr>
      <w:r>
        <w:t>The defence of insanity is a generalised term that can be used as a defence for all criminal offences. The defence of insanity has been open to much abuse by many offenders who are trying to get away with often serious crimes such as murder. If an insanity defence is successful then the trial judge will direct the jury to find the defendant not guilty by reason of insanity. Because a defendant has been found not guilty based on insanity does not mean they will be free to go, the judge will likely order that they be placed into a secure mental health unit</w:t>
      </w:r>
      <w:r w:rsidR="00B069F9">
        <w:t xml:space="preserve"> (E-Law Resources, 2020)</w:t>
      </w:r>
      <w:r>
        <w:t xml:space="preserve">. When the judge issues these orders they are generally for unspecified periods of time and advise they will not be released until they no longer pose a risk to public safety. In order for a defence of insanity to be successful there are a few things which need to be established. The </w:t>
      </w:r>
      <w:proofErr w:type="spellStart"/>
      <w:r>
        <w:t>M’Naghten</w:t>
      </w:r>
      <w:proofErr w:type="spellEnd"/>
      <w:r>
        <w:t xml:space="preserve"> Rules will be applied to the case and the judge will consider:</w:t>
      </w:r>
    </w:p>
    <w:p w14:paraId="0271207F" w14:textId="77777777" w:rsidR="008A667C" w:rsidRDefault="008A667C" w:rsidP="008A667C">
      <w:pPr>
        <w:pStyle w:val="NoSpacing"/>
        <w:spacing w:line="360" w:lineRule="auto"/>
        <w:jc w:val="both"/>
      </w:pPr>
    </w:p>
    <w:p w14:paraId="48F84A61" w14:textId="77777777" w:rsidR="008A667C" w:rsidRDefault="008A667C" w:rsidP="008A667C">
      <w:pPr>
        <w:pStyle w:val="NoSpacing"/>
        <w:spacing w:line="360" w:lineRule="auto"/>
        <w:jc w:val="both"/>
      </w:pPr>
      <w:r w:rsidRPr="00BF063D">
        <w:rPr>
          <w:u w:val="single"/>
        </w:rPr>
        <w:t xml:space="preserve">1.) Whether there was a defect of reason at the time of the offence. </w:t>
      </w:r>
    </w:p>
    <w:p w14:paraId="784A4574" w14:textId="2F33484D" w:rsidR="008A667C" w:rsidRDefault="008A667C" w:rsidP="008A667C">
      <w:pPr>
        <w:pStyle w:val="NoSpacing"/>
        <w:spacing w:line="360" w:lineRule="auto"/>
        <w:jc w:val="both"/>
      </w:pPr>
      <w:r>
        <w:t>For such a plea to be successful in court the defect of reason must have been substantial, such as, a period of psychosis in a person who suffers from schizophrenia. Saying that you forgot the act was illegal or you weren’t paying attention to what you were doing would not be accepted as sufficient for an insanity plea</w:t>
      </w:r>
      <w:r w:rsidR="005F412D">
        <w:t xml:space="preserve"> (College Law, 2020)</w:t>
      </w:r>
      <w:r>
        <w:t xml:space="preserve">. </w:t>
      </w:r>
    </w:p>
    <w:p w14:paraId="5457584B" w14:textId="77777777" w:rsidR="008A667C" w:rsidRDefault="008A667C" w:rsidP="008A667C">
      <w:pPr>
        <w:pStyle w:val="NoSpacing"/>
        <w:spacing w:line="360" w:lineRule="auto"/>
        <w:jc w:val="both"/>
        <w:rPr>
          <w:u w:val="single"/>
        </w:rPr>
      </w:pPr>
      <w:r w:rsidRPr="00B4799E">
        <w:rPr>
          <w:u w:val="single"/>
        </w:rPr>
        <w:t>2.) If a defect of reason has been proven then it must be as a result of a disease of the mind.</w:t>
      </w:r>
    </w:p>
    <w:p w14:paraId="35E3177A" w14:textId="4E746374" w:rsidR="008A667C" w:rsidRPr="00B4799E" w:rsidRDefault="008A667C" w:rsidP="008A667C">
      <w:pPr>
        <w:pStyle w:val="NoSpacing"/>
        <w:spacing w:line="360" w:lineRule="auto"/>
        <w:jc w:val="both"/>
      </w:pPr>
      <w:r>
        <w:t xml:space="preserve">This has been considered as an important factor when considering a case, and the courts have interpreted physical diseases, such as, epilepsy which can severely affect a person’s cognitive functions.  In the case of </w:t>
      </w:r>
      <w:r>
        <w:rPr>
          <w:i/>
          <w:iCs/>
        </w:rPr>
        <w:t>R v Kemp [1957]</w:t>
      </w:r>
      <w:r>
        <w:t xml:space="preserve"> Arteriosclerosis was considered as a such a condition. In this case the defendant had a disease which hardened his arteries which led to a congestion of blood on the brain, causing the defendant to be unconscious to his actions and he carried out a sustained attack of violence upon his wife</w:t>
      </w:r>
      <w:r w:rsidR="005F412D">
        <w:t xml:space="preserve"> (College Law, 2020)</w:t>
      </w:r>
      <w:r>
        <w:t xml:space="preserve">. </w:t>
      </w:r>
    </w:p>
    <w:p w14:paraId="6408822D" w14:textId="3732B213" w:rsidR="008A667C" w:rsidRDefault="008A667C" w:rsidP="008A667C">
      <w:pPr>
        <w:pStyle w:val="NoSpacing"/>
        <w:spacing w:line="360" w:lineRule="auto"/>
        <w:jc w:val="both"/>
        <w:rPr>
          <w:u w:val="single"/>
        </w:rPr>
      </w:pPr>
      <w:r w:rsidRPr="00364D12">
        <w:rPr>
          <w:u w:val="single"/>
        </w:rPr>
        <w:t>3.) The disease of the mind caused a defect of reason to such an extent that the defendant did not know what he was doing, or if he did then he did not know that it was wrong or against the law.</w:t>
      </w:r>
      <w:r>
        <w:t xml:space="preserve"> If the defect of reason is not caused by a disease of the mind, but is instead caused by external factors such as, being high on drugs or being drunk, would not give rise to the defence of insanity but could be applied to a defence of non-insane automatism</w:t>
      </w:r>
      <w:r w:rsidR="005F412D">
        <w:t xml:space="preserve"> (College Law, 2020)</w:t>
      </w:r>
      <w:r>
        <w:t xml:space="preserve">. </w:t>
      </w:r>
      <w:r w:rsidRPr="00364D12">
        <w:rPr>
          <w:u w:val="single"/>
        </w:rPr>
        <w:t xml:space="preserve"> </w:t>
      </w:r>
    </w:p>
    <w:p w14:paraId="09DCBBE2" w14:textId="74208512" w:rsidR="008A667C" w:rsidRDefault="008A667C" w:rsidP="008A667C">
      <w:pPr>
        <w:pStyle w:val="NoSpacing"/>
        <w:spacing w:line="360" w:lineRule="auto"/>
        <w:jc w:val="both"/>
        <w:rPr>
          <w:u w:val="single"/>
        </w:rPr>
      </w:pPr>
    </w:p>
    <w:p w14:paraId="1E9DF7AE" w14:textId="1C4E0454" w:rsidR="008A667C" w:rsidRDefault="008A667C" w:rsidP="008A667C">
      <w:pPr>
        <w:pStyle w:val="NoSpacing"/>
        <w:spacing w:line="360" w:lineRule="auto"/>
        <w:jc w:val="both"/>
      </w:pPr>
      <w:r>
        <w:lastRenderedPageBreak/>
        <w:t xml:space="preserve">One of the main issues of relying on the </w:t>
      </w:r>
      <w:proofErr w:type="spellStart"/>
      <w:r>
        <w:t>M’Naghten</w:t>
      </w:r>
      <w:proofErr w:type="spellEnd"/>
      <w:r>
        <w:t xml:space="preserve"> rules </w:t>
      </w:r>
      <w:r w:rsidR="002B0972">
        <w:t>arises from the fact that they came to prominence when he attempted to murder the prime minister Sir Robert Peel and murdered Edward Drummond in 1843. Many people have suggested that in this modern time that there should be more up-to-date methods of assessing the sanity of a defendant</w:t>
      </w:r>
      <w:r w:rsidR="005F412D">
        <w:t xml:space="preserve"> (E-Law Resources, 2020)</w:t>
      </w:r>
      <w:r w:rsidR="002B0972">
        <w:t xml:space="preserve">. </w:t>
      </w:r>
    </w:p>
    <w:p w14:paraId="7808BA18" w14:textId="01D811AD" w:rsidR="005F412D" w:rsidRDefault="005F412D" w:rsidP="008A667C">
      <w:pPr>
        <w:pStyle w:val="NoSpacing"/>
        <w:spacing w:line="360" w:lineRule="auto"/>
        <w:jc w:val="both"/>
      </w:pPr>
    </w:p>
    <w:p w14:paraId="592ABD23" w14:textId="63CC7EAB" w:rsidR="005F412D" w:rsidRDefault="00B069F9" w:rsidP="008A667C">
      <w:pPr>
        <w:pStyle w:val="NoSpacing"/>
        <w:spacing w:line="360" w:lineRule="auto"/>
        <w:jc w:val="both"/>
      </w:pPr>
      <w:r>
        <w:t xml:space="preserve">Because the defence surrounding insanity is so political this can lead to issues between medical science and the law. One challenge reformers who are campaigning to amend the current legislation is the public perception of the defence of insanity. Also, one of the major flaws identified is that the current legislation does not do enough to help the defendants who do not meet the threshold for a successful insanity defence but are still ill with a mental health condition – meaning that there are many vulnerable people in the prison system who could have been sentenced to a secure hospital to better equip them to deal with those issues when they are reintegrated into society (Claydon, </w:t>
      </w:r>
      <w:proofErr w:type="spellStart"/>
      <w:r>
        <w:t>Catley</w:t>
      </w:r>
      <w:proofErr w:type="spellEnd"/>
      <w:r>
        <w:t>, 2016)</w:t>
      </w:r>
      <w:r w:rsidR="00D36526">
        <w:t>.</w:t>
      </w:r>
    </w:p>
    <w:p w14:paraId="3B465E55" w14:textId="1489FA11" w:rsidR="00083019" w:rsidRDefault="00083019" w:rsidP="008A667C">
      <w:pPr>
        <w:pStyle w:val="NoSpacing"/>
        <w:spacing w:line="360" w:lineRule="auto"/>
        <w:jc w:val="both"/>
      </w:pPr>
    </w:p>
    <w:p w14:paraId="0C4B1148" w14:textId="58731151" w:rsidR="00083019" w:rsidRDefault="00154078" w:rsidP="008A667C">
      <w:pPr>
        <w:pStyle w:val="NoSpacing"/>
        <w:spacing w:line="360" w:lineRule="auto"/>
        <w:jc w:val="both"/>
      </w:pPr>
      <w:r>
        <w:t>T</w:t>
      </w:r>
      <w:r w:rsidR="00D36526">
        <w:t>he Law Commission</w:t>
      </w:r>
      <w:r>
        <w:t xml:space="preserve"> (2013)</w:t>
      </w:r>
      <w:r w:rsidR="00D36526">
        <w:t xml:space="preserve"> states that their provisional proposals for reform of the defence of insanity would be potentially aid many defendants who choose this as their defence because the defences avoid the current stigmatisation of ‘insanity’. Also, they have used language and ideologies that are more applicable to the modern world as opposed to still relying on the outdated language and thought process of the 1800s. Another aspect of their proposals aims at making the process </w:t>
      </w:r>
      <w:r>
        <w:t>fairer</w:t>
      </w:r>
      <w:r w:rsidR="00D36526">
        <w:t xml:space="preserve"> for defendants by achieving a fine balance between expert medical opinion and the judgement of the facts by the jury, magistrate or judge to assess whether or not the defendant is mentally competent and fit to stand trial. </w:t>
      </w:r>
    </w:p>
    <w:p w14:paraId="7609F912" w14:textId="77A512E9" w:rsidR="00154078" w:rsidRDefault="00154078" w:rsidP="008A667C">
      <w:pPr>
        <w:pStyle w:val="NoSpacing"/>
        <w:spacing w:line="360" w:lineRule="auto"/>
        <w:jc w:val="both"/>
      </w:pPr>
    </w:p>
    <w:p w14:paraId="5D23DA1A" w14:textId="75E68D82" w:rsidR="00154078" w:rsidRDefault="00154078" w:rsidP="008A667C">
      <w:pPr>
        <w:pStyle w:val="NoSpacing"/>
        <w:spacing w:line="360" w:lineRule="auto"/>
        <w:jc w:val="both"/>
      </w:pPr>
      <w:r>
        <w:t xml:space="preserve">With regards to burdens and standards of proof they propose increasing the threshold for the evidential burden of proof on the defence. This means that the defendant is responsible for providing evidence to support their plea of insanity or automatism. In this instance for the prosecution to hold the defendant legally responsible they are required to prove beyond all reasonable doubt that the evidence supplied by the defence does not meet the threshold. There is also a requirement for the defence to satisfy the evidential burden by showing there is a link between their medical condition and the lack of capacity they experienced during the </w:t>
      </w:r>
      <w:r>
        <w:lastRenderedPageBreak/>
        <w:t xml:space="preserve">commission of the offence. Just the fact that the defendant has a ‘recognised medical condition’ will not be enough to satisfy this burden. The lack of capacity must be a direct result of the medical condition (Claydon, </w:t>
      </w:r>
      <w:proofErr w:type="spellStart"/>
      <w:r>
        <w:t>Catley</w:t>
      </w:r>
      <w:proofErr w:type="spellEnd"/>
      <w:r>
        <w:t>, 2016).</w:t>
      </w:r>
    </w:p>
    <w:p w14:paraId="57093817" w14:textId="28CFBA46" w:rsidR="00154078" w:rsidRDefault="00154078" w:rsidP="008A667C">
      <w:pPr>
        <w:pStyle w:val="NoSpacing"/>
        <w:spacing w:line="360" w:lineRule="auto"/>
        <w:jc w:val="both"/>
      </w:pPr>
    </w:p>
    <w:p w14:paraId="19342CCD" w14:textId="50A037AD" w:rsidR="008937E6" w:rsidRDefault="00154078" w:rsidP="008A667C">
      <w:pPr>
        <w:pStyle w:val="NoSpacing"/>
        <w:spacing w:line="360" w:lineRule="auto"/>
        <w:jc w:val="both"/>
      </w:pPr>
      <w:r>
        <w:t>It is impossible for a useful legal system to be stuck in one period of time</w:t>
      </w:r>
      <w:r w:rsidR="00021622">
        <w:t xml:space="preserve"> if it is to retain the respect that society has for their laws. The law and legal procedures need to modernise and adapt to social change in order to remain relevant and meet the needs of a more developed, modern society. This is one of the main arguments used by law reformers when they are looking to have certain legislation, such as that for the defence of insanity and automatism, repealed and replaced with statutes that are more up to date (Elliott, Quinn, 2011). </w:t>
      </w:r>
    </w:p>
    <w:p w14:paraId="2D84CBCE" w14:textId="77777777" w:rsidR="008937E6" w:rsidRDefault="008937E6" w:rsidP="008A667C">
      <w:pPr>
        <w:pStyle w:val="NoSpacing"/>
        <w:spacing w:line="360" w:lineRule="auto"/>
        <w:jc w:val="both"/>
      </w:pPr>
    </w:p>
    <w:p w14:paraId="3F13DB99" w14:textId="5A8B5D26" w:rsidR="008A667C" w:rsidRDefault="008937E6" w:rsidP="008937E6">
      <w:pPr>
        <w:pStyle w:val="NoSpacing"/>
        <w:spacing w:line="360" w:lineRule="auto"/>
        <w:jc w:val="center"/>
      </w:pPr>
      <w:r>
        <w:t>***** ***** *****</w:t>
      </w:r>
    </w:p>
    <w:p w14:paraId="2F81674D" w14:textId="77777777" w:rsidR="008937E6" w:rsidRDefault="008937E6" w:rsidP="008937E6">
      <w:pPr>
        <w:pStyle w:val="NoSpacing"/>
        <w:spacing w:line="360" w:lineRule="auto"/>
        <w:jc w:val="center"/>
      </w:pPr>
    </w:p>
    <w:p w14:paraId="514E832A" w14:textId="22C372B2" w:rsidR="00BD6BFE" w:rsidRDefault="00257DEA" w:rsidP="008A6E68">
      <w:pPr>
        <w:pStyle w:val="NoSpacing"/>
        <w:spacing w:line="360" w:lineRule="auto"/>
        <w:jc w:val="both"/>
      </w:pPr>
      <w:r>
        <w:t xml:space="preserve">While in the bar on Wind Street, after arguing with Jenny and Colin, Ali was asked to leave by Lee the doorman and then proceeded to punch Lee with such force that he was knocked to the ground and fell unconscious. Lee later died in hospital as a result of his injuries. According to </w:t>
      </w:r>
      <w:r>
        <w:rPr>
          <w:i/>
          <w:iCs/>
        </w:rPr>
        <w:t>R v Cunningham [1957]</w:t>
      </w:r>
      <w:r>
        <w:t xml:space="preserve">, Ali could be found guilty of murder for this because although he had not intended to kill Lee, he was reckless </w:t>
      </w:r>
      <w:r w:rsidR="008A6E68">
        <w:t xml:space="preserve">as to whether his actions could cause such a result. If you were to apply </w:t>
      </w:r>
      <w:r w:rsidR="008A6E68">
        <w:rPr>
          <w:i/>
          <w:iCs/>
        </w:rPr>
        <w:t>R v Woollin [1999]</w:t>
      </w:r>
      <w:r w:rsidR="008A6E68">
        <w:t xml:space="preserve"> in this instance, it would be unlikely that a conviction for murder would result as it states that the defendant must realise that when he threw that punch that there was a substantial risk of causing the victim serious injury</w:t>
      </w:r>
      <w:r w:rsidR="00EC51AB">
        <w:t xml:space="preserve">, and it could be argued that as he only punched him once, he could not see that causing him serious injury, and would not have seen the victim’s death as a virtual certainty as a result of his actions. </w:t>
      </w:r>
      <w:r w:rsidR="00A456A6">
        <w:t xml:space="preserve">Because an unlawful act of Assault had been committed against the victim and this was an act which a sober and reasonable person would recognise it to be a dangerous act, if </w:t>
      </w:r>
      <w:r w:rsidR="00A456A6">
        <w:rPr>
          <w:i/>
          <w:iCs/>
        </w:rPr>
        <w:t>R v Larkin [1942]</w:t>
      </w:r>
      <w:r w:rsidR="00A456A6">
        <w:t xml:space="preserve"> were to be applied here then a conviction of murder would hold. </w:t>
      </w:r>
      <w:r w:rsidR="00E874AE">
        <w:t xml:space="preserve">Because he deliberately punched him, the assault was deliberate and intended to cause the victim some pain or injury, so if </w:t>
      </w:r>
      <w:r w:rsidR="00E874AE">
        <w:rPr>
          <w:i/>
          <w:iCs/>
        </w:rPr>
        <w:t>R v Venna [1975]</w:t>
      </w:r>
      <w:r w:rsidR="00E874AE">
        <w:t xml:space="preserve"> were to be applied then Ali would at the very least be guilty of Assault Occasioning ABH</w:t>
      </w:r>
      <w:r w:rsidR="00297779">
        <w:t xml:space="preserve">. Under this direction, he could also be found guilty of murder as he was reckless and did not care that </w:t>
      </w:r>
      <w:r w:rsidR="004A201F">
        <w:t>t</w:t>
      </w:r>
      <w:r w:rsidR="00297779">
        <w:t>he</w:t>
      </w:r>
      <w:r w:rsidR="004A201F">
        <w:t xml:space="preserve"> victim</w:t>
      </w:r>
      <w:r w:rsidR="00297779">
        <w:t xml:space="preserve"> was knocked unconscious and could sustain a more serious injury. If </w:t>
      </w:r>
      <w:r w:rsidR="00297779">
        <w:rPr>
          <w:i/>
          <w:iCs/>
        </w:rPr>
        <w:t>R v Savage and Parmenter [1989]</w:t>
      </w:r>
      <w:r w:rsidR="00297779">
        <w:t xml:space="preserve"> were to be applied to </w:t>
      </w:r>
      <w:r w:rsidR="00297779">
        <w:lastRenderedPageBreak/>
        <w:t>this instance, then Ali could be found guilty of murder as it is unnecessary whether he intended or was able to foresee his unlawful act would cause such a result, so therefore to satisfy the mens rea for this it is not necessary to demonstrate that Ali intended the level of harm which he</w:t>
      </w:r>
      <w:r w:rsidR="004A201F">
        <w:t xml:space="preserve"> inflicted. It is only appropriate to demonstrate that he foresaw some physical harm or injury would come to the victim, no matter how minor the injury. </w:t>
      </w:r>
      <w:r w:rsidR="00297779">
        <w:t xml:space="preserve"> </w:t>
      </w:r>
    </w:p>
    <w:p w14:paraId="5BED02FD" w14:textId="2E9885B1" w:rsidR="004A201F" w:rsidRDefault="004A201F" w:rsidP="008A6E68">
      <w:pPr>
        <w:pStyle w:val="NoSpacing"/>
        <w:spacing w:line="360" w:lineRule="auto"/>
        <w:jc w:val="both"/>
      </w:pPr>
    </w:p>
    <w:p w14:paraId="1AEB6915" w14:textId="25C501EC" w:rsidR="00F6038E" w:rsidRDefault="004A201F" w:rsidP="008A6E68">
      <w:pPr>
        <w:pStyle w:val="NoSpacing"/>
        <w:spacing w:line="360" w:lineRule="auto"/>
        <w:jc w:val="both"/>
      </w:pPr>
      <w:r>
        <w:t xml:space="preserve">The next day, Ali saw Colin as he was on his way home from work and approached him to ask what information he gave to police. Colin responds saying that he had not said anything to the police and went to walk off. As he did Ali grabbed his arm, and at this time Colin realised that Ali had stabbed him. Ali fled the scene, leaving Colin bleeding out and he died within minutes. </w:t>
      </w:r>
      <w:r w:rsidR="00266470">
        <w:t xml:space="preserve">If </w:t>
      </w:r>
      <w:r w:rsidR="00266470">
        <w:rPr>
          <w:i/>
          <w:iCs/>
        </w:rPr>
        <w:t>R v Rolfe [1952]</w:t>
      </w:r>
      <w:r w:rsidR="00266470">
        <w:t xml:space="preserve"> was considered in this instance Ali could still be held liable on the grounds that he may not have physically touched Colin with his hands he used the knife as an extension of his harm in order to cause Colin grievous harm. Ali harassed Colin and Jenny previously to stabbing him and in the course of events also assaulted and killed the bouncer and was approaching Colin to see what he had said to police about the incident and obviously had the intention of causing Colin serious injury to prevent him from saying anything that would impact Ali’s precarious legal position. This was demonstrated by the fact that when approaching Colin, Ali brought a knife and was willing to use it. If </w:t>
      </w:r>
      <w:r w:rsidR="00266470">
        <w:rPr>
          <w:i/>
          <w:iCs/>
        </w:rPr>
        <w:t>Ireland &amp; Burstow [1998]</w:t>
      </w:r>
      <w:r w:rsidR="00266470">
        <w:t xml:space="preserve"> were to be applied when considering this case that would be taken into consideration and </w:t>
      </w:r>
      <w:r w:rsidR="00F6038E">
        <w:t xml:space="preserve">with regards to Ali’s liability he did inflict the wounds upon both Lee and Colin but, inflict in this case means to cause so there is no requirement that the force inflicted upon the person be direct or indirect especially in the case of Lee because he only punched him once it could be argued that he did not intend to cause his death, but he was reckless to the fact that more serious injury could have occurred. </w:t>
      </w:r>
    </w:p>
    <w:p w14:paraId="11E79002" w14:textId="7B8C44F6" w:rsidR="00F6038E" w:rsidRDefault="00F6038E" w:rsidP="008A6E68">
      <w:pPr>
        <w:pStyle w:val="NoSpacing"/>
        <w:spacing w:line="360" w:lineRule="auto"/>
        <w:jc w:val="both"/>
      </w:pPr>
    </w:p>
    <w:p w14:paraId="4F3E7FF6" w14:textId="37A6CAD8" w:rsidR="00F6038E" w:rsidRDefault="00F6038E" w:rsidP="008A6E68">
      <w:pPr>
        <w:pStyle w:val="NoSpacing"/>
        <w:spacing w:line="360" w:lineRule="auto"/>
        <w:jc w:val="both"/>
      </w:pPr>
      <w:r>
        <w:t xml:space="preserve">Ali would be completely liable for the deaths of both Lee and Colin. He was responsible for the death of Lee because he inflicted the wound that caused his death by punching him. Even though it was one punch his he did not know Lee’s medical history and was unaware whether one punch would cause an injury which would lead to his death. He must take his victim as he finds him and was reckless as to what could potentially have happened to Lee. Intention in this case can be established based upon such recklessness. With regards to liability for the </w:t>
      </w:r>
      <w:r>
        <w:lastRenderedPageBreak/>
        <w:t xml:space="preserve">incident with Colin Ali could be held liable on a murder charge because he brought a knife and had no exceptions about using it when he approached Colin and although </w:t>
      </w:r>
      <w:r w:rsidR="00BB4B69">
        <w:t xml:space="preserve">he may not have intended to kill Colin in the beginning, he obviously intended to cause Colin serious injury and was reckless as to whether or not Colin would die and you would also assume that death would almost be virtually certain as a result of a stab wound due to the amount of blood loss. Also, after he had stabbed Colin he did not call for an ambulance or try to offer any assistance he just left him to bleed out and die and fled the scene hoping that nobody would link him to the scene when Colin was discovered. </w:t>
      </w:r>
    </w:p>
    <w:p w14:paraId="14C0A39A" w14:textId="3D510A56" w:rsidR="00BB4B69" w:rsidRDefault="00BB4B69" w:rsidP="008A6E68">
      <w:pPr>
        <w:pStyle w:val="NoSpacing"/>
        <w:spacing w:line="360" w:lineRule="auto"/>
        <w:jc w:val="both"/>
      </w:pPr>
    </w:p>
    <w:p w14:paraId="69065257" w14:textId="55D6AC5C" w:rsidR="00BB4B69" w:rsidRPr="00266470" w:rsidRDefault="00BB4B69" w:rsidP="008A6E68">
      <w:pPr>
        <w:pStyle w:val="NoSpacing"/>
        <w:spacing w:line="360" w:lineRule="auto"/>
        <w:jc w:val="both"/>
      </w:pPr>
      <w:r>
        <w:t xml:space="preserve">In conclusion, Ali would be totally liable for his actions when carrying out both offences. </w:t>
      </w:r>
    </w:p>
    <w:p w14:paraId="2ED9B9E2" w14:textId="65BDDF98" w:rsidR="00A456A6" w:rsidRDefault="00A456A6" w:rsidP="008A6E68">
      <w:pPr>
        <w:pStyle w:val="NoSpacing"/>
        <w:spacing w:line="360" w:lineRule="auto"/>
        <w:jc w:val="both"/>
      </w:pPr>
    </w:p>
    <w:p w14:paraId="4037BB23" w14:textId="3512FD4A" w:rsidR="00021622" w:rsidRDefault="00021622" w:rsidP="008A6E68">
      <w:pPr>
        <w:pStyle w:val="NoSpacing"/>
        <w:spacing w:line="360" w:lineRule="auto"/>
        <w:jc w:val="both"/>
      </w:pPr>
    </w:p>
    <w:p w14:paraId="348BD5FA" w14:textId="739CA658" w:rsidR="00021622" w:rsidRDefault="00021622" w:rsidP="008A6E68">
      <w:pPr>
        <w:pStyle w:val="NoSpacing"/>
        <w:spacing w:line="360" w:lineRule="auto"/>
        <w:jc w:val="both"/>
      </w:pPr>
    </w:p>
    <w:p w14:paraId="5BA66598" w14:textId="19945A27" w:rsidR="00021622" w:rsidRDefault="00021622" w:rsidP="008A6E68">
      <w:pPr>
        <w:pStyle w:val="NoSpacing"/>
        <w:spacing w:line="360" w:lineRule="auto"/>
        <w:jc w:val="both"/>
      </w:pPr>
    </w:p>
    <w:p w14:paraId="6B534D27" w14:textId="75C3B9D7" w:rsidR="00021622" w:rsidRDefault="00021622" w:rsidP="008A6E68">
      <w:pPr>
        <w:pStyle w:val="NoSpacing"/>
        <w:spacing w:line="360" w:lineRule="auto"/>
        <w:jc w:val="both"/>
      </w:pPr>
    </w:p>
    <w:p w14:paraId="70BD63DD" w14:textId="2CAD11BE" w:rsidR="00021622" w:rsidRDefault="00021622" w:rsidP="008A6E68">
      <w:pPr>
        <w:pStyle w:val="NoSpacing"/>
        <w:spacing w:line="360" w:lineRule="auto"/>
        <w:jc w:val="both"/>
      </w:pPr>
    </w:p>
    <w:p w14:paraId="068E74A1" w14:textId="221CE65C" w:rsidR="00021622" w:rsidRDefault="00021622" w:rsidP="008A6E68">
      <w:pPr>
        <w:pStyle w:val="NoSpacing"/>
        <w:spacing w:line="360" w:lineRule="auto"/>
        <w:jc w:val="both"/>
      </w:pPr>
    </w:p>
    <w:p w14:paraId="49BE0ECB" w14:textId="1B4A6481" w:rsidR="00021622" w:rsidRDefault="00021622" w:rsidP="008A6E68">
      <w:pPr>
        <w:pStyle w:val="NoSpacing"/>
        <w:spacing w:line="360" w:lineRule="auto"/>
        <w:jc w:val="both"/>
      </w:pPr>
    </w:p>
    <w:p w14:paraId="0FFE6BC7" w14:textId="2E796CA3" w:rsidR="00021622" w:rsidRDefault="00021622" w:rsidP="008A6E68">
      <w:pPr>
        <w:pStyle w:val="NoSpacing"/>
        <w:spacing w:line="360" w:lineRule="auto"/>
        <w:jc w:val="both"/>
      </w:pPr>
    </w:p>
    <w:p w14:paraId="03497DAA" w14:textId="35668B12" w:rsidR="00021622" w:rsidRDefault="00021622" w:rsidP="008A6E68">
      <w:pPr>
        <w:pStyle w:val="NoSpacing"/>
        <w:spacing w:line="360" w:lineRule="auto"/>
        <w:jc w:val="both"/>
      </w:pPr>
    </w:p>
    <w:p w14:paraId="39F200BE" w14:textId="14134348" w:rsidR="00021622" w:rsidRDefault="00021622" w:rsidP="008A6E68">
      <w:pPr>
        <w:pStyle w:val="NoSpacing"/>
        <w:spacing w:line="360" w:lineRule="auto"/>
        <w:jc w:val="both"/>
      </w:pPr>
    </w:p>
    <w:p w14:paraId="4208D4DB" w14:textId="67DABC22" w:rsidR="00021622" w:rsidRDefault="00021622" w:rsidP="008A6E68">
      <w:pPr>
        <w:pStyle w:val="NoSpacing"/>
        <w:spacing w:line="360" w:lineRule="auto"/>
        <w:jc w:val="both"/>
      </w:pPr>
    </w:p>
    <w:p w14:paraId="4D7057BE" w14:textId="69E2E35F" w:rsidR="00021622" w:rsidRDefault="00021622" w:rsidP="008A6E68">
      <w:pPr>
        <w:pStyle w:val="NoSpacing"/>
        <w:spacing w:line="360" w:lineRule="auto"/>
        <w:jc w:val="both"/>
      </w:pPr>
    </w:p>
    <w:p w14:paraId="40399B10" w14:textId="7CFE8FB2" w:rsidR="00021622" w:rsidRDefault="00021622" w:rsidP="008A6E68">
      <w:pPr>
        <w:pStyle w:val="NoSpacing"/>
        <w:spacing w:line="360" w:lineRule="auto"/>
        <w:jc w:val="both"/>
      </w:pPr>
    </w:p>
    <w:p w14:paraId="4CDBAC87" w14:textId="2276A377" w:rsidR="00021622" w:rsidRDefault="00021622" w:rsidP="008A6E68">
      <w:pPr>
        <w:pStyle w:val="NoSpacing"/>
        <w:spacing w:line="360" w:lineRule="auto"/>
        <w:jc w:val="both"/>
      </w:pPr>
    </w:p>
    <w:p w14:paraId="3C69DFB3" w14:textId="44B7BD34" w:rsidR="00021622" w:rsidRDefault="00021622" w:rsidP="008A6E68">
      <w:pPr>
        <w:pStyle w:val="NoSpacing"/>
        <w:spacing w:line="360" w:lineRule="auto"/>
        <w:jc w:val="both"/>
      </w:pPr>
    </w:p>
    <w:p w14:paraId="57E2524D" w14:textId="207C28B8" w:rsidR="00021622" w:rsidRDefault="00021622" w:rsidP="008A6E68">
      <w:pPr>
        <w:pStyle w:val="NoSpacing"/>
        <w:spacing w:line="360" w:lineRule="auto"/>
        <w:jc w:val="both"/>
      </w:pPr>
    </w:p>
    <w:p w14:paraId="5632DF07" w14:textId="78A2F49E" w:rsidR="00021622" w:rsidRDefault="00021622" w:rsidP="008A6E68">
      <w:pPr>
        <w:pStyle w:val="NoSpacing"/>
        <w:spacing w:line="360" w:lineRule="auto"/>
        <w:jc w:val="both"/>
      </w:pPr>
    </w:p>
    <w:p w14:paraId="1E8F52E0" w14:textId="7B6B306A" w:rsidR="00021622" w:rsidRDefault="00021622" w:rsidP="008A6E68">
      <w:pPr>
        <w:pStyle w:val="NoSpacing"/>
        <w:spacing w:line="360" w:lineRule="auto"/>
        <w:jc w:val="both"/>
      </w:pPr>
    </w:p>
    <w:p w14:paraId="5A2D58EE" w14:textId="18B97735" w:rsidR="00021622" w:rsidRDefault="00021622" w:rsidP="008A6E68">
      <w:pPr>
        <w:pStyle w:val="NoSpacing"/>
        <w:spacing w:line="360" w:lineRule="auto"/>
        <w:jc w:val="both"/>
      </w:pPr>
    </w:p>
    <w:p w14:paraId="4075D233" w14:textId="77777777" w:rsidR="008937E6" w:rsidRDefault="008937E6" w:rsidP="008A6E68">
      <w:pPr>
        <w:pStyle w:val="NoSpacing"/>
        <w:spacing w:line="360" w:lineRule="auto"/>
        <w:jc w:val="both"/>
      </w:pPr>
    </w:p>
    <w:p w14:paraId="122A6DF3" w14:textId="57B4FB40" w:rsidR="00021622" w:rsidRDefault="00021622" w:rsidP="00021622">
      <w:pPr>
        <w:pStyle w:val="NoSpacing"/>
        <w:spacing w:line="360" w:lineRule="auto"/>
        <w:jc w:val="center"/>
      </w:pPr>
      <w:r>
        <w:rPr>
          <w:b/>
          <w:bCs/>
          <w:u w:val="single"/>
        </w:rPr>
        <w:lastRenderedPageBreak/>
        <w:t>Reference List</w:t>
      </w:r>
    </w:p>
    <w:p w14:paraId="78BF022D" w14:textId="424E3EBF" w:rsidR="008937E6" w:rsidRDefault="008937E6" w:rsidP="008937E6">
      <w:pPr>
        <w:pStyle w:val="NoSpacing"/>
        <w:spacing w:line="360" w:lineRule="auto"/>
      </w:pPr>
      <w:r>
        <w:t>Claydon</w:t>
      </w:r>
      <w:r>
        <w:t xml:space="preserve">. L, </w:t>
      </w:r>
      <w:proofErr w:type="spellStart"/>
      <w:r>
        <w:t>Catley</w:t>
      </w:r>
      <w:proofErr w:type="spellEnd"/>
      <w:r>
        <w:t>. P,</w:t>
      </w:r>
      <w:r>
        <w:t xml:space="preserve"> (2016</w:t>
      </w:r>
      <w:r>
        <w:t>),</w:t>
      </w:r>
      <w:r>
        <w:t xml:space="preserve"> Abolishing the Insanity Verdict in England and Wales: A Better Balance between Legal Rules and Scientific Understanding</w:t>
      </w:r>
      <w:r>
        <w:t>, Open University Online: London</w:t>
      </w:r>
      <w:r>
        <w:t xml:space="preserve"> </w:t>
      </w:r>
    </w:p>
    <w:p w14:paraId="4ECA08AB" w14:textId="37BB5573" w:rsidR="008937E6" w:rsidRDefault="008937E6" w:rsidP="008937E6">
      <w:pPr>
        <w:pStyle w:val="NoSpacing"/>
        <w:spacing w:line="360" w:lineRule="auto"/>
      </w:pPr>
    </w:p>
    <w:p w14:paraId="28C9E1A3" w14:textId="3FDE7B04" w:rsidR="008937E6" w:rsidRPr="008937E6" w:rsidRDefault="008937E6" w:rsidP="008937E6">
      <w:pPr>
        <w:pStyle w:val="NoSpacing"/>
        <w:spacing w:line="360" w:lineRule="auto"/>
      </w:pPr>
      <w:r>
        <w:t xml:space="preserve">College Law, (2014), </w:t>
      </w:r>
      <w:r>
        <w:rPr>
          <w:i/>
          <w:iCs/>
        </w:rPr>
        <w:t>Free Revision Notes for Criminal Law: Defence of Insanity</w:t>
      </w:r>
      <w:r>
        <w:t xml:space="preserve">, available at: </w:t>
      </w:r>
      <w:hyperlink r:id="rId6" w:history="1">
        <w:r w:rsidRPr="00FA2605">
          <w:rPr>
            <w:rStyle w:val="Hyperlink"/>
          </w:rPr>
          <w:t>https://www.collegelaw.co.uk/criminal-law/defence_of_insanity/index.html</w:t>
        </w:r>
      </w:hyperlink>
      <w:r>
        <w:t xml:space="preserve"> – Accessed 12/07/2021</w:t>
      </w:r>
    </w:p>
    <w:p w14:paraId="2073922B" w14:textId="77777777" w:rsidR="008937E6" w:rsidRDefault="008937E6" w:rsidP="00021622">
      <w:pPr>
        <w:pStyle w:val="NoSpacing"/>
        <w:spacing w:line="360" w:lineRule="auto"/>
        <w:jc w:val="both"/>
      </w:pPr>
    </w:p>
    <w:p w14:paraId="3CF9FE7F" w14:textId="6840FE95" w:rsidR="00021622" w:rsidRDefault="00021622" w:rsidP="00021622">
      <w:pPr>
        <w:pStyle w:val="NoSpacing"/>
        <w:spacing w:line="360" w:lineRule="auto"/>
        <w:jc w:val="both"/>
      </w:pPr>
      <w:r>
        <w:t xml:space="preserve">E-Law Resources, (2020), </w:t>
      </w:r>
      <w:r>
        <w:rPr>
          <w:i/>
          <w:iCs/>
        </w:rPr>
        <w:t>Defence of Insanity</w:t>
      </w:r>
      <w:r>
        <w:t xml:space="preserve">, available at: </w:t>
      </w:r>
      <w:hyperlink r:id="rId7" w:history="1">
        <w:r w:rsidRPr="00FA2605">
          <w:rPr>
            <w:rStyle w:val="Hyperlink"/>
          </w:rPr>
          <w:t>http://www.e-lawresources.co.uk/Insanity.php</w:t>
        </w:r>
      </w:hyperlink>
      <w:r>
        <w:t>, Accessed 04/</w:t>
      </w:r>
      <w:r w:rsidR="008937E6">
        <w:t>07/2021</w:t>
      </w:r>
    </w:p>
    <w:p w14:paraId="31CB8298" w14:textId="675DDAD5" w:rsidR="008937E6" w:rsidRDefault="008937E6" w:rsidP="00021622">
      <w:pPr>
        <w:pStyle w:val="NoSpacing"/>
        <w:spacing w:line="360" w:lineRule="auto"/>
        <w:jc w:val="both"/>
      </w:pPr>
    </w:p>
    <w:p w14:paraId="16A10083" w14:textId="11316708" w:rsidR="008937E6" w:rsidRDefault="008937E6" w:rsidP="00021622">
      <w:pPr>
        <w:pStyle w:val="NoSpacing"/>
        <w:spacing w:line="360" w:lineRule="auto"/>
        <w:jc w:val="both"/>
      </w:pPr>
      <w:r>
        <w:t xml:space="preserve">Elliott. C, Quinn. F, (2011), The English Legal System Twelfth Edition, Pearson: London </w:t>
      </w:r>
    </w:p>
    <w:p w14:paraId="2F4A5CC6" w14:textId="49DCDABF" w:rsidR="008937E6" w:rsidRDefault="008937E6" w:rsidP="00021622">
      <w:pPr>
        <w:pStyle w:val="NoSpacing"/>
        <w:spacing w:line="360" w:lineRule="auto"/>
        <w:jc w:val="both"/>
      </w:pPr>
    </w:p>
    <w:p w14:paraId="38C0B63E" w14:textId="675F85EB" w:rsidR="00BC737D" w:rsidRDefault="00BC737D" w:rsidP="00021622">
      <w:pPr>
        <w:pStyle w:val="NoSpacing"/>
        <w:spacing w:line="360" w:lineRule="auto"/>
        <w:jc w:val="both"/>
      </w:pPr>
      <w:r>
        <w:t xml:space="preserve">The Law Commission, (2012), </w:t>
      </w:r>
      <w:r>
        <w:rPr>
          <w:i/>
          <w:iCs/>
        </w:rPr>
        <w:t>Criminal Liability: Insanity and Automatism Scoping Paper</w:t>
      </w:r>
      <w:r>
        <w:t xml:space="preserve">, available at: </w:t>
      </w:r>
      <w:hyperlink r:id="rId8" w:history="1">
        <w:r w:rsidRPr="00FA2605">
          <w:rPr>
            <w:rStyle w:val="Hyperlink"/>
          </w:rPr>
          <w:t>https://s3-eu-west-2.amazonaws.com/lawcom-prod-storage-11jsxou24uy7q/uploads/2015/06/insanity_scoping.pdf</w:t>
        </w:r>
      </w:hyperlink>
      <w:r>
        <w:t xml:space="preserve"> - Accessed 13/07/2021</w:t>
      </w:r>
    </w:p>
    <w:p w14:paraId="1CF3EBDC" w14:textId="6AB9DD8C" w:rsidR="00BC737D" w:rsidRDefault="00BC737D" w:rsidP="00021622">
      <w:pPr>
        <w:pStyle w:val="NoSpacing"/>
        <w:spacing w:line="360" w:lineRule="auto"/>
        <w:jc w:val="both"/>
      </w:pPr>
    </w:p>
    <w:p w14:paraId="77753D64" w14:textId="350968E6" w:rsidR="00BC737D" w:rsidRDefault="00BC737D" w:rsidP="00021622">
      <w:pPr>
        <w:pStyle w:val="NoSpacing"/>
        <w:spacing w:line="360" w:lineRule="auto"/>
        <w:jc w:val="both"/>
      </w:pPr>
      <w:r>
        <w:t xml:space="preserve">The Law Commission, (2012), </w:t>
      </w:r>
      <w:r>
        <w:rPr>
          <w:i/>
          <w:iCs/>
        </w:rPr>
        <w:t>Criminal Liability: Insanity and Automatism Supplementary Material to the Scoping Paper</w:t>
      </w:r>
      <w:r>
        <w:t xml:space="preserve">, available at: </w:t>
      </w:r>
      <w:hyperlink r:id="rId9" w:history="1">
        <w:r w:rsidRPr="00FA2605">
          <w:rPr>
            <w:rStyle w:val="Hyperlink"/>
          </w:rPr>
          <w:t>http://www.lawcom.gov.uk/app/uploads/2015/06/insanity_scoping_supplementary.pdf</w:t>
        </w:r>
      </w:hyperlink>
      <w:r>
        <w:t xml:space="preserve"> - Accessed 12/07/2021 </w:t>
      </w:r>
    </w:p>
    <w:p w14:paraId="450A2096" w14:textId="77777777" w:rsidR="00BC737D" w:rsidRPr="00BC737D" w:rsidRDefault="00BC737D" w:rsidP="00021622">
      <w:pPr>
        <w:pStyle w:val="NoSpacing"/>
        <w:spacing w:line="360" w:lineRule="auto"/>
        <w:jc w:val="both"/>
      </w:pPr>
    </w:p>
    <w:p w14:paraId="6B14D002" w14:textId="54AC2333" w:rsidR="00BC737D" w:rsidRDefault="008937E6" w:rsidP="00021622">
      <w:pPr>
        <w:pStyle w:val="NoSpacing"/>
        <w:spacing w:line="360" w:lineRule="auto"/>
        <w:jc w:val="both"/>
      </w:pPr>
      <w:r>
        <w:t xml:space="preserve">The Law Commission, (2013), </w:t>
      </w:r>
      <w:r>
        <w:rPr>
          <w:i/>
          <w:iCs/>
        </w:rPr>
        <w:t>Criminal Liability: Insanity and Automatism A Discussion Paper</w:t>
      </w:r>
      <w:r>
        <w:t xml:space="preserve">, available at: </w:t>
      </w:r>
      <w:hyperlink r:id="rId10" w:history="1">
        <w:r w:rsidR="00BC737D" w:rsidRPr="00FA2605">
          <w:rPr>
            <w:rStyle w:val="Hyperlink"/>
          </w:rPr>
          <w:t>http://www.lawcom.gov.uk/app/uploads/2015/06/insanity_discussion.pdf</w:t>
        </w:r>
      </w:hyperlink>
      <w:r w:rsidR="00BC737D">
        <w:t xml:space="preserve"> - Accessed 13/07/2021</w:t>
      </w:r>
    </w:p>
    <w:p w14:paraId="6ACF31EB" w14:textId="76AB3462" w:rsidR="00BC737D" w:rsidRDefault="00BC737D" w:rsidP="00021622">
      <w:pPr>
        <w:pStyle w:val="NoSpacing"/>
        <w:spacing w:line="360" w:lineRule="auto"/>
        <w:jc w:val="both"/>
      </w:pPr>
    </w:p>
    <w:p w14:paraId="21057DDA" w14:textId="7715C4D6" w:rsidR="00BC737D" w:rsidRDefault="00632ACA" w:rsidP="00021622">
      <w:pPr>
        <w:pStyle w:val="NoSpacing"/>
        <w:spacing w:line="360" w:lineRule="auto"/>
        <w:jc w:val="both"/>
      </w:pPr>
      <w:r>
        <w:rPr>
          <w:u w:val="single"/>
        </w:rPr>
        <w:t>Case List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32ACA" w:rsidRPr="00632ACA" w14:paraId="0B3D713C" w14:textId="77777777" w:rsidTr="00632ACA">
        <w:tc>
          <w:tcPr>
            <w:tcW w:w="4508" w:type="dxa"/>
          </w:tcPr>
          <w:p w14:paraId="1C396752" w14:textId="23D43395" w:rsidR="00632ACA" w:rsidRPr="00632ACA" w:rsidRDefault="00632ACA" w:rsidP="00021622">
            <w:pPr>
              <w:pStyle w:val="NoSpacing"/>
              <w:spacing w:line="360" w:lineRule="auto"/>
              <w:jc w:val="both"/>
              <w:rPr>
                <w:sz w:val="21"/>
                <w:szCs w:val="21"/>
              </w:rPr>
            </w:pPr>
            <w:proofErr w:type="spellStart"/>
            <w:r>
              <w:rPr>
                <w:sz w:val="21"/>
                <w:szCs w:val="21"/>
              </w:rPr>
              <w:t>M’Naghten</w:t>
            </w:r>
            <w:proofErr w:type="spellEnd"/>
            <w:r>
              <w:rPr>
                <w:sz w:val="21"/>
                <w:szCs w:val="21"/>
              </w:rPr>
              <w:t xml:space="preserve"> [1842]</w:t>
            </w:r>
          </w:p>
        </w:tc>
        <w:tc>
          <w:tcPr>
            <w:tcW w:w="4508" w:type="dxa"/>
          </w:tcPr>
          <w:p w14:paraId="613D644B" w14:textId="19FF46F8" w:rsidR="00632ACA" w:rsidRPr="00632ACA" w:rsidRDefault="00632ACA" w:rsidP="00021622">
            <w:pPr>
              <w:pStyle w:val="NoSpacing"/>
              <w:spacing w:line="360" w:lineRule="auto"/>
              <w:jc w:val="both"/>
              <w:rPr>
                <w:sz w:val="21"/>
                <w:szCs w:val="21"/>
              </w:rPr>
            </w:pPr>
            <w:r>
              <w:rPr>
                <w:sz w:val="21"/>
                <w:szCs w:val="21"/>
              </w:rPr>
              <w:t>R v Rolfe [1952]</w:t>
            </w:r>
          </w:p>
        </w:tc>
      </w:tr>
      <w:tr w:rsidR="00632ACA" w:rsidRPr="00632ACA" w14:paraId="639D33A8" w14:textId="77777777" w:rsidTr="00632ACA">
        <w:tc>
          <w:tcPr>
            <w:tcW w:w="4508" w:type="dxa"/>
          </w:tcPr>
          <w:p w14:paraId="4F2DB20F" w14:textId="7796BF0E" w:rsidR="00632ACA" w:rsidRPr="00632ACA" w:rsidRDefault="00632ACA" w:rsidP="00021622">
            <w:pPr>
              <w:pStyle w:val="NoSpacing"/>
              <w:spacing w:line="360" w:lineRule="auto"/>
              <w:jc w:val="both"/>
              <w:rPr>
                <w:sz w:val="21"/>
                <w:szCs w:val="21"/>
              </w:rPr>
            </w:pPr>
            <w:r>
              <w:rPr>
                <w:sz w:val="21"/>
                <w:szCs w:val="21"/>
              </w:rPr>
              <w:t>R v Cunningham [1957]</w:t>
            </w:r>
          </w:p>
        </w:tc>
        <w:tc>
          <w:tcPr>
            <w:tcW w:w="4508" w:type="dxa"/>
          </w:tcPr>
          <w:p w14:paraId="2714CA2F" w14:textId="19717F04" w:rsidR="00632ACA" w:rsidRPr="00632ACA" w:rsidRDefault="00632ACA" w:rsidP="00021622">
            <w:pPr>
              <w:pStyle w:val="NoSpacing"/>
              <w:spacing w:line="360" w:lineRule="auto"/>
              <w:jc w:val="both"/>
              <w:rPr>
                <w:sz w:val="21"/>
                <w:szCs w:val="21"/>
              </w:rPr>
            </w:pPr>
            <w:r>
              <w:rPr>
                <w:sz w:val="21"/>
                <w:szCs w:val="21"/>
              </w:rPr>
              <w:t>R v Savage &amp; Parmenter [1989]</w:t>
            </w:r>
          </w:p>
        </w:tc>
      </w:tr>
      <w:tr w:rsidR="00632ACA" w:rsidRPr="00632ACA" w14:paraId="42E7EA0F" w14:textId="77777777" w:rsidTr="00632ACA">
        <w:tc>
          <w:tcPr>
            <w:tcW w:w="4508" w:type="dxa"/>
          </w:tcPr>
          <w:p w14:paraId="20D391EB" w14:textId="7E738AEF" w:rsidR="00632ACA" w:rsidRPr="00632ACA" w:rsidRDefault="00632ACA" w:rsidP="00021622">
            <w:pPr>
              <w:pStyle w:val="NoSpacing"/>
              <w:spacing w:line="360" w:lineRule="auto"/>
              <w:jc w:val="both"/>
              <w:rPr>
                <w:sz w:val="21"/>
                <w:szCs w:val="21"/>
              </w:rPr>
            </w:pPr>
            <w:r>
              <w:rPr>
                <w:sz w:val="21"/>
                <w:szCs w:val="21"/>
              </w:rPr>
              <w:t>Ireland &amp; Burstow [1998]</w:t>
            </w:r>
          </w:p>
        </w:tc>
        <w:tc>
          <w:tcPr>
            <w:tcW w:w="4508" w:type="dxa"/>
          </w:tcPr>
          <w:p w14:paraId="6F91AEB3" w14:textId="4C1CEFD5" w:rsidR="00632ACA" w:rsidRPr="00632ACA" w:rsidRDefault="00632ACA" w:rsidP="00021622">
            <w:pPr>
              <w:pStyle w:val="NoSpacing"/>
              <w:spacing w:line="360" w:lineRule="auto"/>
              <w:jc w:val="both"/>
              <w:rPr>
                <w:sz w:val="21"/>
                <w:szCs w:val="21"/>
              </w:rPr>
            </w:pPr>
            <w:r>
              <w:rPr>
                <w:sz w:val="21"/>
                <w:szCs w:val="21"/>
              </w:rPr>
              <w:t>R v Vienna [1975]</w:t>
            </w:r>
          </w:p>
        </w:tc>
      </w:tr>
      <w:tr w:rsidR="00632ACA" w:rsidRPr="00632ACA" w14:paraId="5DD0974A" w14:textId="77777777" w:rsidTr="00632ACA">
        <w:tc>
          <w:tcPr>
            <w:tcW w:w="4508" w:type="dxa"/>
          </w:tcPr>
          <w:p w14:paraId="560B23FB" w14:textId="65AB9EBA" w:rsidR="00632ACA" w:rsidRPr="00632ACA" w:rsidRDefault="00632ACA" w:rsidP="00021622">
            <w:pPr>
              <w:pStyle w:val="NoSpacing"/>
              <w:spacing w:line="360" w:lineRule="auto"/>
              <w:jc w:val="both"/>
              <w:rPr>
                <w:sz w:val="21"/>
                <w:szCs w:val="21"/>
              </w:rPr>
            </w:pPr>
            <w:r>
              <w:rPr>
                <w:sz w:val="21"/>
                <w:szCs w:val="21"/>
              </w:rPr>
              <w:t>R v Larkin [1942]</w:t>
            </w:r>
          </w:p>
        </w:tc>
        <w:tc>
          <w:tcPr>
            <w:tcW w:w="4508" w:type="dxa"/>
          </w:tcPr>
          <w:p w14:paraId="0470288F" w14:textId="204B1938" w:rsidR="00632ACA" w:rsidRPr="00632ACA" w:rsidRDefault="00632ACA" w:rsidP="00021622">
            <w:pPr>
              <w:pStyle w:val="NoSpacing"/>
              <w:spacing w:line="360" w:lineRule="auto"/>
              <w:jc w:val="both"/>
              <w:rPr>
                <w:sz w:val="21"/>
                <w:szCs w:val="21"/>
              </w:rPr>
            </w:pPr>
            <w:r>
              <w:rPr>
                <w:sz w:val="21"/>
                <w:szCs w:val="21"/>
              </w:rPr>
              <w:t>R v Woollin [1999]</w:t>
            </w:r>
          </w:p>
        </w:tc>
      </w:tr>
      <w:tr w:rsidR="00632ACA" w:rsidRPr="00632ACA" w14:paraId="525283FA" w14:textId="77777777" w:rsidTr="00632ACA">
        <w:tc>
          <w:tcPr>
            <w:tcW w:w="4508" w:type="dxa"/>
          </w:tcPr>
          <w:p w14:paraId="2D77485A" w14:textId="77777777" w:rsidR="00632ACA" w:rsidRDefault="00632ACA" w:rsidP="00021622">
            <w:pPr>
              <w:pStyle w:val="NoSpacing"/>
              <w:spacing w:line="360" w:lineRule="auto"/>
              <w:jc w:val="both"/>
              <w:rPr>
                <w:sz w:val="21"/>
                <w:szCs w:val="21"/>
              </w:rPr>
            </w:pPr>
          </w:p>
        </w:tc>
        <w:tc>
          <w:tcPr>
            <w:tcW w:w="4508" w:type="dxa"/>
          </w:tcPr>
          <w:p w14:paraId="541F5D7E" w14:textId="77777777" w:rsidR="00632ACA" w:rsidRDefault="00632ACA" w:rsidP="00021622">
            <w:pPr>
              <w:pStyle w:val="NoSpacing"/>
              <w:spacing w:line="360" w:lineRule="auto"/>
              <w:jc w:val="both"/>
              <w:rPr>
                <w:sz w:val="21"/>
                <w:szCs w:val="21"/>
              </w:rPr>
            </w:pPr>
          </w:p>
        </w:tc>
      </w:tr>
    </w:tbl>
    <w:p w14:paraId="417BC822" w14:textId="200993B7" w:rsidR="00632ACA" w:rsidRPr="00632ACA" w:rsidRDefault="00632ACA" w:rsidP="00632ACA">
      <w:pPr>
        <w:tabs>
          <w:tab w:val="left" w:pos="2193"/>
        </w:tabs>
      </w:pPr>
    </w:p>
    <w:sectPr w:rsidR="00632ACA" w:rsidRPr="00632ACA" w:rsidSect="00257DEA">
      <w:headerReference w:type="default" r:id="rId11"/>
      <w:footerReference w:type="even" r:id="rId12"/>
      <w:footerReference w:type="default" r:id="rId13"/>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FFC249" w14:textId="77777777" w:rsidR="00C45137" w:rsidRDefault="00C45137" w:rsidP="00257DEA">
      <w:r>
        <w:separator/>
      </w:r>
    </w:p>
  </w:endnote>
  <w:endnote w:type="continuationSeparator" w:id="0">
    <w:p w14:paraId="6F4BC008" w14:textId="77777777" w:rsidR="00C45137" w:rsidRDefault="00C45137" w:rsidP="00257D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9434234"/>
      <w:docPartObj>
        <w:docPartGallery w:val="Page Numbers (Bottom of Page)"/>
        <w:docPartUnique/>
      </w:docPartObj>
    </w:sdtPr>
    <w:sdtEndPr>
      <w:rPr>
        <w:rStyle w:val="PageNumber"/>
      </w:rPr>
    </w:sdtEndPr>
    <w:sdtContent>
      <w:p w14:paraId="7B87826E" w14:textId="5C64F16F" w:rsidR="00257DEA" w:rsidRDefault="00257DEA" w:rsidP="004B16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7B2F38" w14:textId="77777777" w:rsidR="00257DEA" w:rsidRDefault="00257D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8225883"/>
      <w:docPartObj>
        <w:docPartGallery w:val="Page Numbers (Bottom of Page)"/>
        <w:docPartUnique/>
      </w:docPartObj>
    </w:sdtPr>
    <w:sdtEndPr>
      <w:rPr>
        <w:rStyle w:val="PageNumber"/>
      </w:rPr>
    </w:sdtEndPr>
    <w:sdtContent>
      <w:p w14:paraId="7991E561" w14:textId="6EECAA00" w:rsidR="00257DEA" w:rsidRDefault="00257DEA" w:rsidP="004B168A">
        <w:pPr>
          <w:pStyle w:val="Footer"/>
          <w:framePr w:wrap="none" w:vAnchor="text" w:hAnchor="margin" w:xAlign="center" w:y="1"/>
          <w:rPr>
            <w:rStyle w:val="PageNumber"/>
          </w:rPr>
        </w:pPr>
        <w:r w:rsidRPr="00257DEA">
          <w:rPr>
            <w:rStyle w:val="PageNumber"/>
            <w:b/>
            <w:bCs/>
            <w:color w:val="0432FF"/>
          </w:rPr>
          <w:fldChar w:fldCharType="begin"/>
        </w:r>
        <w:r w:rsidRPr="00257DEA">
          <w:rPr>
            <w:rStyle w:val="PageNumber"/>
            <w:b/>
            <w:bCs/>
            <w:color w:val="0432FF"/>
          </w:rPr>
          <w:instrText xml:space="preserve"> PAGE </w:instrText>
        </w:r>
        <w:r w:rsidRPr="00257DEA">
          <w:rPr>
            <w:rStyle w:val="PageNumber"/>
            <w:b/>
            <w:bCs/>
            <w:color w:val="0432FF"/>
          </w:rPr>
          <w:fldChar w:fldCharType="separate"/>
        </w:r>
        <w:r w:rsidRPr="00257DEA">
          <w:rPr>
            <w:rStyle w:val="PageNumber"/>
            <w:b/>
            <w:bCs/>
            <w:noProof/>
            <w:color w:val="0432FF"/>
          </w:rPr>
          <w:t>- 1 -</w:t>
        </w:r>
        <w:r w:rsidRPr="00257DEA">
          <w:rPr>
            <w:rStyle w:val="PageNumber"/>
            <w:b/>
            <w:bCs/>
            <w:color w:val="0432FF"/>
          </w:rPr>
          <w:fldChar w:fldCharType="end"/>
        </w:r>
      </w:p>
    </w:sdtContent>
  </w:sdt>
  <w:p w14:paraId="0764B585" w14:textId="77777777" w:rsidR="00257DEA" w:rsidRDefault="00257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ED0D67" w14:textId="77777777" w:rsidR="00C45137" w:rsidRDefault="00C45137" w:rsidP="00257DEA">
      <w:r>
        <w:separator/>
      </w:r>
    </w:p>
  </w:footnote>
  <w:footnote w:type="continuationSeparator" w:id="0">
    <w:p w14:paraId="1EA84DB7" w14:textId="77777777" w:rsidR="00C45137" w:rsidRDefault="00C45137" w:rsidP="00257D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451AE4" w14:textId="5A152B1C" w:rsidR="00257DEA" w:rsidRDefault="00257DEA" w:rsidP="00257DEA">
    <w:pPr>
      <w:pStyle w:val="NoSpacing"/>
      <w:jc w:val="center"/>
      <w:rPr>
        <w:b/>
        <w:bCs/>
        <w:color w:val="0432FF"/>
      </w:rPr>
    </w:pPr>
    <w:r>
      <w:rPr>
        <w:b/>
        <w:bCs/>
        <w:color w:val="0432FF"/>
      </w:rPr>
      <w:t>University of Wales Trinity Saint David | Swansea Business Campus</w:t>
    </w:r>
  </w:p>
  <w:p w14:paraId="7923BE1D" w14:textId="2BE8F1C6" w:rsidR="00257DEA" w:rsidRDefault="00257DEA" w:rsidP="00257DEA">
    <w:pPr>
      <w:pStyle w:val="NoSpacing"/>
      <w:jc w:val="center"/>
      <w:rPr>
        <w:color w:val="000000" w:themeColor="text1"/>
      </w:rPr>
    </w:pPr>
    <w:r>
      <w:rPr>
        <w:color w:val="000000" w:themeColor="text1"/>
      </w:rPr>
      <w:t>Law and Legal Practice (B</w:t>
    </w:r>
    <w:r w:rsidR="008A667C">
      <w:rPr>
        <w:color w:val="000000" w:themeColor="text1"/>
      </w:rPr>
      <w:t>A</w:t>
    </w:r>
    <w:r>
      <w:rPr>
        <w:color w:val="000000" w:themeColor="text1"/>
      </w:rPr>
      <w:t>) | Criminal Law BMLW4002 | Lecturer: Laura Knight</w:t>
    </w:r>
  </w:p>
  <w:p w14:paraId="2D49FDFD" w14:textId="19D11395" w:rsidR="00257DEA" w:rsidRDefault="00257DEA" w:rsidP="00257DEA">
    <w:pPr>
      <w:pStyle w:val="NoSpacing"/>
      <w:jc w:val="center"/>
      <w:rPr>
        <w:color w:val="000000" w:themeColor="text1"/>
      </w:rPr>
    </w:pPr>
    <w:r>
      <w:rPr>
        <w:color w:val="000000" w:themeColor="text1"/>
      </w:rPr>
      <w:t xml:space="preserve">Ryan Green | 2017590 | 2017590@student.uwtsd.ac.uk </w:t>
    </w:r>
  </w:p>
  <w:p w14:paraId="04E8F859" w14:textId="77777777" w:rsidR="00257DEA" w:rsidRPr="00257DEA" w:rsidRDefault="00257DEA" w:rsidP="00257DEA">
    <w:pPr>
      <w:pStyle w:val="NoSpacing"/>
      <w:jc w:val="center"/>
      <w:rPr>
        <w:color w:val="000000" w:themeColor="text1"/>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DEA"/>
    <w:rsid w:val="00021622"/>
    <w:rsid w:val="00083019"/>
    <w:rsid w:val="00111221"/>
    <w:rsid w:val="00154078"/>
    <w:rsid w:val="00257DEA"/>
    <w:rsid w:val="00266470"/>
    <w:rsid w:val="00297779"/>
    <w:rsid w:val="002B0972"/>
    <w:rsid w:val="00305DC1"/>
    <w:rsid w:val="004A201F"/>
    <w:rsid w:val="005F412D"/>
    <w:rsid w:val="00632ACA"/>
    <w:rsid w:val="008937E6"/>
    <w:rsid w:val="008A667C"/>
    <w:rsid w:val="008A6E68"/>
    <w:rsid w:val="00A456A6"/>
    <w:rsid w:val="00B069F9"/>
    <w:rsid w:val="00BB4B69"/>
    <w:rsid w:val="00BC737D"/>
    <w:rsid w:val="00BD6BFE"/>
    <w:rsid w:val="00C45137"/>
    <w:rsid w:val="00D36526"/>
    <w:rsid w:val="00E874AE"/>
    <w:rsid w:val="00EC51AB"/>
    <w:rsid w:val="00F60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76B35E"/>
  <w15:chartTrackingRefBased/>
  <w15:docId w15:val="{1AFE77F5-B595-154A-9F16-7D67118AD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7DEA"/>
    <w:pPr>
      <w:tabs>
        <w:tab w:val="center" w:pos="4513"/>
        <w:tab w:val="right" w:pos="9026"/>
      </w:tabs>
    </w:pPr>
  </w:style>
  <w:style w:type="character" w:customStyle="1" w:styleId="HeaderChar">
    <w:name w:val="Header Char"/>
    <w:basedOn w:val="DefaultParagraphFont"/>
    <w:link w:val="Header"/>
    <w:uiPriority w:val="99"/>
    <w:rsid w:val="00257DEA"/>
  </w:style>
  <w:style w:type="paragraph" w:styleId="Footer">
    <w:name w:val="footer"/>
    <w:basedOn w:val="Normal"/>
    <w:link w:val="FooterChar"/>
    <w:uiPriority w:val="99"/>
    <w:unhideWhenUsed/>
    <w:rsid w:val="00257DEA"/>
    <w:pPr>
      <w:tabs>
        <w:tab w:val="center" w:pos="4513"/>
        <w:tab w:val="right" w:pos="9026"/>
      </w:tabs>
    </w:pPr>
  </w:style>
  <w:style w:type="character" w:customStyle="1" w:styleId="FooterChar">
    <w:name w:val="Footer Char"/>
    <w:basedOn w:val="DefaultParagraphFont"/>
    <w:link w:val="Footer"/>
    <w:uiPriority w:val="99"/>
    <w:rsid w:val="00257DEA"/>
  </w:style>
  <w:style w:type="paragraph" w:styleId="NoSpacing">
    <w:name w:val="No Spacing"/>
    <w:uiPriority w:val="1"/>
    <w:qFormat/>
    <w:rsid w:val="00257DEA"/>
  </w:style>
  <w:style w:type="character" w:styleId="Hyperlink">
    <w:name w:val="Hyperlink"/>
    <w:basedOn w:val="DefaultParagraphFont"/>
    <w:uiPriority w:val="99"/>
    <w:unhideWhenUsed/>
    <w:rsid w:val="00257DEA"/>
    <w:rPr>
      <w:color w:val="0563C1" w:themeColor="hyperlink"/>
      <w:u w:val="single"/>
    </w:rPr>
  </w:style>
  <w:style w:type="character" w:styleId="UnresolvedMention">
    <w:name w:val="Unresolved Mention"/>
    <w:basedOn w:val="DefaultParagraphFont"/>
    <w:uiPriority w:val="99"/>
    <w:semiHidden/>
    <w:unhideWhenUsed/>
    <w:rsid w:val="00257DEA"/>
    <w:rPr>
      <w:color w:val="605E5C"/>
      <w:shd w:val="clear" w:color="auto" w:fill="E1DFDD"/>
    </w:rPr>
  </w:style>
  <w:style w:type="character" w:styleId="PageNumber">
    <w:name w:val="page number"/>
    <w:basedOn w:val="DefaultParagraphFont"/>
    <w:uiPriority w:val="99"/>
    <w:semiHidden/>
    <w:unhideWhenUsed/>
    <w:rsid w:val="00257DEA"/>
  </w:style>
  <w:style w:type="paragraph" w:styleId="NormalWeb">
    <w:name w:val="Normal (Web)"/>
    <w:basedOn w:val="Normal"/>
    <w:uiPriority w:val="99"/>
    <w:semiHidden/>
    <w:unhideWhenUsed/>
    <w:rsid w:val="008937E6"/>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632A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5511607">
      <w:bodyDiv w:val="1"/>
      <w:marLeft w:val="0"/>
      <w:marRight w:val="0"/>
      <w:marTop w:val="0"/>
      <w:marBottom w:val="0"/>
      <w:divBdr>
        <w:top w:val="none" w:sz="0" w:space="0" w:color="auto"/>
        <w:left w:val="none" w:sz="0" w:space="0" w:color="auto"/>
        <w:bottom w:val="none" w:sz="0" w:space="0" w:color="auto"/>
        <w:right w:val="none" w:sz="0" w:space="0" w:color="auto"/>
      </w:divBdr>
      <w:divsChild>
        <w:div w:id="872619048">
          <w:marLeft w:val="0"/>
          <w:marRight w:val="0"/>
          <w:marTop w:val="0"/>
          <w:marBottom w:val="0"/>
          <w:divBdr>
            <w:top w:val="none" w:sz="0" w:space="0" w:color="auto"/>
            <w:left w:val="none" w:sz="0" w:space="0" w:color="auto"/>
            <w:bottom w:val="none" w:sz="0" w:space="0" w:color="auto"/>
            <w:right w:val="none" w:sz="0" w:space="0" w:color="auto"/>
          </w:divBdr>
          <w:divsChild>
            <w:div w:id="31421429">
              <w:marLeft w:val="0"/>
              <w:marRight w:val="0"/>
              <w:marTop w:val="0"/>
              <w:marBottom w:val="0"/>
              <w:divBdr>
                <w:top w:val="none" w:sz="0" w:space="0" w:color="auto"/>
                <w:left w:val="none" w:sz="0" w:space="0" w:color="auto"/>
                <w:bottom w:val="none" w:sz="0" w:space="0" w:color="auto"/>
                <w:right w:val="none" w:sz="0" w:space="0" w:color="auto"/>
              </w:divBdr>
              <w:divsChild>
                <w:div w:id="1962034901">
                  <w:marLeft w:val="0"/>
                  <w:marRight w:val="0"/>
                  <w:marTop w:val="0"/>
                  <w:marBottom w:val="0"/>
                  <w:divBdr>
                    <w:top w:val="none" w:sz="0" w:space="0" w:color="auto"/>
                    <w:left w:val="none" w:sz="0" w:space="0" w:color="auto"/>
                    <w:bottom w:val="none" w:sz="0" w:space="0" w:color="auto"/>
                    <w:right w:val="none" w:sz="0" w:space="0" w:color="auto"/>
                  </w:divBdr>
                  <w:divsChild>
                    <w:div w:id="29479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2.amazonaws.com/lawcom-prod-storage-11jsxou24uy7q/uploads/2015/06/insanity_scoping.pdf"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e-lawresources.co.uk/Insanity.php"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law.co.uk/criminal-law/defence_of_insanity/index.html"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lawcom.gov.uk/app/uploads/2015/06/insanity_discussion.pdf" TargetMode="External"/><Relationship Id="rId4" Type="http://schemas.openxmlformats.org/officeDocument/2006/relationships/footnotes" Target="footnotes.xml"/><Relationship Id="rId9" Type="http://schemas.openxmlformats.org/officeDocument/2006/relationships/hyperlink" Target="http://www.lawcom.gov.uk/app/uploads/2015/06/insanity_scoping_supplementary.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1897</Words>
  <Characters>10815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12687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dc:creator>
  <cp:keywords/>
  <dc:description/>
  <cp:lastModifiedBy>Ryan Green</cp:lastModifiedBy>
  <cp:revision>2</cp:revision>
  <dcterms:created xsi:type="dcterms:W3CDTF">2021-07-19T19:45:00Z</dcterms:created>
  <dcterms:modified xsi:type="dcterms:W3CDTF">2021-07-19T19:45:00Z</dcterms:modified>
</cp:coreProperties>
</file>