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BE912" w14:textId="7D075406" w:rsidR="00670243" w:rsidRPr="00565D23" w:rsidRDefault="00670243">
      <w:pPr>
        <w:spacing w:line="259" w:lineRule="auto"/>
        <w:jc w:val="left"/>
        <w:rPr>
          <w:rFonts w:ascii="Arial" w:hAnsi="Arial" w:cs="Arial"/>
          <w:lang w:val="en-US"/>
        </w:rPr>
      </w:pPr>
      <w:r w:rsidRPr="00565D23">
        <w:rPr>
          <w:rFonts w:ascii="Arial" w:hAnsi="Arial" w:cs="Arial"/>
          <w:noProof/>
          <w:lang w:val="en-US"/>
        </w:rPr>
        <w:drawing>
          <wp:inline distT="0" distB="0" distL="0" distR="0" wp14:anchorId="54F1CBF4" wp14:editId="5B2A3385">
            <wp:extent cx="3101609" cy="1219306"/>
            <wp:effectExtent l="0" t="0" r="3810" b="0"/>
            <wp:docPr id="198204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4833" name=""/>
                    <pic:cNvPicPr/>
                  </pic:nvPicPr>
                  <pic:blipFill>
                    <a:blip r:embed="rId6"/>
                    <a:stretch>
                      <a:fillRect/>
                    </a:stretch>
                  </pic:blipFill>
                  <pic:spPr>
                    <a:xfrm>
                      <a:off x="0" y="0"/>
                      <a:ext cx="3101609" cy="1219306"/>
                    </a:xfrm>
                    <a:prstGeom prst="rect">
                      <a:avLst/>
                    </a:prstGeom>
                  </pic:spPr>
                </pic:pic>
              </a:graphicData>
            </a:graphic>
          </wp:inline>
        </w:drawing>
      </w:r>
    </w:p>
    <w:p w14:paraId="23A679A7" w14:textId="77777777" w:rsidR="00670243" w:rsidRPr="00565D23" w:rsidRDefault="00670243" w:rsidP="00670243">
      <w:pPr>
        <w:pStyle w:val="Title"/>
        <w:rPr>
          <w:rFonts w:ascii="Arial" w:hAnsi="Arial" w:cs="Arial"/>
        </w:rPr>
      </w:pPr>
    </w:p>
    <w:p w14:paraId="404CCF02" w14:textId="77777777" w:rsidR="00670243" w:rsidRPr="00565D23" w:rsidRDefault="00670243" w:rsidP="00670243">
      <w:pPr>
        <w:pStyle w:val="Title"/>
        <w:rPr>
          <w:rFonts w:ascii="Arial" w:hAnsi="Arial" w:cs="Arial"/>
        </w:rPr>
      </w:pPr>
    </w:p>
    <w:p w14:paraId="7184446E" w14:textId="4495C253" w:rsidR="00670243" w:rsidRPr="00565D23" w:rsidRDefault="00670243" w:rsidP="00670243">
      <w:pPr>
        <w:pStyle w:val="Title"/>
        <w:rPr>
          <w:rFonts w:ascii="Arial" w:hAnsi="Arial" w:cs="Arial"/>
        </w:rPr>
      </w:pPr>
      <w:r w:rsidRPr="00565D23">
        <w:rPr>
          <w:rFonts w:ascii="Arial" w:hAnsi="Arial" w:cs="Arial"/>
        </w:rPr>
        <w:t>Sustainable Hospitality &amp; Tourism Management</w:t>
      </w:r>
    </w:p>
    <w:p w14:paraId="30DC324C" w14:textId="283BCA8A" w:rsidR="00670243" w:rsidRPr="00565D23" w:rsidRDefault="00670243" w:rsidP="00670243">
      <w:pPr>
        <w:pStyle w:val="Title"/>
        <w:rPr>
          <w:rFonts w:ascii="Arial" w:hAnsi="Arial" w:cs="Arial"/>
        </w:rPr>
      </w:pPr>
      <w:r w:rsidRPr="00565D23">
        <w:rPr>
          <w:rFonts w:ascii="Arial" w:hAnsi="Arial" w:cs="Arial"/>
        </w:rPr>
        <w:t>Essay</w:t>
      </w:r>
    </w:p>
    <w:p w14:paraId="146C5D7E" w14:textId="05268C27" w:rsidR="00670243" w:rsidRPr="00CB466B" w:rsidRDefault="00670243" w:rsidP="00670243">
      <w:pPr>
        <w:spacing w:line="259" w:lineRule="auto"/>
        <w:jc w:val="center"/>
        <w:rPr>
          <w:rFonts w:ascii="Arial" w:hAnsi="Arial" w:cs="Arial"/>
        </w:rPr>
      </w:pPr>
      <w:r w:rsidRPr="00CB466B">
        <w:rPr>
          <w:rFonts w:ascii="Arial" w:hAnsi="Arial" w:cs="Arial"/>
        </w:rPr>
        <w:t>Student ID:</w:t>
      </w:r>
      <w:r w:rsidR="00CB466B" w:rsidRPr="00CB466B">
        <w:rPr>
          <w:rFonts w:ascii="Arial" w:hAnsi="Arial" w:cs="Arial"/>
        </w:rPr>
        <w:t xml:space="preserve"> 1912876</w:t>
      </w:r>
    </w:p>
    <w:p w14:paraId="7CF6132B" w14:textId="1609A122" w:rsidR="00670243" w:rsidRPr="00565D23" w:rsidRDefault="00670243" w:rsidP="00670243">
      <w:pPr>
        <w:spacing w:line="259" w:lineRule="auto"/>
        <w:jc w:val="center"/>
        <w:rPr>
          <w:rFonts w:ascii="Arial" w:hAnsi="Arial" w:cs="Arial"/>
        </w:rPr>
      </w:pPr>
      <w:r w:rsidRPr="00565D23">
        <w:rPr>
          <w:rFonts w:ascii="Arial" w:hAnsi="Arial" w:cs="Arial"/>
        </w:rPr>
        <w:t>Submitted To:</w:t>
      </w:r>
      <w:r w:rsidR="00CB466B">
        <w:rPr>
          <w:rFonts w:ascii="Arial" w:hAnsi="Arial" w:cs="Arial"/>
        </w:rPr>
        <w:t xml:space="preserve"> Lavinia Irina Stan</w:t>
      </w:r>
    </w:p>
    <w:p w14:paraId="727A4275" w14:textId="0B7D1F15" w:rsidR="00670243" w:rsidRPr="00565D23" w:rsidRDefault="00670243" w:rsidP="00670243">
      <w:pPr>
        <w:spacing w:line="259" w:lineRule="auto"/>
        <w:jc w:val="center"/>
        <w:rPr>
          <w:rFonts w:ascii="Arial" w:hAnsi="Arial" w:cs="Arial"/>
        </w:rPr>
      </w:pPr>
      <w:r w:rsidRPr="00565D23">
        <w:rPr>
          <w:rFonts w:ascii="Arial" w:hAnsi="Arial" w:cs="Arial"/>
        </w:rPr>
        <w:t>Module title: Sustainable Hospitality &amp; Tourism Management</w:t>
      </w:r>
    </w:p>
    <w:p w14:paraId="62A272A2" w14:textId="5DADD472" w:rsidR="00670243" w:rsidRPr="00565D23" w:rsidRDefault="00670243" w:rsidP="00670243">
      <w:pPr>
        <w:spacing w:line="259" w:lineRule="auto"/>
        <w:jc w:val="center"/>
        <w:rPr>
          <w:rFonts w:ascii="Arial" w:hAnsi="Arial" w:cs="Arial"/>
        </w:rPr>
      </w:pPr>
      <w:r w:rsidRPr="00565D23">
        <w:rPr>
          <w:rFonts w:ascii="Arial" w:hAnsi="Arial" w:cs="Arial"/>
        </w:rPr>
        <w:t>Module code: BMIH5006</w:t>
      </w:r>
    </w:p>
    <w:p w14:paraId="4FDFC216" w14:textId="3AA61FA9" w:rsidR="00670243" w:rsidRPr="00565D23" w:rsidRDefault="000E66C2" w:rsidP="00670243">
      <w:pPr>
        <w:spacing w:line="259" w:lineRule="auto"/>
        <w:jc w:val="center"/>
        <w:rPr>
          <w:rFonts w:ascii="Arial" w:hAnsi="Arial" w:cs="Arial"/>
          <w:lang w:val="en-US"/>
        </w:rPr>
      </w:pPr>
      <w:r w:rsidRPr="00565D23">
        <w:rPr>
          <w:rFonts w:ascii="Arial" w:hAnsi="Arial" w:cs="Arial"/>
        </w:rPr>
        <w:t>Lecturers’</w:t>
      </w:r>
      <w:r w:rsidR="00670243" w:rsidRPr="00565D23">
        <w:rPr>
          <w:rFonts w:ascii="Arial" w:hAnsi="Arial" w:cs="Arial"/>
        </w:rPr>
        <w:t xml:space="preserve"> </w:t>
      </w:r>
      <w:r w:rsidRPr="00565D23">
        <w:rPr>
          <w:rFonts w:ascii="Arial" w:hAnsi="Arial" w:cs="Arial"/>
        </w:rPr>
        <w:t>names</w:t>
      </w:r>
      <w:r w:rsidR="00670243" w:rsidRPr="00565D23">
        <w:rPr>
          <w:rFonts w:ascii="Arial" w:hAnsi="Arial" w:cs="Arial"/>
        </w:rPr>
        <w:t>: Kathryn Roberts and Dr Huw Thomas</w:t>
      </w:r>
    </w:p>
    <w:p w14:paraId="6EAA4E9A" w14:textId="77777777" w:rsidR="00670243" w:rsidRPr="00565D23" w:rsidRDefault="00670243">
      <w:pPr>
        <w:spacing w:line="259" w:lineRule="auto"/>
        <w:jc w:val="left"/>
        <w:rPr>
          <w:rFonts w:ascii="Arial" w:hAnsi="Arial" w:cs="Arial"/>
          <w:lang w:val="en-US"/>
        </w:rPr>
      </w:pPr>
      <w:r w:rsidRPr="00565D23">
        <w:rPr>
          <w:rFonts w:ascii="Arial" w:hAnsi="Arial" w:cs="Arial"/>
          <w:lang w:val="en-US"/>
        </w:rPr>
        <w:br w:type="page"/>
      </w:r>
    </w:p>
    <w:p w14:paraId="043DD686" w14:textId="1759E4C6" w:rsidR="00903D83" w:rsidRPr="00565D23" w:rsidRDefault="00F335DF">
      <w:pPr>
        <w:rPr>
          <w:rFonts w:ascii="Arial" w:hAnsi="Arial" w:cs="Arial"/>
          <w:lang w:val="en-US"/>
        </w:rPr>
      </w:pPr>
      <w:r w:rsidRPr="00565D23">
        <w:rPr>
          <w:rFonts w:ascii="Arial" w:hAnsi="Arial" w:cs="Arial"/>
          <w:lang w:val="en-US"/>
        </w:rPr>
        <w:lastRenderedPageBreak/>
        <w:t>Introduction</w:t>
      </w:r>
    </w:p>
    <w:p w14:paraId="62BCBB53" w14:textId="57465A80" w:rsidR="00F335DF" w:rsidRPr="00565D23" w:rsidRDefault="00DB1854">
      <w:pPr>
        <w:rPr>
          <w:rFonts w:ascii="Arial" w:hAnsi="Arial" w:cs="Arial"/>
        </w:rPr>
      </w:pPr>
      <w:r w:rsidRPr="00DB1854">
        <w:rPr>
          <w:rFonts w:ascii="Arial" w:hAnsi="Arial" w:cs="Arial"/>
        </w:rPr>
        <w:t>In the face of rising environmental issues, organizations around the world are waking up to the urgent need to incorporate sustainability into their business processes. A unique and growing model is the adoption of the circular economy, a reform designed to reduce waste and improve resource efficiency This article on corporate social responsibility (CSR) in Intercontinental Hotel Group ( IHG), a prominent partner in the dynamic hospitality industry ) examines the incorporation of circular budgeting principles into policy IHG's proactive approach to circular budgeting practices is will combine underscores its commitment to environmental stewardship and social responsibility. Through an in-depth analysis of IHG's industry, this article seeks to shed light on the harmonious compatibility of corporate and business strategies with the idea of ​​a circular economy</w:t>
      </w:r>
      <w:r>
        <w:rPr>
          <w:rFonts w:ascii="Arial" w:hAnsi="Arial" w:cs="Arial"/>
        </w:rPr>
        <w:t xml:space="preserve">. </w:t>
      </w:r>
      <w:r w:rsidR="00F335DF" w:rsidRPr="00565D23">
        <w:rPr>
          <w:rFonts w:ascii="Arial" w:hAnsi="Arial" w:cs="Arial"/>
        </w:rPr>
        <w:t xml:space="preserve">As we delve into IHG's </w:t>
      </w:r>
      <w:r w:rsidR="000E66C2" w:rsidRPr="00565D23">
        <w:rPr>
          <w:rFonts w:ascii="Arial" w:hAnsi="Arial" w:cs="Arial"/>
        </w:rPr>
        <w:t>endeavours</w:t>
      </w:r>
      <w:r w:rsidR="00F335DF" w:rsidRPr="00565D23">
        <w:rPr>
          <w:rFonts w:ascii="Arial" w:hAnsi="Arial" w:cs="Arial"/>
        </w:rPr>
        <w:t>, a compelling narrative unfolds, demonstrating how a main player within the hospitality region navigates the complex landscape of sustainability, exemplifying the capability for advantageous impact and transformative change inside the broader company sphere.</w:t>
      </w:r>
    </w:p>
    <w:p w14:paraId="3EEA1854" w14:textId="35B41AB8" w:rsidR="00F335DF" w:rsidRPr="00565D23" w:rsidRDefault="00F335DF">
      <w:pPr>
        <w:spacing w:line="259" w:lineRule="auto"/>
        <w:jc w:val="left"/>
        <w:rPr>
          <w:rFonts w:ascii="Arial" w:hAnsi="Arial" w:cs="Arial"/>
        </w:rPr>
      </w:pPr>
      <w:r w:rsidRPr="00565D23">
        <w:rPr>
          <w:rFonts w:ascii="Arial" w:hAnsi="Arial" w:cs="Arial"/>
        </w:rPr>
        <w:br w:type="page"/>
      </w:r>
    </w:p>
    <w:p w14:paraId="5971D444" w14:textId="785B478A" w:rsidR="00F335DF" w:rsidRPr="00565D23" w:rsidRDefault="00F335DF">
      <w:pPr>
        <w:rPr>
          <w:rFonts w:ascii="Arial" w:hAnsi="Arial" w:cs="Arial"/>
          <w:lang w:val="en-US"/>
        </w:rPr>
      </w:pPr>
      <w:r w:rsidRPr="00565D23">
        <w:rPr>
          <w:rFonts w:ascii="Arial" w:hAnsi="Arial" w:cs="Arial"/>
          <w:lang w:val="en-US"/>
        </w:rPr>
        <w:lastRenderedPageBreak/>
        <w:t>Circular Economy</w:t>
      </w:r>
    </w:p>
    <w:p w14:paraId="53032132" w14:textId="308DE8BD" w:rsidR="00F335DF" w:rsidRPr="00565D23" w:rsidRDefault="00F335DF">
      <w:pPr>
        <w:rPr>
          <w:rFonts w:ascii="Arial" w:hAnsi="Arial" w:cs="Arial"/>
        </w:rPr>
      </w:pPr>
      <w:r w:rsidRPr="00565D23">
        <w:rPr>
          <w:rFonts w:ascii="Arial" w:hAnsi="Arial" w:cs="Arial"/>
        </w:rPr>
        <w:t xml:space="preserve">The idea of a circular economic system represents a paradigm shift from the conventional linear economic model that follows the take, make, </w:t>
      </w:r>
      <w:r w:rsidR="000E66C2" w:rsidRPr="00565D23">
        <w:rPr>
          <w:rFonts w:ascii="Arial" w:hAnsi="Arial" w:cs="Arial"/>
        </w:rPr>
        <w:t xml:space="preserve">and </w:t>
      </w:r>
      <w:r w:rsidRPr="00565D23">
        <w:rPr>
          <w:rFonts w:ascii="Arial" w:hAnsi="Arial" w:cs="Arial"/>
        </w:rPr>
        <w:t xml:space="preserve">dispose trajectory. In a linear economy, resources are extracted, transformed into products, and in the end discarded, main to </w:t>
      </w:r>
      <w:r w:rsidR="000E66C2" w:rsidRPr="00565D23">
        <w:rPr>
          <w:rFonts w:ascii="Arial" w:hAnsi="Arial" w:cs="Arial"/>
        </w:rPr>
        <w:t>an</w:t>
      </w:r>
      <w:r w:rsidRPr="00565D23">
        <w:rPr>
          <w:rFonts w:ascii="Arial" w:hAnsi="Arial" w:cs="Arial"/>
        </w:rPr>
        <w:t xml:space="preserve"> era of enormous waste and environmental degradation. However, a circular economy pioneers a transformative approach that places sustainability at its core. Central to the principles of a circular </w:t>
      </w:r>
      <w:r w:rsidR="00E15655" w:rsidRPr="00565D23">
        <w:rPr>
          <w:rFonts w:ascii="Arial" w:hAnsi="Arial" w:cs="Arial"/>
        </w:rPr>
        <w:t>economic</w:t>
      </w:r>
      <w:r w:rsidRPr="00565D23">
        <w:rPr>
          <w:rFonts w:ascii="Arial" w:hAnsi="Arial" w:cs="Arial"/>
        </w:rPr>
        <w:t xml:space="preserve"> system is the perception of designing out waste and pollutants</w:t>
      </w:r>
      <w:r w:rsidR="000D10C9" w:rsidRPr="00565D23">
        <w:rPr>
          <w:rFonts w:ascii="Arial" w:hAnsi="Arial" w:cs="Arial"/>
        </w:rPr>
        <w:t xml:space="preserve"> (Corvellec, Stowell and Johansson, 2022)</w:t>
      </w:r>
      <w:r w:rsidRPr="00565D23">
        <w:rPr>
          <w:rFonts w:ascii="Arial" w:hAnsi="Arial" w:cs="Arial"/>
        </w:rPr>
        <w:t xml:space="preserve">. This includes a meticulous reevaluation of product layout and production procedures to decrease waste generation. Products are conceived with a focus on durability, reparability, and recyclability, extending their lifespan and diminishing their ecological footprint. The cyclical nature of a circular </w:t>
      </w:r>
      <w:r w:rsidR="00E15655" w:rsidRPr="00565D23">
        <w:rPr>
          <w:rFonts w:ascii="Arial" w:hAnsi="Arial" w:cs="Arial"/>
        </w:rPr>
        <w:t>economic</w:t>
      </w:r>
      <w:r w:rsidRPr="00565D23">
        <w:rPr>
          <w:rFonts w:ascii="Arial" w:hAnsi="Arial" w:cs="Arial"/>
        </w:rPr>
        <w:t xml:space="preserve"> system encompasses the continuous use and reuse of materials, diverting them from the linear path of disposal and fostering a closed-loop device. Recycling, reusing, and refurbishing are pivotal additives of a circular </w:t>
      </w:r>
      <w:r w:rsidR="00E15655" w:rsidRPr="00565D23">
        <w:rPr>
          <w:rFonts w:ascii="Arial" w:hAnsi="Arial" w:cs="Arial"/>
        </w:rPr>
        <w:t>economic</w:t>
      </w:r>
      <w:r w:rsidRPr="00565D23">
        <w:rPr>
          <w:rFonts w:ascii="Arial" w:hAnsi="Arial" w:cs="Arial"/>
        </w:rPr>
        <w:t xml:space="preserve"> system</w:t>
      </w:r>
      <w:r w:rsidR="000D10C9" w:rsidRPr="00565D23">
        <w:rPr>
          <w:rFonts w:ascii="Arial" w:hAnsi="Arial" w:cs="Arial"/>
        </w:rPr>
        <w:t xml:space="preserve"> (Korhonen, Honkasalo and Seppälä, 2018)</w:t>
      </w:r>
      <w:r w:rsidRPr="00565D23">
        <w:rPr>
          <w:rFonts w:ascii="Arial" w:hAnsi="Arial" w:cs="Arial"/>
        </w:rPr>
        <w:t>. Recycling includes the reprocessing of materials to create new merchandise, lowering the call for</w:t>
      </w:r>
      <w:r w:rsidR="000D10C9" w:rsidRPr="00565D23">
        <w:rPr>
          <w:rFonts w:ascii="Arial" w:hAnsi="Arial" w:cs="Arial"/>
        </w:rPr>
        <w:t xml:space="preserve"> reliable</w:t>
      </w:r>
      <w:r w:rsidRPr="00565D23">
        <w:rPr>
          <w:rFonts w:ascii="Arial" w:hAnsi="Arial" w:cs="Arial"/>
        </w:rPr>
        <w:t xml:space="preserve"> sources and lessening the environmental effect of extraction. Reusing involves the repeated utilization of products, both through repair or repurposing, mitigating the need for regular production. Refurbishing extends the life of merchandise via upgrading or restoring them, contributing to the extended flow of goods in the </w:t>
      </w:r>
      <w:r w:rsidR="00E15655" w:rsidRPr="00565D23">
        <w:rPr>
          <w:rFonts w:ascii="Arial" w:hAnsi="Arial" w:cs="Arial"/>
        </w:rPr>
        <w:t>economic</w:t>
      </w:r>
      <w:r w:rsidRPr="00565D23">
        <w:rPr>
          <w:rFonts w:ascii="Arial" w:hAnsi="Arial" w:cs="Arial"/>
        </w:rPr>
        <w:t xml:space="preserve"> system. Beyond those man or woman movements, the </w:t>
      </w:r>
      <w:r w:rsidR="00E15655" w:rsidRPr="00565D23">
        <w:rPr>
          <w:rFonts w:ascii="Arial" w:hAnsi="Arial" w:cs="Arial"/>
        </w:rPr>
        <w:t>circular</w:t>
      </w:r>
      <w:r w:rsidRPr="00565D23">
        <w:rPr>
          <w:rFonts w:ascii="Arial" w:hAnsi="Arial" w:cs="Arial"/>
        </w:rPr>
        <w:t xml:space="preserve"> </w:t>
      </w:r>
      <w:r w:rsidR="00E15655" w:rsidRPr="00565D23">
        <w:rPr>
          <w:rFonts w:ascii="Arial" w:hAnsi="Arial" w:cs="Arial"/>
        </w:rPr>
        <w:t>economic</w:t>
      </w:r>
      <w:r w:rsidRPr="00565D23">
        <w:rPr>
          <w:rFonts w:ascii="Arial" w:hAnsi="Arial" w:cs="Arial"/>
        </w:rPr>
        <w:t xml:space="preserve"> system additionally emphasizes the significance of regenerating natural systems. This involves strategies to restore and beautify ecosystems, acknowledging the interconnectedness of monetary sports with the environment</w:t>
      </w:r>
      <w:r w:rsidR="000D10C9" w:rsidRPr="00565D23">
        <w:rPr>
          <w:rFonts w:ascii="Arial" w:hAnsi="Arial" w:cs="Arial"/>
        </w:rPr>
        <w:t xml:space="preserve"> (Nobre and Tavares, 2021)</w:t>
      </w:r>
      <w:r w:rsidRPr="00565D23">
        <w:rPr>
          <w:rFonts w:ascii="Arial" w:hAnsi="Arial" w:cs="Arial"/>
        </w:rPr>
        <w:t xml:space="preserve">. By adopting regenerative practices, a circular economic system seeks no longer </w:t>
      </w:r>
      <w:r w:rsidR="000E66C2" w:rsidRPr="00565D23">
        <w:rPr>
          <w:rFonts w:ascii="Arial" w:hAnsi="Arial" w:cs="Arial"/>
        </w:rPr>
        <w:t xml:space="preserve">the </w:t>
      </w:r>
      <w:r w:rsidRPr="00565D23">
        <w:rPr>
          <w:rFonts w:ascii="Arial" w:hAnsi="Arial" w:cs="Arial"/>
        </w:rPr>
        <w:t xml:space="preserve">most effective to decrease harm but also to contribute undoubtedly to the ecosystems that help life on Earth. In essence, the </w:t>
      </w:r>
      <w:r w:rsidR="00E15655" w:rsidRPr="00565D23">
        <w:rPr>
          <w:rFonts w:ascii="Arial" w:hAnsi="Arial" w:cs="Arial"/>
        </w:rPr>
        <w:t>circular</w:t>
      </w:r>
      <w:r w:rsidRPr="00565D23">
        <w:rPr>
          <w:rFonts w:ascii="Arial" w:hAnsi="Arial" w:cs="Arial"/>
        </w:rPr>
        <w:t xml:space="preserve"> economy represents a holistic technique </w:t>
      </w:r>
      <w:r w:rsidR="000E66C2" w:rsidRPr="00565D23">
        <w:rPr>
          <w:rFonts w:ascii="Arial" w:hAnsi="Arial" w:cs="Arial"/>
        </w:rPr>
        <w:t>for</w:t>
      </w:r>
      <w:r w:rsidRPr="00565D23">
        <w:rPr>
          <w:rFonts w:ascii="Arial" w:hAnsi="Arial" w:cs="Arial"/>
        </w:rPr>
        <w:t xml:space="preserve"> useful resource control and intake, aiming to break the cycle of immoderate aid consumption and environmental degradation. By embracing these ideas, agencies like IHG navigate far from a linear, </w:t>
      </w:r>
      <w:r w:rsidR="000E66C2" w:rsidRPr="00565D23">
        <w:rPr>
          <w:rFonts w:ascii="Arial" w:hAnsi="Arial" w:cs="Arial"/>
        </w:rPr>
        <w:t>aid-in-depth</w:t>
      </w:r>
      <w:r w:rsidRPr="00565D23">
        <w:rPr>
          <w:rFonts w:ascii="Arial" w:hAnsi="Arial" w:cs="Arial"/>
        </w:rPr>
        <w:t xml:space="preserve"> model, demonstrating a commitment to environmental sustainability</w:t>
      </w:r>
      <w:r w:rsidR="000D10C9" w:rsidRPr="00565D23">
        <w:rPr>
          <w:rFonts w:ascii="Arial" w:hAnsi="Arial" w:cs="Arial"/>
        </w:rPr>
        <w:t xml:space="preserve"> (Stahel, 2019)</w:t>
      </w:r>
      <w:r w:rsidRPr="00565D23">
        <w:rPr>
          <w:rFonts w:ascii="Arial" w:hAnsi="Arial" w:cs="Arial"/>
        </w:rPr>
        <w:t xml:space="preserve">. The adoption of circular economic system practices will become a proactive strategy, </w:t>
      </w:r>
      <w:r w:rsidRPr="00565D23">
        <w:rPr>
          <w:rFonts w:ascii="Arial" w:hAnsi="Arial" w:cs="Arial"/>
        </w:rPr>
        <w:lastRenderedPageBreak/>
        <w:t>positioning corporations as accountable stewards of the sur</w:t>
      </w:r>
      <w:r w:rsidR="00E15655" w:rsidRPr="00565D23">
        <w:rPr>
          <w:rFonts w:ascii="Arial" w:hAnsi="Arial" w:cs="Arial"/>
        </w:rPr>
        <w:t>circular</w:t>
      </w:r>
      <w:r w:rsidRPr="00565D23">
        <w:rPr>
          <w:rFonts w:ascii="Arial" w:hAnsi="Arial" w:cs="Arial"/>
        </w:rPr>
        <w:t>ings whilst concurrently addressing societal needs and expectations</w:t>
      </w:r>
      <w:r w:rsidR="000D10C9" w:rsidRPr="00565D23">
        <w:rPr>
          <w:rFonts w:ascii="Arial" w:hAnsi="Arial" w:cs="Arial"/>
        </w:rPr>
        <w:t xml:space="preserve"> (Ekins et al., 2020)</w:t>
      </w:r>
      <w:r w:rsidRPr="00565D23">
        <w:rPr>
          <w:rFonts w:ascii="Arial" w:hAnsi="Arial" w:cs="Arial"/>
        </w:rPr>
        <w:t>.</w:t>
      </w:r>
    </w:p>
    <w:p w14:paraId="21FB7A44" w14:textId="7AA5F9BC" w:rsidR="00F335DF" w:rsidRPr="00565D23" w:rsidRDefault="00F335DF">
      <w:pPr>
        <w:rPr>
          <w:rFonts w:ascii="Arial" w:hAnsi="Arial" w:cs="Arial"/>
        </w:rPr>
      </w:pPr>
      <w:r w:rsidRPr="00565D23">
        <w:rPr>
          <w:rFonts w:ascii="Arial" w:hAnsi="Arial" w:cs="Arial"/>
        </w:rPr>
        <w:t>How Does This Fit into CSR?</w:t>
      </w:r>
    </w:p>
    <w:p w14:paraId="5618AB33" w14:textId="7F4E42FF" w:rsidR="00F335DF" w:rsidRPr="00DB1854" w:rsidRDefault="00DB1854">
      <w:pPr>
        <w:rPr>
          <w:rFonts w:ascii="Arial" w:hAnsi="Arial" w:cs="Arial"/>
          <w:lang w:val="en-IN"/>
        </w:rPr>
      </w:pPr>
      <w:r w:rsidRPr="00DB1854">
        <w:rPr>
          <w:rFonts w:ascii="Arial" w:hAnsi="Arial" w:cs="Arial"/>
          <w:lang w:val="en-IN"/>
        </w:rPr>
        <w:t>Corporate Social Responsibility (CSR) has emerged as an important pillar in modern business practices, reflecting an organization’s commitment to ethical, social and environmental initiatives This paradigm shift in corporate behaviour means they recognize the significant impact that companies have on society and the environment. Circular financial management standards fit well within a CSR framework, providing a holistic transformational approach to address sustainability issues at their very core (Esken, Franco-García and Fisscher, 2018). Integrating circular financial management standards into the business fabric of organizations such as IHG means strategically aligning commercial enterprise objectives with ethical and sustainable practices Beyond traditional CSR, which often includes philanthropy and community participation, circular economy -The method is transformed into a part of the internal day-to-day business office operations (Morea, Fortunati and Martiniello, 2021). IHG’s commitment to reducing its ecological footprint is not just a stand-alone project but an integral part of its CSR strategy, demonstrating its commitment to long-term sustainability.</w:t>
      </w:r>
      <w:r>
        <w:rPr>
          <w:rFonts w:ascii="Arial" w:hAnsi="Arial" w:cs="Arial"/>
          <w:lang w:val="en-IN"/>
        </w:rPr>
        <w:t xml:space="preserve"> </w:t>
      </w:r>
      <w:r w:rsidRPr="00DB1854">
        <w:rPr>
          <w:rFonts w:ascii="Arial" w:hAnsi="Arial" w:cs="Arial"/>
          <w:lang w:val="en-IN"/>
        </w:rPr>
        <w:t xml:space="preserve">The circular economic system under CSR goes beyond surface areas such as carbon offsetting to address key issues of useful resource consumption and waste generation IHG efforts to reduce waste, conserve resources, and engage in multi-faceted sustainable sources -Set a positive example that extends </w:t>
      </w:r>
      <w:r>
        <w:rPr>
          <w:rFonts w:ascii="Arial" w:hAnsi="Arial" w:cs="Arial"/>
          <w:lang w:val="en-IN"/>
        </w:rPr>
        <w:t>immediately</w:t>
      </w:r>
      <w:r w:rsidRPr="00DB1854">
        <w:rPr>
          <w:rFonts w:ascii="Arial" w:hAnsi="Arial" w:cs="Arial"/>
          <w:lang w:val="en-IN"/>
        </w:rPr>
        <w:t xml:space="preserve"> past economic benefits through responsible waste management the company actively contributes to the protection of the environment and reduces its impact on the ecosystem. At the same time, sustainable sourcing processes ensure that IHG's supply chain meets appropriate environmental standards, creating a positive impact on many communities (Fortunati, Morea and Mosconi</w:t>
      </w:r>
      <w:r>
        <w:rPr>
          <w:rFonts w:ascii="Arial" w:hAnsi="Arial" w:cs="Arial"/>
          <w:lang w:val="en-IN"/>
        </w:rPr>
        <w:t>,</w:t>
      </w:r>
      <w:r w:rsidRPr="00DB1854">
        <w:rPr>
          <w:rFonts w:ascii="Arial" w:hAnsi="Arial" w:cs="Arial"/>
          <w:lang w:val="en-IN"/>
        </w:rPr>
        <w:t xml:space="preserve"> 2020). By adopting circular finance standards, companies like IHG are not making environmental protection the easiest but further contributing to social well-being. Through sustainable design, they create jobs, stimulate </w:t>
      </w:r>
      <w:r>
        <w:rPr>
          <w:rFonts w:ascii="Arial" w:hAnsi="Arial" w:cs="Arial"/>
          <w:lang w:val="en-IN"/>
        </w:rPr>
        <w:t>neighbouring</w:t>
      </w:r>
      <w:r w:rsidRPr="00DB1854">
        <w:rPr>
          <w:rFonts w:ascii="Arial" w:hAnsi="Arial" w:cs="Arial"/>
          <w:lang w:val="en-IN"/>
        </w:rPr>
        <w:t xml:space="preserve"> economies, and encourage responsible lifestyles. This integrated approach to CSR emphasizes that sustainability is not an isolated project but rather a philosophy embedded in every aspect of the project (Morea et al., 2023).</w:t>
      </w:r>
      <w:r>
        <w:rPr>
          <w:rFonts w:ascii="Arial" w:hAnsi="Arial" w:cs="Arial"/>
          <w:lang w:val="en-IN"/>
        </w:rPr>
        <w:t xml:space="preserve"> </w:t>
      </w:r>
      <w:r w:rsidRPr="00DB1854">
        <w:rPr>
          <w:rFonts w:ascii="Arial" w:hAnsi="Arial" w:cs="Arial"/>
          <w:lang w:val="en-IN"/>
        </w:rPr>
        <w:t xml:space="preserve">Furthermore, circular economy CSR activities act as organizational rethinking in companies that understand the importance of symbiotic dating between commercial </w:t>
      </w:r>
      <w:r w:rsidRPr="00DB1854">
        <w:rPr>
          <w:rFonts w:ascii="Arial" w:hAnsi="Arial" w:cs="Arial"/>
          <w:lang w:val="en-IN"/>
        </w:rPr>
        <w:lastRenderedPageBreak/>
        <w:t xml:space="preserve">enterprise success and environmental and social responsibility. IHG’s current commitment to circular financial management standards underscores its commitment not only to integrating regulatory standards but </w:t>
      </w:r>
      <w:r>
        <w:rPr>
          <w:rFonts w:ascii="Arial" w:hAnsi="Arial" w:cs="Arial"/>
          <w:lang w:val="en-IN"/>
        </w:rPr>
        <w:t xml:space="preserve">also </w:t>
      </w:r>
      <w:r w:rsidRPr="00DB1854">
        <w:rPr>
          <w:rFonts w:ascii="Arial" w:hAnsi="Arial" w:cs="Arial"/>
          <w:lang w:val="en-IN"/>
        </w:rPr>
        <w:t>to actively participate in joint efforts to address global challenges. Specifically, the circular concept of financial planning combined with CSR goes beyond symbolic fingerprints, indicating a greater commitment to responsible business practices because companies like IHG are indebted to those values, paves the way for a new generation of economic success and environmental sustainability and social prosperity It is perfect, setting a standard for the broad corporate landscape to watch the intersection (Niyommaneerat, Suwanteep and Chavalparit, 2023).</w:t>
      </w:r>
    </w:p>
    <w:p w14:paraId="3CC7122A" w14:textId="6A7E559A" w:rsidR="00E15655" w:rsidRPr="00565D23" w:rsidRDefault="00E15655">
      <w:pPr>
        <w:rPr>
          <w:rFonts w:ascii="Arial" w:hAnsi="Arial" w:cs="Arial"/>
        </w:rPr>
      </w:pPr>
      <w:r w:rsidRPr="00565D23">
        <w:rPr>
          <w:rFonts w:ascii="Arial" w:hAnsi="Arial" w:cs="Arial"/>
        </w:rPr>
        <w:t>Review of IHG's CSR Policy and Evaluation</w:t>
      </w:r>
    </w:p>
    <w:p w14:paraId="11B0BBBD" w14:textId="67D29C29" w:rsidR="00E15655" w:rsidRPr="00DB1854" w:rsidRDefault="00DB1854">
      <w:pPr>
        <w:rPr>
          <w:rFonts w:ascii="Arial" w:hAnsi="Arial" w:cs="Arial"/>
          <w:lang w:val="en-IN"/>
        </w:rPr>
      </w:pPr>
      <w:r w:rsidRPr="00DB1854">
        <w:rPr>
          <w:rFonts w:ascii="Arial" w:hAnsi="Arial" w:cs="Arial"/>
          <w:lang w:val="en-IN"/>
        </w:rPr>
        <w:t xml:space="preserve">Intercontinental Hotel Group's (IHG) commitment to sustainability is admirably embedded in its comprehensive Corporate Social Responsibility (CSR) profile, reflecting a smart management strategy </w:t>
      </w:r>
      <w:r>
        <w:rPr>
          <w:rFonts w:ascii="Arial" w:hAnsi="Arial" w:cs="Arial"/>
          <w:lang w:val="en-IN"/>
        </w:rPr>
        <w:t xml:space="preserve">for </w:t>
      </w:r>
      <w:r w:rsidRPr="00DB1854">
        <w:rPr>
          <w:rFonts w:ascii="Arial" w:hAnsi="Arial" w:cs="Arial"/>
          <w:lang w:val="en-IN"/>
        </w:rPr>
        <w:t>environmental and social responsibility. IHG’s commitment to circular economic principles is reflected in its strategy that emphasizes reducing waste, managing resources and actively participating in grid projects that empower hotels in their area to reduce their resources on the environment (Surya, Budarma and Mudana, 2020). Through its software, IHG provides lodges with a structured framework to adopt and implement sustainable practices. The project covers a range of environmental issues, including waste reimbursement, water conservation and energy efficiency.</w:t>
      </w:r>
      <w:r>
        <w:rPr>
          <w:rFonts w:ascii="Arial" w:hAnsi="Arial" w:cs="Arial"/>
          <w:lang w:val="en-IN"/>
        </w:rPr>
        <w:t xml:space="preserve"> </w:t>
      </w:r>
      <w:r w:rsidR="00E15655" w:rsidRPr="00565D23">
        <w:rPr>
          <w:rFonts w:ascii="Arial" w:hAnsi="Arial" w:cs="Arial"/>
        </w:rPr>
        <w:t xml:space="preserve">By empowering man or woman motels to tailor their sustainability efforts, IHG guarantees that the concepts of circular economy permeate the numerous operational contexts of its establishments. While IHG has made commendable strides in waste discount and useful resource conservation, </w:t>
      </w:r>
      <w:r w:rsidR="000E66C2" w:rsidRPr="00565D23">
        <w:rPr>
          <w:rFonts w:ascii="Arial" w:hAnsi="Arial" w:cs="Arial"/>
        </w:rPr>
        <w:t>an</w:t>
      </w:r>
      <w:r w:rsidR="00E15655" w:rsidRPr="00565D23">
        <w:rPr>
          <w:rFonts w:ascii="Arial" w:hAnsi="Arial" w:cs="Arial"/>
        </w:rPr>
        <w:t xml:space="preserve"> important evaluation </w:t>
      </w:r>
      <w:r w:rsidR="000E66C2" w:rsidRPr="00565D23">
        <w:rPr>
          <w:rFonts w:ascii="Arial" w:hAnsi="Arial" w:cs="Arial"/>
        </w:rPr>
        <w:t xml:space="preserve">of </w:t>
      </w:r>
      <w:r w:rsidR="00E15655" w:rsidRPr="00565D23">
        <w:rPr>
          <w:rFonts w:ascii="Arial" w:hAnsi="Arial" w:cs="Arial"/>
        </w:rPr>
        <w:t>famous areas for ability enhancement</w:t>
      </w:r>
      <w:r w:rsidR="000D10C9" w:rsidRPr="00565D23">
        <w:rPr>
          <w:rFonts w:ascii="Arial" w:hAnsi="Arial" w:cs="Arial"/>
        </w:rPr>
        <w:t xml:space="preserve"> (Stoimenov, 2023)</w:t>
      </w:r>
      <w:r w:rsidR="00E15655" w:rsidRPr="00565D23">
        <w:rPr>
          <w:rFonts w:ascii="Arial" w:hAnsi="Arial" w:cs="Arial"/>
        </w:rPr>
        <w:t xml:space="preserve">. Sustainable sourcing is an area that warrants multiplied emphasis inside the corporation's circular economy </w:t>
      </w:r>
      <w:r w:rsidR="000E66C2" w:rsidRPr="00565D23">
        <w:rPr>
          <w:rFonts w:ascii="Arial" w:hAnsi="Arial" w:cs="Arial"/>
        </w:rPr>
        <w:t>endeavours</w:t>
      </w:r>
      <w:r w:rsidR="00E15655" w:rsidRPr="00565D23">
        <w:rPr>
          <w:rFonts w:ascii="Arial" w:hAnsi="Arial" w:cs="Arial"/>
        </w:rPr>
        <w:t xml:space="preserve">. By prioritizing sustainable sourcing practices, IHG can exert an impact on the duration of its </w:t>
      </w:r>
      <w:r w:rsidR="000E66C2" w:rsidRPr="00565D23">
        <w:rPr>
          <w:rFonts w:ascii="Arial" w:hAnsi="Arial" w:cs="Arial"/>
        </w:rPr>
        <w:t>delivery</w:t>
      </w:r>
      <w:r w:rsidR="00E15655" w:rsidRPr="00565D23">
        <w:rPr>
          <w:rFonts w:ascii="Arial" w:hAnsi="Arial" w:cs="Arial"/>
        </w:rPr>
        <w:t xml:space="preserve"> chain, ensuring that the goods and materials utilized in its operations align with environmental and ethical requirements. Furthermore, the incorporation of circular layout ideas in production and maintenance projects offers </w:t>
      </w:r>
      <w:r w:rsidR="000E66C2" w:rsidRPr="00565D23">
        <w:rPr>
          <w:rFonts w:ascii="Arial" w:hAnsi="Arial" w:cs="Arial"/>
        </w:rPr>
        <w:t>a</w:t>
      </w:r>
      <w:r w:rsidR="00E15655" w:rsidRPr="00565D23">
        <w:rPr>
          <w:rFonts w:ascii="Arial" w:hAnsi="Arial" w:cs="Arial"/>
        </w:rPr>
        <w:t xml:space="preserve"> road for IHG to deepen its dedication to circular economy</w:t>
      </w:r>
      <w:r w:rsidR="000E66C2" w:rsidRPr="00565D23">
        <w:rPr>
          <w:rFonts w:ascii="Arial" w:hAnsi="Arial" w:cs="Arial"/>
        </w:rPr>
        <w:t xml:space="preserve"> </w:t>
      </w:r>
      <w:r w:rsidR="00E15655" w:rsidRPr="00565D23">
        <w:rPr>
          <w:rFonts w:ascii="Arial" w:hAnsi="Arial" w:cs="Arial"/>
        </w:rPr>
        <w:t>system practices</w:t>
      </w:r>
      <w:r w:rsidR="000D10C9" w:rsidRPr="00565D23">
        <w:rPr>
          <w:rFonts w:ascii="Arial" w:hAnsi="Arial" w:cs="Arial"/>
        </w:rPr>
        <w:t xml:space="preserve"> (Jones and Comfort, 2019)</w:t>
      </w:r>
      <w:r w:rsidR="00E15655" w:rsidRPr="00565D23">
        <w:rPr>
          <w:rFonts w:ascii="Arial" w:hAnsi="Arial" w:cs="Arial"/>
        </w:rPr>
        <w:t xml:space="preserve">. </w:t>
      </w:r>
      <w:r w:rsidRPr="00DB1854">
        <w:rPr>
          <w:rFonts w:ascii="Arial" w:hAnsi="Arial" w:cs="Arial"/>
          <w:lang w:val="en-IN"/>
        </w:rPr>
        <w:t xml:space="preserve">By integrating design principles that prioritize recycling and recycling, IHG can help create a built </w:t>
      </w:r>
      <w:r w:rsidRPr="00DB1854">
        <w:rPr>
          <w:rFonts w:ascii="Arial" w:hAnsi="Arial" w:cs="Arial"/>
          <w:lang w:val="en-IN"/>
        </w:rPr>
        <w:lastRenderedPageBreak/>
        <w:t xml:space="preserve">environment that is consistent with the ethos of the circular economy Awareness and communication are factors key areas that can be strengthened in IHG’s circular financial planning Clear and comprehensive communication of </w:t>
      </w:r>
      <w:r>
        <w:rPr>
          <w:rFonts w:ascii="Arial" w:hAnsi="Arial" w:cs="Arial"/>
          <w:lang w:val="en-IN"/>
        </w:rPr>
        <w:t>a</w:t>
      </w:r>
      <w:r w:rsidRPr="00DB1854">
        <w:rPr>
          <w:rFonts w:ascii="Arial" w:hAnsi="Arial" w:cs="Arial"/>
          <w:lang w:val="en-IN"/>
        </w:rPr>
        <w:t xml:space="preserve"> company’s aspirations for sustainability, growth, and infrastructure are critical to </w:t>
      </w:r>
      <w:r>
        <w:rPr>
          <w:rFonts w:ascii="Arial" w:hAnsi="Arial" w:cs="Arial"/>
          <w:lang w:val="en-IN"/>
        </w:rPr>
        <w:t>enforcing</w:t>
      </w:r>
      <w:r w:rsidRPr="00DB1854">
        <w:rPr>
          <w:rFonts w:ascii="Arial" w:hAnsi="Arial" w:cs="Arial"/>
          <w:lang w:val="en-IN"/>
        </w:rPr>
        <w:t xml:space="preserve"> stakeholder intensity (Wang, Hu and Zhang, 2020). This transparency is no longer a simple matter of customer-to-customer reflection but also encourages other industry players to adopt similar practices, creating a broader drive towards sustainability </w:t>
      </w:r>
      <w:r>
        <w:rPr>
          <w:rFonts w:ascii="Arial" w:hAnsi="Arial" w:cs="Arial"/>
          <w:lang w:val="en-IN"/>
        </w:rPr>
        <w:t xml:space="preserve">and </w:t>
      </w:r>
      <w:r w:rsidRPr="00DB1854">
        <w:rPr>
          <w:rFonts w:ascii="Arial" w:hAnsi="Arial" w:cs="Arial"/>
          <w:lang w:val="en-IN"/>
        </w:rPr>
        <w:t>regular presence in the hospitality industry. In conclusion, IHG’s CSR strategy demonstrates a commendable commitment to a circular financial management perspective, as evidenced by the robust initiatives it has implemented throughout its global operations. As the operations business has grown exponentially, a more sustainable approach, circular design standards, and improved insights will enhance IHG's circular financial planning efforts and strengthen its business as a pioneer of sustainable business practices in the hospitality industry (Dezi et al., 2022).</w:t>
      </w:r>
    </w:p>
    <w:p w14:paraId="79F0005F" w14:textId="4B14862F" w:rsidR="00E15655" w:rsidRPr="00565D23" w:rsidRDefault="00E15655">
      <w:pPr>
        <w:rPr>
          <w:rFonts w:ascii="Arial" w:hAnsi="Arial" w:cs="Arial"/>
        </w:rPr>
      </w:pPr>
      <w:r w:rsidRPr="00565D23">
        <w:rPr>
          <w:rFonts w:ascii="Arial" w:hAnsi="Arial" w:cs="Arial"/>
        </w:rPr>
        <w:t>Industry Examples of Companies Embodying Circular Economy</w:t>
      </w:r>
    </w:p>
    <w:p w14:paraId="41CC0608" w14:textId="58B9B7A4" w:rsidR="00E15655" w:rsidRPr="00565D23" w:rsidRDefault="00E15655">
      <w:pPr>
        <w:rPr>
          <w:rFonts w:ascii="Arial" w:hAnsi="Arial" w:cs="Arial"/>
        </w:rPr>
      </w:pPr>
      <w:r w:rsidRPr="00565D23">
        <w:rPr>
          <w:rFonts w:ascii="Arial" w:hAnsi="Arial" w:cs="Arial"/>
        </w:rPr>
        <w:t xml:space="preserve">InterContinental Hotels Group (IHG) is part of a broader </w:t>
      </w:r>
      <w:r w:rsidR="00DB1854">
        <w:rPr>
          <w:rFonts w:ascii="Arial" w:hAnsi="Arial" w:cs="Arial"/>
        </w:rPr>
        <w:t>movement</w:t>
      </w:r>
      <w:r w:rsidRPr="00565D23">
        <w:rPr>
          <w:rFonts w:ascii="Arial" w:hAnsi="Arial" w:cs="Arial"/>
        </w:rPr>
        <w:t xml:space="preserve"> within diverse industries in the direction of embracing circular economic system concepts. Across sectors, groups are spotting the imperative to combine sustainability into their commercial enterprise fashions, and </w:t>
      </w:r>
      <w:r w:rsidR="000E66C2" w:rsidRPr="00565D23">
        <w:rPr>
          <w:rFonts w:ascii="Arial" w:hAnsi="Arial" w:cs="Arial"/>
        </w:rPr>
        <w:t>top-notch</w:t>
      </w:r>
      <w:r w:rsidRPr="00565D23">
        <w:rPr>
          <w:rFonts w:ascii="Arial" w:hAnsi="Arial" w:cs="Arial"/>
        </w:rPr>
        <w:t xml:space="preserve"> examples abound. In the fashion industry, Patagonia has emerged as a trailblazer in circularity. Recognizing the environmental toll of rapid fashion, Patagonia encourages its customers to repair and recycle clothing. This initiative not </w:t>
      </w:r>
      <w:r w:rsidR="000E66C2" w:rsidRPr="00565D23">
        <w:rPr>
          <w:rFonts w:ascii="Arial" w:hAnsi="Arial" w:cs="Arial"/>
        </w:rPr>
        <w:t>only</w:t>
      </w:r>
      <w:r w:rsidRPr="00565D23">
        <w:rPr>
          <w:rFonts w:ascii="Arial" w:hAnsi="Arial" w:cs="Arial"/>
        </w:rPr>
        <w:t xml:space="preserve"> extends the lifespan of their products </w:t>
      </w:r>
      <w:r w:rsidR="000E66C2" w:rsidRPr="00565D23">
        <w:rPr>
          <w:rFonts w:ascii="Arial" w:hAnsi="Arial" w:cs="Arial"/>
        </w:rPr>
        <w:t>but</w:t>
      </w:r>
      <w:r w:rsidRPr="00565D23">
        <w:rPr>
          <w:rFonts w:ascii="Arial" w:hAnsi="Arial" w:cs="Arial"/>
        </w:rPr>
        <w:t xml:space="preserve"> additionally promotes a shift toward extra sustainable patron </w:t>
      </w:r>
      <w:r w:rsidR="00DB1854">
        <w:rPr>
          <w:rFonts w:ascii="Arial" w:hAnsi="Arial" w:cs="Arial"/>
        </w:rPr>
        <w:t>behaviour</w:t>
      </w:r>
      <w:r w:rsidRPr="00565D23">
        <w:rPr>
          <w:rFonts w:ascii="Arial" w:hAnsi="Arial" w:cs="Arial"/>
        </w:rPr>
        <w:t>, reducing the general environmental impact of the apparel industry. Patagonia's commitment to circular economy concepts is going past rhetoric, manifesting in realistic moves that align with lengthy-time period environmental sustainability</w:t>
      </w:r>
      <w:r w:rsidR="000D10C9" w:rsidRPr="00565D23">
        <w:rPr>
          <w:rFonts w:ascii="Arial" w:hAnsi="Arial" w:cs="Arial"/>
        </w:rPr>
        <w:t xml:space="preserve"> (Rattalino, 2018)</w:t>
      </w:r>
      <w:r w:rsidRPr="00565D23">
        <w:rPr>
          <w:rFonts w:ascii="Arial" w:hAnsi="Arial" w:cs="Arial"/>
        </w:rPr>
        <w:t xml:space="preserve">. In the technology region, Dell stands out for its implementation of a closed-loop recycling device. This revolutionary method entails reusing substances from old electronics within the production of recent products. By growing a circular </w:t>
      </w:r>
      <w:r w:rsidR="000E66C2" w:rsidRPr="00565D23">
        <w:rPr>
          <w:rFonts w:ascii="Arial" w:hAnsi="Arial" w:cs="Arial"/>
        </w:rPr>
        <w:t>delivery</w:t>
      </w:r>
      <w:r w:rsidRPr="00565D23">
        <w:rPr>
          <w:rFonts w:ascii="Arial" w:hAnsi="Arial" w:cs="Arial"/>
        </w:rPr>
        <w:t xml:space="preserve"> chain, Dell minimizes the extraction of new raw materials, reduces electronic waste, and contributes to the conservation of resources</w:t>
      </w:r>
      <w:r w:rsidR="000D10C9" w:rsidRPr="00565D23">
        <w:rPr>
          <w:rFonts w:ascii="Arial" w:hAnsi="Arial" w:cs="Arial"/>
        </w:rPr>
        <w:t xml:space="preserve"> (De Lellis, 2019)</w:t>
      </w:r>
      <w:r w:rsidRPr="00565D23">
        <w:rPr>
          <w:rFonts w:ascii="Arial" w:hAnsi="Arial" w:cs="Arial"/>
        </w:rPr>
        <w:t xml:space="preserve">. Dell's dedication to circular economy practices demonstrates the capability </w:t>
      </w:r>
      <w:r w:rsidR="00DB1854">
        <w:rPr>
          <w:rFonts w:ascii="Arial" w:hAnsi="Arial" w:cs="Arial"/>
        </w:rPr>
        <w:t>of</w:t>
      </w:r>
      <w:r w:rsidRPr="00565D23">
        <w:rPr>
          <w:rFonts w:ascii="Arial" w:hAnsi="Arial" w:cs="Arial"/>
        </w:rPr>
        <w:t xml:space="preserve"> technological companies to lead the manner in creating a more sustainable and circular approach to product </w:t>
      </w:r>
      <w:r w:rsidRPr="00565D23">
        <w:rPr>
          <w:rFonts w:ascii="Arial" w:hAnsi="Arial" w:cs="Arial"/>
        </w:rPr>
        <w:lastRenderedPageBreak/>
        <w:t>lifecycles</w:t>
      </w:r>
      <w:r w:rsidR="000D10C9" w:rsidRPr="00565D23">
        <w:rPr>
          <w:rFonts w:ascii="Arial" w:hAnsi="Arial" w:cs="Arial"/>
        </w:rPr>
        <w:t xml:space="preserve"> (Veleva and Bodkin, 2018)</w:t>
      </w:r>
      <w:r w:rsidRPr="00565D23">
        <w:rPr>
          <w:rFonts w:ascii="Arial" w:hAnsi="Arial" w:cs="Arial"/>
        </w:rPr>
        <w:t>. Turning to the food and beverage enterprise, Nestlé has set ambitious objectives to obtain 0 internet emissions by using 2050. As part of its commitment, Nestlé is actively exploring circular packaging solutions. Circular packaging includes designing packaging materials which can be without problems recyclable and may be reintegrated into the manufacturing cycle</w:t>
      </w:r>
      <w:r w:rsidR="000D10C9" w:rsidRPr="00565D23">
        <w:rPr>
          <w:rFonts w:ascii="Arial" w:hAnsi="Arial" w:cs="Arial"/>
        </w:rPr>
        <w:t xml:space="preserve"> (Soliwoda, Wieliczko and Kulawik, 2020)</w:t>
      </w:r>
      <w:r w:rsidRPr="00565D23">
        <w:rPr>
          <w:rFonts w:ascii="Arial" w:hAnsi="Arial" w:cs="Arial"/>
        </w:rPr>
        <w:t xml:space="preserve">. By specializing in circularity in packaging, Nestlé addresses one of the vast environmental demanding situations associated with the meals and beverage industry. This commitment is emblematic of the wider movement within the sector to reduce environmental </w:t>
      </w:r>
      <w:r w:rsidR="000E66C2" w:rsidRPr="00565D23">
        <w:rPr>
          <w:rFonts w:ascii="Arial" w:hAnsi="Arial" w:cs="Arial"/>
        </w:rPr>
        <w:t>effects</w:t>
      </w:r>
      <w:r w:rsidRPr="00565D23">
        <w:rPr>
          <w:rFonts w:ascii="Arial" w:hAnsi="Arial" w:cs="Arial"/>
        </w:rPr>
        <w:t xml:space="preserve"> and transition in the direction of a circular economic system version. These enterprise examples underscore the flexibility and applicability of circular economy</w:t>
      </w:r>
      <w:r w:rsidR="000E66C2" w:rsidRPr="00565D23">
        <w:rPr>
          <w:rFonts w:ascii="Arial" w:hAnsi="Arial" w:cs="Arial"/>
        </w:rPr>
        <w:t xml:space="preserve"> </w:t>
      </w:r>
      <w:r w:rsidRPr="00565D23">
        <w:rPr>
          <w:rFonts w:ascii="Arial" w:hAnsi="Arial" w:cs="Arial"/>
        </w:rPr>
        <w:t>system principles across numerous sectors</w:t>
      </w:r>
      <w:r w:rsidR="000D10C9" w:rsidRPr="00565D23">
        <w:rPr>
          <w:rFonts w:ascii="Arial" w:hAnsi="Arial" w:cs="Arial"/>
        </w:rPr>
        <w:t xml:space="preserve"> (Shokola and Khoreva, 2021)</w:t>
      </w:r>
      <w:r w:rsidRPr="00565D23">
        <w:rPr>
          <w:rFonts w:ascii="Arial" w:hAnsi="Arial" w:cs="Arial"/>
        </w:rPr>
        <w:t xml:space="preserve">. Whether in hospitality, fashion, era, or meals and </w:t>
      </w:r>
      <w:r w:rsidR="00DB1854">
        <w:rPr>
          <w:rFonts w:ascii="Arial" w:hAnsi="Arial" w:cs="Arial"/>
        </w:rPr>
        <w:t>beverages</w:t>
      </w:r>
      <w:r w:rsidRPr="00565D23">
        <w:rPr>
          <w:rFonts w:ascii="Arial" w:hAnsi="Arial" w:cs="Arial"/>
        </w:rPr>
        <w:t xml:space="preserve">, businesses are spotting the need for a paradigm shift toward sustainability. IHG's participation </w:t>
      </w:r>
      <w:r w:rsidR="000E66C2" w:rsidRPr="00565D23">
        <w:rPr>
          <w:rFonts w:ascii="Arial" w:hAnsi="Arial" w:cs="Arial"/>
        </w:rPr>
        <w:t>in</w:t>
      </w:r>
      <w:r w:rsidRPr="00565D23">
        <w:rPr>
          <w:rFonts w:ascii="Arial" w:hAnsi="Arial" w:cs="Arial"/>
        </w:rPr>
        <w:t xml:space="preserve"> this motion aligns with a broader collective attempt across industries to foster environmental stewardship and social responsibility, demonstrating that circular economic system ideas aren't only viable but additionally vital for a sustainable and resilient future.</w:t>
      </w:r>
    </w:p>
    <w:p w14:paraId="1C8FD8A7" w14:textId="557750F0" w:rsidR="00E15655" w:rsidRPr="00565D23" w:rsidRDefault="00E15655">
      <w:pPr>
        <w:spacing w:line="259" w:lineRule="auto"/>
        <w:jc w:val="left"/>
        <w:rPr>
          <w:rFonts w:ascii="Arial" w:hAnsi="Arial" w:cs="Arial"/>
        </w:rPr>
      </w:pPr>
      <w:r w:rsidRPr="00565D23">
        <w:rPr>
          <w:rFonts w:ascii="Arial" w:hAnsi="Arial" w:cs="Arial"/>
        </w:rPr>
        <w:br w:type="page"/>
      </w:r>
    </w:p>
    <w:p w14:paraId="5D68F1F5" w14:textId="013C4CF8" w:rsidR="00E15655" w:rsidRPr="00565D23" w:rsidRDefault="00E15655">
      <w:pPr>
        <w:rPr>
          <w:rFonts w:ascii="Arial" w:hAnsi="Arial" w:cs="Arial"/>
          <w:lang w:val="en-US"/>
        </w:rPr>
      </w:pPr>
      <w:r w:rsidRPr="00565D23">
        <w:rPr>
          <w:rFonts w:ascii="Arial" w:hAnsi="Arial" w:cs="Arial"/>
          <w:lang w:val="en-US"/>
        </w:rPr>
        <w:lastRenderedPageBreak/>
        <w:t>Conclusion</w:t>
      </w:r>
    </w:p>
    <w:p w14:paraId="7CC3C440" w14:textId="77777777" w:rsidR="00DB1854" w:rsidRPr="00DB1854" w:rsidRDefault="00DB1854" w:rsidP="00DB1854">
      <w:pPr>
        <w:rPr>
          <w:rFonts w:ascii="Arial" w:hAnsi="Arial" w:cs="Arial"/>
          <w:lang w:val="en-IN"/>
        </w:rPr>
      </w:pPr>
      <w:r w:rsidRPr="00DB1854">
        <w:rPr>
          <w:rFonts w:ascii="Arial" w:hAnsi="Arial" w:cs="Arial"/>
          <w:lang w:val="en-IN"/>
        </w:rPr>
        <w:t>IHG’s integration of a circular financial outlook into its CSR activities shows commendable progress towards aligning business practices with environmental and social responsibility. The Board’s commitment to waste reimbursement, conservation and connectivity underscores its desire to drive sustainable growth in the hospitality industry Although IHG has achieved impressive growth, but continued ambition and continued growth are crucial to steer towards a new circular future It turns out, so is the way IHG appears as a rogue consultant, publishing a study for others follow suit and now his projects not only exemplify responsible corporate citizenship but also inspire collective change that approaches a circular economy. This transformative journey extends beyond a group of individuals and inspires as a beacon of sustainable practices for the benefit of the broader international community. The integration of circular economic thinking in CSR legislation does more than bring teams closer to sustainable results; It contributes greatly to the welfare of our planet and society. IHG’s commitment also marks a significant step towards promoting responsibility and sustainability, urging companies across sectors to include circularity as an important issue in their CSR efforts. Through this collaborative effort, the global network can aspire to make a lasting impact, allowing business, the environment and society to coexist harmoniously.</w:t>
      </w:r>
    </w:p>
    <w:p w14:paraId="1070EB05" w14:textId="21F2DAE2" w:rsidR="00E15655" w:rsidRPr="00565D23" w:rsidRDefault="00E15655">
      <w:pPr>
        <w:rPr>
          <w:rFonts w:ascii="Arial" w:hAnsi="Arial" w:cs="Arial"/>
        </w:rPr>
      </w:pPr>
    </w:p>
    <w:p w14:paraId="73758436" w14:textId="7E5E012D" w:rsidR="00E15655" w:rsidRPr="00565D23" w:rsidRDefault="00E15655">
      <w:pPr>
        <w:spacing w:line="259" w:lineRule="auto"/>
        <w:jc w:val="left"/>
        <w:rPr>
          <w:rFonts w:ascii="Arial" w:hAnsi="Arial" w:cs="Arial"/>
        </w:rPr>
      </w:pPr>
      <w:r w:rsidRPr="00565D23">
        <w:rPr>
          <w:rFonts w:ascii="Arial" w:hAnsi="Arial" w:cs="Arial"/>
        </w:rPr>
        <w:br w:type="page"/>
      </w:r>
    </w:p>
    <w:p w14:paraId="77601B66" w14:textId="5F04BC21" w:rsidR="00E15655" w:rsidRPr="00565D23" w:rsidRDefault="00E15655">
      <w:pPr>
        <w:rPr>
          <w:rFonts w:ascii="Arial" w:hAnsi="Arial" w:cs="Arial"/>
          <w:lang w:val="en-US"/>
        </w:rPr>
      </w:pPr>
      <w:r w:rsidRPr="00565D23">
        <w:rPr>
          <w:rFonts w:ascii="Arial" w:hAnsi="Arial" w:cs="Arial"/>
          <w:lang w:val="en-US"/>
        </w:rPr>
        <w:lastRenderedPageBreak/>
        <w:t>References</w:t>
      </w:r>
    </w:p>
    <w:p w14:paraId="45279F95" w14:textId="1B887D97" w:rsidR="00670243" w:rsidRPr="00565D23" w:rsidRDefault="000E66C2">
      <w:pPr>
        <w:rPr>
          <w:rFonts w:ascii="Arial" w:hAnsi="Arial" w:cs="Arial"/>
        </w:rPr>
      </w:pPr>
      <w:r w:rsidRPr="00565D23">
        <w:rPr>
          <w:rFonts w:ascii="Arial" w:hAnsi="Arial" w:cs="Arial"/>
        </w:rPr>
        <w:t>Corvallis</w:t>
      </w:r>
      <w:r w:rsidR="00670243" w:rsidRPr="00565D23">
        <w:rPr>
          <w:rFonts w:ascii="Arial" w:hAnsi="Arial" w:cs="Arial"/>
        </w:rPr>
        <w:t>, H., Stowell, A.F. and Johansson, N., 2022. Critiques of the circular economy. </w:t>
      </w:r>
      <w:r w:rsidR="00670243" w:rsidRPr="00565D23">
        <w:rPr>
          <w:rFonts w:ascii="Arial" w:hAnsi="Arial" w:cs="Arial"/>
          <w:i/>
          <w:iCs/>
        </w:rPr>
        <w:t xml:space="preserve">Journal of </w:t>
      </w:r>
      <w:r w:rsidRPr="00565D23">
        <w:rPr>
          <w:rFonts w:ascii="Arial" w:hAnsi="Arial" w:cs="Arial"/>
          <w:i/>
          <w:iCs/>
        </w:rPr>
        <w:t>Industrial Ecology</w:t>
      </w:r>
      <w:r w:rsidR="00670243" w:rsidRPr="00565D23">
        <w:rPr>
          <w:rFonts w:ascii="Arial" w:hAnsi="Arial" w:cs="Arial"/>
        </w:rPr>
        <w:t>, </w:t>
      </w:r>
      <w:r w:rsidR="00670243" w:rsidRPr="00565D23">
        <w:rPr>
          <w:rFonts w:ascii="Arial" w:hAnsi="Arial" w:cs="Arial"/>
          <w:i/>
          <w:iCs/>
        </w:rPr>
        <w:t>26</w:t>
      </w:r>
      <w:r w:rsidR="00670243" w:rsidRPr="00565D23">
        <w:rPr>
          <w:rFonts w:ascii="Arial" w:hAnsi="Arial" w:cs="Arial"/>
        </w:rPr>
        <w:t>(2), pp.421-432.</w:t>
      </w:r>
    </w:p>
    <w:p w14:paraId="1C21F7DD" w14:textId="77777777" w:rsidR="00670243" w:rsidRPr="00565D23" w:rsidRDefault="00670243">
      <w:pPr>
        <w:rPr>
          <w:rFonts w:ascii="Arial" w:hAnsi="Arial" w:cs="Arial"/>
        </w:rPr>
      </w:pPr>
      <w:r w:rsidRPr="00565D23">
        <w:rPr>
          <w:rFonts w:ascii="Arial" w:hAnsi="Arial" w:cs="Arial"/>
        </w:rPr>
        <w:t>De Lellis, G., 2019. Corporate Social Responsibility: implementation in the corporate strategy to generate value.</w:t>
      </w:r>
    </w:p>
    <w:p w14:paraId="5E2E9FDE" w14:textId="77777777" w:rsidR="00670243" w:rsidRPr="00565D23" w:rsidRDefault="00670243">
      <w:pPr>
        <w:rPr>
          <w:rFonts w:ascii="Arial" w:hAnsi="Arial" w:cs="Arial"/>
        </w:rPr>
      </w:pPr>
      <w:r w:rsidRPr="00CB466B">
        <w:rPr>
          <w:rFonts w:ascii="Arial" w:hAnsi="Arial" w:cs="Arial"/>
          <w:lang w:val="it-IT"/>
        </w:rPr>
        <w:t xml:space="preserve">Dezi, L., Hysa, X., Calabrese, M. and Mercuri, F., 2022. </w:t>
      </w:r>
      <w:r w:rsidRPr="00565D23">
        <w:rPr>
          <w:rFonts w:ascii="Arial" w:hAnsi="Arial" w:cs="Arial"/>
        </w:rPr>
        <w:t>Open Total Quality Management in the Circular Economy age: A social enterprise perspective through the case of Patagonia. </w:t>
      </w:r>
      <w:r w:rsidRPr="00565D23">
        <w:rPr>
          <w:rFonts w:ascii="Arial" w:hAnsi="Arial" w:cs="Arial"/>
          <w:i/>
          <w:iCs/>
        </w:rPr>
        <w:t>Total Quality Management &amp; Business Excellence</w:t>
      </w:r>
      <w:r w:rsidRPr="00565D23">
        <w:rPr>
          <w:rFonts w:ascii="Arial" w:hAnsi="Arial" w:cs="Arial"/>
        </w:rPr>
        <w:t>, pp.1-15.</w:t>
      </w:r>
    </w:p>
    <w:p w14:paraId="3DB7E589" w14:textId="77777777" w:rsidR="00670243" w:rsidRPr="00565D23" w:rsidRDefault="00670243">
      <w:pPr>
        <w:rPr>
          <w:rFonts w:ascii="Arial" w:hAnsi="Arial" w:cs="Arial"/>
        </w:rPr>
      </w:pPr>
      <w:r w:rsidRPr="00565D23">
        <w:rPr>
          <w:rFonts w:ascii="Arial" w:hAnsi="Arial" w:cs="Arial"/>
        </w:rPr>
        <w:t>Ekins, P., Domenech Aparisi, T., Drummond, P., Bleischwitz, R., Hughes, N. and Lotti, L., 2020. The circular economy: What, why, how and where.</w:t>
      </w:r>
    </w:p>
    <w:p w14:paraId="52ED8319" w14:textId="77777777" w:rsidR="00670243" w:rsidRPr="00565D23" w:rsidRDefault="00670243">
      <w:pPr>
        <w:rPr>
          <w:rFonts w:ascii="Arial" w:hAnsi="Arial" w:cs="Arial"/>
        </w:rPr>
      </w:pPr>
      <w:r w:rsidRPr="00565D23">
        <w:rPr>
          <w:rFonts w:ascii="Arial" w:hAnsi="Arial" w:cs="Arial"/>
        </w:rPr>
        <w:t>Esken, B., Franco-García, M.L. and Fisscher, O.A., 2018. CSR perception as a signpost for circular economy. </w:t>
      </w:r>
      <w:r w:rsidRPr="00565D23">
        <w:rPr>
          <w:rFonts w:ascii="Arial" w:hAnsi="Arial" w:cs="Arial"/>
          <w:i/>
          <w:iCs/>
        </w:rPr>
        <w:t>Management research review</w:t>
      </w:r>
      <w:r w:rsidRPr="00565D23">
        <w:rPr>
          <w:rFonts w:ascii="Arial" w:hAnsi="Arial" w:cs="Arial"/>
        </w:rPr>
        <w:t>, </w:t>
      </w:r>
      <w:r w:rsidRPr="00565D23">
        <w:rPr>
          <w:rFonts w:ascii="Arial" w:hAnsi="Arial" w:cs="Arial"/>
          <w:i/>
          <w:iCs/>
        </w:rPr>
        <w:t>41</w:t>
      </w:r>
      <w:r w:rsidRPr="00565D23">
        <w:rPr>
          <w:rFonts w:ascii="Arial" w:hAnsi="Arial" w:cs="Arial"/>
        </w:rPr>
        <w:t>(5), pp.586-604.</w:t>
      </w:r>
    </w:p>
    <w:p w14:paraId="7CCB371C" w14:textId="77777777" w:rsidR="00670243" w:rsidRPr="00565D23" w:rsidRDefault="00670243">
      <w:pPr>
        <w:rPr>
          <w:rFonts w:ascii="Arial" w:hAnsi="Arial" w:cs="Arial"/>
        </w:rPr>
      </w:pPr>
      <w:r w:rsidRPr="00565D23">
        <w:rPr>
          <w:rFonts w:ascii="Arial" w:hAnsi="Arial" w:cs="Arial"/>
        </w:rPr>
        <w:t>Fortunati, S., Morea, D. and Mosconi, E.M., 2020. Circular economy and corporate social responsibility in the agricultural system: Cases study of the Italian agri-food industry. </w:t>
      </w:r>
      <w:r w:rsidRPr="00565D23">
        <w:rPr>
          <w:rFonts w:ascii="Arial" w:hAnsi="Arial" w:cs="Arial"/>
          <w:i/>
          <w:iCs/>
        </w:rPr>
        <w:t>Zemedelska Ekonomika</w:t>
      </w:r>
      <w:r w:rsidRPr="00565D23">
        <w:rPr>
          <w:rFonts w:ascii="Arial" w:hAnsi="Arial" w:cs="Arial"/>
        </w:rPr>
        <w:t>, </w:t>
      </w:r>
      <w:r w:rsidRPr="00565D23">
        <w:rPr>
          <w:rFonts w:ascii="Arial" w:hAnsi="Arial" w:cs="Arial"/>
          <w:i/>
          <w:iCs/>
        </w:rPr>
        <w:t>66</w:t>
      </w:r>
      <w:r w:rsidRPr="00565D23">
        <w:rPr>
          <w:rFonts w:ascii="Arial" w:hAnsi="Arial" w:cs="Arial"/>
        </w:rPr>
        <w:t>(11), pp.489-498.</w:t>
      </w:r>
    </w:p>
    <w:p w14:paraId="1B0E35FE" w14:textId="77777777" w:rsidR="00670243" w:rsidRPr="00565D23" w:rsidRDefault="00670243">
      <w:pPr>
        <w:rPr>
          <w:rFonts w:ascii="Arial" w:hAnsi="Arial" w:cs="Arial"/>
        </w:rPr>
      </w:pPr>
      <w:r w:rsidRPr="00565D23">
        <w:rPr>
          <w:rFonts w:ascii="Arial" w:hAnsi="Arial" w:cs="Arial"/>
        </w:rPr>
        <w:t>Jones, P. and Comfort, D., 2019. Sustainable development goals and the world’s leading hotel groups. </w:t>
      </w:r>
      <w:r w:rsidRPr="00565D23">
        <w:rPr>
          <w:rFonts w:ascii="Arial" w:hAnsi="Arial" w:cs="Arial"/>
          <w:i/>
          <w:iCs/>
        </w:rPr>
        <w:t>Athens Journal of Tourism</w:t>
      </w:r>
      <w:r w:rsidRPr="00565D23">
        <w:rPr>
          <w:rFonts w:ascii="Arial" w:hAnsi="Arial" w:cs="Arial"/>
        </w:rPr>
        <w:t>, </w:t>
      </w:r>
      <w:r w:rsidRPr="00565D23">
        <w:rPr>
          <w:rFonts w:ascii="Arial" w:hAnsi="Arial" w:cs="Arial"/>
          <w:i/>
          <w:iCs/>
        </w:rPr>
        <w:t>6</w:t>
      </w:r>
      <w:r w:rsidRPr="00565D23">
        <w:rPr>
          <w:rFonts w:ascii="Arial" w:hAnsi="Arial" w:cs="Arial"/>
        </w:rPr>
        <w:t>(1), pp.1-14.</w:t>
      </w:r>
    </w:p>
    <w:p w14:paraId="0B3A1ED4" w14:textId="77777777" w:rsidR="00670243" w:rsidRPr="00CB466B" w:rsidRDefault="00670243">
      <w:pPr>
        <w:rPr>
          <w:rFonts w:ascii="Arial" w:hAnsi="Arial" w:cs="Arial"/>
          <w:lang w:val="it-IT"/>
        </w:rPr>
      </w:pPr>
      <w:r w:rsidRPr="00565D23">
        <w:rPr>
          <w:rFonts w:ascii="Arial" w:hAnsi="Arial" w:cs="Arial"/>
        </w:rPr>
        <w:t>Korhonen, J., Honkasalo, A. and Seppälä, J., 2018. Circular economy: the concept and its limitations. </w:t>
      </w:r>
      <w:r w:rsidRPr="00CB466B">
        <w:rPr>
          <w:rFonts w:ascii="Arial" w:hAnsi="Arial" w:cs="Arial"/>
          <w:i/>
          <w:iCs/>
          <w:lang w:val="it-IT"/>
        </w:rPr>
        <w:t>Ecological economics</w:t>
      </w:r>
      <w:r w:rsidRPr="00CB466B">
        <w:rPr>
          <w:rFonts w:ascii="Arial" w:hAnsi="Arial" w:cs="Arial"/>
          <w:lang w:val="it-IT"/>
        </w:rPr>
        <w:t>, </w:t>
      </w:r>
      <w:r w:rsidRPr="00CB466B">
        <w:rPr>
          <w:rFonts w:ascii="Arial" w:hAnsi="Arial" w:cs="Arial"/>
          <w:i/>
          <w:iCs/>
          <w:lang w:val="it-IT"/>
        </w:rPr>
        <w:t>143</w:t>
      </w:r>
      <w:r w:rsidRPr="00CB466B">
        <w:rPr>
          <w:rFonts w:ascii="Arial" w:hAnsi="Arial" w:cs="Arial"/>
          <w:lang w:val="it-IT"/>
        </w:rPr>
        <w:t>, pp.37-46.</w:t>
      </w:r>
    </w:p>
    <w:p w14:paraId="4FBD5E6A" w14:textId="77777777" w:rsidR="00670243" w:rsidRPr="00565D23" w:rsidRDefault="00670243">
      <w:pPr>
        <w:rPr>
          <w:rFonts w:ascii="Arial" w:hAnsi="Arial" w:cs="Arial"/>
        </w:rPr>
      </w:pPr>
      <w:r w:rsidRPr="00CB466B">
        <w:rPr>
          <w:rFonts w:ascii="Arial" w:hAnsi="Arial" w:cs="Arial"/>
          <w:lang w:val="it-IT"/>
        </w:rPr>
        <w:t xml:space="preserve">Morea, D., Fortunati, S. and Martiniello, L., 2021. </w:t>
      </w:r>
      <w:r w:rsidRPr="00565D23">
        <w:rPr>
          <w:rFonts w:ascii="Arial" w:hAnsi="Arial" w:cs="Arial"/>
        </w:rPr>
        <w:t>Circular economy and corporate social responsibility: Towards an integrated strategic approach in the multinational cosmetics industry. </w:t>
      </w:r>
      <w:r w:rsidRPr="00565D23">
        <w:rPr>
          <w:rFonts w:ascii="Arial" w:hAnsi="Arial" w:cs="Arial"/>
          <w:i/>
          <w:iCs/>
        </w:rPr>
        <w:t>Journal of Cleaner Production</w:t>
      </w:r>
      <w:r w:rsidRPr="00565D23">
        <w:rPr>
          <w:rFonts w:ascii="Arial" w:hAnsi="Arial" w:cs="Arial"/>
        </w:rPr>
        <w:t>, </w:t>
      </w:r>
      <w:r w:rsidRPr="00565D23">
        <w:rPr>
          <w:rFonts w:ascii="Arial" w:hAnsi="Arial" w:cs="Arial"/>
          <w:i/>
          <w:iCs/>
        </w:rPr>
        <w:t>315</w:t>
      </w:r>
      <w:r w:rsidRPr="00565D23">
        <w:rPr>
          <w:rFonts w:ascii="Arial" w:hAnsi="Arial" w:cs="Arial"/>
        </w:rPr>
        <w:t>, p.128232.</w:t>
      </w:r>
    </w:p>
    <w:p w14:paraId="2EDBF993" w14:textId="77777777" w:rsidR="00670243" w:rsidRPr="00565D23" w:rsidRDefault="00670243">
      <w:pPr>
        <w:rPr>
          <w:rFonts w:ascii="Arial" w:hAnsi="Arial" w:cs="Arial"/>
        </w:rPr>
      </w:pPr>
      <w:r w:rsidRPr="00565D23">
        <w:rPr>
          <w:rFonts w:ascii="Arial" w:hAnsi="Arial" w:cs="Arial"/>
        </w:rPr>
        <w:t>Morea, D., Fortunati, S., Cappa, F. and Oriani, R., 2023. Corporate social responsibility as a catalyst of circular economy? A case study perspective in Agri-food. </w:t>
      </w:r>
      <w:r w:rsidRPr="00565D23">
        <w:rPr>
          <w:rFonts w:ascii="Arial" w:hAnsi="Arial" w:cs="Arial"/>
          <w:i/>
          <w:iCs/>
        </w:rPr>
        <w:t>Journal of Knowledge Management</w:t>
      </w:r>
      <w:r w:rsidRPr="00565D23">
        <w:rPr>
          <w:rFonts w:ascii="Arial" w:hAnsi="Arial" w:cs="Arial"/>
        </w:rPr>
        <w:t>, </w:t>
      </w:r>
      <w:r w:rsidRPr="00565D23">
        <w:rPr>
          <w:rFonts w:ascii="Arial" w:hAnsi="Arial" w:cs="Arial"/>
          <w:i/>
          <w:iCs/>
        </w:rPr>
        <w:t>27</w:t>
      </w:r>
      <w:r w:rsidRPr="00565D23">
        <w:rPr>
          <w:rFonts w:ascii="Arial" w:hAnsi="Arial" w:cs="Arial"/>
        </w:rPr>
        <w:t>(7), pp.1787-1809.</w:t>
      </w:r>
    </w:p>
    <w:p w14:paraId="480259EA" w14:textId="77777777" w:rsidR="00670243" w:rsidRPr="00565D23" w:rsidRDefault="00670243">
      <w:pPr>
        <w:rPr>
          <w:rFonts w:ascii="Arial" w:hAnsi="Arial" w:cs="Arial"/>
        </w:rPr>
      </w:pPr>
      <w:r w:rsidRPr="00565D23">
        <w:rPr>
          <w:rFonts w:ascii="Arial" w:hAnsi="Arial" w:cs="Arial"/>
        </w:rPr>
        <w:t>Niyommaneerat, W., Suwanteep, K. and Chavalparit, O., 2023. Sustainability indicators to achieve a circular economy: A case study of renewable energy and plastic waste recycling corporate social responsibility (CSR) projects in Thailand. </w:t>
      </w:r>
      <w:r w:rsidRPr="00565D23">
        <w:rPr>
          <w:rFonts w:ascii="Arial" w:hAnsi="Arial" w:cs="Arial"/>
          <w:i/>
          <w:iCs/>
        </w:rPr>
        <w:t>Journal of Cleaner Production</w:t>
      </w:r>
      <w:r w:rsidRPr="00565D23">
        <w:rPr>
          <w:rFonts w:ascii="Arial" w:hAnsi="Arial" w:cs="Arial"/>
        </w:rPr>
        <w:t>, </w:t>
      </w:r>
      <w:r w:rsidRPr="00565D23">
        <w:rPr>
          <w:rFonts w:ascii="Arial" w:hAnsi="Arial" w:cs="Arial"/>
          <w:i/>
          <w:iCs/>
        </w:rPr>
        <w:t>391</w:t>
      </w:r>
      <w:r w:rsidRPr="00565D23">
        <w:rPr>
          <w:rFonts w:ascii="Arial" w:hAnsi="Arial" w:cs="Arial"/>
        </w:rPr>
        <w:t>, p.136203.</w:t>
      </w:r>
    </w:p>
    <w:p w14:paraId="1D4033DC" w14:textId="77777777" w:rsidR="00670243" w:rsidRPr="00565D23" w:rsidRDefault="00670243">
      <w:pPr>
        <w:rPr>
          <w:rFonts w:ascii="Arial" w:hAnsi="Arial" w:cs="Arial"/>
        </w:rPr>
      </w:pPr>
      <w:r w:rsidRPr="00565D23">
        <w:rPr>
          <w:rFonts w:ascii="Arial" w:hAnsi="Arial" w:cs="Arial"/>
        </w:rPr>
        <w:lastRenderedPageBreak/>
        <w:t>Nobre, G.C. and Tavares, E., 2021. The quest for a circular economy final definition: A scientific perspective. </w:t>
      </w:r>
      <w:r w:rsidRPr="00565D23">
        <w:rPr>
          <w:rFonts w:ascii="Arial" w:hAnsi="Arial" w:cs="Arial"/>
          <w:i/>
          <w:iCs/>
        </w:rPr>
        <w:t>Journal of Cleaner Production</w:t>
      </w:r>
      <w:r w:rsidRPr="00565D23">
        <w:rPr>
          <w:rFonts w:ascii="Arial" w:hAnsi="Arial" w:cs="Arial"/>
        </w:rPr>
        <w:t>, </w:t>
      </w:r>
      <w:r w:rsidRPr="00565D23">
        <w:rPr>
          <w:rFonts w:ascii="Arial" w:hAnsi="Arial" w:cs="Arial"/>
          <w:i/>
          <w:iCs/>
        </w:rPr>
        <w:t>314</w:t>
      </w:r>
      <w:r w:rsidRPr="00565D23">
        <w:rPr>
          <w:rFonts w:ascii="Arial" w:hAnsi="Arial" w:cs="Arial"/>
        </w:rPr>
        <w:t>, p.127973.</w:t>
      </w:r>
    </w:p>
    <w:p w14:paraId="43124E32" w14:textId="77777777" w:rsidR="00670243" w:rsidRPr="00565D23" w:rsidRDefault="00670243">
      <w:pPr>
        <w:rPr>
          <w:rFonts w:ascii="Arial" w:hAnsi="Arial" w:cs="Arial"/>
        </w:rPr>
      </w:pPr>
      <w:r w:rsidRPr="00565D23">
        <w:rPr>
          <w:rFonts w:ascii="Arial" w:hAnsi="Arial" w:cs="Arial"/>
        </w:rPr>
        <w:t>Rattalino, F., 2018. Circular advantage anyone? Sustainability</w:t>
      </w:r>
      <w:r w:rsidRPr="00565D23">
        <w:rPr>
          <w:rFonts w:ascii="Cambria Math" w:hAnsi="Cambria Math" w:cs="Cambria Math"/>
        </w:rPr>
        <w:t>‐</w:t>
      </w:r>
      <w:r w:rsidRPr="00565D23">
        <w:rPr>
          <w:rFonts w:ascii="Arial" w:hAnsi="Arial" w:cs="Arial"/>
        </w:rPr>
        <w:t>driven innovation and circularity at Patagonia, Inc. </w:t>
      </w:r>
      <w:r w:rsidRPr="00565D23">
        <w:rPr>
          <w:rFonts w:ascii="Arial" w:hAnsi="Arial" w:cs="Arial"/>
          <w:i/>
          <w:iCs/>
        </w:rPr>
        <w:t>Thunderbird International Business Review</w:t>
      </w:r>
      <w:r w:rsidRPr="00565D23">
        <w:rPr>
          <w:rFonts w:ascii="Arial" w:hAnsi="Arial" w:cs="Arial"/>
        </w:rPr>
        <w:t>, </w:t>
      </w:r>
      <w:r w:rsidRPr="00565D23">
        <w:rPr>
          <w:rFonts w:ascii="Arial" w:hAnsi="Arial" w:cs="Arial"/>
          <w:i/>
          <w:iCs/>
        </w:rPr>
        <w:t>60</w:t>
      </w:r>
      <w:r w:rsidRPr="00565D23">
        <w:rPr>
          <w:rFonts w:ascii="Arial" w:hAnsi="Arial" w:cs="Arial"/>
        </w:rPr>
        <w:t>(5), pp.747-755.</w:t>
      </w:r>
    </w:p>
    <w:p w14:paraId="304EB4BF" w14:textId="77777777" w:rsidR="00670243" w:rsidRPr="00565D23" w:rsidRDefault="00670243">
      <w:pPr>
        <w:rPr>
          <w:rFonts w:ascii="Arial" w:hAnsi="Arial" w:cs="Arial"/>
        </w:rPr>
      </w:pPr>
      <w:r w:rsidRPr="00565D23">
        <w:rPr>
          <w:rFonts w:ascii="Arial" w:hAnsi="Arial" w:cs="Arial"/>
        </w:rPr>
        <w:t>Shokola, Y. and Khoreva, L., 2021. Circular economy in corporate social responsibility strategies: evidence from non-financial reports of Russian companies. </w:t>
      </w:r>
      <w:r w:rsidRPr="00565D23">
        <w:rPr>
          <w:rFonts w:ascii="Arial" w:hAnsi="Arial" w:cs="Arial"/>
          <w:i/>
          <w:iCs/>
        </w:rPr>
        <w:t>International Days of Science</w:t>
      </w:r>
      <w:r w:rsidRPr="00565D23">
        <w:rPr>
          <w:rFonts w:ascii="Arial" w:hAnsi="Arial" w:cs="Arial"/>
        </w:rPr>
        <w:t>, p.16.</w:t>
      </w:r>
    </w:p>
    <w:p w14:paraId="5678E265" w14:textId="77777777" w:rsidR="00670243" w:rsidRPr="00565D23" w:rsidRDefault="00670243">
      <w:pPr>
        <w:rPr>
          <w:rFonts w:ascii="Arial" w:hAnsi="Arial" w:cs="Arial"/>
        </w:rPr>
      </w:pPr>
      <w:r w:rsidRPr="00565D23">
        <w:rPr>
          <w:rFonts w:ascii="Arial" w:hAnsi="Arial" w:cs="Arial"/>
        </w:rPr>
        <w:t>Soliwoda, M., Wieliczko, B. and Kulawik, J., 2020. Circular economy vs. sustainability of agribusiness. </w:t>
      </w:r>
      <w:r w:rsidRPr="00565D23">
        <w:rPr>
          <w:rFonts w:ascii="Arial" w:hAnsi="Arial" w:cs="Arial"/>
          <w:i/>
          <w:iCs/>
        </w:rPr>
        <w:t>Zagadnienia Ekonomiki Rolnej/Problems of Agricultural Economics</w:t>
      </w:r>
      <w:r w:rsidRPr="00565D23">
        <w:rPr>
          <w:rFonts w:ascii="Arial" w:hAnsi="Arial" w:cs="Arial"/>
        </w:rPr>
        <w:t>, (1).</w:t>
      </w:r>
    </w:p>
    <w:p w14:paraId="769222D1" w14:textId="77777777" w:rsidR="00670243" w:rsidRPr="00565D23" w:rsidRDefault="00670243">
      <w:pPr>
        <w:rPr>
          <w:rFonts w:ascii="Arial" w:hAnsi="Arial" w:cs="Arial"/>
        </w:rPr>
      </w:pPr>
      <w:r w:rsidRPr="00565D23">
        <w:rPr>
          <w:rFonts w:ascii="Arial" w:hAnsi="Arial" w:cs="Arial"/>
        </w:rPr>
        <w:t>Stahel, W.R., 2019. </w:t>
      </w:r>
      <w:r w:rsidRPr="00565D23">
        <w:rPr>
          <w:rFonts w:ascii="Arial" w:hAnsi="Arial" w:cs="Arial"/>
          <w:i/>
          <w:iCs/>
        </w:rPr>
        <w:t>The circular economy: A user's guide</w:t>
      </w:r>
      <w:r w:rsidRPr="00565D23">
        <w:rPr>
          <w:rFonts w:ascii="Arial" w:hAnsi="Arial" w:cs="Arial"/>
        </w:rPr>
        <w:t>. Routledge.</w:t>
      </w:r>
    </w:p>
    <w:p w14:paraId="5F4E9BDE" w14:textId="77777777" w:rsidR="00670243" w:rsidRPr="00565D23" w:rsidRDefault="00670243">
      <w:pPr>
        <w:rPr>
          <w:rFonts w:ascii="Arial" w:hAnsi="Arial" w:cs="Arial"/>
        </w:rPr>
      </w:pPr>
      <w:r w:rsidRPr="00565D23">
        <w:rPr>
          <w:rFonts w:ascii="Arial" w:hAnsi="Arial" w:cs="Arial"/>
        </w:rPr>
        <w:t>Stoimenov, V., 2023. GOOD PRACTICES IN HOTEL BRANDING–SUSTAINABILITY TRENDS OF INTERCONTINENTAL HOTEL GROUP. </w:t>
      </w:r>
      <w:r w:rsidRPr="00565D23">
        <w:rPr>
          <w:rFonts w:ascii="Arial" w:hAnsi="Arial" w:cs="Arial"/>
          <w:i/>
          <w:iCs/>
        </w:rPr>
        <w:t>Предприемачество</w:t>
      </w:r>
      <w:r w:rsidRPr="00565D23">
        <w:rPr>
          <w:rFonts w:ascii="Arial" w:hAnsi="Arial" w:cs="Arial"/>
        </w:rPr>
        <w:t>, </w:t>
      </w:r>
      <w:r w:rsidRPr="00565D23">
        <w:rPr>
          <w:rFonts w:ascii="Arial" w:hAnsi="Arial" w:cs="Arial"/>
          <w:i/>
          <w:iCs/>
        </w:rPr>
        <w:t>11</w:t>
      </w:r>
      <w:r w:rsidRPr="00565D23">
        <w:rPr>
          <w:rFonts w:ascii="Arial" w:hAnsi="Arial" w:cs="Arial"/>
        </w:rPr>
        <w:t>(1), pp.108-131.</w:t>
      </w:r>
    </w:p>
    <w:p w14:paraId="65BE7BDF" w14:textId="77777777" w:rsidR="00670243" w:rsidRPr="00565D23" w:rsidRDefault="00670243">
      <w:pPr>
        <w:rPr>
          <w:rFonts w:ascii="Arial" w:hAnsi="Arial" w:cs="Arial"/>
        </w:rPr>
      </w:pPr>
      <w:r w:rsidRPr="00565D23">
        <w:rPr>
          <w:rFonts w:ascii="Arial" w:hAnsi="Arial" w:cs="Arial"/>
        </w:rPr>
        <w:t>Surya, P.R.A., Budarma, I.K. and Mudana, I.G., 2020. Three-cluster policy in the implementation of corporate social responsibility at Intercontinental Bali Resort. </w:t>
      </w:r>
      <w:r w:rsidRPr="00565D23">
        <w:rPr>
          <w:rFonts w:ascii="Arial" w:hAnsi="Arial" w:cs="Arial"/>
          <w:i/>
          <w:iCs/>
        </w:rPr>
        <w:t>International Journal of Green Tourism Research and Applications</w:t>
      </w:r>
      <w:r w:rsidRPr="00565D23">
        <w:rPr>
          <w:rFonts w:ascii="Arial" w:hAnsi="Arial" w:cs="Arial"/>
        </w:rPr>
        <w:t>, </w:t>
      </w:r>
      <w:r w:rsidRPr="00565D23">
        <w:rPr>
          <w:rFonts w:ascii="Arial" w:hAnsi="Arial" w:cs="Arial"/>
          <w:i/>
          <w:iCs/>
        </w:rPr>
        <w:t>2</w:t>
      </w:r>
      <w:r w:rsidRPr="00565D23">
        <w:rPr>
          <w:rFonts w:ascii="Arial" w:hAnsi="Arial" w:cs="Arial"/>
        </w:rPr>
        <w:t>(1), pp.11-21.</w:t>
      </w:r>
    </w:p>
    <w:p w14:paraId="57A30D40" w14:textId="77777777" w:rsidR="00670243" w:rsidRPr="00565D23" w:rsidRDefault="00670243">
      <w:pPr>
        <w:rPr>
          <w:rFonts w:ascii="Arial" w:hAnsi="Arial" w:cs="Arial"/>
        </w:rPr>
      </w:pPr>
      <w:r w:rsidRPr="00565D23">
        <w:rPr>
          <w:rFonts w:ascii="Arial" w:hAnsi="Arial" w:cs="Arial"/>
        </w:rPr>
        <w:t>Veleva, V. and Bodkin, G., 2018. Corporate-entrepreneur collaborations to advance a circular economy. </w:t>
      </w:r>
      <w:r w:rsidRPr="00565D23">
        <w:rPr>
          <w:rFonts w:ascii="Arial" w:hAnsi="Arial" w:cs="Arial"/>
          <w:i/>
          <w:iCs/>
        </w:rPr>
        <w:t>Journal of Cleaner Production</w:t>
      </w:r>
      <w:r w:rsidRPr="00565D23">
        <w:rPr>
          <w:rFonts w:ascii="Arial" w:hAnsi="Arial" w:cs="Arial"/>
        </w:rPr>
        <w:t>, </w:t>
      </w:r>
      <w:r w:rsidRPr="00565D23">
        <w:rPr>
          <w:rFonts w:ascii="Arial" w:hAnsi="Arial" w:cs="Arial"/>
          <w:i/>
          <w:iCs/>
        </w:rPr>
        <w:t>188</w:t>
      </w:r>
      <w:r w:rsidRPr="00565D23">
        <w:rPr>
          <w:rFonts w:ascii="Arial" w:hAnsi="Arial" w:cs="Arial"/>
        </w:rPr>
        <w:t>, pp.20-37.</w:t>
      </w:r>
    </w:p>
    <w:p w14:paraId="25403807" w14:textId="77777777" w:rsidR="00670243" w:rsidRPr="00565D23" w:rsidRDefault="00670243">
      <w:pPr>
        <w:rPr>
          <w:rFonts w:ascii="Arial" w:hAnsi="Arial" w:cs="Arial"/>
        </w:rPr>
      </w:pPr>
      <w:r w:rsidRPr="00565D23">
        <w:rPr>
          <w:rFonts w:ascii="Arial" w:hAnsi="Arial" w:cs="Arial"/>
        </w:rPr>
        <w:t>Wang, C., Hu, R. and Zhang, T.C., 2020. Corporate social responsibility in international hotel chains and its effects on local employees: Scale development and empirical testing in China. </w:t>
      </w:r>
      <w:r w:rsidRPr="00565D23">
        <w:rPr>
          <w:rFonts w:ascii="Arial" w:hAnsi="Arial" w:cs="Arial"/>
          <w:i/>
          <w:iCs/>
        </w:rPr>
        <w:t>International Journal of Hospitality Management</w:t>
      </w:r>
      <w:r w:rsidRPr="00565D23">
        <w:rPr>
          <w:rFonts w:ascii="Arial" w:hAnsi="Arial" w:cs="Arial"/>
        </w:rPr>
        <w:t>, </w:t>
      </w:r>
      <w:r w:rsidRPr="00565D23">
        <w:rPr>
          <w:rFonts w:ascii="Arial" w:hAnsi="Arial" w:cs="Arial"/>
          <w:i/>
          <w:iCs/>
        </w:rPr>
        <w:t>90</w:t>
      </w:r>
      <w:r w:rsidRPr="00565D23">
        <w:rPr>
          <w:rFonts w:ascii="Arial" w:hAnsi="Arial" w:cs="Arial"/>
        </w:rPr>
        <w:t>, p.102598.</w:t>
      </w:r>
    </w:p>
    <w:sectPr w:rsidR="00670243" w:rsidRPr="00565D23" w:rsidSect="00222E7B">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0880A" w14:textId="77777777" w:rsidR="00222E7B" w:rsidRDefault="00222E7B" w:rsidP="00F335DF">
      <w:pPr>
        <w:spacing w:after="0" w:line="240" w:lineRule="auto"/>
      </w:pPr>
      <w:r>
        <w:separator/>
      </w:r>
    </w:p>
  </w:endnote>
  <w:endnote w:type="continuationSeparator" w:id="0">
    <w:p w14:paraId="3914257E" w14:textId="77777777" w:rsidR="00222E7B" w:rsidRDefault="00222E7B" w:rsidP="00F33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453182"/>
      <w:docPartObj>
        <w:docPartGallery w:val="Page Numbers (Bottom of Page)"/>
        <w:docPartUnique/>
      </w:docPartObj>
    </w:sdtPr>
    <w:sdtEndPr>
      <w:rPr>
        <w:noProof/>
      </w:rPr>
    </w:sdtEndPr>
    <w:sdtContent>
      <w:p w14:paraId="5C668035" w14:textId="407E4C1B" w:rsidR="00F335DF" w:rsidRDefault="00F335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A16DD0" w14:textId="77777777" w:rsidR="00F335DF" w:rsidRDefault="00F33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4771F" w14:textId="77777777" w:rsidR="00222E7B" w:rsidRDefault="00222E7B" w:rsidP="00F335DF">
      <w:pPr>
        <w:spacing w:after="0" w:line="240" w:lineRule="auto"/>
      </w:pPr>
      <w:r>
        <w:separator/>
      </w:r>
    </w:p>
  </w:footnote>
  <w:footnote w:type="continuationSeparator" w:id="0">
    <w:p w14:paraId="2EFF22C8" w14:textId="77777777" w:rsidR="00222E7B" w:rsidRDefault="00222E7B" w:rsidP="00F335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5DF"/>
    <w:rsid w:val="00033FD0"/>
    <w:rsid w:val="000D10C9"/>
    <w:rsid w:val="000E66C2"/>
    <w:rsid w:val="00114284"/>
    <w:rsid w:val="00222E7B"/>
    <w:rsid w:val="002B1BF8"/>
    <w:rsid w:val="002D66A5"/>
    <w:rsid w:val="004E0267"/>
    <w:rsid w:val="00565D23"/>
    <w:rsid w:val="00670243"/>
    <w:rsid w:val="006D7CF8"/>
    <w:rsid w:val="00903D83"/>
    <w:rsid w:val="00A77449"/>
    <w:rsid w:val="00B750AD"/>
    <w:rsid w:val="00BA7165"/>
    <w:rsid w:val="00C52944"/>
    <w:rsid w:val="00CB466B"/>
    <w:rsid w:val="00DB1854"/>
    <w:rsid w:val="00E15655"/>
    <w:rsid w:val="00F335D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F135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FD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77449"/>
    <w:pPr>
      <w:keepNext/>
      <w:keepLines/>
      <w:spacing w:before="240" w:after="0" w:line="259" w:lineRule="auto"/>
      <w:outlineLvl w:val="0"/>
    </w:pPr>
    <w:rPr>
      <w:rFonts w:eastAsiaTheme="majorEastAsia" w:cstheme="majorBidi"/>
      <w:b/>
      <w:kern w:val="0"/>
      <w:sz w:val="28"/>
      <w:szCs w:val="32"/>
      <w:lang w:val="en-IN"/>
      <w14:ligatures w14:val="none"/>
    </w:rPr>
  </w:style>
  <w:style w:type="paragraph" w:styleId="Heading2">
    <w:name w:val="heading 2"/>
    <w:basedOn w:val="Normal"/>
    <w:next w:val="Normal"/>
    <w:link w:val="Heading2Char"/>
    <w:autoRedefine/>
    <w:uiPriority w:val="9"/>
    <w:semiHidden/>
    <w:unhideWhenUsed/>
    <w:qFormat/>
    <w:rsid w:val="00033FD0"/>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semiHidden/>
    <w:unhideWhenUsed/>
    <w:qFormat/>
    <w:rsid w:val="00114284"/>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449"/>
    <w:rPr>
      <w:rFonts w:ascii="Times New Roman" w:eastAsiaTheme="majorEastAsia" w:hAnsi="Times New Roman" w:cstheme="majorBidi"/>
      <w:b/>
      <w:kern w:val="0"/>
      <w:sz w:val="28"/>
      <w:szCs w:val="32"/>
      <w14:ligatures w14:val="none"/>
    </w:rPr>
  </w:style>
  <w:style w:type="character" w:customStyle="1" w:styleId="Heading2Char">
    <w:name w:val="Heading 2 Char"/>
    <w:basedOn w:val="DefaultParagraphFont"/>
    <w:link w:val="Heading2"/>
    <w:uiPriority w:val="9"/>
    <w:semiHidden/>
    <w:rsid w:val="00033FD0"/>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033FD0"/>
    <w:pPr>
      <w:spacing w:after="0"/>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033FD0"/>
    <w:rPr>
      <w:rFonts w:ascii="Times New Roman" w:eastAsiaTheme="majorEastAsia" w:hAnsi="Times New Roman" w:cstheme="majorBidi"/>
      <w:b/>
      <w:spacing w:val="-10"/>
      <w:kern w:val="28"/>
      <w:sz w:val="52"/>
      <w:szCs w:val="56"/>
    </w:rPr>
  </w:style>
  <w:style w:type="character" w:customStyle="1" w:styleId="Heading3Char">
    <w:name w:val="Heading 3 Char"/>
    <w:basedOn w:val="DefaultParagraphFont"/>
    <w:link w:val="Heading3"/>
    <w:uiPriority w:val="9"/>
    <w:semiHidden/>
    <w:rsid w:val="00114284"/>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F335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5DF"/>
    <w:rPr>
      <w:rFonts w:ascii="Times New Roman" w:hAnsi="Times New Roman"/>
      <w:sz w:val="24"/>
      <w:lang w:val="en-GB"/>
    </w:rPr>
  </w:style>
  <w:style w:type="paragraph" w:styleId="Footer">
    <w:name w:val="footer"/>
    <w:basedOn w:val="Normal"/>
    <w:link w:val="FooterChar"/>
    <w:uiPriority w:val="99"/>
    <w:unhideWhenUsed/>
    <w:rsid w:val="00F33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5DF"/>
    <w:rPr>
      <w:rFonts w:ascii="Times New Roman" w:hAnsi="Times New Roman"/>
      <w:sz w:val="24"/>
      <w:lang w:val="en-GB"/>
    </w:rPr>
  </w:style>
  <w:style w:type="paragraph" w:styleId="ListParagraph">
    <w:name w:val="List Paragraph"/>
    <w:basedOn w:val="Normal"/>
    <w:uiPriority w:val="34"/>
    <w:qFormat/>
    <w:rsid w:val="00670243"/>
    <w:pPr>
      <w:ind w:left="720"/>
      <w:contextualSpacing/>
    </w:pPr>
  </w:style>
  <w:style w:type="paragraph" w:styleId="NormalWeb">
    <w:name w:val="Normal (Web)"/>
    <w:basedOn w:val="Normal"/>
    <w:uiPriority w:val="99"/>
    <w:semiHidden/>
    <w:unhideWhenUsed/>
    <w:rsid w:val="00DB1854"/>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938306">
      <w:bodyDiv w:val="1"/>
      <w:marLeft w:val="0"/>
      <w:marRight w:val="0"/>
      <w:marTop w:val="0"/>
      <w:marBottom w:val="0"/>
      <w:divBdr>
        <w:top w:val="none" w:sz="0" w:space="0" w:color="auto"/>
        <w:left w:val="none" w:sz="0" w:space="0" w:color="auto"/>
        <w:bottom w:val="none" w:sz="0" w:space="0" w:color="auto"/>
        <w:right w:val="none" w:sz="0" w:space="0" w:color="auto"/>
      </w:divBdr>
      <w:divsChild>
        <w:div w:id="1188132034">
          <w:marLeft w:val="0"/>
          <w:marRight w:val="0"/>
          <w:marTop w:val="0"/>
          <w:marBottom w:val="0"/>
          <w:divBdr>
            <w:top w:val="none" w:sz="0" w:space="0" w:color="auto"/>
            <w:left w:val="none" w:sz="0" w:space="0" w:color="auto"/>
            <w:bottom w:val="none" w:sz="0" w:space="0" w:color="auto"/>
            <w:right w:val="none" w:sz="0" w:space="0" w:color="auto"/>
          </w:divBdr>
          <w:divsChild>
            <w:div w:id="828445209">
              <w:marLeft w:val="0"/>
              <w:marRight w:val="0"/>
              <w:marTop w:val="300"/>
              <w:marBottom w:val="0"/>
              <w:divBdr>
                <w:top w:val="single" w:sz="6" w:space="0" w:color="DEDEDF"/>
                <w:left w:val="single" w:sz="6" w:space="15" w:color="DEDEDF"/>
                <w:bottom w:val="single" w:sz="6" w:space="0" w:color="DEDEDF"/>
                <w:right w:val="single" w:sz="6" w:space="15" w:color="DEDEDF"/>
              </w:divBdr>
              <w:divsChild>
                <w:div w:id="48215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61391">
      <w:bodyDiv w:val="1"/>
      <w:marLeft w:val="0"/>
      <w:marRight w:val="0"/>
      <w:marTop w:val="0"/>
      <w:marBottom w:val="0"/>
      <w:divBdr>
        <w:top w:val="none" w:sz="0" w:space="0" w:color="auto"/>
        <w:left w:val="none" w:sz="0" w:space="0" w:color="auto"/>
        <w:bottom w:val="none" w:sz="0" w:space="0" w:color="auto"/>
        <w:right w:val="none" w:sz="0" w:space="0" w:color="auto"/>
      </w:divBdr>
      <w:divsChild>
        <w:div w:id="126238463">
          <w:marLeft w:val="0"/>
          <w:marRight w:val="0"/>
          <w:marTop w:val="0"/>
          <w:marBottom w:val="0"/>
          <w:divBdr>
            <w:top w:val="none" w:sz="0" w:space="0" w:color="auto"/>
            <w:left w:val="none" w:sz="0" w:space="0" w:color="auto"/>
            <w:bottom w:val="none" w:sz="0" w:space="0" w:color="auto"/>
            <w:right w:val="none" w:sz="0" w:space="0" w:color="auto"/>
          </w:divBdr>
          <w:divsChild>
            <w:div w:id="1204097989">
              <w:marLeft w:val="0"/>
              <w:marRight w:val="0"/>
              <w:marTop w:val="300"/>
              <w:marBottom w:val="0"/>
              <w:divBdr>
                <w:top w:val="single" w:sz="6" w:space="0" w:color="DEDEDF"/>
                <w:left w:val="single" w:sz="6" w:space="15" w:color="DEDEDF"/>
                <w:bottom w:val="single" w:sz="6" w:space="0" w:color="DEDEDF"/>
                <w:right w:val="single" w:sz="6" w:space="15" w:color="DEDEDF"/>
              </w:divBdr>
              <w:divsChild>
                <w:div w:id="130777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501">
      <w:bodyDiv w:val="1"/>
      <w:marLeft w:val="0"/>
      <w:marRight w:val="0"/>
      <w:marTop w:val="0"/>
      <w:marBottom w:val="0"/>
      <w:divBdr>
        <w:top w:val="none" w:sz="0" w:space="0" w:color="auto"/>
        <w:left w:val="none" w:sz="0" w:space="0" w:color="auto"/>
        <w:bottom w:val="none" w:sz="0" w:space="0" w:color="auto"/>
        <w:right w:val="none" w:sz="0" w:space="0" w:color="auto"/>
      </w:divBdr>
      <w:divsChild>
        <w:div w:id="2115319900">
          <w:marLeft w:val="0"/>
          <w:marRight w:val="0"/>
          <w:marTop w:val="0"/>
          <w:marBottom w:val="0"/>
          <w:divBdr>
            <w:top w:val="none" w:sz="0" w:space="0" w:color="auto"/>
            <w:left w:val="none" w:sz="0" w:space="0" w:color="auto"/>
            <w:bottom w:val="none" w:sz="0" w:space="0" w:color="auto"/>
            <w:right w:val="none" w:sz="0" w:space="0" w:color="auto"/>
          </w:divBdr>
          <w:divsChild>
            <w:div w:id="151337905">
              <w:marLeft w:val="0"/>
              <w:marRight w:val="0"/>
              <w:marTop w:val="300"/>
              <w:marBottom w:val="0"/>
              <w:divBdr>
                <w:top w:val="single" w:sz="6" w:space="0" w:color="DEDEDF"/>
                <w:left w:val="single" w:sz="6" w:space="15" w:color="DEDEDF"/>
                <w:bottom w:val="single" w:sz="6" w:space="0" w:color="DEDEDF"/>
                <w:right w:val="single" w:sz="6" w:space="15" w:color="DEDEDF"/>
              </w:divBdr>
              <w:divsChild>
                <w:div w:id="19320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356145">
      <w:bodyDiv w:val="1"/>
      <w:marLeft w:val="0"/>
      <w:marRight w:val="0"/>
      <w:marTop w:val="0"/>
      <w:marBottom w:val="0"/>
      <w:divBdr>
        <w:top w:val="none" w:sz="0" w:space="0" w:color="auto"/>
        <w:left w:val="none" w:sz="0" w:space="0" w:color="auto"/>
        <w:bottom w:val="none" w:sz="0" w:space="0" w:color="auto"/>
        <w:right w:val="none" w:sz="0" w:space="0" w:color="auto"/>
      </w:divBdr>
      <w:divsChild>
        <w:div w:id="903176258">
          <w:marLeft w:val="0"/>
          <w:marRight w:val="0"/>
          <w:marTop w:val="0"/>
          <w:marBottom w:val="0"/>
          <w:divBdr>
            <w:top w:val="none" w:sz="0" w:space="0" w:color="auto"/>
            <w:left w:val="none" w:sz="0" w:space="0" w:color="auto"/>
            <w:bottom w:val="none" w:sz="0" w:space="0" w:color="auto"/>
            <w:right w:val="none" w:sz="0" w:space="0" w:color="auto"/>
          </w:divBdr>
          <w:divsChild>
            <w:div w:id="64649262">
              <w:marLeft w:val="0"/>
              <w:marRight w:val="0"/>
              <w:marTop w:val="300"/>
              <w:marBottom w:val="0"/>
              <w:divBdr>
                <w:top w:val="single" w:sz="6" w:space="0" w:color="DEDEDF"/>
                <w:left w:val="single" w:sz="6" w:space="15" w:color="DEDEDF"/>
                <w:bottom w:val="single" w:sz="6" w:space="0" w:color="DEDEDF"/>
                <w:right w:val="single" w:sz="6" w:space="15" w:color="DEDEDF"/>
              </w:divBdr>
              <w:divsChild>
                <w:div w:id="203915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011911">
      <w:bodyDiv w:val="1"/>
      <w:marLeft w:val="0"/>
      <w:marRight w:val="0"/>
      <w:marTop w:val="0"/>
      <w:marBottom w:val="0"/>
      <w:divBdr>
        <w:top w:val="none" w:sz="0" w:space="0" w:color="auto"/>
        <w:left w:val="none" w:sz="0" w:space="0" w:color="auto"/>
        <w:bottom w:val="none" w:sz="0" w:space="0" w:color="auto"/>
        <w:right w:val="none" w:sz="0" w:space="0" w:color="auto"/>
      </w:divBdr>
      <w:divsChild>
        <w:div w:id="1063721689">
          <w:marLeft w:val="0"/>
          <w:marRight w:val="0"/>
          <w:marTop w:val="0"/>
          <w:marBottom w:val="0"/>
          <w:divBdr>
            <w:top w:val="none" w:sz="0" w:space="0" w:color="auto"/>
            <w:left w:val="none" w:sz="0" w:space="0" w:color="auto"/>
            <w:bottom w:val="none" w:sz="0" w:space="0" w:color="auto"/>
            <w:right w:val="none" w:sz="0" w:space="0" w:color="auto"/>
          </w:divBdr>
          <w:divsChild>
            <w:div w:id="1640190126">
              <w:marLeft w:val="0"/>
              <w:marRight w:val="0"/>
              <w:marTop w:val="300"/>
              <w:marBottom w:val="0"/>
              <w:divBdr>
                <w:top w:val="single" w:sz="6" w:space="0" w:color="DEDEDF"/>
                <w:left w:val="single" w:sz="6" w:space="15" w:color="DEDEDF"/>
                <w:bottom w:val="single" w:sz="6" w:space="0" w:color="DEDEDF"/>
                <w:right w:val="single" w:sz="6" w:space="15" w:color="DEDEDF"/>
              </w:divBdr>
              <w:divsChild>
                <w:div w:id="190849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537271">
      <w:bodyDiv w:val="1"/>
      <w:marLeft w:val="0"/>
      <w:marRight w:val="0"/>
      <w:marTop w:val="0"/>
      <w:marBottom w:val="0"/>
      <w:divBdr>
        <w:top w:val="none" w:sz="0" w:space="0" w:color="auto"/>
        <w:left w:val="none" w:sz="0" w:space="0" w:color="auto"/>
        <w:bottom w:val="none" w:sz="0" w:space="0" w:color="auto"/>
        <w:right w:val="none" w:sz="0" w:space="0" w:color="auto"/>
      </w:divBdr>
      <w:divsChild>
        <w:div w:id="1198159518">
          <w:marLeft w:val="0"/>
          <w:marRight w:val="0"/>
          <w:marTop w:val="0"/>
          <w:marBottom w:val="0"/>
          <w:divBdr>
            <w:top w:val="none" w:sz="0" w:space="0" w:color="auto"/>
            <w:left w:val="none" w:sz="0" w:space="0" w:color="auto"/>
            <w:bottom w:val="none" w:sz="0" w:space="0" w:color="auto"/>
            <w:right w:val="none" w:sz="0" w:space="0" w:color="auto"/>
          </w:divBdr>
          <w:divsChild>
            <w:div w:id="2107119176">
              <w:marLeft w:val="0"/>
              <w:marRight w:val="0"/>
              <w:marTop w:val="300"/>
              <w:marBottom w:val="0"/>
              <w:divBdr>
                <w:top w:val="single" w:sz="6" w:space="0" w:color="DEDEDF"/>
                <w:left w:val="single" w:sz="6" w:space="15" w:color="DEDEDF"/>
                <w:bottom w:val="single" w:sz="6" w:space="0" w:color="DEDEDF"/>
                <w:right w:val="single" w:sz="6" w:space="15" w:color="DEDEDF"/>
              </w:divBdr>
              <w:divsChild>
                <w:div w:id="19230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274972">
      <w:bodyDiv w:val="1"/>
      <w:marLeft w:val="0"/>
      <w:marRight w:val="0"/>
      <w:marTop w:val="0"/>
      <w:marBottom w:val="0"/>
      <w:divBdr>
        <w:top w:val="none" w:sz="0" w:space="0" w:color="auto"/>
        <w:left w:val="none" w:sz="0" w:space="0" w:color="auto"/>
        <w:bottom w:val="none" w:sz="0" w:space="0" w:color="auto"/>
        <w:right w:val="none" w:sz="0" w:space="0" w:color="auto"/>
      </w:divBdr>
      <w:divsChild>
        <w:div w:id="99570297">
          <w:marLeft w:val="0"/>
          <w:marRight w:val="0"/>
          <w:marTop w:val="0"/>
          <w:marBottom w:val="0"/>
          <w:divBdr>
            <w:top w:val="none" w:sz="0" w:space="0" w:color="auto"/>
            <w:left w:val="none" w:sz="0" w:space="0" w:color="auto"/>
            <w:bottom w:val="none" w:sz="0" w:space="0" w:color="auto"/>
            <w:right w:val="none" w:sz="0" w:space="0" w:color="auto"/>
          </w:divBdr>
          <w:divsChild>
            <w:div w:id="898134678">
              <w:marLeft w:val="0"/>
              <w:marRight w:val="0"/>
              <w:marTop w:val="300"/>
              <w:marBottom w:val="0"/>
              <w:divBdr>
                <w:top w:val="single" w:sz="6" w:space="0" w:color="DEDEDF"/>
                <w:left w:val="single" w:sz="6" w:space="15" w:color="DEDEDF"/>
                <w:bottom w:val="single" w:sz="6" w:space="0" w:color="DEDEDF"/>
                <w:right w:val="single" w:sz="6" w:space="15" w:color="DEDEDF"/>
              </w:divBdr>
              <w:divsChild>
                <w:div w:id="47136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02952">
      <w:bodyDiv w:val="1"/>
      <w:marLeft w:val="0"/>
      <w:marRight w:val="0"/>
      <w:marTop w:val="0"/>
      <w:marBottom w:val="0"/>
      <w:divBdr>
        <w:top w:val="none" w:sz="0" w:space="0" w:color="auto"/>
        <w:left w:val="none" w:sz="0" w:space="0" w:color="auto"/>
        <w:bottom w:val="none" w:sz="0" w:space="0" w:color="auto"/>
        <w:right w:val="none" w:sz="0" w:space="0" w:color="auto"/>
      </w:divBdr>
      <w:divsChild>
        <w:div w:id="1013874356">
          <w:marLeft w:val="0"/>
          <w:marRight w:val="0"/>
          <w:marTop w:val="0"/>
          <w:marBottom w:val="0"/>
          <w:divBdr>
            <w:top w:val="none" w:sz="0" w:space="0" w:color="auto"/>
            <w:left w:val="none" w:sz="0" w:space="0" w:color="auto"/>
            <w:bottom w:val="none" w:sz="0" w:space="0" w:color="auto"/>
            <w:right w:val="none" w:sz="0" w:space="0" w:color="auto"/>
          </w:divBdr>
          <w:divsChild>
            <w:div w:id="499277138">
              <w:marLeft w:val="0"/>
              <w:marRight w:val="0"/>
              <w:marTop w:val="300"/>
              <w:marBottom w:val="0"/>
              <w:divBdr>
                <w:top w:val="single" w:sz="6" w:space="0" w:color="DEDEDF"/>
                <w:left w:val="single" w:sz="6" w:space="15" w:color="DEDEDF"/>
                <w:bottom w:val="single" w:sz="6" w:space="0" w:color="DEDEDF"/>
                <w:right w:val="single" w:sz="6" w:space="15" w:color="DEDEDF"/>
              </w:divBdr>
              <w:divsChild>
                <w:div w:id="19103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09497">
      <w:bodyDiv w:val="1"/>
      <w:marLeft w:val="0"/>
      <w:marRight w:val="0"/>
      <w:marTop w:val="0"/>
      <w:marBottom w:val="0"/>
      <w:divBdr>
        <w:top w:val="none" w:sz="0" w:space="0" w:color="auto"/>
        <w:left w:val="none" w:sz="0" w:space="0" w:color="auto"/>
        <w:bottom w:val="none" w:sz="0" w:space="0" w:color="auto"/>
        <w:right w:val="none" w:sz="0" w:space="0" w:color="auto"/>
      </w:divBdr>
      <w:divsChild>
        <w:div w:id="468790156">
          <w:marLeft w:val="0"/>
          <w:marRight w:val="0"/>
          <w:marTop w:val="0"/>
          <w:marBottom w:val="0"/>
          <w:divBdr>
            <w:top w:val="none" w:sz="0" w:space="0" w:color="auto"/>
            <w:left w:val="none" w:sz="0" w:space="0" w:color="auto"/>
            <w:bottom w:val="none" w:sz="0" w:space="0" w:color="auto"/>
            <w:right w:val="none" w:sz="0" w:space="0" w:color="auto"/>
          </w:divBdr>
          <w:divsChild>
            <w:div w:id="441875405">
              <w:marLeft w:val="0"/>
              <w:marRight w:val="0"/>
              <w:marTop w:val="300"/>
              <w:marBottom w:val="0"/>
              <w:divBdr>
                <w:top w:val="single" w:sz="6" w:space="0" w:color="DEDEDF"/>
                <w:left w:val="single" w:sz="6" w:space="15" w:color="DEDEDF"/>
                <w:bottom w:val="single" w:sz="6" w:space="0" w:color="DEDEDF"/>
                <w:right w:val="single" w:sz="6" w:space="15" w:color="DEDEDF"/>
              </w:divBdr>
              <w:divsChild>
                <w:div w:id="86077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62346">
      <w:bodyDiv w:val="1"/>
      <w:marLeft w:val="0"/>
      <w:marRight w:val="0"/>
      <w:marTop w:val="0"/>
      <w:marBottom w:val="0"/>
      <w:divBdr>
        <w:top w:val="none" w:sz="0" w:space="0" w:color="auto"/>
        <w:left w:val="none" w:sz="0" w:space="0" w:color="auto"/>
        <w:bottom w:val="none" w:sz="0" w:space="0" w:color="auto"/>
        <w:right w:val="none" w:sz="0" w:space="0" w:color="auto"/>
      </w:divBdr>
      <w:divsChild>
        <w:div w:id="1429958617">
          <w:marLeft w:val="0"/>
          <w:marRight w:val="0"/>
          <w:marTop w:val="0"/>
          <w:marBottom w:val="0"/>
          <w:divBdr>
            <w:top w:val="none" w:sz="0" w:space="0" w:color="auto"/>
            <w:left w:val="none" w:sz="0" w:space="0" w:color="auto"/>
            <w:bottom w:val="none" w:sz="0" w:space="0" w:color="auto"/>
            <w:right w:val="none" w:sz="0" w:space="0" w:color="auto"/>
          </w:divBdr>
          <w:divsChild>
            <w:div w:id="418792375">
              <w:marLeft w:val="0"/>
              <w:marRight w:val="0"/>
              <w:marTop w:val="300"/>
              <w:marBottom w:val="0"/>
              <w:divBdr>
                <w:top w:val="single" w:sz="6" w:space="0" w:color="DEDEDF"/>
                <w:left w:val="single" w:sz="6" w:space="15" w:color="DEDEDF"/>
                <w:bottom w:val="single" w:sz="6" w:space="0" w:color="DEDEDF"/>
                <w:right w:val="single" w:sz="6" w:space="15" w:color="DEDEDF"/>
              </w:divBdr>
              <w:divsChild>
                <w:div w:id="59710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10630">
      <w:bodyDiv w:val="1"/>
      <w:marLeft w:val="0"/>
      <w:marRight w:val="0"/>
      <w:marTop w:val="0"/>
      <w:marBottom w:val="0"/>
      <w:divBdr>
        <w:top w:val="none" w:sz="0" w:space="0" w:color="auto"/>
        <w:left w:val="none" w:sz="0" w:space="0" w:color="auto"/>
        <w:bottom w:val="none" w:sz="0" w:space="0" w:color="auto"/>
        <w:right w:val="none" w:sz="0" w:space="0" w:color="auto"/>
      </w:divBdr>
      <w:divsChild>
        <w:div w:id="1494833367">
          <w:marLeft w:val="0"/>
          <w:marRight w:val="0"/>
          <w:marTop w:val="0"/>
          <w:marBottom w:val="0"/>
          <w:divBdr>
            <w:top w:val="none" w:sz="0" w:space="0" w:color="auto"/>
            <w:left w:val="none" w:sz="0" w:space="0" w:color="auto"/>
            <w:bottom w:val="none" w:sz="0" w:space="0" w:color="auto"/>
            <w:right w:val="none" w:sz="0" w:space="0" w:color="auto"/>
          </w:divBdr>
          <w:divsChild>
            <w:div w:id="311910315">
              <w:marLeft w:val="0"/>
              <w:marRight w:val="0"/>
              <w:marTop w:val="300"/>
              <w:marBottom w:val="0"/>
              <w:divBdr>
                <w:top w:val="single" w:sz="6" w:space="0" w:color="DEDEDF"/>
                <w:left w:val="single" w:sz="6" w:space="15" w:color="DEDEDF"/>
                <w:bottom w:val="single" w:sz="6" w:space="0" w:color="DEDEDF"/>
                <w:right w:val="single" w:sz="6" w:space="15" w:color="DEDEDF"/>
              </w:divBdr>
              <w:divsChild>
                <w:div w:id="11360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2609">
      <w:bodyDiv w:val="1"/>
      <w:marLeft w:val="0"/>
      <w:marRight w:val="0"/>
      <w:marTop w:val="0"/>
      <w:marBottom w:val="0"/>
      <w:divBdr>
        <w:top w:val="none" w:sz="0" w:space="0" w:color="auto"/>
        <w:left w:val="none" w:sz="0" w:space="0" w:color="auto"/>
        <w:bottom w:val="none" w:sz="0" w:space="0" w:color="auto"/>
        <w:right w:val="none" w:sz="0" w:space="0" w:color="auto"/>
      </w:divBdr>
      <w:divsChild>
        <w:div w:id="2097241781">
          <w:marLeft w:val="0"/>
          <w:marRight w:val="0"/>
          <w:marTop w:val="0"/>
          <w:marBottom w:val="0"/>
          <w:divBdr>
            <w:top w:val="none" w:sz="0" w:space="0" w:color="auto"/>
            <w:left w:val="none" w:sz="0" w:space="0" w:color="auto"/>
            <w:bottom w:val="none" w:sz="0" w:space="0" w:color="auto"/>
            <w:right w:val="none" w:sz="0" w:space="0" w:color="auto"/>
          </w:divBdr>
          <w:divsChild>
            <w:div w:id="1745252400">
              <w:marLeft w:val="0"/>
              <w:marRight w:val="0"/>
              <w:marTop w:val="300"/>
              <w:marBottom w:val="0"/>
              <w:divBdr>
                <w:top w:val="single" w:sz="6" w:space="0" w:color="DEDEDF"/>
                <w:left w:val="single" w:sz="6" w:space="15" w:color="DEDEDF"/>
                <w:bottom w:val="single" w:sz="6" w:space="0" w:color="DEDEDF"/>
                <w:right w:val="single" w:sz="6" w:space="15" w:color="DEDEDF"/>
              </w:divBdr>
              <w:divsChild>
                <w:div w:id="13863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2746</Words>
  <Characters>15656</Characters>
  <Application>Microsoft Office Word</Application>
  <DocSecurity>0</DocSecurity>
  <Lines>130</Lines>
  <Paragraphs>36</Paragraphs>
  <ScaleCrop>false</ScaleCrop>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2024-02-01T16:55:00Z</dcterms:created>
  <dcterms:modified xsi:type="dcterms:W3CDTF">2024-02-01T16:57:00Z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882d7a29a80dc70c5a164fdce1db45272ac45491233e9264bb8072f8575c3cb4</vt:lpwstr>
  </property>
</Properties>
</file>