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17273757"/>
        <w:docPartObj>
          <w:docPartGallery w:val="Cover Pages"/>
          <w:docPartUnique/>
        </w:docPartObj>
      </w:sdtPr>
      <w:sdtContent>
        <w:p w14:paraId="7609EDBC" w14:textId="2061FFD5" w:rsidR="00D1240C" w:rsidRDefault="00D1240C">
          <w:r>
            <w:rPr>
              <w:noProof/>
              <w:color w:val="FFFFFF" w:themeColor="background1"/>
            </w:rPr>
            <mc:AlternateContent>
              <mc:Choice Requires="wpg">
                <w:drawing>
                  <wp:anchor distT="0" distB="0" distL="114300" distR="114300" simplePos="0" relativeHeight="251659264" behindDoc="0" locked="0" layoutInCell="1" allowOverlap="1" wp14:anchorId="7948F9BA" wp14:editId="7FA1439C">
                    <wp:simplePos x="0" y="0"/>
                    <wp:positionH relativeFrom="page">
                      <wp:align>center</wp:align>
                    </wp:positionH>
                    <wp:positionV relativeFrom="page">
                      <wp:align>center</wp:align>
                    </wp:positionV>
                    <wp:extent cx="6858000" cy="9144000"/>
                    <wp:effectExtent l="0" t="0" r="2540" b="635"/>
                    <wp:wrapNone/>
                    <wp:docPr id="11" name="Group 40"/>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0C18CCBF" w14:textId="4938F182" w:rsidR="00D1240C" w:rsidRDefault="00C24DC1">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Apply the principles and practices of Data security, governance &amp; compliance based on a give</w:t>
                                      </w:r>
                                      <w:r w:rsidR="00DF039B">
                                        <w:rPr>
                                          <w:rFonts w:asciiTheme="majorHAnsi" w:eastAsiaTheme="majorEastAsia" w:hAnsiTheme="majorHAnsi" w:cstheme="majorBidi"/>
                                          <w:color w:val="FFFFFF" w:themeColor="background1"/>
                                          <w:sz w:val="84"/>
                                          <w:szCs w:val="84"/>
                                        </w:rPr>
                                        <w:t>n</w:t>
                                      </w:r>
                                      <w:r>
                                        <w:rPr>
                                          <w:rFonts w:asciiTheme="majorHAnsi" w:eastAsiaTheme="majorEastAsia" w:hAnsiTheme="majorHAnsi" w:cstheme="majorBidi"/>
                                          <w:color w:val="FFFFFF" w:themeColor="background1"/>
                                          <w:sz w:val="84"/>
                                          <w:szCs w:val="84"/>
                                        </w:rPr>
                                        <w:t xml:space="preserve"> scenario.</w:t>
                                      </w:r>
                                    </w:p>
                                  </w:sdtContent>
                                </w:sdt>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p w14:paraId="2E73759B" w14:textId="66D49C46" w:rsidR="00D1240C" w:rsidRDefault="00C24DC1">
                                      <w:pPr>
                                        <w:pStyle w:val="NoSpacing"/>
                                        <w:rPr>
                                          <w:color w:val="FFFFFF" w:themeColor="background1"/>
                                          <w:sz w:val="28"/>
                                          <w:szCs w:val="28"/>
                                        </w:rPr>
                                      </w:pPr>
                                      <w:r>
                                        <w:rPr>
                                          <w:color w:val="FFFFFF" w:themeColor="background1"/>
                                          <w:sz w:val="28"/>
                                          <w:szCs w:val="28"/>
                                        </w:rPr>
                                        <w:t xml:space="preserve">     </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53F3FB8D" w14:textId="0F14AAB0" w:rsidR="00D1240C" w:rsidRDefault="00D1240C">
                                      <w:pPr>
                                        <w:pStyle w:val="NoSpacing"/>
                                        <w:rPr>
                                          <w:color w:val="FFFFFF" w:themeColor="background1"/>
                                          <w:sz w:val="32"/>
                                          <w:szCs w:val="32"/>
                                        </w:rPr>
                                      </w:pPr>
                                      <w:r>
                                        <w:rPr>
                                          <w:color w:val="FFFFFF" w:themeColor="background1"/>
                                          <w:sz w:val="32"/>
                                          <w:szCs w:val="32"/>
                                        </w:rPr>
                                        <w:t>Josh Lloyd (2205191)</w:t>
                                      </w:r>
                                    </w:p>
                                  </w:sdtContent>
                                </w:sdt>
                                <w:p w14:paraId="5206402A" w14:textId="3A294B62" w:rsidR="00D1240C" w:rsidRDefault="00000000">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Content>
                                      <w:r w:rsidR="00DF039B">
                                        <w:rPr>
                                          <w:caps/>
                                          <w:color w:val="FFFFFF" w:themeColor="background1"/>
                                          <w:sz w:val="18"/>
                                          <w:szCs w:val="18"/>
                                        </w:rPr>
                                        <w:t xml:space="preserve">     </w:t>
                                      </w:r>
                                    </w:sdtContent>
                                  </w:sdt>
                                  <w:r w:rsidR="00D1240C">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Content>
                                      <w:r w:rsidR="00DF039B">
                                        <w:rPr>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948F9BA" id="Group 40"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0C18CCBF" w14:textId="4938F182" w:rsidR="00D1240C" w:rsidRDefault="00C24DC1">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Apply the principles and practices of Data security, governance &amp; compliance based on a give</w:t>
                                </w:r>
                                <w:r w:rsidR="00DF039B">
                                  <w:rPr>
                                    <w:rFonts w:asciiTheme="majorHAnsi" w:eastAsiaTheme="majorEastAsia" w:hAnsiTheme="majorHAnsi" w:cstheme="majorBidi"/>
                                    <w:color w:val="FFFFFF" w:themeColor="background1"/>
                                    <w:sz w:val="84"/>
                                    <w:szCs w:val="84"/>
                                  </w:rPr>
                                  <w:t>n</w:t>
                                </w:r>
                                <w:r>
                                  <w:rPr>
                                    <w:rFonts w:asciiTheme="majorHAnsi" w:eastAsiaTheme="majorEastAsia" w:hAnsiTheme="majorHAnsi" w:cstheme="majorBidi"/>
                                    <w:color w:val="FFFFFF" w:themeColor="background1"/>
                                    <w:sz w:val="84"/>
                                    <w:szCs w:val="84"/>
                                  </w:rPr>
                                  <w:t xml:space="preserve"> scenario.</w:t>
                                </w:r>
                              </w:p>
                            </w:sdtContent>
                          </w:sdt>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p w14:paraId="2E73759B" w14:textId="66D49C46" w:rsidR="00D1240C" w:rsidRDefault="00C24DC1">
                                <w:pPr>
                                  <w:pStyle w:val="NoSpacing"/>
                                  <w:rPr>
                                    <w:color w:val="FFFFFF" w:themeColor="background1"/>
                                    <w:sz w:val="28"/>
                                    <w:szCs w:val="28"/>
                                  </w:rPr>
                                </w:pPr>
                                <w:r>
                                  <w:rPr>
                                    <w:color w:val="FFFFFF" w:themeColor="background1"/>
                                    <w:sz w:val="28"/>
                                    <w:szCs w:val="28"/>
                                  </w:rPr>
                                  <w:t xml:space="preserve">     </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53F3FB8D" w14:textId="0F14AAB0" w:rsidR="00D1240C" w:rsidRDefault="00D1240C">
                                <w:pPr>
                                  <w:pStyle w:val="NoSpacing"/>
                                  <w:rPr>
                                    <w:color w:val="FFFFFF" w:themeColor="background1"/>
                                    <w:sz w:val="32"/>
                                    <w:szCs w:val="32"/>
                                  </w:rPr>
                                </w:pPr>
                                <w:r>
                                  <w:rPr>
                                    <w:color w:val="FFFFFF" w:themeColor="background1"/>
                                    <w:sz w:val="32"/>
                                    <w:szCs w:val="32"/>
                                  </w:rPr>
                                  <w:t>Josh Lloyd (2205191)</w:t>
                                </w:r>
                              </w:p>
                            </w:sdtContent>
                          </w:sdt>
                          <w:p w14:paraId="5206402A" w14:textId="3A294B62" w:rsidR="00D1240C" w:rsidRDefault="00000000">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Content>
                                <w:r w:rsidR="00DF039B">
                                  <w:rPr>
                                    <w:caps/>
                                    <w:color w:val="FFFFFF" w:themeColor="background1"/>
                                    <w:sz w:val="18"/>
                                    <w:szCs w:val="18"/>
                                  </w:rPr>
                                  <w:t xml:space="preserve">     </w:t>
                                </w:r>
                              </w:sdtContent>
                            </w:sdt>
                            <w:r w:rsidR="00D1240C">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Content>
                                <w:r w:rsidR="00DF039B">
                                  <w:rPr>
                                    <w:color w:val="FFFFFF" w:themeColor="background1"/>
                                    <w:sz w:val="18"/>
                                    <w:szCs w:val="18"/>
                                  </w:rPr>
                                  <w:t xml:space="preserve">     </w:t>
                                </w:r>
                              </w:sdtContent>
                            </w:sdt>
                          </w:p>
                        </w:txbxContent>
                      </v:textbox>
                    </v:shape>
                    <w10:wrap anchorx="page" anchory="page"/>
                  </v:group>
                </w:pict>
              </mc:Fallback>
            </mc:AlternateContent>
          </w:r>
          <w:r>
            <w:br w:type="page"/>
          </w:r>
        </w:p>
      </w:sdtContent>
    </w:sdt>
    <w:sdt>
      <w:sdtPr>
        <w:rPr>
          <w:rFonts w:asciiTheme="minorHAnsi" w:eastAsiaTheme="minorHAnsi" w:hAnsiTheme="minorHAnsi" w:cstheme="minorBidi"/>
          <w:color w:val="auto"/>
          <w:kern w:val="2"/>
          <w:sz w:val="24"/>
          <w:szCs w:val="24"/>
          <w:lang w:val="en-GB"/>
          <w14:ligatures w14:val="standardContextual"/>
        </w:rPr>
        <w:id w:val="57988362"/>
        <w:docPartObj>
          <w:docPartGallery w:val="Table of Contents"/>
          <w:docPartUnique/>
        </w:docPartObj>
      </w:sdtPr>
      <w:sdtEndPr>
        <w:rPr>
          <w:b/>
          <w:bCs/>
          <w:noProof/>
        </w:rPr>
      </w:sdtEndPr>
      <w:sdtContent>
        <w:p w14:paraId="13A709D4" w14:textId="11D70A80" w:rsidR="00D1240C" w:rsidRDefault="00D1240C">
          <w:pPr>
            <w:pStyle w:val="TOCHeading"/>
          </w:pPr>
          <w:r>
            <w:t>Table of Contents</w:t>
          </w:r>
        </w:p>
        <w:p w14:paraId="75CE0C5D" w14:textId="2AE3CEB3" w:rsidR="00DF039B" w:rsidRDefault="00D1240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7972487" w:history="1">
            <w:r w:rsidR="00DF039B" w:rsidRPr="00E329FB">
              <w:rPr>
                <w:rStyle w:val="Hyperlink"/>
                <w:noProof/>
              </w:rPr>
              <w:t>Introduction</w:t>
            </w:r>
            <w:r w:rsidR="00DF039B">
              <w:rPr>
                <w:noProof/>
                <w:webHidden/>
              </w:rPr>
              <w:tab/>
            </w:r>
            <w:r w:rsidR="00DF039B">
              <w:rPr>
                <w:noProof/>
                <w:webHidden/>
              </w:rPr>
              <w:fldChar w:fldCharType="begin"/>
            </w:r>
            <w:r w:rsidR="00DF039B">
              <w:rPr>
                <w:noProof/>
                <w:webHidden/>
              </w:rPr>
              <w:instrText xml:space="preserve"> PAGEREF _Toc217972487 \h </w:instrText>
            </w:r>
            <w:r w:rsidR="00DF039B">
              <w:rPr>
                <w:noProof/>
                <w:webHidden/>
              </w:rPr>
            </w:r>
            <w:r w:rsidR="00DF039B">
              <w:rPr>
                <w:noProof/>
                <w:webHidden/>
              </w:rPr>
              <w:fldChar w:fldCharType="separate"/>
            </w:r>
            <w:r w:rsidR="00DF039B">
              <w:rPr>
                <w:noProof/>
                <w:webHidden/>
              </w:rPr>
              <w:t>2</w:t>
            </w:r>
            <w:r w:rsidR="00DF039B">
              <w:rPr>
                <w:noProof/>
                <w:webHidden/>
              </w:rPr>
              <w:fldChar w:fldCharType="end"/>
            </w:r>
          </w:hyperlink>
        </w:p>
        <w:p w14:paraId="7CBD3894" w14:textId="6546E78A" w:rsidR="00DF039B" w:rsidRDefault="00DF039B">
          <w:pPr>
            <w:pStyle w:val="TOC1"/>
            <w:tabs>
              <w:tab w:val="left" w:pos="480"/>
              <w:tab w:val="right" w:leader="dot" w:pos="9016"/>
            </w:tabs>
            <w:rPr>
              <w:rFonts w:eastAsiaTheme="minorEastAsia"/>
              <w:noProof/>
              <w:lang w:eastAsia="en-GB"/>
            </w:rPr>
          </w:pPr>
          <w:hyperlink w:anchor="_Toc217972488" w:history="1">
            <w:r w:rsidRPr="00E329FB">
              <w:rPr>
                <w:rStyle w:val="Hyperlink"/>
                <w:noProof/>
              </w:rPr>
              <w:t>1.</w:t>
            </w:r>
            <w:r>
              <w:rPr>
                <w:rFonts w:eastAsiaTheme="minorEastAsia"/>
                <w:noProof/>
                <w:lang w:eastAsia="en-GB"/>
              </w:rPr>
              <w:tab/>
            </w:r>
            <w:r w:rsidRPr="00E329FB">
              <w:rPr>
                <w:rStyle w:val="Hyperlink"/>
                <w:noProof/>
              </w:rPr>
              <w:t>Research</w:t>
            </w:r>
            <w:r>
              <w:rPr>
                <w:noProof/>
                <w:webHidden/>
              </w:rPr>
              <w:tab/>
            </w:r>
            <w:r>
              <w:rPr>
                <w:noProof/>
                <w:webHidden/>
              </w:rPr>
              <w:fldChar w:fldCharType="begin"/>
            </w:r>
            <w:r>
              <w:rPr>
                <w:noProof/>
                <w:webHidden/>
              </w:rPr>
              <w:instrText xml:space="preserve"> PAGEREF _Toc217972488 \h </w:instrText>
            </w:r>
            <w:r>
              <w:rPr>
                <w:noProof/>
                <w:webHidden/>
              </w:rPr>
            </w:r>
            <w:r>
              <w:rPr>
                <w:noProof/>
                <w:webHidden/>
              </w:rPr>
              <w:fldChar w:fldCharType="separate"/>
            </w:r>
            <w:r>
              <w:rPr>
                <w:noProof/>
                <w:webHidden/>
              </w:rPr>
              <w:t>2</w:t>
            </w:r>
            <w:r>
              <w:rPr>
                <w:noProof/>
                <w:webHidden/>
              </w:rPr>
              <w:fldChar w:fldCharType="end"/>
            </w:r>
          </w:hyperlink>
        </w:p>
        <w:p w14:paraId="02307C15" w14:textId="2B8E7ED2" w:rsidR="00DF039B" w:rsidRDefault="00DF039B">
          <w:pPr>
            <w:pStyle w:val="TOC2"/>
            <w:tabs>
              <w:tab w:val="right" w:leader="dot" w:pos="9016"/>
            </w:tabs>
            <w:rPr>
              <w:rFonts w:eastAsiaTheme="minorEastAsia"/>
              <w:noProof/>
              <w:lang w:eastAsia="en-GB"/>
            </w:rPr>
          </w:pPr>
          <w:hyperlink w:anchor="_Toc217972489" w:history="1">
            <w:r w:rsidRPr="00E329FB">
              <w:rPr>
                <w:rStyle w:val="Hyperlink"/>
                <w:noProof/>
              </w:rPr>
              <w:t>1.1 ISO/IEC 27001</w:t>
            </w:r>
            <w:r>
              <w:rPr>
                <w:noProof/>
                <w:webHidden/>
              </w:rPr>
              <w:tab/>
            </w:r>
            <w:r>
              <w:rPr>
                <w:noProof/>
                <w:webHidden/>
              </w:rPr>
              <w:fldChar w:fldCharType="begin"/>
            </w:r>
            <w:r>
              <w:rPr>
                <w:noProof/>
                <w:webHidden/>
              </w:rPr>
              <w:instrText xml:space="preserve"> PAGEREF _Toc217972489 \h </w:instrText>
            </w:r>
            <w:r>
              <w:rPr>
                <w:noProof/>
                <w:webHidden/>
              </w:rPr>
            </w:r>
            <w:r>
              <w:rPr>
                <w:noProof/>
                <w:webHidden/>
              </w:rPr>
              <w:fldChar w:fldCharType="separate"/>
            </w:r>
            <w:r>
              <w:rPr>
                <w:noProof/>
                <w:webHidden/>
              </w:rPr>
              <w:t>2</w:t>
            </w:r>
            <w:r>
              <w:rPr>
                <w:noProof/>
                <w:webHidden/>
              </w:rPr>
              <w:fldChar w:fldCharType="end"/>
            </w:r>
          </w:hyperlink>
        </w:p>
        <w:p w14:paraId="1914DDEA" w14:textId="7416947D" w:rsidR="00DF039B" w:rsidRDefault="00DF039B">
          <w:pPr>
            <w:pStyle w:val="TOC2"/>
            <w:tabs>
              <w:tab w:val="right" w:leader="dot" w:pos="9016"/>
            </w:tabs>
            <w:rPr>
              <w:rFonts w:eastAsiaTheme="minorEastAsia"/>
              <w:noProof/>
              <w:lang w:eastAsia="en-GB"/>
            </w:rPr>
          </w:pPr>
          <w:hyperlink w:anchor="_Toc217972490" w:history="1">
            <w:r w:rsidRPr="00E329FB">
              <w:rPr>
                <w:rStyle w:val="Hyperlink"/>
                <w:noProof/>
              </w:rPr>
              <w:t>1.2 SOC 2 Trust Services</w:t>
            </w:r>
            <w:r>
              <w:rPr>
                <w:noProof/>
                <w:webHidden/>
              </w:rPr>
              <w:tab/>
            </w:r>
            <w:r>
              <w:rPr>
                <w:noProof/>
                <w:webHidden/>
              </w:rPr>
              <w:fldChar w:fldCharType="begin"/>
            </w:r>
            <w:r>
              <w:rPr>
                <w:noProof/>
                <w:webHidden/>
              </w:rPr>
              <w:instrText xml:space="preserve"> PAGEREF _Toc217972490 \h </w:instrText>
            </w:r>
            <w:r>
              <w:rPr>
                <w:noProof/>
                <w:webHidden/>
              </w:rPr>
            </w:r>
            <w:r>
              <w:rPr>
                <w:noProof/>
                <w:webHidden/>
              </w:rPr>
              <w:fldChar w:fldCharType="separate"/>
            </w:r>
            <w:r>
              <w:rPr>
                <w:noProof/>
                <w:webHidden/>
              </w:rPr>
              <w:t>4</w:t>
            </w:r>
            <w:r>
              <w:rPr>
                <w:noProof/>
                <w:webHidden/>
              </w:rPr>
              <w:fldChar w:fldCharType="end"/>
            </w:r>
          </w:hyperlink>
        </w:p>
        <w:p w14:paraId="50921AE6" w14:textId="66325563" w:rsidR="00DF039B" w:rsidRDefault="00DF039B">
          <w:pPr>
            <w:pStyle w:val="TOC2"/>
            <w:tabs>
              <w:tab w:val="right" w:leader="dot" w:pos="9016"/>
            </w:tabs>
            <w:rPr>
              <w:rFonts w:eastAsiaTheme="minorEastAsia"/>
              <w:noProof/>
              <w:lang w:eastAsia="en-GB"/>
            </w:rPr>
          </w:pPr>
          <w:hyperlink w:anchor="_Toc217972491" w:history="1">
            <w:r w:rsidRPr="00E329FB">
              <w:rPr>
                <w:rStyle w:val="Hyperlink"/>
                <w:noProof/>
              </w:rPr>
              <w:t>1.3 IITL &amp; COBIT</w:t>
            </w:r>
            <w:r>
              <w:rPr>
                <w:noProof/>
                <w:webHidden/>
              </w:rPr>
              <w:tab/>
            </w:r>
            <w:r>
              <w:rPr>
                <w:noProof/>
                <w:webHidden/>
              </w:rPr>
              <w:fldChar w:fldCharType="begin"/>
            </w:r>
            <w:r>
              <w:rPr>
                <w:noProof/>
                <w:webHidden/>
              </w:rPr>
              <w:instrText xml:space="preserve"> PAGEREF _Toc217972491 \h </w:instrText>
            </w:r>
            <w:r>
              <w:rPr>
                <w:noProof/>
                <w:webHidden/>
              </w:rPr>
            </w:r>
            <w:r>
              <w:rPr>
                <w:noProof/>
                <w:webHidden/>
              </w:rPr>
              <w:fldChar w:fldCharType="separate"/>
            </w:r>
            <w:r>
              <w:rPr>
                <w:noProof/>
                <w:webHidden/>
              </w:rPr>
              <w:t>5</w:t>
            </w:r>
            <w:r>
              <w:rPr>
                <w:noProof/>
                <w:webHidden/>
              </w:rPr>
              <w:fldChar w:fldCharType="end"/>
            </w:r>
          </w:hyperlink>
        </w:p>
        <w:p w14:paraId="101EBF93" w14:textId="6400C368" w:rsidR="00DF039B" w:rsidRDefault="00DF039B">
          <w:pPr>
            <w:pStyle w:val="TOC2"/>
            <w:tabs>
              <w:tab w:val="right" w:leader="dot" w:pos="9016"/>
            </w:tabs>
            <w:rPr>
              <w:rFonts w:eastAsiaTheme="minorEastAsia"/>
              <w:noProof/>
              <w:lang w:eastAsia="en-GB"/>
            </w:rPr>
          </w:pPr>
          <w:hyperlink w:anchor="_Toc217972492" w:history="1">
            <w:r w:rsidRPr="00E329FB">
              <w:rPr>
                <w:rStyle w:val="Hyperlink"/>
                <w:noProof/>
              </w:rPr>
              <w:t>1.4 Zero Trust Architecture</w:t>
            </w:r>
            <w:r>
              <w:rPr>
                <w:noProof/>
                <w:webHidden/>
              </w:rPr>
              <w:tab/>
            </w:r>
            <w:r>
              <w:rPr>
                <w:noProof/>
                <w:webHidden/>
              </w:rPr>
              <w:fldChar w:fldCharType="begin"/>
            </w:r>
            <w:r>
              <w:rPr>
                <w:noProof/>
                <w:webHidden/>
              </w:rPr>
              <w:instrText xml:space="preserve"> PAGEREF _Toc217972492 \h </w:instrText>
            </w:r>
            <w:r>
              <w:rPr>
                <w:noProof/>
                <w:webHidden/>
              </w:rPr>
            </w:r>
            <w:r>
              <w:rPr>
                <w:noProof/>
                <w:webHidden/>
              </w:rPr>
              <w:fldChar w:fldCharType="separate"/>
            </w:r>
            <w:r>
              <w:rPr>
                <w:noProof/>
                <w:webHidden/>
              </w:rPr>
              <w:t>6</w:t>
            </w:r>
            <w:r>
              <w:rPr>
                <w:noProof/>
                <w:webHidden/>
              </w:rPr>
              <w:fldChar w:fldCharType="end"/>
            </w:r>
          </w:hyperlink>
        </w:p>
        <w:p w14:paraId="06A831F6" w14:textId="43377D3F" w:rsidR="00DF039B" w:rsidRDefault="00DF039B">
          <w:pPr>
            <w:pStyle w:val="TOC1"/>
            <w:tabs>
              <w:tab w:val="right" w:leader="dot" w:pos="9016"/>
            </w:tabs>
            <w:rPr>
              <w:rFonts w:eastAsiaTheme="minorEastAsia"/>
              <w:noProof/>
              <w:lang w:eastAsia="en-GB"/>
            </w:rPr>
          </w:pPr>
          <w:hyperlink w:anchor="_Toc217972493" w:history="1">
            <w:r w:rsidRPr="00E329FB">
              <w:rPr>
                <w:rStyle w:val="Hyperlink"/>
                <w:noProof/>
              </w:rPr>
              <w:t>2.Security, Governance and Compliance approach for NatureGreen</w:t>
            </w:r>
            <w:r>
              <w:rPr>
                <w:noProof/>
                <w:webHidden/>
              </w:rPr>
              <w:tab/>
            </w:r>
            <w:r>
              <w:rPr>
                <w:noProof/>
                <w:webHidden/>
              </w:rPr>
              <w:fldChar w:fldCharType="begin"/>
            </w:r>
            <w:r>
              <w:rPr>
                <w:noProof/>
                <w:webHidden/>
              </w:rPr>
              <w:instrText xml:space="preserve"> PAGEREF _Toc217972493 \h </w:instrText>
            </w:r>
            <w:r>
              <w:rPr>
                <w:noProof/>
                <w:webHidden/>
              </w:rPr>
            </w:r>
            <w:r>
              <w:rPr>
                <w:noProof/>
                <w:webHidden/>
              </w:rPr>
              <w:fldChar w:fldCharType="separate"/>
            </w:r>
            <w:r>
              <w:rPr>
                <w:noProof/>
                <w:webHidden/>
              </w:rPr>
              <w:t>6</w:t>
            </w:r>
            <w:r>
              <w:rPr>
                <w:noProof/>
                <w:webHidden/>
              </w:rPr>
              <w:fldChar w:fldCharType="end"/>
            </w:r>
          </w:hyperlink>
        </w:p>
        <w:p w14:paraId="7D916FBF" w14:textId="41F819AA" w:rsidR="00DF039B" w:rsidRDefault="00DF039B">
          <w:pPr>
            <w:pStyle w:val="TOC2"/>
            <w:tabs>
              <w:tab w:val="right" w:leader="dot" w:pos="9016"/>
            </w:tabs>
            <w:rPr>
              <w:rFonts w:eastAsiaTheme="minorEastAsia"/>
              <w:noProof/>
              <w:lang w:eastAsia="en-GB"/>
            </w:rPr>
          </w:pPr>
          <w:hyperlink w:anchor="_Toc217972494" w:history="1">
            <w:r w:rsidRPr="00E329FB">
              <w:rPr>
                <w:rStyle w:val="Hyperlink"/>
                <w:noProof/>
              </w:rPr>
              <w:t>2.1 Governance Structure</w:t>
            </w:r>
            <w:r>
              <w:rPr>
                <w:noProof/>
                <w:webHidden/>
              </w:rPr>
              <w:tab/>
            </w:r>
            <w:r>
              <w:rPr>
                <w:noProof/>
                <w:webHidden/>
              </w:rPr>
              <w:fldChar w:fldCharType="begin"/>
            </w:r>
            <w:r>
              <w:rPr>
                <w:noProof/>
                <w:webHidden/>
              </w:rPr>
              <w:instrText xml:space="preserve"> PAGEREF _Toc217972494 \h </w:instrText>
            </w:r>
            <w:r>
              <w:rPr>
                <w:noProof/>
                <w:webHidden/>
              </w:rPr>
            </w:r>
            <w:r>
              <w:rPr>
                <w:noProof/>
                <w:webHidden/>
              </w:rPr>
              <w:fldChar w:fldCharType="separate"/>
            </w:r>
            <w:r>
              <w:rPr>
                <w:noProof/>
                <w:webHidden/>
              </w:rPr>
              <w:t>7</w:t>
            </w:r>
            <w:r>
              <w:rPr>
                <w:noProof/>
                <w:webHidden/>
              </w:rPr>
              <w:fldChar w:fldCharType="end"/>
            </w:r>
          </w:hyperlink>
        </w:p>
        <w:p w14:paraId="4F78FA3B" w14:textId="469C9C01" w:rsidR="00DF039B" w:rsidRDefault="00DF039B">
          <w:pPr>
            <w:pStyle w:val="TOC2"/>
            <w:tabs>
              <w:tab w:val="right" w:leader="dot" w:pos="9016"/>
            </w:tabs>
            <w:rPr>
              <w:rFonts w:eastAsiaTheme="minorEastAsia"/>
              <w:noProof/>
              <w:lang w:eastAsia="en-GB"/>
            </w:rPr>
          </w:pPr>
          <w:hyperlink w:anchor="_Toc217972495" w:history="1">
            <w:r w:rsidRPr="00E329FB">
              <w:rPr>
                <w:rStyle w:val="Hyperlink"/>
                <w:noProof/>
              </w:rPr>
              <w:t>2.2Risk Management Model</w:t>
            </w:r>
            <w:r>
              <w:rPr>
                <w:noProof/>
                <w:webHidden/>
              </w:rPr>
              <w:tab/>
            </w:r>
            <w:r>
              <w:rPr>
                <w:noProof/>
                <w:webHidden/>
              </w:rPr>
              <w:fldChar w:fldCharType="begin"/>
            </w:r>
            <w:r>
              <w:rPr>
                <w:noProof/>
                <w:webHidden/>
              </w:rPr>
              <w:instrText xml:space="preserve"> PAGEREF _Toc217972495 \h </w:instrText>
            </w:r>
            <w:r>
              <w:rPr>
                <w:noProof/>
                <w:webHidden/>
              </w:rPr>
            </w:r>
            <w:r>
              <w:rPr>
                <w:noProof/>
                <w:webHidden/>
              </w:rPr>
              <w:fldChar w:fldCharType="separate"/>
            </w:r>
            <w:r>
              <w:rPr>
                <w:noProof/>
                <w:webHidden/>
              </w:rPr>
              <w:t>7</w:t>
            </w:r>
            <w:r>
              <w:rPr>
                <w:noProof/>
                <w:webHidden/>
              </w:rPr>
              <w:fldChar w:fldCharType="end"/>
            </w:r>
          </w:hyperlink>
        </w:p>
        <w:p w14:paraId="6F248F69" w14:textId="4EE2103A" w:rsidR="00DF039B" w:rsidRDefault="00DF039B">
          <w:pPr>
            <w:pStyle w:val="TOC2"/>
            <w:tabs>
              <w:tab w:val="right" w:leader="dot" w:pos="9016"/>
            </w:tabs>
            <w:rPr>
              <w:rFonts w:eastAsiaTheme="minorEastAsia"/>
              <w:noProof/>
              <w:lang w:eastAsia="en-GB"/>
            </w:rPr>
          </w:pPr>
          <w:hyperlink w:anchor="_Toc217972496" w:history="1">
            <w:r w:rsidRPr="00E329FB">
              <w:rPr>
                <w:rStyle w:val="Hyperlink"/>
                <w:noProof/>
              </w:rPr>
              <w:t>2.3 Security Policies BYOD Structure</w:t>
            </w:r>
            <w:r>
              <w:rPr>
                <w:noProof/>
                <w:webHidden/>
              </w:rPr>
              <w:tab/>
            </w:r>
            <w:r>
              <w:rPr>
                <w:noProof/>
                <w:webHidden/>
              </w:rPr>
              <w:fldChar w:fldCharType="begin"/>
            </w:r>
            <w:r>
              <w:rPr>
                <w:noProof/>
                <w:webHidden/>
              </w:rPr>
              <w:instrText xml:space="preserve"> PAGEREF _Toc217972496 \h </w:instrText>
            </w:r>
            <w:r>
              <w:rPr>
                <w:noProof/>
                <w:webHidden/>
              </w:rPr>
            </w:r>
            <w:r>
              <w:rPr>
                <w:noProof/>
                <w:webHidden/>
              </w:rPr>
              <w:fldChar w:fldCharType="separate"/>
            </w:r>
            <w:r>
              <w:rPr>
                <w:noProof/>
                <w:webHidden/>
              </w:rPr>
              <w:t>7</w:t>
            </w:r>
            <w:r>
              <w:rPr>
                <w:noProof/>
                <w:webHidden/>
              </w:rPr>
              <w:fldChar w:fldCharType="end"/>
            </w:r>
          </w:hyperlink>
        </w:p>
        <w:p w14:paraId="689E9126" w14:textId="6D84EEF9" w:rsidR="00DF039B" w:rsidRDefault="00DF039B">
          <w:pPr>
            <w:pStyle w:val="TOC2"/>
            <w:tabs>
              <w:tab w:val="right" w:leader="dot" w:pos="9016"/>
            </w:tabs>
            <w:rPr>
              <w:rFonts w:eastAsiaTheme="minorEastAsia"/>
              <w:noProof/>
              <w:lang w:eastAsia="en-GB"/>
            </w:rPr>
          </w:pPr>
          <w:hyperlink w:anchor="_Toc217972497" w:history="1">
            <w:r w:rsidRPr="00E329FB">
              <w:rPr>
                <w:rStyle w:val="Hyperlink"/>
                <w:noProof/>
              </w:rPr>
              <w:t>2.4 Cloud Security &amp; Protection</w:t>
            </w:r>
            <w:r>
              <w:rPr>
                <w:noProof/>
                <w:webHidden/>
              </w:rPr>
              <w:tab/>
            </w:r>
            <w:r>
              <w:rPr>
                <w:noProof/>
                <w:webHidden/>
              </w:rPr>
              <w:fldChar w:fldCharType="begin"/>
            </w:r>
            <w:r>
              <w:rPr>
                <w:noProof/>
                <w:webHidden/>
              </w:rPr>
              <w:instrText xml:space="preserve"> PAGEREF _Toc217972497 \h </w:instrText>
            </w:r>
            <w:r>
              <w:rPr>
                <w:noProof/>
                <w:webHidden/>
              </w:rPr>
            </w:r>
            <w:r>
              <w:rPr>
                <w:noProof/>
                <w:webHidden/>
              </w:rPr>
              <w:fldChar w:fldCharType="separate"/>
            </w:r>
            <w:r>
              <w:rPr>
                <w:noProof/>
                <w:webHidden/>
              </w:rPr>
              <w:t>8</w:t>
            </w:r>
            <w:r>
              <w:rPr>
                <w:noProof/>
                <w:webHidden/>
              </w:rPr>
              <w:fldChar w:fldCharType="end"/>
            </w:r>
          </w:hyperlink>
        </w:p>
        <w:p w14:paraId="26334F20" w14:textId="22EA069D" w:rsidR="00DF039B" w:rsidRDefault="00DF039B">
          <w:pPr>
            <w:pStyle w:val="TOC1"/>
            <w:tabs>
              <w:tab w:val="right" w:leader="dot" w:pos="9016"/>
            </w:tabs>
            <w:rPr>
              <w:rFonts w:eastAsiaTheme="minorEastAsia"/>
              <w:noProof/>
              <w:lang w:eastAsia="en-GB"/>
            </w:rPr>
          </w:pPr>
          <w:hyperlink w:anchor="_Toc217972498" w:history="1">
            <w:r w:rsidRPr="00E329FB">
              <w:rPr>
                <w:rStyle w:val="Hyperlink"/>
                <w:noProof/>
              </w:rPr>
              <w:t>3. Conclusion</w:t>
            </w:r>
            <w:r>
              <w:rPr>
                <w:noProof/>
                <w:webHidden/>
              </w:rPr>
              <w:tab/>
            </w:r>
            <w:r>
              <w:rPr>
                <w:noProof/>
                <w:webHidden/>
              </w:rPr>
              <w:fldChar w:fldCharType="begin"/>
            </w:r>
            <w:r>
              <w:rPr>
                <w:noProof/>
                <w:webHidden/>
              </w:rPr>
              <w:instrText xml:space="preserve"> PAGEREF _Toc217972498 \h </w:instrText>
            </w:r>
            <w:r>
              <w:rPr>
                <w:noProof/>
                <w:webHidden/>
              </w:rPr>
            </w:r>
            <w:r>
              <w:rPr>
                <w:noProof/>
                <w:webHidden/>
              </w:rPr>
              <w:fldChar w:fldCharType="separate"/>
            </w:r>
            <w:r>
              <w:rPr>
                <w:noProof/>
                <w:webHidden/>
              </w:rPr>
              <w:t>8</w:t>
            </w:r>
            <w:r>
              <w:rPr>
                <w:noProof/>
                <w:webHidden/>
              </w:rPr>
              <w:fldChar w:fldCharType="end"/>
            </w:r>
          </w:hyperlink>
        </w:p>
        <w:p w14:paraId="196F3CD1" w14:textId="0761DE18" w:rsidR="00DF039B" w:rsidRDefault="00DF039B">
          <w:pPr>
            <w:pStyle w:val="TOC1"/>
            <w:tabs>
              <w:tab w:val="right" w:leader="dot" w:pos="9016"/>
            </w:tabs>
            <w:rPr>
              <w:rFonts w:eastAsiaTheme="minorEastAsia"/>
              <w:noProof/>
              <w:lang w:eastAsia="en-GB"/>
            </w:rPr>
          </w:pPr>
          <w:hyperlink w:anchor="_Toc217972499" w:history="1">
            <w:r w:rsidRPr="00E329FB">
              <w:rPr>
                <w:rStyle w:val="Hyperlink"/>
                <w:noProof/>
              </w:rPr>
              <w:t>4. References</w:t>
            </w:r>
            <w:r>
              <w:rPr>
                <w:noProof/>
                <w:webHidden/>
              </w:rPr>
              <w:tab/>
            </w:r>
            <w:r>
              <w:rPr>
                <w:noProof/>
                <w:webHidden/>
              </w:rPr>
              <w:fldChar w:fldCharType="begin"/>
            </w:r>
            <w:r>
              <w:rPr>
                <w:noProof/>
                <w:webHidden/>
              </w:rPr>
              <w:instrText xml:space="preserve"> PAGEREF _Toc217972499 \h </w:instrText>
            </w:r>
            <w:r>
              <w:rPr>
                <w:noProof/>
                <w:webHidden/>
              </w:rPr>
            </w:r>
            <w:r>
              <w:rPr>
                <w:noProof/>
                <w:webHidden/>
              </w:rPr>
              <w:fldChar w:fldCharType="separate"/>
            </w:r>
            <w:r>
              <w:rPr>
                <w:noProof/>
                <w:webHidden/>
              </w:rPr>
              <w:t>9</w:t>
            </w:r>
            <w:r>
              <w:rPr>
                <w:noProof/>
                <w:webHidden/>
              </w:rPr>
              <w:fldChar w:fldCharType="end"/>
            </w:r>
          </w:hyperlink>
        </w:p>
        <w:p w14:paraId="0A30D65F" w14:textId="5B7CEE9F" w:rsidR="00D1240C" w:rsidRDefault="00D1240C">
          <w:r>
            <w:rPr>
              <w:b/>
              <w:bCs/>
              <w:noProof/>
            </w:rPr>
            <w:fldChar w:fldCharType="end"/>
          </w:r>
        </w:p>
      </w:sdtContent>
    </w:sdt>
    <w:p w14:paraId="6560419E" w14:textId="77777777" w:rsidR="00D1240C" w:rsidRDefault="00D1240C"/>
    <w:p w14:paraId="7857EE7E" w14:textId="77777777" w:rsidR="00D1240C" w:rsidRDefault="00D1240C"/>
    <w:p w14:paraId="28EA5AA5" w14:textId="77777777" w:rsidR="00D1240C" w:rsidRDefault="00D1240C"/>
    <w:p w14:paraId="51952F30" w14:textId="77777777" w:rsidR="00D1240C" w:rsidRDefault="00D1240C"/>
    <w:p w14:paraId="2E353733" w14:textId="77777777" w:rsidR="00D1240C" w:rsidRDefault="00D1240C"/>
    <w:p w14:paraId="1370A1AE" w14:textId="77777777" w:rsidR="00D1240C" w:rsidRDefault="00D1240C"/>
    <w:p w14:paraId="4664C0A6" w14:textId="77777777" w:rsidR="00D1240C" w:rsidRDefault="00D1240C"/>
    <w:p w14:paraId="770FDCB0" w14:textId="77777777" w:rsidR="00D1240C" w:rsidRDefault="00D1240C"/>
    <w:p w14:paraId="2709A109" w14:textId="77777777" w:rsidR="00D1240C" w:rsidRDefault="00D1240C"/>
    <w:p w14:paraId="6807C415" w14:textId="77777777" w:rsidR="00D1240C" w:rsidRDefault="00D1240C"/>
    <w:p w14:paraId="75E8B083" w14:textId="77777777" w:rsidR="00D1240C" w:rsidRDefault="00D1240C"/>
    <w:p w14:paraId="7AD312F9" w14:textId="77777777" w:rsidR="00D1240C" w:rsidRDefault="00D1240C"/>
    <w:p w14:paraId="227F031D" w14:textId="77777777" w:rsidR="00D1240C" w:rsidRDefault="00D1240C"/>
    <w:p w14:paraId="40A50990" w14:textId="77777777" w:rsidR="00D1240C" w:rsidRDefault="00D1240C"/>
    <w:p w14:paraId="562F2846" w14:textId="77777777" w:rsidR="00B475DF" w:rsidRDefault="00B475DF"/>
    <w:p w14:paraId="64FEDB5F" w14:textId="3822D279" w:rsidR="00D1240C" w:rsidRDefault="00D1240C" w:rsidP="00D1240C">
      <w:pPr>
        <w:pStyle w:val="Heading1"/>
      </w:pPr>
      <w:bookmarkStart w:id="0" w:name="_Toc217972487"/>
      <w:r>
        <w:lastRenderedPageBreak/>
        <w:t>Introduction</w:t>
      </w:r>
      <w:bookmarkEnd w:id="0"/>
    </w:p>
    <w:p w14:paraId="01E7B920" w14:textId="4257AF8C" w:rsidR="00D1240C" w:rsidRDefault="00D1240C" w:rsidP="00D1240C">
      <w:r>
        <w:t xml:space="preserve">NatureGreen (NG) is a large international organisation based in the health and wellbeing sector of industry whose operations depend on cloud services and wireless platforms. This technology model can create significant risk and exposures to information security and privacy breaches that can impact </w:t>
      </w:r>
      <w:r w:rsidR="00BC1BD5">
        <w:t>internal</w:t>
      </w:r>
      <w:r>
        <w:t xml:space="preserve"> functions, customer relations and the global customer base of the organisation. These risks have also been increased even further following pressures to allows both the staff and the customers to access sensitive resources using personal devices, which demonstrates an </w:t>
      </w:r>
      <w:r w:rsidR="00BC1BD5">
        <w:t>inconsistent</w:t>
      </w:r>
      <w:r>
        <w:t xml:space="preserve"> security architecture, weaker visibility and increased risk of unauthorised access of information.</w:t>
      </w:r>
    </w:p>
    <w:p w14:paraId="11835437" w14:textId="77777777" w:rsidR="00D1240C" w:rsidRDefault="00D1240C" w:rsidP="00D1240C"/>
    <w:p w14:paraId="6D0E6D47" w14:textId="78927302" w:rsidR="00D1240C" w:rsidRDefault="00D1240C" w:rsidP="00D1240C">
      <w:r>
        <w:t xml:space="preserve">In its current state NG greatly lacks a strong defined set of security polices framework and governance. Without any </w:t>
      </w:r>
      <w:r w:rsidR="00BC1BD5">
        <w:t>documented</w:t>
      </w:r>
      <w:r>
        <w:t xml:space="preserve"> responsibilities of employees, standardised controls and </w:t>
      </w:r>
      <w:r w:rsidR="00BC1BD5">
        <w:t>repeatable</w:t>
      </w:r>
      <w:r>
        <w:t xml:space="preserve"> processes, the implantation of security becomes </w:t>
      </w:r>
      <w:r w:rsidR="00BC1BD5">
        <w:t>inconsistent</w:t>
      </w:r>
      <w:r>
        <w:t xml:space="preserve"> and impossible to manage and measure. For an organisation of NG’s scale</w:t>
      </w:r>
      <w:r w:rsidR="00BC1BD5">
        <w:t>, these clear weaknesses are very rarely caused by technical gaps in knowledge but rather negligence and lack of planning which further reflects shortcomings in accountability, decision making and oversight which leaves organisations vulnerable to data breaches and disruption to critical information and services.</w:t>
      </w:r>
    </w:p>
    <w:p w14:paraId="3F05AD03" w14:textId="77777777" w:rsidR="00BC1BD5" w:rsidRDefault="00BC1BD5" w:rsidP="00D1240C"/>
    <w:p w14:paraId="279A8BB6" w14:textId="2D526BA1" w:rsidR="00BC1BD5" w:rsidRDefault="00BC1BD5" w:rsidP="00D1240C">
      <w:r>
        <w:t xml:space="preserve">This is a massive problem for NG as modern organisations are expected to demonstrate that they have security controls designed, implemented and maintained, in particular when dealing with cloud services and third-party providers as part of their delivery. </w:t>
      </w:r>
    </w:p>
    <w:p w14:paraId="3B786841" w14:textId="1C47B5E6" w:rsidR="00BC1BD5" w:rsidRDefault="00BC1BD5" w:rsidP="00D1240C">
      <w:r>
        <w:t>This report aims to review the principles of the framework and apply them to design a more practical governance approach for NG while also making it compliant with laws and regulations. This model will be formed around NG’s operational model which includes the heavy reliance on cloud services, wireless access, use of BYOD, dependency on suppliers, and the need to protect intellectual property.</w:t>
      </w:r>
    </w:p>
    <w:p w14:paraId="17B56A77" w14:textId="286E43CE" w:rsidR="001815A0" w:rsidRDefault="001815A0" w:rsidP="001815A0">
      <w:pPr>
        <w:pStyle w:val="Heading1"/>
        <w:numPr>
          <w:ilvl w:val="0"/>
          <w:numId w:val="1"/>
        </w:numPr>
      </w:pPr>
      <w:bookmarkStart w:id="1" w:name="_Toc217972488"/>
      <w:r>
        <w:t>Research</w:t>
      </w:r>
      <w:bookmarkEnd w:id="1"/>
    </w:p>
    <w:p w14:paraId="05B25F66" w14:textId="16CA7AD4" w:rsidR="001815A0" w:rsidRPr="001815A0" w:rsidRDefault="001815A0" w:rsidP="001815A0">
      <w:pPr>
        <w:pStyle w:val="Heading2"/>
      </w:pPr>
      <w:bookmarkStart w:id="2" w:name="_Toc217972489"/>
      <w:r>
        <w:t xml:space="preserve">1.1 </w:t>
      </w:r>
      <w:r w:rsidR="00D95D06">
        <w:t>ISO/IEC 27001</w:t>
      </w:r>
      <w:bookmarkEnd w:id="2"/>
    </w:p>
    <w:p w14:paraId="66EEA432" w14:textId="5FAA50AD" w:rsidR="00D95D06" w:rsidRDefault="00D95D06" w:rsidP="00D95D06">
      <w:r>
        <w:t xml:space="preserve">The ISO/IEC 27001 model is one of the most widely used and accepted standards for information security </w:t>
      </w:r>
      <w:r w:rsidR="003530D0">
        <w:t>worldwide</w:t>
      </w:r>
      <w:r>
        <w:t xml:space="preserve"> as the standard specifies the requirements for establishing, implementing, maintaining, monitoring, reviewing and constantly improving </w:t>
      </w:r>
      <w:r w:rsidR="00DF039B">
        <w:t>ISMSs [</w:t>
      </w:r>
      <w:r w:rsidR="00D44B99">
        <w:t>1,</w:t>
      </w:r>
      <w:r>
        <w:t>3], allowing companies to manage information security in a structured and repeatable way.</w:t>
      </w:r>
    </w:p>
    <w:p w14:paraId="43378C63" w14:textId="52D39A06" w:rsidR="00F4455E" w:rsidRDefault="00F4455E" w:rsidP="00D95D06">
      <w:r>
        <w:lastRenderedPageBreak/>
        <w:t xml:space="preserve">One of the main </w:t>
      </w:r>
      <w:r w:rsidR="005D0AED">
        <w:t>controlling</w:t>
      </w:r>
      <w:r>
        <w:t xml:space="preserve"> point</w:t>
      </w:r>
      <w:r w:rsidR="005D0AED">
        <w:t>s</w:t>
      </w:r>
      <w:r>
        <w:t xml:space="preserve"> of the standard is that it does not formally prescribe a specific set of security controls to the organisation but rather sets out a clear guideline in detail for </w:t>
      </w:r>
      <w:r w:rsidR="005D0AED">
        <w:t>organisations</w:t>
      </w:r>
      <w:r>
        <w:t xml:space="preserve"> to create their own models and identify their own risks and assess their impact on their operations and to then choose and appropriate responses based on the context of their operations and regulatory obligations.[</w:t>
      </w:r>
      <w:r w:rsidR="00D44B99">
        <w:t>2,</w:t>
      </w:r>
      <w:r>
        <w:t xml:space="preserve">3] This flexibility of the model makes it ideal for large complex environments, which include cloud based operations and global distribution used by organisations such as Nature Green. It allows security polices to be measured in proportion and further aligned with the priorities of an </w:t>
      </w:r>
      <w:r w:rsidR="005D0AED">
        <w:t>organisation’s</w:t>
      </w:r>
      <w:r>
        <w:t xml:space="preserve"> operations rather than a generic list of requirements of compliance.</w:t>
      </w:r>
    </w:p>
    <w:p w14:paraId="443B95E0" w14:textId="77777777" w:rsidR="005D0AED" w:rsidRDefault="005D0AED" w:rsidP="005D0AED">
      <w:pPr>
        <w:keepNext/>
      </w:pPr>
      <w:r>
        <w:rPr>
          <w:noProof/>
        </w:rPr>
        <w:drawing>
          <wp:inline distT="0" distB="0" distL="0" distR="0" wp14:anchorId="1C37781D" wp14:editId="16F82F2E">
            <wp:extent cx="3943350" cy="3515200"/>
            <wp:effectExtent l="0" t="0" r="0" b="9525"/>
            <wp:docPr id="1561181708" name="Picture 3"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181708" name="Picture 3" descr="A table with text on i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52590" cy="3523437"/>
                    </a:xfrm>
                    <a:prstGeom prst="rect">
                      <a:avLst/>
                    </a:prstGeom>
                    <a:noFill/>
                    <a:ln>
                      <a:noFill/>
                    </a:ln>
                  </pic:spPr>
                </pic:pic>
              </a:graphicData>
            </a:graphic>
          </wp:inline>
        </w:drawing>
      </w:r>
    </w:p>
    <w:p w14:paraId="4E82C7D4" w14:textId="2580F776" w:rsidR="005D0AED" w:rsidRDefault="005D0AED" w:rsidP="005D0AED">
      <w:pPr>
        <w:pStyle w:val="Caption"/>
      </w:pPr>
      <w:r>
        <w:t xml:space="preserve">Figure </w:t>
      </w:r>
      <w:r>
        <w:fldChar w:fldCharType="begin"/>
      </w:r>
      <w:r>
        <w:instrText xml:space="preserve"> SEQ Figure \* ARABIC </w:instrText>
      </w:r>
      <w:r>
        <w:fldChar w:fldCharType="separate"/>
      </w:r>
      <w:r>
        <w:rPr>
          <w:noProof/>
        </w:rPr>
        <w:t>1</w:t>
      </w:r>
      <w:r>
        <w:fldChar w:fldCharType="end"/>
      </w:r>
      <w:r>
        <w:t>: NIST CF framework core</w:t>
      </w:r>
    </w:p>
    <w:p w14:paraId="32F5B670" w14:textId="0FD8F211" w:rsidR="003530D0" w:rsidRPr="003530D0" w:rsidRDefault="003530D0" w:rsidP="003530D0">
      <w:r w:rsidRPr="003530D0">
        <w:t>In 2022 ISO/IEC 27001 underwent a major revision which resulted in a significant reorganisation of security controls into four core themes: organisational, people, physical and technological. The primary objective of this revision was to address emerging global cybersecurity challenges and strengthen digital trust [3</w:t>
      </w:r>
      <w:r>
        <w:t>,4</w:t>
      </w:r>
      <w:r w:rsidRPr="003530D0">
        <w:t>]. This update more accurately reflects the modern cybersecurity landscape by expanding the scope of controls to better account for contemporary threats, particularly those associated with cloud-based technologies, which were not sufficiently addressed in the previous version of the standard. In the context of NatureGreen, these changes are highly relevant as they provide clearer alignment between governance responsibilities, human interaction, and the technological safeguards required to secure cloud platforms and personal devices used across the organisation.</w:t>
      </w:r>
    </w:p>
    <w:p w14:paraId="1764A5A1" w14:textId="07F38063" w:rsidR="003530D0" w:rsidRPr="003530D0" w:rsidRDefault="003530D0" w:rsidP="003530D0">
      <w:r w:rsidRPr="003530D0">
        <w:t xml:space="preserve">ISO/IEC 27001 further emphasises the requirement for senior management to demonstrate leadership and commitment to information security through the approval of policies, </w:t>
      </w:r>
      <w:r w:rsidRPr="003530D0">
        <w:lastRenderedPageBreak/>
        <w:t>assignment of defined roles, and integration of security objectives into the broader organisational strategy [3</w:t>
      </w:r>
      <w:r>
        <w:t>,4</w:t>
      </w:r>
      <w:r w:rsidRPr="003530D0">
        <w:t>]. This reinforces the principle that effective information security should not be viewed solely as a technical function but rather as a governance-driven responsibility that relies on management oversight, organisational culture, and structured decision-making processes.</w:t>
      </w:r>
    </w:p>
    <w:p w14:paraId="3AFDFFA3" w14:textId="01844586" w:rsidR="008B7AEB" w:rsidRDefault="008B7AEB" w:rsidP="003530D0">
      <w:r>
        <w:t xml:space="preserve">Although ISO/IEC 27001 is widely </w:t>
      </w:r>
      <w:r w:rsidR="000D3697">
        <w:t>recognised</w:t>
      </w:r>
      <w:r>
        <w:t xml:space="preserve"> and a </w:t>
      </w:r>
      <w:r w:rsidR="000D3697">
        <w:t>robust</w:t>
      </w:r>
      <w:r>
        <w:t xml:space="preserve"> security framework, it does have its limitations and cannot be considered a total solution to all. When organisations adopt the standard in practise it is </w:t>
      </w:r>
      <w:r w:rsidR="000D3697">
        <w:t>primarily</w:t>
      </w:r>
      <w:r>
        <w:t xml:space="preserve"> used as a certificate </w:t>
      </w:r>
      <w:r w:rsidR="000D3697">
        <w:t>exercise</w:t>
      </w:r>
      <w:r>
        <w:t>, the implementation often becomes over focused on the documentation and policy compliance rather than the consistent practical application of security control. In the case of NatureGreen, the effectiveness of ISO/IEC 27001 with depend on the extent</w:t>
      </w:r>
      <w:r w:rsidR="000D3697">
        <w:t xml:space="preserve"> that ISMS is embedded in their daily operations, in particular the areas like BYOD usage, cloud environment configurations and the protection of sensitive information.</w:t>
      </w:r>
    </w:p>
    <w:p w14:paraId="64900BDD" w14:textId="7BBCA73B" w:rsidR="003530D0" w:rsidRDefault="003530D0" w:rsidP="003530D0">
      <w:pPr>
        <w:pStyle w:val="Heading2"/>
      </w:pPr>
      <w:bookmarkStart w:id="3" w:name="_Toc217972490"/>
      <w:r>
        <w:t>1.2 SOC 2 Trust Services</w:t>
      </w:r>
      <w:bookmarkEnd w:id="3"/>
    </w:p>
    <w:p w14:paraId="24F296AA" w14:textId="650B21AC" w:rsidR="000D3697" w:rsidRDefault="000D3697" w:rsidP="000D3697">
      <w:r>
        <w:t xml:space="preserve">The SOC 2 Trust services criteria is developed by the American institute of certified public accountants (AICPA), is primarily designed to provide assurances over the controls used by service organisations that store, process or transmit customer data. This framework is increasingly relevant to cloud based and SaaS environments, where both the customer and partners need confidence in how services operate in there practise rather than being reliant solely on the documented polices or system designs put in place. This focus on operation </w:t>
      </w:r>
      <w:proofErr w:type="gramStart"/>
      <w:r>
        <w:t>make</w:t>
      </w:r>
      <w:proofErr w:type="gramEnd"/>
      <w:r>
        <w:t xml:space="preserve"> SOC 2 extremely applicable to modernised organisations that heavily depend on cloud infrastructure such as </w:t>
      </w:r>
      <w:proofErr w:type="gramStart"/>
      <w:r>
        <w:t>NatureGreen.</w:t>
      </w:r>
      <w:r w:rsidR="00D44B99">
        <w:t>[</w:t>
      </w:r>
      <w:proofErr w:type="gramEnd"/>
      <w:r w:rsidR="00D44B99">
        <w:t>6,7]</w:t>
      </w:r>
    </w:p>
    <w:p w14:paraId="2C8C378C" w14:textId="69A74C32" w:rsidR="000D3697" w:rsidRDefault="00B72EA9" w:rsidP="000D3697">
      <w:r>
        <w:t xml:space="preserve">SOC 2 is structured around 5 trust service </w:t>
      </w:r>
      <w:r w:rsidR="00CC14BF">
        <w:t>criteria: -</w:t>
      </w:r>
      <w:r>
        <w:t xml:space="preserve"> Security, </w:t>
      </w:r>
      <w:r w:rsidR="00CC14BF">
        <w:t>Availability</w:t>
      </w:r>
      <w:r>
        <w:t xml:space="preserve">, processing integrity, Confidentiality, and privacy. </w:t>
      </w:r>
      <w:r w:rsidR="00CC14BF">
        <w:t>Altogether,</w:t>
      </w:r>
      <w:r>
        <w:t xml:space="preserve"> these criteria </w:t>
      </w:r>
      <w:r w:rsidR="00CC14BF">
        <w:t>aim</w:t>
      </w:r>
      <w:r>
        <w:t xml:space="preserve"> to protect systems from any unauthorised access, and ensure services remain constantly available, maintain accurate and reliable data processing, safeguard, sensitive information and respect data rights. This is a broad but practical scope which can align well with </w:t>
      </w:r>
      <w:r w:rsidR="00CC14BF">
        <w:t>organisations</w:t>
      </w:r>
      <w:r>
        <w:t xml:space="preserve"> that require a continues service delivery and which manage a large volume of customer and health related data across cloud platforms.</w:t>
      </w:r>
      <w:r w:rsidR="00D44B99">
        <w:t>[7]</w:t>
      </w:r>
    </w:p>
    <w:p w14:paraId="35D6B926" w14:textId="3E9E1424" w:rsidR="00B72EA9" w:rsidRDefault="00B72EA9" w:rsidP="000D3697">
      <w:r>
        <w:t xml:space="preserve">One of the key strengths of SOC 2 is its emphasis on </w:t>
      </w:r>
      <w:r w:rsidR="00CC14BF">
        <w:t>evidence-based</w:t>
      </w:r>
      <w:r>
        <w:t xml:space="preserve"> assurance. </w:t>
      </w:r>
      <w:r w:rsidR="00CC14BF">
        <w:t>Organizations</w:t>
      </w:r>
      <w:r>
        <w:t xml:space="preserve"> are required to demonstrate that their security controls are not only designed but fully implemented and in </w:t>
      </w:r>
      <w:proofErr w:type="gramStart"/>
      <w:r>
        <w:t>a</w:t>
      </w:r>
      <w:proofErr w:type="gramEnd"/>
      <w:r>
        <w:t xml:space="preserve"> operational state, </w:t>
      </w:r>
      <w:proofErr w:type="gramStart"/>
      <w:r>
        <w:t>and also</w:t>
      </w:r>
      <w:proofErr w:type="gramEnd"/>
      <w:r>
        <w:t xml:space="preserve"> supported by </w:t>
      </w:r>
      <w:r w:rsidR="00CC14BF">
        <w:t>verifiable</w:t>
      </w:r>
      <w:r>
        <w:t xml:space="preserve"> </w:t>
      </w:r>
      <w:r w:rsidR="00CC14BF">
        <w:t>artefacts</w:t>
      </w:r>
      <w:r>
        <w:t xml:space="preserve"> like access logs, monitoring records, incident reports and any change </w:t>
      </w:r>
      <w:r w:rsidR="00CC14BF">
        <w:t>approvals</w:t>
      </w:r>
      <w:r>
        <w:t xml:space="preserve"> to the system. This approach is </w:t>
      </w:r>
      <w:r w:rsidR="00CC14BF">
        <w:t>particularly</w:t>
      </w:r>
      <w:r>
        <w:t xml:space="preserve"> well designed and suited for cloud environments, where the continuous monitoring and logging of information play a critical role</w:t>
      </w:r>
      <w:r w:rsidR="00CC14BF">
        <w:t xml:space="preserve"> in detecting security incidents and demonstrating their own compliance.</w:t>
      </w:r>
    </w:p>
    <w:p w14:paraId="4FBB5549" w14:textId="04E69AEB" w:rsidR="00DF60B6" w:rsidRDefault="00DF60B6" w:rsidP="000D3697">
      <w:r>
        <w:t xml:space="preserve">The distinction between SOC2 Type 1 and Type 2 reports further to reinforce this focus. While type 1 reports assess whether the controls are suitably designed at the specific point </w:t>
      </w:r>
      <w:r>
        <w:lastRenderedPageBreak/>
        <w:t xml:space="preserve">in time, type 2 reports evaluate whether the controls operate and an effective rate over an extended </w:t>
      </w:r>
      <w:proofErr w:type="gramStart"/>
      <w:r>
        <w:t>period of time</w:t>
      </w:r>
      <w:proofErr w:type="gramEnd"/>
      <w:r>
        <w:t>.</w:t>
      </w:r>
      <w:r w:rsidR="00D44B99">
        <w:t>[6,8]</w:t>
      </w:r>
    </w:p>
    <w:p w14:paraId="280E0845" w14:textId="15ED0FB3" w:rsidR="00DF60B6" w:rsidRDefault="00DF60B6" w:rsidP="000D3697">
      <w:r>
        <w:t xml:space="preserve">Despite these strengths SOC 2 has limitations when considered as a standalone framework. Unlike ISO/IEC 27001, it offers little guidance in governance structures risk assessment methodologies, and policy developments. The framework largely assumes that the organisations already have defined governance process in place and instead validate how well those procedures’ function.  As a result of this assumption SOC 2 delivers the greatest value when used alongside a broader governance framework that clearly defines accountability, decision making, and risk management polices making it a perfect partner for ISO/IEC </w:t>
      </w:r>
      <w:proofErr w:type="gramStart"/>
      <w:r>
        <w:t>27001.</w:t>
      </w:r>
      <w:r w:rsidR="00D44B99">
        <w:t>[</w:t>
      </w:r>
      <w:proofErr w:type="gramEnd"/>
      <w:r w:rsidR="00D44B99">
        <w:t>6,8]</w:t>
      </w:r>
    </w:p>
    <w:p w14:paraId="78B62931" w14:textId="77777777" w:rsidR="00CC14BF" w:rsidRPr="000D3697" w:rsidRDefault="00CC14BF" w:rsidP="000D3697"/>
    <w:p w14:paraId="6A4AF7C4" w14:textId="15576E89" w:rsidR="008B7AEB" w:rsidRPr="008B7AEB" w:rsidRDefault="008B7AEB" w:rsidP="008B7AEB">
      <w:pPr>
        <w:pStyle w:val="Heading2"/>
      </w:pPr>
      <w:bookmarkStart w:id="4" w:name="_Toc217972491"/>
      <w:r>
        <w:t>1.3 IITL &amp; COBIT</w:t>
      </w:r>
      <w:bookmarkEnd w:id="4"/>
    </w:p>
    <w:p w14:paraId="3D6C1631" w14:textId="240F1B39" w:rsidR="003530D0" w:rsidRDefault="00DF60B6" w:rsidP="003530D0">
      <w:r>
        <w:t xml:space="preserve">ITIL &amp; COBIT are not primarily </w:t>
      </w:r>
      <w:r w:rsidR="003B0E4D">
        <w:t>designed</w:t>
      </w:r>
      <w:r>
        <w:t xml:space="preserve"> as a dedicated information security standard however, </w:t>
      </w:r>
      <w:proofErr w:type="gramStart"/>
      <w:r>
        <w:t>both of these</w:t>
      </w:r>
      <w:proofErr w:type="gramEnd"/>
      <w:r>
        <w:t xml:space="preserve"> frameworks provide highly valuable governance and operation structures that can </w:t>
      </w:r>
      <w:r w:rsidR="003B0E4D">
        <w:t>strengthen</w:t>
      </w:r>
      <w:r>
        <w:t xml:space="preserve"> a broader security programme when applied in place appropriately. They are </w:t>
      </w:r>
      <w:proofErr w:type="gramStart"/>
      <w:r>
        <w:t>most commonly used</w:t>
      </w:r>
      <w:proofErr w:type="gramEnd"/>
      <w:r>
        <w:t xml:space="preserve"> to improve the consistency, accountability and alignment </w:t>
      </w:r>
      <w:r w:rsidR="003B0E4D">
        <w:t>of technological operations and the organisational objectives, which make them highly relevant to NatureGreens operating environments when adopted appropriately.</w:t>
      </w:r>
      <w:r w:rsidR="00D44B99">
        <w:t>[9]</w:t>
      </w:r>
    </w:p>
    <w:p w14:paraId="418D658D" w14:textId="1ACE1164" w:rsidR="003B0E4D" w:rsidRDefault="00410272" w:rsidP="003530D0">
      <w:r>
        <w:t xml:space="preserve">ITIL focuses on the IT service management and provides structured guidance across key operational processes, including incident management, change control, problem management and service continuity. These processes are closely aligned with the operation security expectations found within SOC 2, </w:t>
      </w:r>
      <w:proofErr w:type="gramStart"/>
      <w:r>
        <w:t>in particular the</w:t>
      </w:r>
      <w:proofErr w:type="gramEnd"/>
      <w:r>
        <w:t xml:space="preserve"> areas which relate to incident response and service availability. In the case of NatureGreen, Adopting the practises of ITIL it will help establish predictable and repeatable workflow, which will ensure that the security incidents are managed at a constant rate and any changes to the cloud-based services are assessed for any risk prior to the new implementations.</w:t>
      </w:r>
      <w:r w:rsidR="00D44B99">
        <w:t>[10]</w:t>
      </w:r>
    </w:p>
    <w:p w14:paraId="0C3EB392" w14:textId="77569A8E" w:rsidR="00410272" w:rsidRDefault="00410272" w:rsidP="003530D0">
      <w:r>
        <w:t xml:space="preserve">COBIT which is developed by ISACA, adopts more of a governance-focused perspective on the management of enterprise information and its technologies. It puts more of an </w:t>
      </w:r>
      <w:r w:rsidR="00A0414D">
        <w:t>emphasis</w:t>
      </w:r>
      <w:r>
        <w:t xml:space="preserve"> on decision making structures and the </w:t>
      </w:r>
      <w:r w:rsidR="00A0414D">
        <w:t>accountability</w:t>
      </w:r>
      <w:r>
        <w:t xml:space="preserve"> and performance measurement of IT activities with a broader business objective. The main </w:t>
      </w:r>
      <w:r w:rsidR="00A0414D">
        <w:t>strength</w:t>
      </w:r>
      <w:r>
        <w:t xml:space="preserve"> of COBIT lies in the ability to clearly identify riles and </w:t>
      </w:r>
      <w:r w:rsidR="00A0414D">
        <w:t>responsibilities</w:t>
      </w:r>
      <w:r>
        <w:t xml:space="preserve">, define escalation paths, and further support an effective oversight. This governance method focuses complements ISO/IEC 27001 by reinforcing the executive involvement and </w:t>
      </w:r>
      <w:r w:rsidR="00A0414D">
        <w:t>ensuring that</w:t>
      </w:r>
      <w:r>
        <w:t xml:space="preserve"> the information security objectives are being integrated into the organisational strategy rather than staying isolated within its technical teams.</w:t>
      </w:r>
      <w:r w:rsidR="00D44B99">
        <w:t>[11]</w:t>
      </w:r>
    </w:p>
    <w:p w14:paraId="78476F93" w14:textId="544619B9" w:rsidR="00410272" w:rsidRDefault="00410272" w:rsidP="003530D0">
      <w:r>
        <w:t xml:space="preserve">Individually implementing these strategies however would not be an effective solution for nature green as a security </w:t>
      </w:r>
      <w:r w:rsidR="00A0414D">
        <w:t>framework</w:t>
      </w:r>
      <w:r>
        <w:t xml:space="preserve">. As ITIL does not provide a comprehensive approach </w:t>
      </w:r>
      <w:r>
        <w:lastRenderedPageBreak/>
        <w:t xml:space="preserve">toward risk </w:t>
      </w:r>
      <w:r w:rsidR="00A0414D">
        <w:t>management</w:t>
      </w:r>
      <w:r>
        <w:t xml:space="preserve"> or security control management and while COBIT offers a limited </w:t>
      </w:r>
      <w:r w:rsidR="00A0414D">
        <w:t>technical</w:t>
      </w:r>
      <w:r>
        <w:t xml:space="preserve"> security guidance. However once again when used in tandem with ISO/IEC 27001</w:t>
      </w:r>
      <w:r w:rsidR="00A0414D">
        <w:t xml:space="preserve"> and SOC 2, </w:t>
      </w:r>
      <w:proofErr w:type="gramStart"/>
      <w:r w:rsidR="00A0414D">
        <w:t>both of these</w:t>
      </w:r>
      <w:proofErr w:type="gramEnd"/>
      <w:r w:rsidR="00A0414D">
        <w:t xml:space="preserve"> frameworks will significantly increase the maturity of its governance and its operational security. In practise the selective adoption of the relevant processes and governance principles is likely to be more effective than the full-scale implementation, due to the complexity, of cloud environments such as nature greens.</w:t>
      </w:r>
    </w:p>
    <w:p w14:paraId="78B4F1FC" w14:textId="77777777" w:rsidR="003B0E4D" w:rsidRPr="003530D0" w:rsidRDefault="003B0E4D" w:rsidP="003530D0"/>
    <w:p w14:paraId="33CAE29B" w14:textId="69468410" w:rsidR="003530D0" w:rsidRDefault="003530D0" w:rsidP="003530D0">
      <w:pPr>
        <w:pStyle w:val="Heading2"/>
      </w:pPr>
      <w:bookmarkStart w:id="5" w:name="_Toc217972492"/>
      <w:r>
        <w:t>1.</w:t>
      </w:r>
      <w:r w:rsidR="008B7AEB">
        <w:t>4</w:t>
      </w:r>
      <w:r>
        <w:t xml:space="preserve"> Zero Trust Architecture</w:t>
      </w:r>
      <w:bookmarkEnd w:id="5"/>
    </w:p>
    <w:p w14:paraId="37136D6B" w14:textId="115FAEC5" w:rsidR="00A0414D" w:rsidRDefault="00A0414D" w:rsidP="00A0414D">
      <w:r>
        <w:t xml:space="preserve">Zero trust </w:t>
      </w:r>
      <w:r w:rsidR="00C24DC1">
        <w:t>architecture</w:t>
      </w:r>
      <w:r>
        <w:t xml:space="preserve"> have been increasingly important security model </w:t>
      </w:r>
      <w:r w:rsidR="00C24DC1">
        <w:t>of</w:t>
      </w:r>
      <w:r>
        <w:t xml:space="preserve"> organisations that make extensive use of cloud </w:t>
      </w:r>
      <w:r w:rsidR="00C24DC1">
        <w:t>computing</w:t>
      </w:r>
      <w:r>
        <w:t xml:space="preserve"> services. In contrast to traditional perimeter-based security </w:t>
      </w:r>
      <w:r w:rsidR="00C24DC1">
        <w:t>approaches</w:t>
      </w:r>
      <w:r>
        <w:t xml:space="preserve">, which will assume that the users and devices accessing the internal networks are to be trusted, </w:t>
      </w:r>
      <w:r w:rsidR="00C24DC1">
        <w:t>zero</w:t>
      </w:r>
      <w:r>
        <w:t xml:space="preserve"> trust applies the opposite approach and operates on the principle that trust should never be given and all the users and device on the network cannot be trusted. All access requests are therefore subject to </w:t>
      </w:r>
      <w:r w:rsidR="00C24DC1">
        <w:t>continuous</w:t>
      </w:r>
      <w:r>
        <w:t xml:space="preserve"> verification, regardless of the network location or device identifiers such as MAC addresses.</w:t>
      </w:r>
      <w:r w:rsidR="009B4BD3">
        <w:t>[12]</w:t>
      </w:r>
    </w:p>
    <w:p w14:paraId="07A17F0E" w14:textId="6E1A61F5" w:rsidR="00A0414D" w:rsidRDefault="00A0414D" w:rsidP="00A0414D">
      <w:r>
        <w:t xml:space="preserve">The </w:t>
      </w:r>
      <w:r w:rsidR="00C24DC1">
        <w:t>zero-trust</w:t>
      </w:r>
      <w:r>
        <w:t xml:space="preserve"> model </w:t>
      </w:r>
      <w:r w:rsidR="00C24DC1">
        <w:t>emphasises</w:t>
      </w:r>
      <w:r>
        <w:t xml:space="preserve"> strict identify verification, and the least </w:t>
      </w:r>
      <w:r w:rsidR="00C24DC1">
        <w:t>privilege</w:t>
      </w:r>
      <w:r>
        <w:t xml:space="preserve"> access controls, and the segmentation of systems, resources and information. These principles </w:t>
      </w:r>
      <w:r w:rsidR="00C24DC1">
        <w:t>significantly</w:t>
      </w:r>
      <w:r>
        <w:t xml:space="preserve"> reduce the likelihood of unauthorised access and limit the potential impact of compromised credentials. This is particularly relevant for organisations that support remote access and BYOD practises, where conventional network boundaries are not as clearly </w:t>
      </w:r>
      <w:proofErr w:type="gramStart"/>
      <w:r>
        <w:t>defined.</w:t>
      </w:r>
      <w:r w:rsidR="009B4BD3">
        <w:t>[</w:t>
      </w:r>
      <w:proofErr w:type="gramEnd"/>
      <w:r w:rsidR="009B4BD3">
        <w:t>12,13]</w:t>
      </w:r>
    </w:p>
    <w:p w14:paraId="5A645A04" w14:textId="2F38CA91" w:rsidR="00A0414D" w:rsidRPr="00A0414D" w:rsidRDefault="00A0414D" w:rsidP="00A0414D">
      <w:r>
        <w:t xml:space="preserve">When implemented alongside established </w:t>
      </w:r>
      <w:r w:rsidR="00C24DC1">
        <w:t>governance</w:t>
      </w:r>
      <w:r>
        <w:t xml:space="preserve"> and assurance </w:t>
      </w:r>
      <w:r w:rsidR="00C24DC1">
        <w:t>frameworks</w:t>
      </w:r>
      <w:r>
        <w:t xml:space="preserve">, such as ISO/IEC 27001 and SO </w:t>
      </w:r>
      <w:r w:rsidR="00C24DC1">
        <w:t>2, zero</w:t>
      </w:r>
      <w:r>
        <w:t xml:space="preserve"> trust can enhance an organisations overall security posture. ISO/IEC 27001 provide </w:t>
      </w:r>
      <w:r w:rsidR="00C24DC1">
        <w:t>three</w:t>
      </w:r>
      <w:r>
        <w:t xml:space="preserve"> governance and risk management foundation, while SOC 2 supports </w:t>
      </w:r>
      <w:r w:rsidR="00C24DC1">
        <w:t>continuous</w:t>
      </w:r>
      <w:r>
        <w:t xml:space="preserve"> monitoring and operational assurance. Put </w:t>
      </w:r>
      <w:r w:rsidR="00C24DC1">
        <w:t>together</w:t>
      </w:r>
      <w:r>
        <w:t>, these approaches enable organisations to address contemporary cyberse</w:t>
      </w:r>
      <w:r w:rsidR="00C24DC1">
        <w:t xml:space="preserve">curity threats in a structured and defensible </w:t>
      </w:r>
      <w:proofErr w:type="gramStart"/>
      <w:r w:rsidR="00C24DC1">
        <w:t>manner</w:t>
      </w:r>
      <w:r w:rsidR="009B4BD3">
        <w:t>.[</w:t>
      </w:r>
      <w:proofErr w:type="gramEnd"/>
      <w:r w:rsidR="009B4BD3">
        <w:t>12,7]</w:t>
      </w:r>
    </w:p>
    <w:p w14:paraId="425CCF4C" w14:textId="5F7D1255" w:rsidR="003530D0" w:rsidRDefault="003530D0" w:rsidP="003530D0">
      <w:pPr>
        <w:pStyle w:val="Heading1"/>
      </w:pPr>
      <w:bookmarkStart w:id="6" w:name="_Toc217972493"/>
      <w:r>
        <w:t>2.Security, Governance and Compliance approach for NatureGreen</w:t>
      </w:r>
      <w:bookmarkEnd w:id="6"/>
    </w:p>
    <w:p w14:paraId="46DF415A" w14:textId="54F2068C" w:rsidR="004C3756" w:rsidRPr="004C3756" w:rsidRDefault="004C3756" w:rsidP="004C3756">
      <w:r>
        <w:t xml:space="preserve">This second section will apply the frameworks that were discussed in section one to the </w:t>
      </w:r>
      <w:r w:rsidR="0026587D">
        <w:t>N</w:t>
      </w:r>
      <w:r>
        <w:t>ature</w:t>
      </w:r>
      <w:r w:rsidR="0026587D">
        <w:t>G</w:t>
      </w:r>
      <w:r>
        <w:t>reen scenario given. I will primarily speak about ISO/IEC 27001 combined with SOC 2 trust services as these two point out a lot of areas where nature green can improve their own polices as it proposes a more practical approach to security which reflects the realities of the use of cloud services within naturgreen.</w:t>
      </w:r>
    </w:p>
    <w:p w14:paraId="0134567B" w14:textId="025DBC3C" w:rsidR="003530D0" w:rsidRDefault="003530D0" w:rsidP="003530D0">
      <w:pPr>
        <w:pStyle w:val="Heading2"/>
      </w:pPr>
      <w:bookmarkStart w:id="7" w:name="_Toc217972494"/>
      <w:r>
        <w:lastRenderedPageBreak/>
        <w:t>2.1 Governance Structure</w:t>
      </w:r>
      <w:bookmarkEnd w:id="7"/>
    </w:p>
    <w:p w14:paraId="0CEFEA89" w14:textId="231785DA" w:rsidR="00444AF1" w:rsidRDefault="00444AF1" w:rsidP="00444AF1">
      <w:r>
        <w:t xml:space="preserve">The most effective security governance relies heavily on accountability and the involvement of an </w:t>
      </w:r>
      <w:r w:rsidR="0026587D">
        <w:t>organisation’s</w:t>
      </w:r>
      <w:r>
        <w:t xml:space="preserve"> leaderships. ISO/IEC 27001 requires that a organisations senior management approves polices, assigns responsibilities and also </w:t>
      </w:r>
      <w:r w:rsidR="0037250C">
        <w:t>integrate</w:t>
      </w:r>
      <w:r>
        <w:t xml:space="preserve"> information security into its organisational strategy.</w:t>
      </w:r>
    </w:p>
    <w:p w14:paraId="136A1215" w14:textId="3D681941" w:rsidR="00444AF1" w:rsidRDefault="0037250C" w:rsidP="00444AF1">
      <w:r>
        <w:t>Nature green</w:t>
      </w:r>
      <w:r w:rsidR="00444AF1">
        <w:t xml:space="preserve"> however lacks this structure so to rectify the issue it should establish and ISMS and put it under executive oversight such as a data protection officer. This role </w:t>
      </w:r>
      <w:r>
        <w:t>can</w:t>
      </w:r>
      <w:r w:rsidR="00444AF1">
        <w:t xml:space="preserve"> then directly report to executive management </w:t>
      </w:r>
      <w:r>
        <w:t xml:space="preserve">to ensure that </w:t>
      </w:r>
      <w:proofErr w:type="gramStart"/>
      <w:r>
        <w:t>any and all</w:t>
      </w:r>
      <w:proofErr w:type="gramEnd"/>
      <w:r>
        <w:t xml:space="preserve"> security risks are considered at a strategy level rather than be treated as a technical concern.</w:t>
      </w:r>
    </w:p>
    <w:p w14:paraId="0AE63A86" w14:textId="2B8E1306" w:rsidR="0037250C" w:rsidRPr="00444AF1" w:rsidRDefault="0037250C" w:rsidP="00444AF1">
      <w:r>
        <w:t>To further support this governance in place, NG should put in place a security committee which would include multiple representatives from different departments of the organisation such as IT, Human resources, Legal etc. This committee would then directly oversee policy approvals and risk reviews and audits which aligns with ISO 27001 governance structures and principles while also SOC expectations for management supervision.</w:t>
      </w:r>
    </w:p>
    <w:p w14:paraId="7D35FD04" w14:textId="19FE4045" w:rsidR="003530D0" w:rsidRDefault="003530D0" w:rsidP="003530D0">
      <w:pPr>
        <w:pStyle w:val="Heading2"/>
      </w:pPr>
      <w:bookmarkStart w:id="8" w:name="_Toc217972495"/>
      <w:r>
        <w:t>2.2Risk Management Model</w:t>
      </w:r>
      <w:bookmarkEnd w:id="8"/>
    </w:p>
    <w:p w14:paraId="1459D9F3" w14:textId="0731BD6C" w:rsidR="003D3032" w:rsidRDefault="003D3032" w:rsidP="003D3032">
      <w:r>
        <w:t xml:space="preserve">The risk management model should again include both ISO/IEC 27001 and SOC 2. NatureGreen would have to adopt a structured and </w:t>
      </w:r>
      <w:r w:rsidR="00211E17">
        <w:t>easily</w:t>
      </w:r>
      <w:r>
        <w:t xml:space="preserve"> repeatable security cycle that supports the consistent identification of threats and how to priorities and treat them.</w:t>
      </w:r>
    </w:p>
    <w:p w14:paraId="1AD52A63" w14:textId="4BD3F32B" w:rsidR="003D3032" w:rsidRDefault="003D3032" w:rsidP="003D3032">
      <w:r>
        <w:t xml:space="preserve">Risk analysis </w:t>
      </w:r>
      <w:r w:rsidR="00211E17">
        <w:t>evaluates</w:t>
      </w:r>
      <w:r>
        <w:t xml:space="preserve"> the likelihood and impact of a threat while </w:t>
      </w:r>
      <w:r w:rsidR="00211E17">
        <w:t>evaluation</w:t>
      </w:r>
      <w:r>
        <w:t xml:space="preserve"> will compare the risks against NatureGreens criteria to ensure that threats are being consistently priorities by severity. Any risks that are exceeding </w:t>
      </w:r>
      <w:r w:rsidR="00211E17">
        <w:t>thresholds</w:t>
      </w:r>
      <w:r>
        <w:t xml:space="preserve"> need to be treated first. Naturegreen can use various treatment options such as implementing </w:t>
      </w:r>
      <w:r w:rsidR="00211E17">
        <w:t>controls and</w:t>
      </w:r>
      <w:r>
        <w:t xml:space="preserve"> avoiding high risk activities. This works great alongside SOC 2 </w:t>
      </w:r>
      <w:r w:rsidR="00211E17">
        <w:t>type 2 as the reporting reinforces needs to demonstrate that the controls operate consistently over time.</w:t>
      </w:r>
    </w:p>
    <w:p w14:paraId="166334B3" w14:textId="607D8F10" w:rsidR="00211E17" w:rsidRPr="003D3032" w:rsidRDefault="00211E17" w:rsidP="003D3032">
      <w:r>
        <w:t xml:space="preserve">The task of continuous monitoring will ensure that the risk that remain visible and the security controls remain effective against the threats. To finalise NG’s risk management </w:t>
      </w:r>
      <w:proofErr w:type="gramStart"/>
      <w:r>
        <w:t>strategy</w:t>
      </w:r>
      <w:proofErr w:type="gramEnd"/>
      <w:r>
        <w:t xml:space="preserve"> they should update their registry based on any security incidents that may occur </w:t>
      </w:r>
      <w:proofErr w:type="gramStart"/>
      <w:r>
        <w:t>and also</w:t>
      </w:r>
      <w:proofErr w:type="gramEnd"/>
      <w:r>
        <w:t xml:space="preserve"> conduct regular audits into their cloud environments to constantly improve their services.</w:t>
      </w:r>
    </w:p>
    <w:p w14:paraId="34C9236A" w14:textId="3A970F4C" w:rsidR="003530D0" w:rsidRDefault="003530D0" w:rsidP="003530D0">
      <w:pPr>
        <w:pStyle w:val="Heading2"/>
      </w:pPr>
      <w:bookmarkStart w:id="9" w:name="_Toc217972496"/>
      <w:r>
        <w:t>2.3 Security Policies BYOD Structure</w:t>
      </w:r>
      <w:bookmarkEnd w:id="9"/>
    </w:p>
    <w:p w14:paraId="21E7E9F3" w14:textId="5C39AF22" w:rsidR="00211E17" w:rsidRDefault="00211E17" w:rsidP="00211E17">
      <w:r>
        <w:t>The security policies that are put into place within an organisation make the decisions into enforceable action and behaviours. ISO/IEC 27001 require organisations to outline and maintain their polices in tandem with risk and their business objective</w:t>
      </w:r>
      <w:r w:rsidR="00690791">
        <w:t xml:space="preserve">. NG should change their structure to a layered policy structure, this will </w:t>
      </w:r>
      <w:r w:rsidR="009B4BD3">
        <w:t>consist</w:t>
      </w:r>
      <w:r w:rsidR="00690791">
        <w:t xml:space="preserve"> of an overreaching information </w:t>
      </w:r>
      <w:r w:rsidR="00690791">
        <w:lastRenderedPageBreak/>
        <w:t>security policy alongside specific policies as well which will use polices such as access use, acceptable use, incident response etc.</w:t>
      </w:r>
    </w:p>
    <w:p w14:paraId="0ECBB608" w14:textId="0DCF9A39" w:rsidR="00690791" w:rsidRDefault="00690791" w:rsidP="00211E17">
      <w:r>
        <w:t>The use of BYOD also poses a significantly increased threat due to inconsistent device security. ISO/IEC 27001 requires organisations to define acceptable use conditions of its devices and SOC 2 also expects consistent access controls of devices regardless of who owns them. NG’s BYOD policy going forward should be changed to a risk-based model allowing access only from the devices that meet the pre-determined security requirements like encryption.</w:t>
      </w:r>
    </w:p>
    <w:p w14:paraId="1A32A1F9" w14:textId="02101A35" w:rsidR="00690791" w:rsidRDefault="00690791" w:rsidP="00211E17">
      <w:r>
        <w:t>The zero trust principles will provide NG with effective support by enforcing the continuous verification of its users and devices however NG needs to ensure that the corporate data is separated on their devices and not mixed in with personal information.</w:t>
      </w:r>
    </w:p>
    <w:p w14:paraId="45644382" w14:textId="77777777" w:rsidR="00690791" w:rsidRPr="00211E17" w:rsidRDefault="00690791" w:rsidP="00211E17"/>
    <w:p w14:paraId="4182F627" w14:textId="7C24F25C" w:rsidR="003530D0" w:rsidRDefault="003530D0" w:rsidP="003530D0">
      <w:pPr>
        <w:pStyle w:val="Heading2"/>
      </w:pPr>
      <w:bookmarkStart w:id="10" w:name="_Toc217972497"/>
      <w:r>
        <w:t>2.4 Cloud Security &amp; Protection</w:t>
      </w:r>
      <w:bookmarkEnd w:id="10"/>
    </w:p>
    <w:p w14:paraId="6B2FC616" w14:textId="4AC1E28F" w:rsidR="00690791" w:rsidRDefault="00690791" w:rsidP="00690791">
      <w:r>
        <w:t>Cloud security is a critical process to NG’s operational model. ISO/IEC 27001 requires organisations to manage their risks with external hosted services and supplier relations</w:t>
      </w:r>
      <w:r w:rsidR="00D3234C">
        <w:t>. Due to this NG should make use of a defence in depth approach which would allow them to make use of secure configuration baselines, encryption of data etc.</w:t>
      </w:r>
    </w:p>
    <w:p w14:paraId="39F99485" w14:textId="035C9B9E" w:rsidR="00D3234C" w:rsidRPr="00690791" w:rsidRDefault="00D3234C" w:rsidP="00690791">
      <w:r>
        <w:t>The identity-based access controls and the least privileged permissions should replace the network-based trust assumptions that naturegeen currently have in place as this will limit the risk of compromised credentials and supports the use of SOC 2 requirements. The centralised logging and monitoring of the cloud activity are essential in this case for incident detections.</w:t>
      </w:r>
    </w:p>
    <w:p w14:paraId="3B9B5049" w14:textId="0563E45D" w:rsidR="003530D0" w:rsidRDefault="003530D0" w:rsidP="003530D0">
      <w:pPr>
        <w:pStyle w:val="Heading1"/>
      </w:pPr>
      <w:bookmarkStart w:id="11" w:name="_Toc217972498"/>
      <w:r>
        <w:t>3. Conclusion</w:t>
      </w:r>
      <w:bookmarkEnd w:id="11"/>
    </w:p>
    <w:p w14:paraId="02FB2ADF" w14:textId="0F93CE9C" w:rsidR="00D3234C" w:rsidRDefault="00D3234C" w:rsidP="00D3234C">
      <w:r>
        <w:t>This report has shown how NatureGreen can embolden its information security framework through integrated governance, risk management and compliance. Analysing text shows that although ISO/IEC 27001 and SOC 2 address different aspects of security management. ISO provides more of a governance led approach while SOC 2 enforces operational disciplines through evidence-based methods.</w:t>
      </w:r>
    </w:p>
    <w:p w14:paraId="1A670701" w14:textId="5C5A1BB8" w:rsidR="00D3234C" w:rsidRDefault="00D3234C" w:rsidP="00D3234C">
      <w:r>
        <w:t>By applying these frameworks to NG’s cloud-based services highlight the importance of oversight from higher management alongside policy management and risk assessment especially in the case of NG’s BYOD policy.</w:t>
      </w:r>
    </w:p>
    <w:p w14:paraId="325F631E" w14:textId="278B359A" w:rsidR="00D3234C" w:rsidRPr="00D3234C" w:rsidRDefault="00D3234C" w:rsidP="00D3234C">
      <w:r>
        <w:t xml:space="preserve">The governance of security should be treated as a dynamic objective instead of a static one. As technologies and threats are continuously evolving in the modern world. To combat this NG must constantly reassess its security controls and its threat management and this can be </w:t>
      </w:r>
      <w:r>
        <w:lastRenderedPageBreak/>
        <w:t xml:space="preserve">achieved by combining both IS/IEC 27001 and SOC 2 for the goal of </w:t>
      </w:r>
      <w:r w:rsidR="00DF039B">
        <w:t>long-term</w:t>
      </w:r>
      <w:r>
        <w:t xml:space="preserve"> regulatory compliance.</w:t>
      </w:r>
    </w:p>
    <w:p w14:paraId="7A2ADF8D" w14:textId="5C85B211" w:rsidR="003530D0" w:rsidRDefault="003530D0" w:rsidP="009B4BD3">
      <w:pPr>
        <w:pStyle w:val="Heading1"/>
      </w:pPr>
      <w:bookmarkStart w:id="12" w:name="_Toc217972499"/>
      <w:r>
        <w:t>4. References</w:t>
      </w:r>
      <w:bookmarkEnd w:id="12"/>
    </w:p>
    <w:p w14:paraId="5D2384B4" w14:textId="77777777" w:rsidR="009B4BD3" w:rsidRPr="009B4BD3" w:rsidRDefault="009B4BD3" w:rsidP="009B4BD3">
      <w:r w:rsidRPr="009B4BD3">
        <w:t xml:space="preserve">[1] Sultan </w:t>
      </w:r>
      <w:proofErr w:type="spellStart"/>
      <w:r w:rsidRPr="009B4BD3">
        <w:t>Almuhammadi</w:t>
      </w:r>
      <w:proofErr w:type="spellEnd"/>
      <w:r w:rsidRPr="009B4BD3">
        <w:t xml:space="preserve"> and Majeed Alsaleh, "INFORMATION SECURITY MATURITY</w:t>
      </w:r>
      <w:r w:rsidRPr="009B4BD3">
        <w:br/>
        <w:t>MODEL FOR NIST CYBER SECURITY</w:t>
      </w:r>
      <w:r w:rsidRPr="009B4BD3">
        <w:br/>
        <w:t>FRAMEWORK," Available: </w:t>
      </w:r>
      <w:hyperlink r:id="rId7" w:tgtFrame="_blank" w:history="1">
        <w:r w:rsidRPr="009B4BD3">
          <w:rPr>
            <w:rStyle w:val="Hyperlink"/>
          </w:rPr>
          <w:t>https://www.csitcp.com/paper/7/73csit05.pdf</w:t>
        </w:r>
      </w:hyperlink>
      <w:r w:rsidRPr="009B4BD3">
        <w:t>.</w:t>
      </w:r>
    </w:p>
    <w:p w14:paraId="36A6C7D4" w14:textId="77777777" w:rsidR="009B4BD3" w:rsidRPr="009B4BD3" w:rsidRDefault="009B4BD3" w:rsidP="009B4BD3">
      <w:r w:rsidRPr="009B4BD3">
        <w:t xml:space="preserve">[2] M. Chauhan and S. </w:t>
      </w:r>
      <w:proofErr w:type="spellStart"/>
      <w:r w:rsidRPr="009B4BD3">
        <w:t>Shiaeles</w:t>
      </w:r>
      <w:proofErr w:type="spellEnd"/>
      <w:r w:rsidRPr="009B4BD3">
        <w:t>, "An Analysis of Cloud Security Frameworks, Problems and Proposed Solutions," </w:t>
      </w:r>
      <w:r w:rsidRPr="009B4BD3">
        <w:rPr>
          <w:i/>
          <w:iCs/>
        </w:rPr>
        <w:t>Network, </w:t>
      </w:r>
      <w:r w:rsidRPr="009B4BD3">
        <w:t>vol. 3, </w:t>
      </w:r>
      <w:r w:rsidRPr="009B4BD3">
        <w:rPr>
          <w:i/>
          <w:iCs/>
        </w:rPr>
        <w:t>(3), </w:t>
      </w:r>
      <w:r w:rsidRPr="009B4BD3">
        <w:t>pp. 422–450, 2023. Available: </w:t>
      </w:r>
      <w:hyperlink r:id="rId8" w:tgtFrame="_blank" w:history="1">
        <w:r w:rsidRPr="009B4BD3">
          <w:rPr>
            <w:rStyle w:val="Hyperlink"/>
          </w:rPr>
          <w:t>https://www.mdpi.com/2673-8732/3/3/18</w:t>
        </w:r>
      </w:hyperlink>
      <w:r w:rsidRPr="009B4BD3">
        <w:t>. DOI: 10.3390/network3030018.</w:t>
      </w:r>
    </w:p>
    <w:p w14:paraId="374CF312" w14:textId="77777777" w:rsidR="009B4BD3" w:rsidRPr="009B4BD3" w:rsidRDefault="009B4BD3" w:rsidP="009B4BD3">
      <w:r w:rsidRPr="009B4BD3">
        <w:t>[3] M. Malatji, "Management of enterprise cyber security: A review of ISO/IEC 27001:2022," in 2023-01, Available: </w:t>
      </w:r>
      <w:hyperlink r:id="rId9" w:tgtFrame="_blank" w:history="1">
        <w:r w:rsidRPr="009B4BD3">
          <w:rPr>
            <w:rStyle w:val="Hyperlink"/>
          </w:rPr>
          <w:t>https://ieeexplore.ieee.org/abstract/document/10051114</w:t>
        </w:r>
      </w:hyperlink>
      <w:r w:rsidRPr="009B4BD3">
        <w:t>. DOI: 10.1109/CyMaEn57228.2023.10051114.</w:t>
      </w:r>
    </w:p>
    <w:p w14:paraId="1E15D853" w14:textId="77777777" w:rsidR="009B4BD3" w:rsidRPr="009B4BD3" w:rsidRDefault="009B4BD3" w:rsidP="009B4BD3">
      <w:r w:rsidRPr="009B4BD3">
        <w:t xml:space="preserve">[4] F. Kitsios, E. Chatzidimitriou and M. </w:t>
      </w:r>
      <w:proofErr w:type="spellStart"/>
      <w:r w:rsidRPr="009B4BD3">
        <w:t>Kamariotou</w:t>
      </w:r>
      <w:proofErr w:type="spellEnd"/>
      <w:r w:rsidRPr="009B4BD3">
        <w:t>, "The ISO/IEC 27001 Information Security Management Standard: How to Extract Value from Data in the IT Sector," </w:t>
      </w:r>
      <w:r w:rsidRPr="009B4BD3">
        <w:rPr>
          <w:i/>
          <w:iCs/>
        </w:rPr>
        <w:t>Sustainability, </w:t>
      </w:r>
      <w:r w:rsidRPr="009B4BD3">
        <w:t>vol. 15, </w:t>
      </w:r>
      <w:r w:rsidRPr="009B4BD3">
        <w:rPr>
          <w:i/>
          <w:iCs/>
        </w:rPr>
        <w:t>(7), </w:t>
      </w:r>
      <w:r w:rsidRPr="009B4BD3">
        <w:t>pp. 5828, 2023. Available: </w:t>
      </w:r>
      <w:hyperlink r:id="rId10" w:tgtFrame="_blank" w:history="1">
        <w:r w:rsidRPr="009B4BD3">
          <w:rPr>
            <w:rStyle w:val="Hyperlink"/>
          </w:rPr>
          <w:t>https://www.mdpi.com/2071-1050/15/7/5828</w:t>
        </w:r>
      </w:hyperlink>
      <w:r w:rsidRPr="009B4BD3">
        <w:t>. DOI: 10.3390/su15075828.</w:t>
      </w:r>
    </w:p>
    <w:p w14:paraId="4718B960" w14:textId="77777777" w:rsidR="009B4BD3" w:rsidRPr="009B4BD3" w:rsidRDefault="009B4BD3" w:rsidP="009B4BD3">
      <w:r w:rsidRPr="009B4BD3">
        <w:t>[5] Anonymous "AICPA," Available: </w:t>
      </w:r>
      <w:hyperlink r:id="rId11" w:tgtFrame="_blank" w:history="1">
        <w:r w:rsidRPr="009B4BD3">
          <w:rPr>
            <w:rStyle w:val="Hyperlink"/>
          </w:rPr>
          <w:t>https://www.aicpa-cima.com/resources/download/trust-services-criteria</w:t>
        </w:r>
      </w:hyperlink>
      <w:r w:rsidRPr="009B4BD3">
        <w:t>.</w:t>
      </w:r>
    </w:p>
    <w:p w14:paraId="1A8C6DD2" w14:textId="77777777" w:rsidR="009B4BD3" w:rsidRPr="009B4BD3" w:rsidRDefault="009B4BD3" w:rsidP="009B4BD3">
      <w:r w:rsidRPr="009B4BD3">
        <w:t>[6] Anonymous </w:t>
      </w:r>
      <w:r w:rsidRPr="009B4BD3">
        <w:rPr>
          <w:i/>
          <w:iCs/>
        </w:rPr>
        <w:t>Guide: SOC 2 Reporting on an Examination of Controls at a Service Organization Relevant to Security, Availability, Processing Integrity, Confidentiality, Or Privacy. </w:t>
      </w:r>
      <w:r w:rsidRPr="009B4BD3">
        <w:t>2018Available: </w:t>
      </w:r>
      <w:hyperlink r:id="rId12" w:anchor="v=onepage&amp;q=soc%202%20trust%20services&amp;f=false" w:tgtFrame="_blank" w:history="1">
        <w:r w:rsidRPr="009B4BD3">
          <w:rPr>
            <w:rStyle w:val="Hyperlink"/>
          </w:rPr>
          <w:t>https://books.google.co.uk/books?hl=en&amp;lr=&amp;id=plhVDwAAQBAJ&amp;oi=fnd&amp;pg=PR1&amp;dq=soc+2+trust+services&amp;ots=3926OZsOyu&amp;sig=Hb_hHGgweaTguYVsuzfD3A7SN1A&amp;redir_esc=y#v=onepage&amp;q=soc%202%20trust%20services&amp;f=false</w:t>
        </w:r>
      </w:hyperlink>
      <w:r w:rsidRPr="009B4BD3">
        <w:t>.</w:t>
      </w:r>
    </w:p>
    <w:p w14:paraId="185DD1E1" w14:textId="77777777" w:rsidR="009B4BD3" w:rsidRPr="009B4BD3" w:rsidRDefault="009B4BD3" w:rsidP="009B4BD3">
      <w:r w:rsidRPr="009B4BD3">
        <w:t xml:space="preserve">[7] C. </w:t>
      </w:r>
      <w:proofErr w:type="spellStart"/>
      <w:r w:rsidRPr="009B4BD3">
        <w:t>Channuntapipat</w:t>
      </w:r>
      <w:proofErr w:type="spellEnd"/>
      <w:r w:rsidRPr="009B4BD3">
        <w:t>, "Assurance for service organisations: contextualising accountability and trust," </w:t>
      </w:r>
      <w:r w:rsidRPr="009B4BD3">
        <w:rPr>
          <w:i/>
          <w:iCs/>
        </w:rPr>
        <w:t>Managerial Auditing Journal, </w:t>
      </w:r>
      <w:r w:rsidRPr="009B4BD3">
        <w:t>vol. 33, </w:t>
      </w:r>
      <w:r w:rsidRPr="009B4BD3">
        <w:rPr>
          <w:i/>
          <w:iCs/>
        </w:rPr>
        <w:t>(4), </w:t>
      </w:r>
      <w:r w:rsidRPr="009B4BD3">
        <w:t>pp. 340–359, 2017. Available: </w:t>
      </w:r>
      <w:hyperlink r:id="rId13" w:tgtFrame="_blank" w:history="1">
        <w:r w:rsidRPr="009B4BD3">
          <w:rPr>
            <w:rStyle w:val="Hyperlink"/>
          </w:rPr>
          <w:t>https://doi.org/10.1108/MAJ-06-2017-1588</w:t>
        </w:r>
      </w:hyperlink>
      <w:r w:rsidRPr="009B4BD3">
        <w:t>. DOI: 10.1108/MAJ-06-2017-1588.</w:t>
      </w:r>
    </w:p>
    <w:p w14:paraId="62496E3E" w14:textId="77777777" w:rsidR="009B4BD3" w:rsidRPr="009B4BD3" w:rsidRDefault="009B4BD3" w:rsidP="009B4BD3">
      <w:r w:rsidRPr="009B4BD3">
        <w:t xml:space="preserve">[8] Gehrmann </w:t>
      </w:r>
      <w:proofErr w:type="spellStart"/>
      <w:r w:rsidRPr="009B4BD3">
        <w:t>maico</w:t>
      </w:r>
      <w:proofErr w:type="spellEnd"/>
      <w:r w:rsidRPr="009B4BD3">
        <w:t>, "Combining ITIL, COBIT and</w:t>
      </w:r>
      <w:r w:rsidRPr="009B4BD3">
        <w:br/>
        <w:t>ISO/IEC 27002 for structuring</w:t>
      </w:r>
      <w:r w:rsidRPr="009B4BD3">
        <w:br/>
        <w:t>comprehensive information</w:t>
      </w:r>
      <w:r w:rsidRPr="009B4BD3">
        <w:br/>
        <w:t>technology for management in</w:t>
      </w:r>
      <w:r w:rsidRPr="009B4BD3">
        <w:br/>
        <w:t>organizations," Available: </w:t>
      </w:r>
      <w:hyperlink r:id="rId14" w:tgtFrame="_blank" w:history="1">
        <w:r w:rsidRPr="009B4BD3">
          <w:rPr>
            <w:rStyle w:val="Hyperlink"/>
          </w:rPr>
          <w:t>https://www.redalyc.org/pdf/3504/350450810007.pdf</w:t>
        </w:r>
      </w:hyperlink>
      <w:r w:rsidRPr="009B4BD3">
        <w:t>.</w:t>
      </w:r>
    </w:p>
    <w:p w14:paraId="361721A2" w14:textId="77777777" w:rsidR="009B4BD3" w:rsidRPr="009B4BD3" w:rsidRDefault="009B4BD3" w:rsidP="009B4BD3">
      <w:r w:rsidRPr="009B4BD3">
        <w:t xml:space="preserve">[9] Lamia </w:t>
      </w:r>
      <w:proofErr w:type="spellStart"/>
      <w:r w:rsidRPr="009B4BD3">
        <w:t>Moudoubah</w:t>
      </w:r>
      <w:proofErr w:type="spellEnd"/>
      <w:r w:rsidRPr="009B4BD3">
        <w:t>, Abir El Yamami, Khalifa Mansouri, Mohammed Qbadou, "From IT service management to IT service governance: An</w:t>
      </w:r>
      <w:r w:rsidRPr="009B4BD3">
        <w:br/>
        <w:t>ontological approach for integrated use of ITIL and COBIT</w:t>
      </w:r>
      <w:r w:rsidRPr="009B4BD3">
        <w:br/>
        <w:t xml:space="preserve">frameworks," vol. 11, 2021. </w:t>
      </w:r>
      <w:r w:rsidRPr="009B4BD3">
        <w:lastRenderedPageBreak/>
        <w:t>Available: </w:t>
      </w:r>
      <w:hyperlink r:id="rId15" w:tgtFrame="_blank" w:history="1">
        <w:r w:rsidRPr="009B4BD3">
          <w:rPr>
            <w:rStyle w:val="Hyperlink"/>
          </w:rPr>
          <w:t>https://d1wqtxts1xzle7.cloudfront.net/85601856/15246-libre.pdf?1651854048=&amp;response-content-disposition=inline%3B+filename%3DFrom_IT_service_management_to_IT_service.pdf&amp;Expires=1767083260&amp;Signature=cghA26EBOEAJM-AjlIjYoiYyXyrGEUyF9LTGdQ4i-z-I9aPKLWFgQEPgc2i-kII5dG3cImCyK3TQEIlMw2MluDsMFSrsUxdz2UShXPpmg6D8wv1mhmDaM8dM35Leui1ebxjtY4qPTqzsPXnF-w7vL~HV1DdzIKfS~TDHuRAbyObnTI4BDA8e~XDJbD2XExAlM23mh1LY6tMBMKjJ1qsdpH-NCzbfbDplqEQ3-nEkY2109jq5uB0bsvS4ohYmhGCNF3v8qWiaoG0gmmMxm~07BcI6TXwVs-ITBnCtOGZHqIUjPT~Kg9XBVjQfT6wuIHDXOzKZuJTQHF~g~dD4qCBhVQ__&amp;Key-Pair-Id=APKAJLOHF5GGSLRBV4ZA</w:t>
        </w:r>
      </w:hyperlink>
      <w:r w:rsidRPr="009B4BD3">
        <w:t>. DOI: 10.11591/</w:t>
      </w:r>
      <w:proofErr w:type="gramStart"/>
      <w:r w:rsidRPr="009B4BD3">
        <w:t>ijece.v11i6.pp</w:t>
      </w:r>
      <w:proofErr w:type="gramEnd"/>
      <w:r w:rsidRPr="009B4BD3">
        <w:t>5292-5300.</w:t>
      </w:r>
    </w:p>
    <w:p w14:paraId="307206EA" w14:textId="77777777" w:rsidR="009B4BD3" w:rsidRPr="009B4BD3" w:rsidRDefault="009B4BD3" w:rsidP="009B4BD3">
      <w:r w:rsidRPr="009B4BD3">
        <w:t xml:space="preserve">[10] A. Rusman, R. </w:t>
      </w:r>
      <w:proofErr w:type="spellStart"/>
      <w:r w:rsidRPr="009B4BD3">
        <w:t>Nadlifatin</w:t>
      </w:r>
      <w:proofErr w:type="spellEnd"/>
      <w:r w:rsidRPr="009B4BD3">
        <w:t xml:space="preserve"> and A. P. </w:t>
      </w:r>
      <w:proofErr w:type="spellStart"/>
      <w:r w:rsidRPr="009B4BD3">
        <w:t>Subriadi</w:t>
      </w:r>
      <w:proofErr w:type="spellEnd"/>
      <w:r w:rsidRPr="009B4BD3">
        <w:t>, "Information System Audit Using COBIT and ITIL Framework: Literature Review," </w:t>
      </w:r>
      <w:proofErr w:type="spellStart"/>
      <w:proofErr w:type="gramStart"/>
      <w:r w:rsidRPr="009B4BD3">
        <w:rPr>
          <w:i/>
          <w:iCs/>
        </w:rPr>
        <w:t>Sinkron</w:t>
      </w:r>
      <w:proofErr w:type="spellEnd"/>
      <w:r w:rsidRPr="009B4BD3">
        <w:rPr>
          <w:i/>
          <w:iCs/>
        </w:rPr>
        <w:t xml:space="preserve"> :</w:t>
      </w:r>
      <w:proofErr w:type="gramEnd"/>
      <w:r w:rsidRPr="009B4BD3">
        <w:rPr>
          <w:i/>
          <w:iCs/>
        </w:rPr>
        <w:t xml:space="preserve"> </w:t>
      </w:r>
      <w:proofErr w:type="spellStart"/>
      <w:r w:rsidRPr="009B4BD3">
        <w:rPr>
          <w:i/>
          <w:iCs/>
        </w:rPr>
        <w:t>Jurnal</w:t>
      </w:r>
      <w:proofErr w:type="spellEnd"/>
      <w:r w:rsidRPr="009B4BD3">
        <w:rPr>
          <w:i/>
          <w:iCs/>
        </w:rPr>
        <w:t xml:space="preserve"> Dan </w:t>
      </w:r>
      <w:proofErr w:type="spellStart"/>
      <w:r w:rsidRPr="009B4BD3">
        <w:rPr>
          <w:i/>
          <w:iCs/>
        </w:rPr>
        <w:t>Penelitian</w:t>
      </w:r>
      <w:proofErr w:type="spellEnd"/>
      <w:r w:rsidRPr="009B4BD3">
        <w:rPr>
          <w:i/>
          <w:iCs/>
        </w:rPr>
        <w:t xml:space="preserve"> Teknik </w:t>
      </w:r>
      <w:proofErr w:type="spellStart"/>
      <w:r w:rsidRPr="009B4BD3">
        <w:rPr>
          <w:i/>
          <w:iCs/>
        </w:rPr>
        <w:t>Informatika</w:t>
      </w:r>
      <w:proofErr w:type="spellEnd"/>
      <w:r w:rsidRPr="009B4BD3">
        <w:rPr>
          <w:i/>
          <w:iCs/>
        </w:rPr>
        <w:t>, </w:t>
      </w:r>
      <w:r w:rsidRPr="009B4BD3">
        <w:t>vol. 6, </w:t>
      </w:r>
      <w:r w:rsidRPr="009B4BD3">
        <w:rPr>
          <w:i/>
          <w:iCs/>
        </w:rPr>
        <w:t>(3), </w:t>
      </w:r>
      <w:r w:rsidRPr="009B4BD3">
        <w:t>pp. 799–810, 2022. Available: </w:t>
      </w:r>
      <w:hyperlink r:id="rId16" w:tgtFrame="_blank" w:history="1">
        <w:r w:rsidRPr="009B4BD3">
          <w:rPr>
            <w:rStyle w:val="Hyperlink"/>
          </w:rPr>
          <w:t>https://www.jurnal.polgan.ac.id/index.php/sinkron/article/view/11476</w:t>
        </w:r>
      </w:hyperlink>
      <w:r w:rsidRPr="009B4BD3">
        <w:t>. DOI: 10.33395/</w:t>
      </w:r>
      <w:proofErr w:type="gramStart"/>
      <w:r w:rsidRPr="009B4BD3">
        <w:t>sinkron.v</w:t>
      </w:r>
      <w:proofErr w:type="gramEnd"/>
      <w:r w:rsidRPr="009B4BD3">
        <w:t>7i3.11476.</w:t>
      </w:r>
    </w:p>
    <w:p w14:paraId="2180084A" w14:textId="77777777" w:rsidR="009B4BD3" w:rsidRPr="009B4BD3" w:rsidRDefault="009B4BD3" w:rsidP="009B4BD3">
      <w:r w:rsidRPr="009B4BD3">
        <w:t xml:space="preserve">[11] P. </w:t>
      </w:r>
      <w:proofErr w:type="spellStart"/>
      <w:r w:rsidRPr="009B4BD3">
        <w:t>Phiayura</w:t>
      </w:r>
      <w:proofErr w:type="spellEnd"/>
      <w:r w:rsidRPr="009B4BD3">
        <w:t xml:space="preserve"> and S. </w:t>
      </w:r>
      <w:proofErr w:type="spellStart"/>
      <w:r w:rsidRPr="009B4BD3">
        <w:t>Teerakanok</w:t>
      </w:r>
      <w:proofErr w:type="spellEnd"/>
      <w:r w:rsidRPr="009B4BD3">
        <w:t>, "A Comprehensive Framework for Migrating to Zero Trust Architecture," </w:t>
      </w:r>
      <w:r w:rsidRPr="009B4BD3">
        <w:rPr>
          <w:i/>
          <w:iCs/>
        </w:rPr>
        <w:t>IEEE Access, </w:t>
      </w:r>
      <w:r w:rsidRPr="009B4BD3">
        <w:t>vol. 11, pp. 19487–19511, 2023. Available: </w:t>
      </w:r>
      <w:hyperlink r:id="rId17" w:tgtFrame="_blank" w:history="1">
        <w:r w:rsidRPr="009B4BD3">
          <w:rPr>
            <w:rStyle w:val="Hyperlink"/>
          </w:rPr>
          <w:t>https://ieeexplore.ieee.org/abstract/document/10052642</w:t>
        </w:r>
      </w:hyperlink>
      <w:r w:rsidRPr="009B4BD3">
        <w:t>. DOI: 10.1109/ACCESS.2023.3248622.</w:t>
      </w:r>
    </w:p>
    <w:p w14:paraId="47CACB16" w14:textId="77777777" w:rsidR="009B4BD3" w:rsidRPr="009B4BD3" w:rsidRDefault="009B4BD3" w:rsidP="009B4BD3">
      <w:r w:rsidRPr="009B4BD3">
        <w:t>[12] Alper Kerman Murugiah Souppaya</w:t>
      </w:r>
      <w:r w:rsidRPr="009B4BD3">
        <w:rPr>
          <w:i/>
          <w:iCs/>
        </w:rPr>
        <w:t> et al</w:t>
      </w:r>
      <w:r w:rsidRPr="009B4BD3">
        <w:t>, "Implementing a Zero</w:t>
      </w:r>
      <w:r w:rsidRPr="009B4BD3">
        <w:br/>
        <w:t>Trust Architecture," 2022. Available: </w:t>
      </w:r>
      <w:hyperlink r:id="rId18" w:tgtFrame="_blank" w:history="1">
        <w:r w:rsidRPr="009B4BD3">
          <w:rPr>
            <w:rStyle w:val="Hyperlink"/>
          </w:rPr>
          <w:t>https://www.nccoe.nist.gov/sites/default/files/2022-12/zta-nist-sp-1800-35e-preliminary-draft.pdf</w:t>
        </w:r>
      </w:hyperlink>
      <w:r w:rsidRPr="009B4BD3">
        <w:t>.</w:t>
      </w:r>
    </w:p>
    <w:p w14:paraId="2C3BCC61" w14:textId="77777777" w:rsidR="009B4BD3" w:rsidRPr="009B4BD3" w:rsidRDefault="009B4BD3" w:rsidP="009B4BD3"/>
    <w:p w14:paraId="60D551A0" w14:textId="77777777" w:rsidR="003530D0" w:rsidRPr="003530D0" w:rsidRDefault="003530D0" w:rsidP="003530D0">
      <w:pPr>
        <w:pStyle w:val="Heading2"/>
      </w:pPr>
    </w:p>
    <w:p w14:paraId="34D931F6" w14:textId="3A4C824D" w:rsidR="005D0AED" w:rsidRDefault="005D0AED" w:rsidP="00D95D06">
      <w:r>
        <w:br/>
      </w:r>
    </w:p>
    <w:p w14:paraId="3FD98275" w14:textId="77777777" w:rsidR="005D0AED" w:rsidRPr="00D95D06" w:rsidRDefault="005D0AED" w:rsidP="00D95D06"/>
    <w:p w14:paraId="115FD695" w14:textId="77777777" w:rsidR="00D1240C" w:rsidRDefault="00D1240C"/>
    <w:p w14:paraId="3ACE09D7" w14:textId="77777777" w:rsidR="00D1240C" w:rsidRDefault="00D1240C"/>
    <w:sectPr w:rsidR="00D1240C" w:rsidSect="00D1240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A74E7"/>
    <w:multiLevelType w:val="multilevel"/>
    <w:tmpl w:val="D326EE6C"/>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64114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40C"/>
    <w:rsid w:val="000D3697"/>
    <w:rsid w:val="001815A0"/>
    <w:rsid w:val="00211E17"/>
    <w:rsid w:val="0026587D"/>
    <w:rsid w:val="003028BB"/>
    <w:rsid w:val="003530D0"/>
    <w:rsid w:val="0037250C"/>
    <w:rsid w:val="003B0E4D"/>
    <w:rsid w:val="003D3032"/>
    <w:rsid w:val="00410272"/>
    <w:rsid w:val="00444AF1"/>
    <w:rsid w:val="004C3756"/>
    <w:rsid w:val="005D0AED"/>
    <w:rsid w:val="00690791"/>
    <w:rsid w:val="006C6378"/>
    <w:rsid w:val="008B7AEB"/>
    <w:rsid w:val="008C40FC"/>
    <w:rsid w:val="009B4BD3"/>
    <w:rsid w:val="00A0414D"/>
    <w:rsid w:val="00B475DF"/>
    <w:rsid w:val="00B72EA9"/>
    <w:rsid w:val="00BC1BD5"/>
    <w:rsid w:val="00C24DC1"/>
    <w:rsid w:val="00C56BA8"/>
    <w:rsid w:val="00CC14BF"/>
    <w:rsid w:val="00D1240C"/>
    <w:rsid w:val="00D3234C"/>
    <w:rsid w:val="00D44B99"/>
    <w:rsid w:val="00D95D06"/>
    <w:rsid w:val="00DF039B"/>
    <w:rsid w:val="00DF60B6"/>
    <w:rsid w:val="00F445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3F103"/>
  <w15:chartTrackingRefBased/>
  <w15:docId w15:val="{E0F58F1D-D47F-44BB-AC16-C7868FF18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240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1240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1240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1240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1240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124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24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24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24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240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1240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1240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1240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1240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124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24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24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240C"/>
    <w:rPr>
      <w:rFonts w:eastAsiaTheme="majorEastAsia" w:cstheme="majorBidi"/>
      <w:color w:val="272727" w:themeColor="text1" w:themeTint="D8"/>
    </w:rPr>
  </w:style>
  <w:style w:type="paragraph" w:styleId="Title">
    <w:name w:val="Title"/>
    <w:basedOn w:val="Normal"/>
    <w:next w:val="Normal"/>
    <w:link w:val="TitleChar"/>
    <w:uiPriority w:val="10"/>
    <w:qFormat/>
    <w:rsid w:val="00D124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24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24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24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240C"/>
    <w:pPr>
      <w:spacing w:before="160"/>
      <w:jc w:val="center"/>
    </w:pPr>
    <w:rPr>
      <w:i/>
      <w:iCs/>
      <w:color w:val="404040" w:themeColor="text1" w:themeTint="BF"/>
    </w:rPr>
  </w:style>
  <w:style w:type="character" w:customStyle="1" w:styleId="QuoteChar">
    <w:name w:val="Quote Char"/>
    <w:basedOn w:val="DefaultParagraphFont"/>
    <w:link w:val="Quote"/>
    <w:uiPriority w:val="29"/>
    <w:rsid w:val="00D1240C"/>
    <w:rPr>
      <w:i/>
      <w:iCs/>
      <w:color w:val="404040" w:themeColor="text1" w:themeTint="BF"/>
    </w:rPr>
  </w:style>
  <w:style w:type="paragraph" w:styleId="ListParagraph">
    <w:name w:val="List Paragraph"/>
    <w:basedOn w:val="Normal"/>
    <w:uiPriority w:val="34"/>
    <w:qFormat/>
    <w:rsid w:val="00D1240C"/>
    <w:pPr>
      <w:ind w:left="720"/>
      <w:contextualSpacing/>
    </w:pPr>
  </w:style>
  <w:style w:type="character" w:styleId="IntenseEmphasis">
    <w:name w:val="Intense Emphasis"/>
    <w:basedOn w:val="DefaultParagraphFont"/>
    <w:uiPriority w:val="21"/>
    <w:qFormat/>
    <w:rsid w:val="00D1240C"/>
    <w:rPr>
      <w:i/>
      <w:iCs/>
      <w:color w:val="2F5496" w:themeColor="accent1" w:themeShade="BF"/>
    </w:rPr>
  </w:style>
  <w:style w:type="paragraph" w:styleId="IntenseQuote">
    <w:name w:val="Intense Quote"/>
    <w:basedOn w:val="Normal"/>
    <w:next w:val="Normal"/>
    <w:link w:val="IntenseQuoteChar"/>
    <w:uiPriority w:val="30"/>
    <w:qFormat/>
    <w:rsid w:val="00D1240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1240C"/>
    <w:rPr>
      <w:i/>
      <w:iCs/>
      <w:color w:val="2F5496" w:themeColor="accent1" w:themeShade="BF"/>
    </w:rPr>
  </w:style>
  <w:style w:type="character" w:styleId="IntenseReference">
    <w:name w:val="Intense Reference"/>
    <w:basedOn w:val="DefaultParagraphFont"/>
    <w:uiPriority w:val="32"/>
    <w:qFormat/>
    <w:rsid w:val="00D1240C"/>
    <w:rPr>
      <w:b/>
      <w:bCs/>
      <w:smallCaps/>
      <w:color w:val="2F5496" w:themeColor="accent1" w:themeShade="BF"/>
      <w:spacing w:val="5"/>
    </w:rPr>
  </w:style>
  <w:style w:type="paragraph" w:styleId="NoSpacing">
    <w:name w:val="No Spacing"/>
    <w:link w:val="NoSpacingChar"/>
    <w:uiPriority w:val="1"/>
    <w:qFormat/>
    <w:rsid w:val="00D1240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1240C"/>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D1240C"/>
    <w:pPr>
      <w:spacing w:before="240" w:after="0" w:line="259" w:lineRule="auto"/>
      <w:outlineLvl w:val="9"/>
    </w:pPr>
    <w:rPr>
      <w:kern w:val="0"/>
      <w:sz w:val="32"/>
      <w:szCs w:val="32"/>
      <w:lang w:val="en-US"/>
      <w14:ligatures w14:val="none"/>
    </w:rPr>
  </w:style>
  <w:style w:type="paragraph" w:styleId="Caption">
    <w:name w:val="caption"/>
    <w:basedOn w:val="Normal"/>
    <w:next w:val="Normal"/>
    <w:uiPriority w:val="35"/>
    <w:unhideWhenUsed/>
    <w:qFormat/>
    <w:rsid w:val="005D0AED"/>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1815A0"/>
    <w:pPr>
      <w:spacing w:after="100"/>
    </w:pPr>
  </w:style>
  <w:style w:type="paragraph" w:styleId="TOC2">
    <w:name w:val="toc 2"/>
    <w:basedOn w:val="Normal"/>
    <w:next w:val="Normal"/>
    <w:autoRedefine/>
    <w:uiPriority w:val="39"/>
    <w:unhideWhenUsed/>
    <w:rsid w:val="001815A0"/>
    <w:pPr>
      <w:spacing w:after="100"/>
      <w:ind w:left="240"/>
    </w:pPr>
  </w:style>
  <w:style w:type="character" w:styleId="Hyperlink">
    <w:name w:val="Hyperlink"/>
    <w:basedOn w:val="DefaultParagraphFont"/>
    <w:uiPriority w:val="99"/>
    <w:unhideWhenUsed/>
    <w:rsid w:val="001815A0"/>
    <w:rPr>
      <w:color w:val="0563C1" w:themeColor="hyperlink"/>
      <w:u w:val="single"/>
    </w:rPr>
  </w:style>
  <w:style w:type="character" w:styleId="UnresolvedMention">
    <w:name w:val="Unresolved Mention"/>
    <w:basedOn w:val="DefaultParagraphFont"/>
    <w:uiPriority w:val="99"/>
    <w:semiHidden/>
    <w:unhideWhenUsed/>
    <w:rsid w:val="009B4B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2673-8732/3/3/18" TargetMode="External"/><Relationship Id="rId13" Type="http://schemas.openxmlformats.org/officeDocument/2006/relationships/hyperlink" Target="https://doi.org/10.1108/MAJ-06-2017-1588" TargetMode="External"/><Relationship Id="rId18" Type="http://schemas.openxmlformats.org/officeDocument/2006/relationships/hyperlink" Target="https://www.nccoe.nist.gov/sites/default/files/2022-12/zta-nist-sp-1800-35e-preliminary-draft.pdf" TargetMode="External"/><Relationship Id="rId3" Type="http://schemas.openxmlformats.org/officeDocument/2006/relationships/styles" Target="styles.xml"/><Relationship Id="rId7" Type="http://schemas.openxmlformats.org/officeDocument/2006/relationships/hyperlink" Target="https://www.csitcp.com/paper/7/73csit05.pdf" TargetMode="External"/><Relationship Id="rId12" Type="http://schemas.openxmlformats.org/officeDocument/2006/relationships/hyperlink" Target="https://books.google.co.uk/books?hl=en&amp;lr=&amp;id=plhVDwAAQBAJ&amp;oi=fnd&amp;pg=PR1&amp;dq=soc+2+trust+services&amp;ots=3926OZsOyu&amp;sig=Hb_hHGgweaTguYVsuzfD3A7SN1A&amp;redir_esc=y" TargetMode="External"/><Relationship Id="rId17" Type="http://schemas.openxmlformats.org/officeDocument/2006/relationships/hyperlink" Target="https://ieeexplore.ieee.org/abstract/document/10052642" TargetMode="External"/><Relationship Id="rId2" Type="http://schemas.openxmlformats.org/officeDocument/2006/relationships/numbering" Target="numbering.xml"/><Relationship Id="rId16" Type="http://schemas.openxmlformats.org/officeDocument/2006/relationships/hyperlink" Target="https://www.jurnal.polgan.ac.id/index.php/sinkron/article/view/1147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hyperlink" Target="https://www.aicpa-cima.com/resources/download/trust-services-criteria" TargetMode="External"/><Relationship Id="rId5" Type="http://schemas.openxmlformats.org/officeDocument/2006/relationships/webSettings" Target="webSettings.xml"/><Relationship Id="rId15" Type="http://schemas.openxmlformats.org/officeDocument/2006/relationships/hyperlink" Target="https://d1wqtxts1xzle7.cloudfront.net/85601856/15246-libre.pdf?1651854048=&amp;response-content-disposition=inline%3B+filename%3DFrom_IT_service_management_to_IT_service.pdf&amp;Expires=1767083260&amp;Signature=cghA26EBOEAJM-AjlIjYoiYyXyrGEUyF9LTGdQ4i-z-I9aPKLWFgQEPgc2i-kII5dG3cImCyK3TQEIlMw2MluDsMFSrsUxdz2UShXPpmg6D8wv1mhmDaM8dM35Leui1ebxjtY4qPTqzsPXnF-w7vL~HV1DdzIKfS~TDHuRAbyObnTI4BDA8e~XDJbD2XExAlM23mh1LY6tMBMKjJ1qsdpH-NCzbfbDplqEQ3-nEkY2109jq5uB0bsvS4ohYmhGCNF3v8qWiaoG0gmmMxm~07BcI6TXwVs-ITBnCtOGZHqIUjPT~Kg9XBVjQfT6wuIHDXOzKZuJTQHF~g~dD4qCBhVQ__&amp;Key-Pair-Id=APKAJLOHF5GGSLRBV4ZA" TargetMode="External"/><Relationship Id="rId10" Type="http://schemas.openxmlformats.org/officeDocument/2006/relationships/hyperlink" Target="https://www.mdpi.com/2071-1050/15/7/5828"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eeexplore.ieee.org/abstract/document/10051114" TargetMode="External"/><Relationship Id="rId14" Type="http://schemas.openxmlformats.org/officeDocument/2006/relationships/hyperlink" Target="https://www.redalyc.org/pdf/3504/35045081000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525D2-A587-4618-9796-DDA643D1F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11</Pages>
  <Words>3527</Words>
  <Characters>20990</Characters>
  <Application>Microsoft Office Word</Application>
  <DocSecurity>0</DocSecurity>
  <Lines>388</Lines>
  <Paragraphs>108</Paragraphs>
  <ScaleCrop>false</ScaleCrop>
  <HeadingPairs>
    <vt:vector size="2" baseType="variant">
      <vt:variant>
        <vt:lpstr>Title</vt:lpstr>
      </vt:variant>
      <vt:variant>
        <vt:i4>1</vt:i4>
      </vt:variant>
    </vt:vector>
  </HeadingPairs>
  <TitlesOfParts>
    <vt:vector size="1" baseType="lpstr">
      <vt:lpstr>Apply the principles and practices of Data security, governance &amp; compliance based on a giver scenario.</vt:lpstr>
    </vt:vector>
  </TitlesOfParts>
  <Company/>
  <LinksUpToDate>false</LinksUpToDate>
  <CharactersWithSpaces>24409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Apply the principles and practices of Data security, governance &amp; compliance based on a given scenario.</dc:title>
  <dc:subject/>
  <dc:creator>Josh Lloyd (2205191)</dc:creator>
  <cp:keywords/>
  <dc:description/>
  <cp:lastModifiedBy>Josh Lloyd (2205191)</cp:lastModifiedBy>
  <cp:revision>6</cp:revision>
  <dcterms:created xsi:type="dcterms:W3CDTF">2025-12-27T12:33:00Z</dcterms:created>
  <dcterms:modified xsi:type="dcterms:W3CDTF">2025-12-30T07:34:00Z</dcterms:modified>
</cp:coreProperties>
</file>