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50AA15" w14:textId="77777777" w:rsidR="004D6B79" w:rsidRDefault="004D6B79" w:rsidP="004D6B79">
      <w:pPr>
        <w:rPr>
          <w:rFonts w:ascii="Times New Roman" w:hAnsi="Times New Roman" w:cs="Times New Roman"/>
          <w:b/>
          <w:sz w:val="24"/>
          <w:szCs w:val="24"/>
        </w:rPr>
      </w:pPr>
    </w:p>
    <w:p w14:paraId="414F9966" w14:textId="133DAA8D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2306489</w:t>
      </w:r>
    </w:p>
    <w:p w14:paraId="7420DF55" w14:textId="100CE2AF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Phoebe Richards</w:t>
      </w:r>
    </w:p>
    <w:p w14:paraId="3427C430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7A2A5176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198683B0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5D15436D" w14:textId="20654685" w:rsidR="004D6B79" w:rsidRDefault="004D6B79" w:rsidP="004D6B79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Critically reflect upon what constitutes inequality; consider examples to underpin your response.</w:t>
      </w:r>
    </w:p>
    <w:p w14:paraId="3FAFC74B" w14:textId="77777777" w:rsidR="004D6B79" w:rsidRDefault="004D6B79" w:rsidP="004D6B79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452BC30B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7444EB9A" w14:textId="5BBC3F0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The Social Reproduction of Inequality</w:t>
      </w:r>
    </w:p>
    <w:p w14:paraId="035CF21A" w14:textId="76CC8720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ECED7009</w:t>
      </w:r>
    </w:p>
    <w:p w14:paraId="12A1E4CD" w14:textId="77777777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311A9E7D" w14:textId="5442B54F" w:rsidR="004D6B79" w:rsidRDefault="004D6B79" w:rsidP="004D6B79">
      <w:pPr>
        <w:jc w:val="center"/>
        <w:rPr>
          <w:rFonts w:ascii="Times New Roman" w:hAnsi="Times New Roman" w:cs="Times New Roman"/>
          <w:bCs/>
          <w:sz w:val="28"/>
          <w:szCs w:val="28"/>
        </w:rPr>
      </w:pPr>
      <w:r>
        <w:rPr>
          <w:rFonts w:ascii="Times New Roman" w:hAnsi="Times New Roman" w:cs="Times New Roman"/>
          <w:bCs/>
          <w:sz w:val="28"/>
          <w:szCs w:val="28"/>
        </w:rPr>
        <w:t>3931 Words</w:t>
      </w:r>
    </w:p>
    <w:p w14:paraId="6B77E7D3" w14:textId="77777777" w:rsidR="00647257" w:rsidRDefault="00647257" w:rsidP="00747CB5">
      <w:pPr>
        <w:jc w:val="center"/>
        <w:rPr>
          <w:rFonts w:ascii="Times New Roman" w:hAnsi="Times New Roman" w:cs="Times New Roman"/>
          <w:bCs/>
          <w:sz w:val="28"/>
          <w:szCs w:val="28"/>
        </w:rPr>
      </w:pPr>
    </w:p>
    <w:p w14:paraId="79D6C674" w14:textId="32A12792" w:rsidR="005532A4" w:rsidRPr="002763E4" w:rsidRDefault="00747CB5" w:rsidP="00747CB5">
      <w:pPr>
        <w:jc w:val="center"/>
        <w:rPr>
          <w:rFonts w:ascii="Times New Roman" w:hAnsi="Times New Roman" w:cs="Times New Roman"/>
          <w:b/>
          <w:sz w:val="24"/>
          <w:szCs w:val="24"/>
        </w:rPr>
      </w:pPr>
      <w:r w:rsidRPr="002763E4">
        <w:rPr>
          <w:rFonts w:ascii="Times New Roman" w:hAnsi="Times New Roman" w:cs="Times New Roman"/>
          <w:b/>
          <w:sz w:val="24"/>
          <w:szCs w:val="24"/>
        </w:rPr>
        <w:lastRenderedPageBreak/>
        <w:t>Critically reflect upon what constitutes inequality; consider examples to underpin your response</w:t>
      </w:r>
      <w:r w:rsidR="00000086" w:rsidRPr="002763E4">
        <w:rPr>
          <w:rFonts w:ascii="Times New Roman" w:hAnsi="Times New Roman" w:cs="Times New Roman"/>
          <w:b/>
          <w:sz w:val="24"/>
          <w:szCs w:val="24"/>
        </w:rPr>
        <w:t>.</w:t>
      </w:r>
    </w:p>
    <w:p w14:paraId="3B14BD2D" w14:textId="77777777" w:rsidR="00747CB5" w:rsidRPr="002763E4" w:rsidRDefault="00747CB5" w:rsidP="00747CB5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092A88A0" w14:textId="07A4006D" w:rsidR="00377071" w:rsidRPr="002763E4" w:rsidRDefault="0037707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Inequality is a pervasive </w:t>
      </w:r>
      <w:r w:rsidR="00EA441E" w:rsidRPr="002763E4">
        <w:rPr>
          <w:rFonts w:ascii="Times New Roman" w:hAnsi="Times New Roman" w:cs="Times New Roman"/>
          <w:bCs/>
          <w:sz w:val="24"/>
          <w:szCs w:val="24"/>
        </w:rPr>
        <w:t xml:space="preserve">societal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problem and is the focus of </w:t>
      </w:r>
      <w:r w:rsidR="00817ABD" w:rsidRPr="002763E4">
        <w:rPr>
          <w:rFonts w:ascii="Times New Roman" w:hAnsi="Times New Roman" w:cs="Times New Roman"/>
          <w:bCs/>
          <w:sz w:val="24"/>
          <w:szCs w:val="24"/>
        </w:rPr>
        <w:t>a wealth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sociological research (</w:t>
      </w:r>
      <w:r w:rsidR="00817ABD" w:rsidRPr="002763E4">
        <w:rPr>
          <w:rFonts w:ascii="Times New Roman" w:hAnsi="Times New Roman" w:cs="Times New Roman"/>
          <w:bCs/>
          <w:sz w:val="24"/>
          <w:szCs w:val="24"/>
        </w:rPr>
        <w:t>Chancel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 et al., </w:t>
      </w:r>
      <w:r w:rsidR="00817ABD" w:rsidRPr="002763E4">
        <w:rPr>
          <w:rFonts w:ascii="Times New Roman" w:hAnsi="Times New Roman" w:cs="Times New Roman"/>
          <w:bCs/>
          <w:sz w:val="24"/>
          <w:szCs w:val="24"/>
        </w:rPr>
        <w:t xml:space="preserve">2022; Dev, 2017; </w:t>
      </w:r>
      <w:r w:rsidRPr="002763E4">
        <w:rPr>
          <w:rFonts w:ascii="Times New Roman" w:hAnsi="Times New Roman" w:cs="Times New Roman"/>
          <w:bCs/>
          <w:sz w:val="24"/>
          <w:szCs w:val="24"/>
        </w:rPr>
        <w:t>Hurst, Gibbon, and Nurse, 2016).</w:t>
      </w:r>
      <w:r w:rsidR="00906DB6" w:rsidRPr="002763E4">
        <w:rPr>
          <w:rFonts w:ascii="Times New Roman" w:hAnsi="Times New Roman" w:cs="Times New Roman"/>
          <w:bCs/>
          <w:sz w:val="24"/>
          <w:szCs w:val="24"/>
        </w:rPr>
        <w:t xml:space="preserve"> Despite global poverty</w:t>
      </w:r>
      <w:r w:rsidR="00321607" w:rsidRPr="002763E4">
        <w:rPr>
          <w:rFonts w:ascii="Times New Roman" w:hAnsi="Times New Roman" w:cs="Times New Roman"/>
          <w:bCs/>
          <w:sz w:val="24"/>
          <w:szCs w:val="24"/>
        </w:rPr>
        <w:t xml:space="preserve"> and</w:t>
      </w:r>
      <w:r w:rsidR="00D1655F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21607" w:rsidRPr="002763E4">
        <w:rPr>
          <w:rFonts w:ascii="Times New Roman" w:hAnsi="Times New Roman" w:cs="Times New Roman"/>
          <w:bCs/>
          <w:sz w:val="24"/>
          <w:szCs w:val="24"/>
        </w:rPr>
        <w:t xml:space="preserve">between-country inequality </w:t>
      </w:r>
      <w:r w:rsidR="00906DB6" w:rsidRPr="002763E4">
        <w:rPr>
          <w:rFonts w:ascii="Times New Roman" w:hAnsi="Times New Roman" w:cs="Times New Roman"/>
          <w:bCs/>
          <w:sz w:val="24"/>
          <w:szCs w:val="24"/>
        </w:rPr>
        <w:t xml:space="preserve">declining </w:t>
      </w:r>
      <w:r w:rsidR="007B4476" w:rsidRPr="002763E4">
        <w:rPr>
          <w:rFonts w:ascii="Times New Roman" w:hAnsi="Times New Roman" w:cs="Times New Roman"/>
          <w:bCs/>
          <w:sz w:val="24"/>
          <w:szCs w:val="24"/>
        </w:rPr>
        <w:t xml:space="preserve">in recent years (Lakner, </w:t>
      </w:r>
      <w:r w:rsidR="00942C1D" w:rsidRPr="002763E4">
        <w:rPr>
          <w:rFonts w:ascii="Times New Roman" w:hAnsi="Times New Roman" w:cs="Times New Roman"/>
          <w:bCs/>
          <w:sz w:val="24"/>
          <w:szCs w:val="24"/>
        </w:rPr>
        <w:t>et al.</w:t>
      </w:r>
      <w:r w:rsidR="007B4476" w:rsidRPr="002763E4">
        <w:rPr>
          <w:rFonts w:ascii="Times New Roman" w:hAnsi="Times New Roman" w:cs="Times New Roman"/>
          <w:bCs/>
          <w:sz w:val="24"/>
          <w:szCs w:val="24"/>
        </w:rPr>
        <w:t>, 2022</w:t>
      </w:r>
      <w:r w:rsidR="0000008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C13A54" w:rsidRPr="002763E4">
        <w:rPr>
          <w:rFonts w:ascii="Times New Roman" w:hAnsi="Times New Roman" w:cs="Times New Roman"/>
          <w:bCs/>
          <w:sz w:val="24"/>
          <w:szCs w:val="24"/>
        </w:rPr>
        <w:t>Niño‐</w:t>
      </w:r>
      <w:proofErr w:type="spellStart"/>
      <w:r w:rsidR="00C13A54" w:rsidRPr="002763E4">
        <w:rPr>
          <w:rFonts w:ascii="Times New Roman" w:hAnsi="Times New Roman" w:cs="Times New Roman"/>
          <w:bCs/>
          <w:sz w:val="24"/>
          <w:szCs w:val="24"/>
        </w:rPr>
        <w:t>Zarazúa</w:t>
      </w:r>
      <w:proofErr w:type="spellEnd"/>
      <w:r w:rsidR="00C13A54" w:rsidRPr="002763E4">
        <w:rPr>
          <w:rFonts w:ascii="Times New Roman" w:hAnsi="Times New Roman" w:cs="Times New Roman"/>
          <w:bCs/>
          <w:sz w:val="24"/>
          <w:szCs w:val="24"/>
        </w:rPr>
        <w:t xml:space="preserve">, Roope, &amp; Tarp, 2017; </w:t>
      </w:r>
      <w:r w:rsidR="00000086" w:rsidRPr="002763E4">
        <w:rPr>
          <w:rFonts w:ascii="Times New Roman" w:hAnsi="Times New Roman" w:cs="Times New Roman"/>
          <w:bCs/>
          <w:sz w:val="24"/>
          <w:szCs w:val="24"/>
        </w:rPr>
        <w:t>Wietzke, 2020</w:t>
      </w:r>
      <w:r w:rsidR="007B4476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F3244E" w:rsidRPr="002763E4">
        <w:rPr>
          <w:rFonts w:ascii="Times New Roman" w:hAnsi="Times New Roman" w:cs="Times New Roman"/>
          <w:bCs/>
          <w:sz w:val="24"/>
          <w:szCs w:val="24"/>
        </w:rPr>
        <w:t xml:space="preserve">, within-country inequality has increased </w:t>
      </w:r>
      <w:r w:rsidR="00C624F9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817424" w:rsidRPr="002763E4">
        <w:rPr>
          <w:rFonts w:ascii="Times New Roman" w:hAnsi="Times New Roman" w:cs="Times New Roman"/>
          <w:bCs/>
          <w:sz w:val="24"/>
          <w:szCs w:val="24"/>
        </w:rPr>
        <w:t xml:space="preserve">Clark, 2023; </w:t>
      </w:r>
      <w:proofErr w:type="spellStart"/>
      <w:r w:rsidR="00C624F9" w:rsidRPr="002763E4">
        <w:rPr>
          <w:rFonts w:ascii="Times New Roman" w:hAnsi="Times New Roman" w:cs="Times New Roman"/>
          <w:bCs/>
          <w:sz w:val="24"/>
          <w:szCs w:val="24"/>
        </w:rPr>
        <w:t>Ravallion</w:t>
      </w:r>
      <w:proofErr w:type="spellEnd"/>
      <w:r w:rsidR="00C624F9" w:rsidRPr="002763E4">
        <w:rPr>
          <w:rFonts w:ascii="Times New Roman" w:hAnsi="Times New Roman" w:cs="Times New Roman"/>
          <w:bCs/>
          <w:sz w:val="24"/>
          <w:szCs w:val="24"/>
        </w:rPr>
        <w:t>, 2018</w:t>
      </w:r>
      <w:r w:rsidR="00BB158A" w:rsidRPr="002763E4">
        <w:rPr>
          <w:rFonts w:ascii="Times New Roman" w:hAnsi="Times New Roman" w:cs="Times New Roman"/>
          <w:bCs/>
          <w:sz w:val="24"/>
          <w:szCs w:val="24"/>
        </w:rPr>
        <w:t>; Sauter, Grether, &amp; Mathys, 2016</w:t>
      </w:r>
      <w:r w:rsidR="00C624F9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Whilst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 billionaires </w:t>
      </w:r>
      <w:r w:rsidR="00942C1D" w:rsidRPr="002763E4">
        <w:rPr>
          <w:rFonts w:ascii="Times New Roman" w:hAnsi="Times New Roman" w:cs="Times New Roman"/>
          <w:bCs/>
          <w:sz w:val="24"/>
          <w:szCs w:val="24"/>
        </w:rPr>
        <w:t>capitalised on the pandemic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proofErr w:type="spellStart"/>
      <w:r w:rsidR="00942C1D" w:rsidRPr="002763E4">
        <w:rPr>
          <w:rFonts w:ascii="Times New Roman" w:hAnsi="Times New Roman" w:cs="Times New Roman"/>
          <w:bCs/>
          <w:sz w:val="24"/>
          <w:szCs w:val="24"/>
        </w:rPr>
        <w:t>Popcevski</w:t>
      </w:r>
      <w:proofErr w:type="spellEnd"/>
      <w:r w:rsidR="00942C1D" w:rsidRPr="002763E4">
        <w:rPr>
          <w:rFonts w:ascii="Times New Roman" w:hAnsi="Times New Roman" w:cs="Times New Roman"/>
          <w:bCs/>
          <w:sz w:val="24"/>
          <w:szCs w:val="24"/>
        </w:rPr>
        <w:t>, 2022</w:t>
      </w:r>
      <w:r w:rsidR="002B3B44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2B3B44" w:rsidRPr="002763E4">
        <w:rPr>
          <w:rFonts w:ascii="Times New Roman" w:hAnsi="Times New Roman" w:cs="Times New Roman"/>
          <w:bCs/>
          <w:sz w:val="24"/>
          <w:szCs w:val="24"/>
        </w:rPr>
        <w:t>Yadavendu</w:t>
      </w:r>
      <w:proofErr w:type="spellEnd"/>
      <w:r w:rsidR="002B3B44" w:rsidRPr="002763E4">
        <w:rPr>
          <w:rFonts w:ascii="Times New Roman" w:hAnsi="Times New Roman" w:cs="Times New Roman"/>
          <w:bCs/>
          <w:sz w:val="24"/>
          <w:szCs w:val="24"/>
        </w:rPr>
        <w:t>, 2023</w:t>
      </w:r>
      <w:r w:rsidR="00942C1D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5726F6" w:rsidRPr="002763E4">
        <w:rPr>
          <w:rFonts w:ascii="Times New Roman" w:hAnsi="Times New Roman" w:cs="Times New Roman"/>
          <w:bCs/>
          <w:sz w:val="24"/>
          <w:szCs w:val="24"/>
        </w:rPr>
        <w:t xml:space="preserve">, increasing their wealth at a rate 2.5-3 times that of their countries (Remington, 2023, pp.39), </w:t>
      </w:r>
      <w:r w:rsidR="006B5CE9" w:rsidRPr="002763E4">
        <w:rPr>
          <w:rFonts w:ascii="Times New Roman" w:hAnsi="Times New Roman" w:cs="Times New Roman"/>
          <w:bCs/>
          <w:sz w:val="24"/>
          <w:szCs w:val="24"/>
        </w:rPr>
        <w:t xml:space="preserve">those from lower socioeconomic backgrounds experienced increased hardship due to </w:t>
      </w:r>
      <w:r w:rsidR="000B24FD" w:rsidRPr="002763E4">
        <w:rPr>
          <w:rFonts w:ascii="Times New Roman" w:hAnsi="Times New Roman" w:cs="Times New Roman"/>
          <w:bCs/>
          <w:sz w:val="24"/>
          <w:szCs w:val="24"/>
        </w:rPr>
        <w:t>job insecurity and income loss (Adams-</w:t>
      </w:r>
      <w:proofErr w:type="spellStart"/>
      <w:r w:rsidR="000B24FD" w:rsidRPr="002763E4">
        <w:rPr>
          <w:rFonts w:ascii="Times New Roman" w:hAnsi="Times New Roman" w:cs="Times New Roman"/>
          <w:bCs/>
          <w:sz w:val="24"/>
          <w:szCs w:val="24"/>
        </w:rPr>
        <w:t>Prassl</w:t>
      </w:r>
      <w:proofErr w:type="spellEnd"/>
      <w:r w:rsidR="000B24FD" w:rsidRPr="002763E4">
        <w:rPr>
          <w:rFonts w:ascii="Times New Roman" w:hAnsi="Times New Roman" w:cs="Times New Roman"/>
          <w:bCs/>
          <w:sz w:val="24"/>
          <w:szCs w:val="24"/>
        </w:rPr>
        <w:t xml:space="preserve"> et al., 2020; 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Blundell, 2020; </w:t>
      </w:r>
      <w:r w:rsidR="000B24FD" w:rsidRPr="002763E4">
        <w:rPr>
          <w:rFonts w:ascii="Times New Roman" w:hAnsi="Times New Roman" w:cs="Times New Roman"/>
          <w:bCs/>
          <w:sz w:val="24"/>
          <w:szCs w:val="24"/>
        </w:rPr>
        <w:t>Crossley et al., 2021; Witteveen, 2020)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These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 studies demonstrate within-country inequality is prevalent globally,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but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 xml:space="preserve">some researchers suggest the UK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is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>the most unequal European country (</w:t>
      </w:r>
      <w:r w:rsidR="00DE2A6F" w:rsidRPr="002763E4">
        <w:rPr>
          <w:rFonts w:ascii="Times New Roman" w:hAnsi="Times New Roman" w:cs="Times New Roman"/>
          <w:bCs/>
          <w:sz w:val="24"/>
          <w:szCs w:val="24"/>
        </w:rPr>
        <w:t xml:space="preserve">Blundell et al., 2022;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 xml:space="preserve">Dorling, 2023, 2024; </w:t>
      </w:r>
      <w:proofErr w:type="spellStart"/>
      <w:r w:rsidR="00DE2A6F" w:rsidRPr="002763E4">
        <w:rPr>
          <w:rFonts w:ascii="Times New Roman" w:hAnsi="Times New Roman" w:cs="Times New Roman"/>
          <w:bCs/>
          <w:sz w:val="24"/>
          <w:szCs w:val="24"/>
        </w:rPr>
        <w:t>Giupponi</w:t>
      </w:r>
      <w:proofErr w:type="spellEnd"/>
      <w:r w:rsidR="00DE2A6F" w:rsidRPr="002763E4">
        <w:rPr>
          <w:rFonts w:ascii="Times New Roman" w:hAnsi="Times New Roman" w:cs="Times New Roman"/>
          <w:bCs/>
          <w:sz w:val="24"/>
          <w:szCs w:val="24"/>
        </w:rPr>
        <w:t xml:space="preserve">, &amp; Machin, 2024; </w:t>
      </w:r>
      <w:r w:rsidR="002763CB" w:rsidRPr="002763E4">
        <w:rPr>
          <w:rFonts w:ascii="Times New Roman" w:hAnsi="Times New Roman" w:cs="Times New Roman"/>
          <w:bCs/>
          <w:sz w:val="24"/>
          <w:szCs w:val="24"/>
        </w:rPr>
        <w:t>McCann, 2020)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This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 this essay will explore inequality in a UK setting, </w:t>
      </w:r>
      <w:r w:rsidR="00F3382D" w:rsidRPr="002763E4">
        <w:rPr>
          <w:rFonts w:ascii="Times New Roman" w:hAnsi="Times New Roman" w:cs="Times New Roman"/>
          <w:bCs/>
          <w:sz w:val="24"/>
          <w:szCs w:val="24"/>
        </w:rPr>
        <w:t xml:space="preserve">defining key terms relating to inequality and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 xml:space="preserve">social class </w:t>
      </w:r>
      <w:r w:rsidR="00637EC0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discussing</w:t>
      </w:r>
      <w:r w:rsidR="004D2BE0" w:rsidRPr="002763E4">
        <w:rPr>
          <w:rFonts w:ascii="Times New Roman" w:hAnsi="Times New Roman" w:cs="Times New Roman"/>
          <w:bCs/>
          <w:sz w:val="24"/>
          <w:szCs w:val="24"/>
        </w:rPr>
        <w:t xml:space="preserve"> class inequality within the UK education system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 in terms of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evidence, impact, and interventions.</w:t>
      </w:r>
    </w:p>
    <w:p w14:paraId="7ED2B043" w14:textId="26DC9A4E" w:rsidR="004D2BE0" w:rsidRPr="002763E4" w:rsidRDefault="00A61C0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Social inequality is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defined as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patterned differences between </w:t>
      </w:r>
      <w:r w:rsidR="00D8796C" w:rsidRPr="002763E4">
        <w:rPr>
          <w:rFonts w:ascii="Times New Roman" w:hAnsi="Times New Roman" w:cs="Times New Roman"/>
          <w:bCs/>
          <w:sz w:val="24"/>
          <w:szCs w:val="24"/>
        </w:rPr>
        <w:t>social actors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in terms of their access to resources, services, </w:t>
      </w:r>
      <w:r w:rsidR="007E7D2C" w:rsidRPr="002763E4">
        <w:rPr>
          <w:rFonts w:ascii="Times New Roman" w:hAnsi="Times New Roman" w:cs="Times New Roman"/>
          <w:bCs/>
          <w:sz w:val="24"/>
          <w:szCs w:val="24"/>
        </w:rPr>
        <w:t xml:space="preserve">opportunities,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and societal positions in line with social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identities</w:t>
      </w:r>
      <w:r w:rsidRPr="002763E4">
        <w:rPr>
          <w:rFonts w:ascii="Times New Roman" w:hAnsi="Times New Roman" w:cs="Times New Roman"/>
          <w:bCs/>
          <w:sz w:val="24"/>
          <w:szCs w:val="24"/>
        </w:rPr>
        <w:t>, such as race, gender, or class (</w:t>
      </w:r>
      <w:proofErr w:type="spellStart"/>
      <w:r w:rsidR="006D693E" w:rsidRPr="002763E4">
        <w:rPr>
          <w:rFonts w:ascii="Times New Roman" w:hAnsi="Times New Roman" w:cs="Times New Roman"/>
          <w:bCs/>
          <w:sz w:val="24"/>
          <w:szCs w:val="24"/>
        </w:rPr>
        <w:t>Binelli</w:t>
      </w:r>
      <w:proofErr w:type="spellEnd"/>
      <w:r w:rsidR="006D693E" w:rsidRPr="002763E4">
        <w:rPr>
          <w:rFonts w:ascii="Times New Roman" w:hAnsi="Times New Roman" w:cs="Times New Roman"/>
          <w:bCs/>
          <w:sz w:val="24"/>
          <w:szCs w:val="24"/>
        </w:rPr>
        <w:t xml:space="preserve">, Loveless, &amp; Whitefield, 2015; </w:t>
      </w:r>
      <w:r w:rsidRPr="002763E4">
        <w:rPr>
          <w:rFonts w:ascii="Times New Roman" w:hAnsi="Times New Roman" w:cs="Times New Roman"/>
          <w:bCs/>
          <w:sz w:val="24"/>
          <w:szCs w:val="24"/>
        </w:rPr>
        <w:t>Blackburn, 2008; Hoffman, 2008</w:t>
      </w:r>
      <w:r w:rsidR="006D693E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6D693E" w:rsidRPr="002763E4">
        <w:rPr>
          <w:rFonts w:ascii="Times New Roman" w:hAnsi="Times New Roman" w:cs="Times New Roman"/>
          <w:bCs/>
          <w:sz w:val="24"/>
          <w:szCs w:val="24"/>
        </w:rPr>
        <w:t>Höivik</w:t>
      </w:r>
      <w:proofErr w:type="spellEnd"/>
      <w:r w:rsidR="006D693E" w:rsidRPr="002763E4">
        <w:rPr>
          <w:rFonts w:ascii="Times New Roman" w:hAnsi="Times New Roman" w:cs="Times New Roman"/>
          <w:bCs/>
          <w:sz w:val="24"/>
          <w:szCs w:val="24"/>
        </w:rPr>
        <w:t>, 1971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6D693E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184E83" w:rsidRPr="002763E4">
        <w:rPr>
          <w:rFonts w:ascii="Times New Roman" w:hAnsi="Times New Roman" w:cs="Times New Roman"/>
          <w:bCs/>
          <w:sz w:val="24"/>
          <w:szCs w:val="24"/>
        </w:rPr>
        <w:t>Social inequality is divided into two categories: inequality of opportunity and inequality of outcome (</w:t>
      </w:r>
      <w:r w:rsidR="000B1066" w:rsidRPr="002763E4">
        <w:rPr>
          <w:rFonts w:ascii="Times New Roman" w:hAnsi="Times New Roman" w:cs="Times New Roman"/>
          <w:bCs/>
          <w:sz w:val="24"/>
          <w:szCs w:val="24"/>
        </w:rPr>
        <w:t xml:space="preserve">Arneson, </w:t>
      </w:r>
      <w:r w:rsidR="00776995" w:rsidRPr="002763E4">
        <w:rPr>
          <w:rFonts w:ascii="Times New Roman" w:hAnsi="Times New Roman" w:cs="Times New Roman"/>
          <w:bCs/>
          <w:sz w:val="24"/>
          <w:szCs w:val="24"/>
        </w:rPr>
        <w:t>1989</w:t>
      </w:r>
      <w:r w:rsidR="000B106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Bourguignon, </w:t>
      </w:r>
      <w:proofErr w:type="gram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2018</w:t>
      </w:r>
      <w:r w:rsidR="00A7074C" w:rsidRPr="002763E4">
        <w:rPr>
          <w:rFonts w:ascii="Times New Roman" w:hAnsi="Times New Roman" w:cs="Times New Roman"/>
          <w:bCs/>
          <w:sz w:val="24"/>
          <w:szCs w:val="24"/>
        </w:rPr>
        <w:t xml:space="preserve">;  </w:t>
      </w:r>
      <w:proofErr w:type="spell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Lefranc</w:t>
      </w:r>
      <w:proofErr w:type="spellEnd"/>
      <w:proofErr w:type="gramEnd"/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Pistolesi</w:t>
      </w:r>
      <w:proofErr w:type="spellEnd"/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, &amp; </w:t>
      </w:r>
      <w:proofErr w:type="spellStart"/>
      <w:r w:rsidR="00184E83" w:rsidRPr="002763E4">
        <w:rPr>
          <w:rFonts w:ascii="Times New Roman" w:hAnsi="Times New Roman" w:cs="Times New Roman"/>
          <w:bCs/>
          <w:sz w:val="24"/>
          <w:szCs w:val="24"/>
        </w:rPr>
        <w:t>Trannoy</w:t>
      </w:r>
      <w:proofErr w:type="spellEnd"/>
      <w:r w:rsidR="00184E83" w:rsidRPr="002763E4">
        <w:rPr>
          <w:rFonts w:ascii="Times New Roman" w:hAnsi="Times New Roman" w:cs="Times New Roman"/>
          <w:bCs/>
          <w:sz w:val="24"/>
          <w:szCs w:val="24"/>
        </w:rPr>
        <w:t>, 2008</w:t>
      </w:r>
      <w:r w:rsidR="00776995" w:rsidRPr="002763E4">
        <w:rPr>
          <w:rFonts w:ascii="Times New Roman" w:hAnsi="Times New Roman" w:cs="Times New Roman"/>
          <w:bCs/>
          <w:sz w:val="24"/>
          <w:szCs w:val="24"/>
        </w:rPr>
        <w:t>; Roemer, 2002</w:t>
      </w:r>
      <w:r w:rsidR="00184E83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To understand</w:t>
      </w:r>
      <w:r w:rsidR="001661A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these concepts</w:t>
      </w:r>
      <w:r w:rsidR="001661A4" w:rsidRPr="002763E4">
        <w:rPr>
          <w:rFonts w:ascii="Times New Roman" w:hAnsi="Times New Roman" w:cs="Times New Roman"/>
          <w:bCs/>
          <w:sz w:val="24"/>
          <w:szCs w:val="24"/>
        </w:rPr>
        <w:t xml:space="preserve">, it is </w:t>
      </w:r>
      <w:r w:rsidR="001661A4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pertinent to consider the antithetical terms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: equality 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 xml:space="preserve">of outcome 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>equality of opportunity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. Equality refers to total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consistency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 where everyone </w:t>
      </w:r>
      <w:r w:rsidR="00B87A94" w:rsidRPr="002763E4">
        <w:rPr>
          <w:rFonts w:ascii="Times New Roman" w:hAnsi="Times New Roman" w:cs="Times New Roman"/>
          <w:bCs/>
          <w:sz w:val="24"/>
          <w:szCs w:val="24"/>
        </w:rPr>
        <w:t>receives identical treatment and resources regardless of differences</w:t>
      </w:r>
      <w:r w:rsidR="005F1F6E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E720F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4D75BB" w:rsidRPr="002763E4">
        <w:rPr>
          <w:rFonts w:ascii="Times New Roman" w:hAnsi="Times New Roman" w:cs="Times New Roman"/>
          <w:bCs/>
          <w:sz w:val="24"/>
          <w:szCs w:val="24"/>
        </w:rPr>
        <w:t xml:space="preserve">Bronfenbrenner, 1973; </w:t>
      </w:r>
      <w:r w:rsidR="00EE720F" w:rsidRPr="002763E4">
        <w:rPr>
          <w:rFonts w:ascii="Times New Roman" w:hAnsi="Times New Roman" w:cs="Times New Roman"/>
          <w:bCs/>
          <w:sz w:val="24"/>
          <w:szCs w:val="24"/>
        </w:rPr>
        <w:t>Minow, 2021)</w:t>
      </w:r>
      <w:r w:rsidR="00A7074C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77699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B10FD" w:rsidRPr="002763E4">
        <w:rPr>
          <w:rFonts w:ascii="Times New Roman" w:hAnsi="Times New Roman" w:cs="Times New Roman"/>
          <w:bCs/>
          <w:sz w:val="24"/>
          <w:szCs w:val="24"/>
        </w:rPr>
        <w:t>Equality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>outcome</w:t>
      </w:r>
      <w:r w:rsidR="006B10FD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838E3" w:rsidRPr="002763E4">
        <w:rPr>
          <w:rFonts w:ascii="Times New Roman" w:hAnsi="Times New Roman" w:cs="Times New Roman"/>
          <w:bCs/>
          <w:sz w:val="24"/>
          <w:szCs w:val="24"/>
        </w:rPr>
        <w:t xml:space="preserve">refers to 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 xml:space="preserve">those who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expend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 xml:space="preserve"> equal effort gaining the same valued resource, for example</w:t>
      </w:r>
      <w:r w:rsidR="00800B6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 xml:space="preserve"> equal pay for the same job</w:t>
      </w:r>
      <w:r w:rsidR="007B0BEC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800B68" w:rsidRPr="002763E4">
        <w:rPr>
          <w:rFonts w:ascii="Times New Roman" w:hAnsi="Times New Roman" w:cs="Times New Roman"/>
          <w:bCs/>
          <w:sz w:val="24"/>
          <w:szCs w:val="24"/>
        </w:rPr>
        <w:t xml:space="preserve">Aoki, </w:t>
      </w:r>
      <w:proofErr w:type="spellStart"/>
      <w:r w:rsidR="00800B68" w:rsidRPr="002763E4">
        <w:rPr>
          <w:rFonts w:ascii="Times New Roman" w:hAnsi="Times New Roman" w:cs="Times New Roman"/>
          <w:bCs/>
          <w:sz w:val="24"/>
          <w:szCs w:val="24"/>
        </w:rPr>
        <w:t>Yomogida</w:t>
      </w:r>
      <w:proofErr w:type="spellEnd"/>
      <w:r w:rsidR="00800B68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&amp;</w:t>
      </w:r>
      <w:r w:rsidR="00800B68" w:rsidRPr="002763E4">
        <w:rPr>
          <w:rFonts w:ascii="Times New Roman" w:hAnsi="Times New Roman" w:cs="Times New Roman"/>
          <w:bCs/>
          <w:sz w:val="24"/>
          <w:szCs w:val="24"/>
        </w:rPr>
        <w:t xml:space="preserve"> Matsumoto, 2015</w:t>
      </w:r>
      <w:r w:rsidR="00486FE8" w:rsidRPr="002763E4">
        <w:rPr>
          <w:rFonts w:ascii="Times New Roman" w:hAnsi="Times New Roman" w:cs="Times New Roman"/>
          <w:bCs/>
          <w:sz w:val="24"/>
          <w:szCs w:val="24"/>
        </w:rPr>
        <w:t>; Ramos &amp; Van de Gaer, 2016</w:t>
      </w:r>
      <w:r w:rsidR="00936649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7B0BEC" w:rsidRPr="002763E4">
        <w:rPr>
          <w:rFonts w:ascii="Times New Roman" w:hAnsi="Times New Roman" w:cs="Times New Roman"/>
          <w:bCs/>
          <w:sz w:val="24"/>
          <w:szCs w:val="24"/>
        </w:rPr>
        <w:t xml:space="preserve">. Equality of opportunity, on the other hand, refers to </w:t>
      </w:r>
      <w:r w:rsidR="00891088" w:rsidRPr="002763E4">
        <w:rPr>
          <w:rFonts w:ascii="Times New Roman" w:hAnsi="Times New Roman" w:cs="Times New Roman"/>
          <w:bCs/>
          <w:sz w:val="24"/>
          <w:szCs w:val="24"/>
        </w:rPr>
        <w:t xml:space="preserve">one’s right to the same experiences or resources as others regardless of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social identity</w:t>
      </w:r>
      <w:r w:rsidR="00CF2218" w:rsidRPr="002763E4">
        <w:rPr>
          <w:rFonts w:ascii="Times New Roman" w:hAnsi="Times New Roman" w:cs="Times New Roman"/>
          <w:bCs/>
          <w:sz w:val="24"/>
          <w:szCs w:val="24"/>
        </w:rPr>
        <w:t xml:space="preserve">, for example, equal right to vote </w:t>
      </w:r>
      <w:r w:rsidR="00891088" w:rsidRPr="002763E4">
        <w:rPr>
          <w:rFonts w:ascii="Times New Roman" w:hAnsi="Times New Roman" w:cs="Times New Roman"/>
          <w:bCs/>
          <w:sz w:val="24"/>
          <w:szCs w:val="24"/>
        </w:rPr>
        <w:t>(Aoki et al., 2015; Murshed, 2022</w:t>
      </w:r>
      <w:r w:rsidR="00CF2218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To achieve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 a comprehensive understanding, equity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 xml:space="preserve"> must also be considered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>. Whereas equality is concerne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d with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sameness of treatment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, regardless of differences, equity is concerned with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fair treatment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332687" w:rsidRPr="002763E4">
        <w:rPr>
          <w:rFonts w:ascii="Times New Roman" w:hAnsi="Times New Roman" w:cs="Times New Roman"/>
          <w:bCs/>
          <w:sz w:val="24"/>
          <w:szCs w:val="24"/>
        </w:rPr>
        <w:t xml:space="preserve">based on need 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>and inclusivity</w:t>
      </w:r>
      <w:r w:rsidR="0069380C" w:rsidRPr="002763E4">
        <w:rPr>
          <w:rFonts w:ascii="Times New Roman" w:hAnsi="Times New Roman" w:cs="Times New Roman"/>
          <w:bCs/>
          <w:sz w:val="24"/>
          <w:szCs w:val="24"/>
        </w:rPr>
        <w:t>, for example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69380C" w:rsidRPr="002763E4">
        <w:rPr>
          <w:rFonts w:ascii="Times New Roman" w:hAnsi="Times New Roman" w:cs="Times New Roman"/>
          <w:bCs/>
          <w:sz w:val="24"/>
          <w:szCs w:val="24"/>
        </w:rPr>
        <w:t xml:space="preserve"> someone with a learning disability receiving extra time in exams</w:t>
      </w:r>
      <w:r w:rsidR="00680176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332687" w:rsidRPr="002763E4">
        <w:rPr>
          <w:rFonts w:ascii="Times New Roman" w:hAnsi="Times New Roman" w:cs="Times New Roman"/>
          <w:bCs/>
          <w:sz w:val="24"/>
          <w:szCs w:val="24"/>
        </w:rPr>
        <w:t>Espinoza, 2007</w:t>
      </w:r>
      <w:r w:rsidR="00F3382D" w:rsidRPr="002763E4">
        <w:rPr>
          <w:rFonts w:ascii="Times New Roman" w:hAnsi="Times New Roman" w:cs="Times New Roman"/>
          <w:bCs/>
          <w:sz w:val="24"/>
          <w:szCs w:val="24"/>
        </w:rPr>
        <w:t xml:space="preserve">; Minow, 2021; </w:t>
      </w:r>
      <w:proofErr w:type="spellStart"/>
      <w:r w:rsidR="00F3382D" w:rsidRPr="002763E4">
        <w:rPr>
          <w:rFonts w:ascii="Times New Roman" w:hAnsi="Times New Roman" w:cs="Times New Roman"/>
          <w:bCs/>
          <w:sz w:val="24"/>
          <w:szCs w:val="24"/>
        </w:rPr>
        <w:t>Wolbring</w:t>
      </w:r>
      <w:proofErr w:type="spellEnd"/>
      <w:r w:rsidR="00F3382D" w:rsidRPr="002763E4">
        <w:rPr>
          <w:rFonts w:ascii="Times New Roman" w:hAnsi="Times New Roman" w:cs="Times New Roman"/>
          <w:bCs/>
          <w:sz w:val="24"/>
          <w:szCs w:val="24"/>
        </w:rPr>
        <w:t xml:space="preserve"> &amp; Nguyen, 2023</w:t>
      </w:r>
      <w:r w:rsidR="00332687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69380C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5C08402B" w14:textId="4599ACA0" w:rsidR="0012042D" w:rsidRPr="002763E4" w:rsidRDefault="0069380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As can be seen from the complexities of the </w:t>
      </w:r>
      <w:r w:rsidR="0068791F" w:rsidRPr="002763E4">
        <w:rPr>
          <w:rFonts w:ascii="Times New Roman" w:hAnsi="Times New Roman" w:cs="Times New Roman"/>
          <w:bCs/>
          <w:sz w:val="24"/>
          <w:szCs w:val="24"/>
        </w:rPr>
        <w:t xml:space="preserve">definitions, inequality is a broad subject (Barreiro &amp; </w:t>
      </w:r>
      <w:proofErr w:type="spellStart"/>
      <w:r w:rsidR="0068791F" w:rsidRPr="002763E4">
        <w:rPr>
          <w:rFonts w:ascii="Times New Roman" w:hAnsi="Times New Roman" w:cs="Times New Roman"/>
          <w:bCs/>
          <w:sz w:val="24"/>
          <w:szCs w:val="24"/>
        </w:rPr>
        <w:t>Wainryb</w:t>
      </w:r>
      <w:proofErr w:type="spellEnd"/>
      <w:r w:rsidR="0068791F" w:rsidRPr="002763E4">
        <w:rPr>
          <w:rFonts w:ascii="Times New Roman" w:hAnsi="Times New Roman" w:cs="Times New Roman"/>
          <w:bCs/>
          <w:sz w:val="24"/>
          <w:szCs w:val="24"/>
        </w:rPr>
        <w:t>, 2023</w:t>
      </w:r>
      <w:r w:rsidR="001B6838" w:rsidRPr="002763E4">
        <w:rPr>
          <w:rFonts w:ascii="Times New Roman" w:hAnsi="Times New Roman" w:cs="Times New Roman"/>
          <w:bCs/>
          <w:sz w:val="24"/>
          <w:szCs w:val="24"/>
        </w:rPr>
        <w:t xml:space="preserve">; Nolan, </w:t>
      </w:r>
      <w:proofErr w:type="spellStart"/>
      <w:r w:rsidR="001B6838" w:rsidRPr="002763E4">
        <w:rPr>
          <w:rFonts w:ascii="Times New Roman" w:hAnsi="Times New Roman" w:cs="Times New Roman"/>
          <w:bCs/>
          <w:sz w:val="24"/>
          <w:szCs w:val="24"/>
        </w:rPr>
        <w:t>Richiardi</w:t>
      </w:r>
      <w:proofErr w:type="spellEnd"/>
      <w:r w:rsidR="001B6838" w:rsidRPr="002763E4">
        <w:rPr>
          <w:rFonts w:ascii="Times New Roman" w:hAnsi="Times New Roman" w:cs="Times New Roman"/>
          <w:bCs/>
          <w:sz w:val="24"/>
          <w:szCs w:val="24"/>
        </w:rPr>
        <w:t>, &amp; Valenzuela, 2019; Sen, 2006</w:t>
      </w:r>
      <w:r w:rsidR="0068791F" w:rsidRPr="002763E4">
        <w:rPr>
          <w:rFonts w:ascii="Times New Roman" w:hAnsi="Times New Roman" w:cs="Times New Roman"/>
          <w:bCs/>
          <w:sz w:val="24"/>
          <w:szCs w:val="24"/>
        </w:rPr>
        <w:t xml:space="preserve">). Therefore, this essay will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focus</w:t>
      </w:r>
      <w:r w:rsidR="0068791F" w:rsidRPr="002763E4">
        <w:rPr>
          <w:rFonts w:ascii="Times New Roman" w:hAnsi="Times New Roman" w:cs="Times New Roman"/>
          <w:bCs/>
          <w:sz w:val="24"/>
          <w:szCs w:val="24"/>
        </w:rPr>
        <w:t xml:space="preserve"> on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social</w:t>
      </w:r>
      <w:r w:rsidR="00B84DC2" w:rsidRPr="002763E4">
        <w:rPr>
          <w:rFonts w:ascii="Times New Roman" w:hAnsi="Times New Roman" w:cs="Times New Roman"/>
          <w:bCs/>
          <w:sz w:val="24"/>
          <w:szCs w:val="24"/>
        </w:rPr>
        <w:t xml:space="preserve"> class inequality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 within </w:t>
      </w:r>
      <w:r w:rsidR="00B84DC2" w:rsidRPr="002763E4">
        <w:rPr>
          <w:rFonts w:ascii="Times New Roman" w:hAnsi="Times New Roman" w:cs="Times New Roman"/>
          <w:bCs/>
          <w:sz w:val="24"/>
          <w:szCs w:val="24"/>
        </w:rPr>
        <w:t xml:space="preserve">the education sector.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This requires</w:t>
      </w:r>
      <w:r w:rsidR="000F1E5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B433E" w:rsidRPr="002763E4">
        <w:rPr>
          <w:rFonts w:ascii="Times New Roman" w:hAnsi="Times New Roman" w:cs="Times New Roman"/>
          <w:bCs/>
          <w:sz w:val="24"/>
          <w:szCs w:val="24"/>
        </w:rPr>
        <w:t>an understanding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0F1E54" w:rsidRPr="002763E4">
        <w:rPr>
          <w:rFonts w:ascii="Times New Roman" w:hAnsi="Times New Roman" w:cs="Times New Roman"/>
          <w:bCs/>
          <w:sz w:val="24"/>
          <w:szCs w:val="24"/>
        </w:rPr>
        <w:t>social class.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Marxism and </w:t>
      </w:r>
      <w:proofErr w:type="spellStart"/>
      <w:r w:rsidR="001F15AE" w:rsidRPr="002763E4">
        <w:rPr>
          <w:rFonts w:ascii="Times New Roman" w:hAnsi="Times New Roman" w:cs="Times New Roman"/>
          <w:bCs/>
          <w:sz w:val="24"/>
          <w:szCs w:val="24"/>
        </w:rPr>
        <w:t>Weberianism</w:t>
      </w:r>
      <w:proofErr w:type="spellEnd"/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are two prominent theories discussing social class (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 xml:space="preserve">Saunders, 2006;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Weiß, 2017). 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Marxism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suggests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class</w:t>
      </w:r>
      <w:r w:rsidR="00202C2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is the root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 of all inequality and society is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divided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 into two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classes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>, the Bourgeoise, who own the means of production, and the Proletariat, the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E04DE" w:rsidRPr="002763E4">
        <w:rPr>
          <w:rFonts w:ascii="Times New Roman" w:hAnsi="Times New Roman" w:cs="Times New Roman"/>
          <w:bCs/>
          <w:sz w:val="24"/>
          <w:szCs w:val="24"/>
        </w:rPr>
        <w:t>lower-class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E04DE" w:rsidRPr="002763E4">
        <w:rPr>
          <w:rFonts w:ascii="Times New Roman" w:hAnsi="Times New Roman" w:cs="Times New Roman"/>
          <w:bCs/>
          <w:sz w:val="24"/>
          <w:szCs w:val="24"/>
        </w:rPr>
        <w:t>labourers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 exploited for profit (Marx &amp; Engels, 1967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>; Saunders, 2006</w:t>
      </w:r>
      <w:r w:rsidR="000A2770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8D1C1C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B54F8" w:rsidRPr="002763E4">
        <w:rPr>
          <w:rFonts w:ascii="Times New Roman" w:hAnsi="Times New Roman" w:cs="Times New Roman"/>
          <w:bCs/>
          <w:sz w:val="24"/>
          <w:szCs w:val="24"/>
        </w:rPr>
        <w:t>It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is often suggested that within Marxism class is an economic concept alone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and this is considered reductionist (McLennan, 1996; </w:t>
      </w:r>
      <w:proofErr w:type="spellStart"/>
      <w:r w:rsidR="001F15AE" w:rsidRPr="002763E4">
        <w:rPr>
          <w:rFonts w:ascii="Times New Roman" w:hAnsi="Times New Roman" w:cs="Times New Roman"/>
          <w:bCs/>
          <w:sz w:val="24"/>
          <w:szCs w:val="24"/>
        </w:rPr>
        <w:t>Mouzelis</w:t>
      </w:r>
      <w:proofErr w:type="spellEnd"/>
      <w:r w:rsidR="001F15AE" w:rsidRPr="002763E4">
        <w:rPr>
          <w:rFonts w:ascii="Times New Roman" w:hAnsi="Times New Roman" w:cs="Times New Roman"/>
          <w:bCs/>
          <w:sz w:val="24"/>
          <w:szCs w:val="24"/>
        </w:rPr>
        <w:t>, 1988; Panday, 1983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>; Saunders, 2006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). However</w:t>
      </w:r>
      <w:r w:rsidR="00246270" w:rsidRPr="002763E4">
        <w:rPr>
          <w:rFonts w:ascii="Times New Roman" w:hAnsi="Times New Roman" w:cs="Times New Roman"/>
          <w:bCs/>
          <w:sz w:val="24"/>
          <w:szCs w:val="24"/>
        </w:rPr>
        <w:t>, Marxis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m </w:t>
      </w:r>
      <w:r w:rsidR="00C9530B" w:rsidRPr="002763E4">
        <w:rPr>
          <w:rFonts w:ascii="Times New Roman" w:hAnsi="Times New Roman" w:cs="Times New Roman"/>
          <w:bCs/>
          <w:sz w:val="24"/>
          <w:szCs w:val="24"/>
        </w:rPr>
        <w:t xml:space="preserve">proposes that in addition to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economic</w:t>
      </w:r>
      <w:r w:rsidR="00C9530B" w:rsidRPr="002763E4">
        <w:rPr>
          <w:rFonts w:ascii="Times New Roman" w:hAnsi="Times New Roman" w:cs="Times New Roman"/>
          <w:bCs/>
          <w:sz w:val="24"/>
          <w:szCs w:val="24"/>
        </w:rPr>
        <w:t xml:space="preserve"> control, the Bourgeoise have ideological control, as the dominant culture is embedded into societal institutions</w:t>
      </w:r>
      <w:r w:rsidR="00246270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47816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6D255B" w:rsidRPr="002763E4">
        <w:rPr>
          <w:rFonts w:ascii="Times New Roman" w:hAnsi="Times New Roman" w:cs="Times New Roman"/>
          <w:bCs/>
          <w:sz w:val="24"/>
          <w:szCs w:val="24"/>
        </w:rPr>
        <w:t xml:space="preserve">Althusser, 2011; </w:t>
      </w:r>
      <w:r w:rsidR="00C47816" w:rsidRPr="002763E4">
        <w:rPr>
          <w:rFonts w:ascii="Times New Roman" w:hAnsi="Times New Roman" w:cs="Times New Roman"/>
          <w:bCs/>
          <w:sz w:val="24"/>
          <w:szCs w:val="24"/>
        </w:rPr>
        <w:t xml:space="preserve">Marx &amp; Engels, </w:t>
      </w:r>
      <w:r w:rsidR="00246270" w:rsidRPr="002763E4">
        <w:rPr>
          <w:rFonts w:ascii="Times New Roman" w:hAnsi="Times New Roman" w:cs="Times New Roman"/>
          <w:bCs/>
          <w:sz w:val="24"/>
          <w:szCs w:val="24"/>
        </w:rPr>
        <w:t>2011)</w:t>
      </w:r>
      <w:r w:rsidR="008E0473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>Therefore, despite criticisms, the Marxist definition of class does consider interwoven factors within class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t xml:space="preserve"> such as power and </w:t>
      </w:r>
      <w:r w:rsidR="001F15AE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control. </w:t>
      </w:r>
      <w:proofErr w:type="spellStart"/>
      <w:r w:rsidR="0086378B" w:rsidRPr="002763E4">
        <w:rPr>
          <w:rFonts w:ascii="Times New Roman" w:hAnsi="Times New Roman" w:cs="Times New Roman"/>
          <w:bCs/>
          <w:sz w:val="24"/>
          <w:szCs w:val="24"/>
        </w:rPr>
        <w:t>Weberianism</w:t>
      </w:r>
      <w:proofErr w:type="spellEnd"/>
      <w:r w:rsidR="0039462F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built on </w:t>
      </w:r>
      <w:r w:rsidR="002B433E" w:rsidRPr="002763E4">
        <w:rPr>
          <w:rFonts w:ascii="Times New Roman" w:hAnsi="Times New Roman" w:cs="Times New Roman"/>
          <w:bCs/>
          <w:sz w:val="24"/>
          <w:szCs w:val="24"/>
        </w:rPr>
        <w:t>this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suggesting 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>inequality stem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 from three 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>independent but interacting factors</w:t>
      </w:r>
      <w:r w:rsidR="0086378B" w:rsidRPr="002763E4">
        <w:rPr>
          <w:rFonts w:ascii="Times New Roman" w:hAnsi="Times New Roman" w:cs="Times New Roman"/>
          <w:bCs/>
          <w:sz w:val="24"/>
          <w:szCs w:val="24"/>
        </w:rPr>
        <w:t xml:space="preserve">: economics, status, and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party</w:t>
      </w:r>
      <w:r w:rsidR="0082399E" w:rsidRPr="002763E4">
        <w:rPr>
          <w:rFonts w:ascii="Times New Roman" w:hAnsi="Times New Roman" w:cs="Times New Roman"/>
          <w:bCs/>
          <w:sz w:val="24"/>
          <w:szCs w:val="24"/>
        </w:rPr>
        <w:t xml:space="preserve"> (Collins, 1986</w:t>
      </w:r>
      <w:r w:rsidR="00B93D7B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925AFD" w:rsidRPr="002763E4">
        <w:rPr>
          <w:rFonts w:ascii="Times New Roman" w:hAnsi="Times New Roman" w:cs="Times New Roman"/>
          <w:bCs/>
          <w:sz w:val="24"/>
          <w:szCs w:val="24"/>
        </w:rPr>
        <w:t xml:space="preserve">Saunders, 2006; </w:t>
      </w:r>
      <w:r w:rsidR="00B93D7B" w:rsidRPr="002763E4">
        <w:rPr>
          <w:rFonts w:ascii="Times New Roman" w:hAnsi="Times New Roman" w:cs="Times New Roman"/>
          <w:bCs/>
          <w:sz w:val="24"/>
          <w:szCs w:val="24"/>
        </w:rPr>
        <w:t xml:space="preserve">Weber, </w:t>
      </w:r>
      <w:r w:rsidR="008F4193" w:rsidRPr="002763E4">
        <w:rPr>
          <w:rFonts w:ascii="Times New Roman" w:hAnsi="Times New Roman" w:cs="Times New Roman"/>
          <w:bCs/>
          <w:sz w:val="24"/>
          <w:szCs w:val="24"/>
        </w:rPr>
        <w:t>1964</w:t>
      </w:r>
      <w:r w:rsidR="0082399E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For Weber, stratification encompasses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 xml:space="preserve">economic position,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the culture surrounding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a social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 class</w:t>
      </w:r>
      <w:r w:rsidR="0039462F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and the influence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of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 each class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over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 society and other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 xml:space="preserve">s </w:t>
      </w:r>
      <w:r w:rsidR="00101122" w:rsidRPr="002763E4">
        <w:rPr>
          <w:rFonts w:ascii="Times New Roman" w:hAnsi="Times New Roman" w:cs="Times New Roman"/>
          <w:bCs/>
          <w:sz w:val="24"/>
          <w:szCs w:val="24"/>
        </w:rPr>
        <w:t xml:space="preserve">(Waters &amp; Waters, 2016; Weber, 1964, 2011). </w:t>
      </w:r>
      <w:r w:rsidR="0003428A" w:rsidRPr="002763E4">
        <w:rPr>
          <w:rFonts w:ascii="Times New Roman" w:hAnsi="Times New Roman" w:cs="Times New Roman"/>
          <w:bCs/>
          <w:sz w:val="24"/>
          <w:szCs w:val="24"/>
        </w:rPr>
        <w:t xml:space="preserve">These ideas are prominent in discussions of class inequality within education. 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 xml:space="preserve">The terms social class and socioeconomic status (SES) will be used interchangeably in this essay as they both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encompass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 xml:space="preserve"> income, living standards, </w:t>
      </w:r>
      <w:r w:rsidR="0039462F" w:rsidRPr="002763E4">
        <w:rPr>
          <w:rFonts w:ascii="Times New Roman" w:hAnsi="Times New Roman" w:cs="Times New Roman"/>
          <w:bCs/>
          <w:sz w:val="24"/>
          <w:szCs w:val="24"/>
        </w:rPr>
        <w:t>culture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>, and education level (Cook &amp; Lawson, 2016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; Wohlfarth, 1997</w:t>
      </w:r>
      <w:r w:rsidR="00142A1B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.</w:t>
      </w:r>
    </w:p>
    <w:p w14:paraId="2F380004" w14:textId="583010BA" w:rsidR="0038789E" w:rsidRPr="002763E4" w:rsidRDefault="00523FB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Due to the complexities of </w:t>
      </w:r>
      <w:r w:rsidR="00236691" w:rsidRPr="002763E4">
        <w:rPr>
          <w:rFonts w:ascii="Times New Roman" w:hAnsi="Times New Roman" w:cs="Times New Roman"/>
          <w:bCs/>
          <w:sz w:val="24"/>
          <w:szCs w:val="24"/>
        </w:rPr>
        <w:t xml:space="preserve">class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inequality, there is debate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regarding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36691" w:rsidRPr="002763E4">
        <w:rPr>
          <w:rFonts w:ascii="Times New Roman" w:hAnsi="Times New Roman" w:cs="Times New Roman"/>
          <w:bCs/>
          <w:sz w:val="24"/>
          <w:szCs w:val="24"/>
        </w:rPr>
        <w:t xml:space="preserve">how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="00236691" w:rsidRPr="002763E4">
        <w:rPr>
          <w:rFonts w:ascii="Times New Roman" w:hAnsi="Times New Roman" w:cs="Times New Roman"/>
          <w:bCs/>
          <w:sz w:val="24"/>
          <w:szCs w:val="24"/>
        </w:rPr>
        <w:t xml:space="preserve"> should be identified (Broer et al., 2019; Fergusson, Horwood, &amp; Boden, 2008).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In the UK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>, low SES students are commonly identified as those who are eligible to claim free school meals (FSM</w:t>
      </w:r>
      <w:proofErr w:type="gramStart"/>
      <w:r w:rsidR="00F430DA" w:rsidRPr="002763E4">
        <w:rPr>
          <w:rFonts w:ascii="Times New Roman" w:hAnsi="Times New Roman" w:cs="Times New Roman"/>
          <w:bCs/>
          <w:sz w:val="24"/>
          <w:szCs w:val="24"/>
        </w:rPr>
        <w:t>)</w:t>
      </w:r>
      <w:proofErr w:type="gramEnd"/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and this </w:t>
      </w:r>
      <w:r w:rsidR="00034C18" w:rsidRPr="002763E4">
        <w:rPr>
          <w:rFonts w:ascii="Times New Roman" w:hAnsi="Times New Roman" w:cs="Times New Roman"/>
          <w:bCs/>
          <w:sz w:val="24"/>
          <w:szCs w:val="24"/>
        </w:rPr>
        <w:t>is considered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a reliable measure, correlating with other </w:t>
      </w:r>
      <w:r w:rsidR="00CB6DC1" w:rsidRPr="002763E4">
        <w:rPr>
          <w:rFonts w:ascii="Times New Roman" w:hAnsi="Times New Roman" w:cs="Times New Roman"/>
          <w:bCs/>
          <w:sz w:val="24"/>
          <w:szCs w:val="24"/>
        </w:rPr>
        <w:t>SES measures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2724C0" w:rsidRPr="002763E4">
        <w:rPr>
          <w:rFonts w:ascii="Times New Roman" w:hAnsi="Times New Roman" w:cs="Times New Roman"/>
          <w:bCs/>
          <w:sz w:val="24"/>
          <w:szCs w:val="24"/>
        </w:rPr>
        <w:t xml:space="preserve">Boliver, </w:t>
      </w:r>
      <w:proofErr w:type="spellStart"/>
      <w:r w:rsidR="002724C0" w:rsidRPr="002763E4">
        <w:rPr>
          <w:rFonts w:ascii="Times New Roman" w:hAnsi="Times New Roman" w:cs="Times New Roman"/>
          <w:bCs/>
          <w:sz w:val="24"/>
          <w:szCs w:val="24"/>
        </w:rPr>
        <w:t>Gorard</w:t>
      </w:r>
      <w:proofErr w:type="spellEnd"/>
      <w:r w:rsidR="002724C0" w:rsidRPr="002763E4">
        <w:rPr>
          <w:rFonts w:ascii="Times New Roman" w:hAnsi="Times New Roman" w:cs="Times New Roman"/>
          <w:bCs/>
          <w:sz w:val="24"/>
          <w:szCs w:val="24"/>
        </w:rPr>
        <w:t xml:space="preserve">, &amp; Siddiqui, 2022; 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>Ilie, Sutherland, &amp; Vignoles, 2017; Johnson, 2024</w:t>
      </w:r>
      <w:r w:rsidR="00635CA7" w:rsidRPr="002763E4">
        <w:rPr>
          <w:rFonts w:ascii="Times New Roman" w:hAnsi="Times New Roman" w:cs="Times New Roman"/>
          <w:bCs/>
          <w:sz w:val="24"/>
          <w:szCs w:val="24"/>
        </w:rPr>
        <w:t>; Taylor, 2018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Therefore,</w:t>
      </w:r>
      <w:r w:rsidR="00F430DA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 will be the focus of this exploration.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However,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 xml:space="preserve">universal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FSM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 are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being implemented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 in Wales (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>Green &amp; Emmerson, 2023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), meaning we will lose this </w:t>
      </w:r>
      <w:proofErr w:type="gramStart"/>
      <w:r w:rsidR="002D15DA" w:rsidRPr="002763E4">
        <w:rPr>
          <w:rFonts w:ascii="Times New Roman" w:hAnsi="Times New Roman" w:cs="Times New Roman"/>
          <w:bCs/>
          <w:sz w:val="24"/>
          <w:szCs w:val="24"/>
        </w:rPr>
        <w:t>measure</w:t>
      </w:r>
      <w:proofErr w:type="gramEnd"/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 and future literature will have to look to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alternative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 measures, such as parental income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 xml:space="preserve"> or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>occupation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>Kaye, 2024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), </w:t>
      </w:r>
      <w:r w:rsidR="000B37FA" w:rsidRPr="002763E4">
        <w:rPr>
          <w:rFonts w:ascii="Times New Roman" w:hAnsi="Times New Roman" w:cs="Times New Roman"/>
          <w:bCs/>
          <w:sz w:val="24"/>
          <w:szCs w:val="24"/>
        </w:rPr>
        <w:t xml:space="preserve">social housing (Kaye, 2024), </w:t>
      </w:r>
      <w:r w:rsidR="002D15DA" w:rsidRPr="002763E4">
        <w:rPr>
          <w:rFonts w:ascii="Times New Roman" w:hAnsi="Times New Roman" w:cs="Times New Roman"/>
          <w:bCs/>
          <w:sz w:val="24"/>
          <w:szCs w:val="24"/>
        </w:rPr>
        <w:t xml:space="preserve">or postcodes in areas of deprivation (McCartney et al., 2023; Noble et al., 2006). </w:t>
      </w:r>
    </w:p>
    <w:p w14:paraId="5AC7F746" w14:textId="6D7AADB2" w:rsidR="006F72A3" w:rsidRPr="002763E4" w:rsidRDefault="00366DE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Research on educational inequalities experienced by FSM students is often concerned with outcome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2A5DBD" w:rsidRPr="002763E4">
        <w:rPr>
          <w:rFonts w:ascii="Times New Roman" w:hAnsi="Times New Roman" w:cs="Times New Roman"/>
          <w:bCs/>
          <w:sz w:val="24"/>
          <w:szCs w:val="24"/>
        </w:rPr>
        <w:t xml:space="preserve">, as educational achievement is correlated with life outcomes such as employability, 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>well-being</w:t>
      </w:r>
      <w:r w:rsidR="002A5DBD" w:rsidRPr="002763E4">
        <w:rPr>
          <w:rFonts w:ascii="Times New Roman" w:hAnsi="Times New Roman" w:cs="Times New Roman"/>
          <w:bCs/>
          <w:sz w:val="24"/>
          <w:szCs w:val="24"/>
        </w:rPr>
        <w:t>, and happiness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2A5DBD" w:rsidRPr="002763E4">
        <w:rPr>
          <w:rFonts w:ascii="Times New Roman" w:hAnsi="Times New Roman" w:cs="Times New Roman"/>
          <w:bCs/>
          <w:sz w:val="24"/>
          <w:szCs w:val="24"/>
        </w:rPr>
        <w:t xml:space="preserve">Farquharson, McNally, &amp; Tahir, 2024; </w:t>
      </w:r>
      <w:proofErr w:type="spellStart"/>
      <w:r w:rsidR="002A5DBD" w:rsidRPr="002763E4">
        <w:rPr>
          <w:rFonts w:ascii="Times New Roman" w:hAnsi="Times New Roman" w:cs="Times New Roman"/>
          <w:bCs/>
          <w:sz w:val="24"/>
          <w:szCs w:val="24"/>
        </w:rPr>
        <w:t>Giupponi</w:t>
      </w:r>
      <w:proofErr w:type="spellEnd"/>
      <w:r w:rsidR="002A5DBD" w:rsidRPr="002763E4">
        <w:rPr>
          <w:rFonts w:ascii="Times New Roman" w:hAnsi="Times New Roman" w:cs="Times New Roman"/>
          <w:bCs/>
          <w:sz w:val="24"/>
          <w:szCs w:val="24"/>
        </w:rPr>
        <w:t xml:space="preserve"> &amp; Machin, 2024;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Janda, 2022; Johnson, 2024).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>It is well-established that FSM students perform worse academically than their peers (</w:t>
      </w:r>
      <w:r w:rsidR="00A716DF" w:rsidRPr="002763E4">
        <w:rPr>
          <w:rFonts w:ascii="Times New Roman" w:hAnsi="Times New Roman" w:cs="Times New Roman"/>
          <w:bCs/>
          <w:sz w:val="24"/>
          <w:szCs w:val="24"/>
        </w:rPr>
        <w:t xml:space="preserve">Blanden, Doepke, &amp; Stuhler, 2023;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Crawford, Macmillan, &amp; Vignoles, 2017;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>Farquharson et al.,</w:t>
      </w:r>
      <w:r w:rsidR="00A716DF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 xml:space="preserve">2024; 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Hutchinson, Reader, &amp; </w:t>
      </w:r>
      <w:proofErr w:type="spellStart"/>
      <w:r w:rsidR="009769F5" w:rsidRPr="002763E4">
        <w:rPr>
          <w:rFonts w:ascii="Times New Roman" w:hAnsi="Times New Roman" w:cs="Times New Roman"/>
          <w:bCs/>
          <w:sz w:val="24"/>
          <w:szCs w:val="24"/>
        </w:rPr>
        <w:t>Akhal</w:t>
      </w:r>
      <w:proofErr w:type="spellEnd"/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, 2020; Janda, 2022; 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Johnson, 2024</w:t>
      </w:r>
      <w:r w:rsidR="00A716DF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FA7BB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180A" w:rsidRPr="002763E4">
        <w:rPr>
          <w:rFonts w:ascii="Times New Roman" w:hAnsi="Times New Roman" w:cs="Times New Roman"/>
          <w:bCs/>
          <w:sz w:val="24"/>
          <w:szCs w:val="24"/>
        </w:rPr>
        <w:t xml:space="preserve">A 2024 report synthesising the most recent government statistics on the attainment gap 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>states the following</w:t>
      </w:r>
      <w:r w:rsidR="004B180A" w:rsidRPr="002763E4">
        <w:rPr>
          <w:rFonts w:ascii="Times New Roman" w:hAnsi="Times New Roman" w:cs="Times New Roman"/>
          <w:bCs/>
          <w:sz w:val="24"/>
          <w:szCs w:val="24"/>
        </w:rPr>
        <w:t xml:space="preserve">: </w:t>
      </w:r>
      <w:r w:rsidR="00A313D8" w:rsidRPr="002763E4">
        <w:rPr>
          <w:rFonts w:ascii="Times New Roman" w:hAnsi="Times New Roman" w:cs="Times New Roman"/>
          <w:bCs/>
          <w:sz w:val="24"/>
          <w:szCs w:val="24"/>
        </w:rPr>
        <w:t>only 47% of FSM students achiev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>e</w:t>
      </w:r>
      <w:r w:rsidR="00A313D8" w:rsidRPr="002763E4">
        <w:rPr>
          <w:rFonts w:ascii="Times New Roman" w:hAnsi="Times New Roman" w:cs="Times New Roman"/>
          <w:bCs/>
          <w:sz w:val="24"/>
          <w:szCs w:val="24"/>
        </w:rPr>
        <w:t xml:space="preserve"> the expected level of reading, writing, and maths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 xml:space="preserve">skills 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 xml:space="preserve">upon leaving primary school </w:t>
      </w:r>
      <w:r w:rsidR="00A313D8" w:rsidRPr="002763E4">
        <w:rPr>
          <w:rFonts w:ascii="Times New Roman" w:hAnsi="Times New Roman" w:cs="Times New Roman"/>
          <w:bCs/>
          <w:sz w:val="24"/>
          <w:szCs w:val="24"/>
        </w:rPr>
        <w:t>compared to 65% of non-FSM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 xml:space="preserve"> students, and only 41% of FSM students achieved a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g</w:t>
      </w:r>
      <w:r w:rsidR="00AF67D0" w:rsidRPr="002763E4">
        <w:rPr>
          <w:rFonts w:ascii="Times New Roman" w:hAnsi="Times New Roman" w:cs="Times New Roman"/>
          <w:bCs/>
          <w:sz w:val="24"/>
          <w:szCs w:val="24"/>
        </w:rPr>
        <w:t>rade 4 or above in English and Maths GCSEs, compared to 69% of non-FSM students (Farquharson et al., 2024, pp.780)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 attainment gap between FSM and non-FSM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students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 upon leaving primary school widened in 2020 for the first time since 2007 (Hutchinson et al., 2020).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Furthermore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 xml:space="preserve">when the duration of FSM eligibility is considered, those who have been eligible for FSM for an extended period perform worse than those 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>with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 xml:space="preserve"> temporary eligibility (</w:t>
      </w:r>
      <w:proofErr w:type="spellStart"/>
      <w:r w:rsidR="00695106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695106" w:rsidRPr="002763E4">
        <w:rPr>
          <w:rFonts w:ascii="Times New Roman" w:hAnsi="Times New Roman" w:cs="Times New Roman"/>
          <w:bCs/>
          <w:sz w:val="24"/>
          <w:szCs w:val="24"/>
        </w:rPr>
        <w:t>, 2018</w:t>
      </w:r>
      <w:r w:rsidR="00DE52AE" w:rsidRPr="002763E4">
        <w:rPr>
          <w:rFonts w:ascii="Times New Roman" w:hAnsi="Times New Roman" w:cs="Times New Roman"/>
          <w:bCs/>
          <w:sz w:val="24"/>
          <w:szCs w:val="24"/>
        </w:rPr>
        <w:t>, 2023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05182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95106" w:rsidRPr="002763E4">
        <w:rPr>
          <w:rFonts w:ascii="Times New Roman" w:hAnsi="Times New Roman" w:cs="Times New Roman"/>
          <w:bCs/>
          <w:sz w:val="24"/>
          <w:szCs w:val="24"/>
        </w:rPr>
        <w:t xml:space="preserve">demonstrating the enduring impact of long-term poverty on achievement.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Regarding</w:t>
      </w:r>
      <w:r w:rsidR="004600C6" w:rsidRPr="002763E4">
        <w:rPr>
          <w:rFonts w:ascii="Times New Roman" w:hAnsi="Times New Roman" w:cs="Times New Roman"/>
          <w:bCs/>
          <w:sz w:val="24"/>
          <w:szCs w:val="24"/>
        </w:rPr>
        <w:t xml:space="preserve"> postsecondary education, FSM students are more likely to study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lower-level</w:t>
      </w:r>
      <w:r w:rsidR="004600C6" w:rsidRPr="002763E4">
        <w:rPr>
          <w:rFonts w:ascii="Times New Roman" w:hAnsi="Times New Roman" w:cs="Times New Roman"/>
          <w:bCs/>
          <w:sz w:val="24"/>
          <w:szCs w:val="24"/>
        </w:rPr>
        <w:t xml:space="preserve"> qualifications (Level 1 and Level 2 BTECs) at college (</w:t>
      </w:r>
      <w:proofErr w:type="spellStart"/>
      <w:r w:rsidR="004600C6" w:rsidRPr="002763E4">
        <w:rPr>
          <w:rFonts w:ascii="Times New Roman" w:hAnsi="Times New Roman" w:cs="Times New Roman"/>
          <w:bCs/>
          <w:sz w:val="24"/>
          <w:szCs w:val="24"/>
        </w:rPr>
        <w:t>Lisauskaite</w:t>
      </w:r>
      <w:proofErr w:type="spellEnd"/>
      <w:r w:rsidR="004600C6" w:rsidRPr="002763E4">
        <w:rPr>
          <w:rFonts w:ascii="Times New Roman" w:hAnsi="Times New Roman" w:cs="Times New Roman"/>
          <w:bCs/>
          <w:sz w:val="24"/>
          <w:szCs w:val="24"/>
        </w:rPr>
        <w:t xml:space="preserve"> et al., 2021) and </w:t>
      </w:r>
      <w:r w:rsidR="0038789E" w:rsidRPr="002763E4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 xml:space="preserve">also </w:t>
      </w:r>
      <w:r w:rsidR="0038789E" w:rsidRPr="002763E4">
        <w:rPr>
          <w:rFonts w:ascii="Times New Roman" w:hAnsi="Times New Roman" w:cs="Times New Roman"/>
          <w:bCs/>
          <w:sz w:val="24"/>
          <w:szCs w:val="24"/>
        </w:rPr>
        <w:t>less likely to progress onto higher education (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 xml:space="preserve">HE; </w:t>
      </w:r>
      <w:r w:rsidR="0038789E" w:rsidRPr="002763E4">
        <w:rPr>
          <w:rFonts w:ascii="Times New Roman" w:hAnsi="Times New Roman" w:cs="Times New Roman"/>
          <w:bCs/>
          <w:sz w:val="24"/>
          <w:szCs w:val="24"/>
        </w:rPr>
        <w:t xml:space="preserve">Lim, 2024; Martin, 2023; Pickering, 2019). 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These quantitative figures evidence disparities experienced by FSM </w:t>
      </w:r>
      <w:r w:rsidR="009769F5" w:rsidRPr="002763E4">
        <w:rPr>
          <w:rFonts w:ascii="Times New Roman" w:hAnsi="Times New Roman" w:cs="Times New Roman"/>
          <w:bCs/>
          <w:sz w:val="24"/>
          <w:szCs w:val="24"/>
        </w:rPr>
        <w:t>students;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 however</w:t>
      </w:r>
      <w:r w:rsidR="003A756F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 they do not convey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6D1863" w:rsidRPr="002763E4">
        <w:rPr>
          <w:rFonts w:ascii="Times New Roman" w:hAnsi="Times New Roman" w:cs="Times New Roman"/>
          <w:bCs/>
          <w:sz w:val="24"/>
          <w:szCs w:val="24"/>
        </w:rPr>
        <w:t xml:space="preserve"> mechanisms </w:t>
      </w:r>
      <w:r w:rsidR="00003D4D" w:rsidRPr="002763E4">
        <w:rPr>
          <w:rFonts w:ascii="Times New Roman" w:hAnsi="Times New Roman" w:cs="Times New Roman"/>
          <w:bCs/>
          <w:sz w:val="24"/>
          <w:szCs w:val="24"/>
        </w:rPr>
        <w:t>by which inequalities occur</w:t>
      </w:r>
      <w:r w:rsidR="006701C2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54D94" w:rsidRPr="002763E4">
        <w:rPr>
          <w:rFonts w:ascii="Times New Roman" w:hAnsi="Times New Roman" w:cs="Times New Roman"/>
          <w:bCs/>
          <w:sz w:val="24"/>
          <w:szCs w:val="24"/>
        </w:rPr>
        <w:t>meaning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 xml:space="preserve"> it is pertinent to look to theory</w:t>
      </w:r>
      <w:r w:rsidR="00003D4D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26A9D0A4" w14:textId="23D1B04A" w:rsidR="00BF75B8" w:rsidRPr="002763E4" w:rsidRDefault="00FC7DF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Functionalist theory argues that education is meritocratic and would suggest FSM pupils underachieve as they are not as motivated or talented (</w:t>
      </w:r>
      <w:proofErr w:type="spellStart"/>
      <w:r w:rsidR="00576E9D" w:rsidRPr="002763E4">
        <w:rPr>
          <w:rFonts w:ascii="Times New Roman" w:hAnsi="Times New Roman" w:cs="Times New Roman"/>
          <w:bCs/>
          <w:sz w:val="24"/>
          <w:szCs w:val="24"/>
        </w:rPr>
        <w:t>Faremi</w:t>
      </w:r>
      <w:proofErr w:type="spellEnd"/>
      <w:r w:rsidR="00576E9D" w:rsidRPr="002763E4">
        <w:rPr>
          <w:rFonts w:ascii="Times New Roman" w:hAnsi="Times New Roman" w:cs="Times New Roman"/>
          <w:bCs/>
          <w:sz w:val="24"/>
          <w:szCs w:val="24"/>
        </w:rPr>
        <w:t xml:space="preserve"> &amp; </w:t>
      </w:r>
      <w:proofErr w:type="spellStart"/>
      <w:r w:rsidR="00576E9D" w:rsidRPr="002763E4">
        <w:rPr>
          <w:rFonts w:ascii="Times New Roman" w:hAnsi="Times New Roman" w:cs="Times New Roman"/>
          <w:bCs/>
          <w:sz w:val="24"/>
          <w:szCs w:val="24"/>
        </w:rPr>
        <w:t>Jita</w:t>
      </w:r>
      <w:proofErr w:type="spellEnd"/>
      <w:r w:rsidR="00576E9D" w:rsidRPr="002763E4">
        <w:rPr>
          <w:rFonts w:ascii="Times New Roman" w:hAnsi="Times New Roman" w:cs="Times New Roman"/>
          <w:bCs/>
          <w:sz w:val="24"/>
          <w:szCs w:val="24"/>
        </w:rPr>
        <w:t>, 2018</w:t>
      </w:r>
      <w:r w:rsidR="00103ECB" w:rsidRPr="002763E4">
        <w:rPr>
          <w:rFonts w:ascii="Times New Roman" w:hAnsi="Times New Roman" w:cs="Times New Roman"/>
          <w:bCs/>
          <w:sz w:val="24"/>
          <w:szCs w:val="24"/>
        </w:rPr>
        <w:t>; Radulović &amp; Krstić, 2017</w:t>
      </w:r>
      <w:r w:rsidR="00576E9D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4706C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Furthermore,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f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unctionalists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see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 education as a tool to sort students into societal roles based on skill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 xml:space="preserve">, suggesting 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>inequalities of outcome are beneficial for societal functioning (Murshed, 2022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; Parsons, 1959; Radulović &amp; Krstić, 2017</w:t>
      </w:r>
      <w:r w:rsidR="00DC2DCE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277B69" w:rsidRPr="002763E4">
        <w:rPr>
          <w:rFonts w:ascii="Times New Roman" w:hAnsi="Times New Roman" w:cs="Times New Roman"/>
          <w:bCs/>
          <w:sz w:val="24"/>
          <w:szCs w:val="24"/>
        </w:rPr>
        <w:t xml:space="preserve">However, </w:t>
      </w:r>
      <w:r w:rsidR="00952BAE" w:rsidRPr="002763E4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proofErr w:type="gramStart"/>
      <w:r w:rsidR="00952BAE" w:rsidRPr="002763E4">
        <w:rPr>
          <w:rFonts w:ascii="Times New Roman" w:hAnsi="Times New Roman" w:cs="Times New Roman"/>
          <w:bCs/>
          <w:sz w:val="24"/>
          <w:szCs w:val="24"/>
        </w:rPr>
        <w:t>is</w:t>
      </w:r>
      <w:r w:rsidR="00277B69" w:rsidRPr="002763E4">
        <w:rPr>
          <w:rFonts w:ascii="Times New Roman" w:hAnsi="Times New Roman" w:cs="Times New Roman"/>
          <w:bCs/>
          <w:sz w:val="24"/>
          <w:szCs w:val="24"/>
        </w:rPr>
        <w:t xml:space="preserve"> considered </w:t>
      </w:r>
      <w:r w:rsidR="00274A9C" w:rsidRPr="002763E4">
        <w:rPr>
          <w:rFonts w:ascii="Times New Roman" w:hAnsi="Times New Roman" w:cs="Times New Roman"/>
          <w:bCs/>
          <w:sz w:val="24"/>
          <w:szCs w:val="24"/>
        </w:rPr>
        <w:t>to be</w:t>
      </w:r>
      <w:proofErr w:type="gramEnd"/>
      <w:r w:rsidR="00274A9C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6383E" w:rsidRPr="002763E4">
        <w:rPr>
          <w:rFonts w:ascii="Times New Roman" w:hAnsi="Times New Roman" w:cs="Times New Roman"/>
          <w:bCs/>
          <w:sz w:val="24"/>
          <w:szCs w:val="24"/>
        </w:rPr>
        <w:t xml:space="preserve">oversimplified as such 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>clearcut lines in achievement</w:t>
      </w:r>
      <w:r w:rsidR="00952BAE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F72A3" w:rsidRPr="002763E4">
        <w:rPr>
          <w:rFonts w:ascii="Times New Roman" w:hAnsi="Times New Roman" w:cs="Times New Roman"/>
          <w:bCs/>
          <w:sz w:val="24"/>
          <w:szCs w:val="24"/>
        </w:rPr>
        <w:t xml:space="preserve">around class divides are unrealistic (Radulović &amp; Krstić, 2017). 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t xml:space="preserve">Some research suggests that differences in family values towards education cause differences, with middle-class parents being more consciously involved in their children’s education than </w:t>
      </w:r>
      <w:r w:rsidR="00C662C2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t xml:space="preserve"> parents (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 xml:space="preserve">Hill &amp; Tyson, 2009; </w:t>
      </w:r>
      <w:r w:rsidR="00C662C2" w:rsidRPr="002763E4">
        <w:rPr>
          <w:rFonts w:ascii="Times New Roman" w:hAnsi="Times New Roman" w:cs="Times New Roman"/>
          <w:bCs/>
          <w:sz w:val="24"/>
          <w:szCs w:val="24"/>
        </w:rPr>
        <w:t xml:space="preserve">Lareau, 2011; 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>Pomerantz, Moorman, &amp; Litwack, 2007; Strømme &amp; Helland, 2020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t xml:space="preserve">). However, there is little </w:t>
      </w:r>
      <w:r w:rsidR="00F26891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support for this and what does exist is supplemented by 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 xml:space="preserve">the Marxist theory of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c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 xml:space="preserve">ultural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c</w:t>
      </w:r>
      <w:r w:rsidR="00473EFC" w:rsidRPr="002763E4">
        <w:rPr>
          <w:rFonts w:ascii="Times New Roman" w:hAnsi="Times New Roman" w:cs="Times New Roman"/>
          <w:bCs/>
          <w:sz w:val="24"/>
          <w:szCs w:val="24"/>
        </w:rPr>
        <w:t>apital</w:t>
      </w:r>
      <w:r w:rsidR="0087208A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C662C2" w:rsidRPr="002763E4">
        <w:rPr>
          <w:rFonts w:ascii="Times New Roman" w:hAnsi="Times New Roman" w:cs="Times New Roman"/>
          <w:bCs/>
          <w:sz w:val="24"/>
          <w:szCs w:val="24"/>
        </w:rPr>
        <w:t xml:space="preserve">Goldstone, Baker, &amp; Barg, 2023; </w:t>
      </w:r>
      <w:r w:rsidR="004728C9" w:rsidRPr="002763E4">
        <w:rPr>
          <w:rFonts w:ascii="Times New Roman" w:hAnsi="Times New Roman" w:cs="Times New Roman"/>
          <w:bCs/>
          <w:sz w:val="24"/>
          <w:szCs w:val="24"/>
        </w:rPr>
        <w:t>Hill, 2018</w:t>
      </w:r>
      <w:r w:rsidR="00F1349D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F1349D" w:rsidRPr="002763E4">
        <w:rPr>
          <w:rFonts w:ascii="Times New Roman" w:hAnsi="Times New Roman" w:cs="Times New Roman"/>
          <w:bCs/>
          <w:sz w:val="24"/>
          <w:szCs w:val="24"/>
        </w:rPr>
        <w:t>Zahedani</w:t>
      </w:r>
      <w:proofErr w:type="spellEnd"/>
      <w:r w:rsidR="00F1349D" w:rsidRPr="002763E4">
        <w:rPr>
          <w:rFonts w:ascii="Times New Roman" w:hAnsi="Times New Roman" w:cs="Times New Roman"/>
          <w:bCs/>
          <w:sz w:val="24"/>
          <w:szCs w:val="24"/>
        </w:rPr>
        <w:t xml:space="preserve"> et al., 2016</w:t>
      </w:r>
      <w:r w:rsidR="0087208A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35E67946" w14:textId="77049705" w:rsidR="00D95358" w:rsidRPr="002763E4" w:rsidRDefault="00E0745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Bourdieu’s theory of cultural capital stipulates that education 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>favour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 xml:space="preserve"> middle-class </w:t>
      </w:r>
      <w:proofErr w:type="gramStart"/>
      <w:r w:rsidR="006D0F65" w:rsidRPr="002763E4">
        <w:rPr>
          <w:rFonts w:ascii="Times New Roman" w:hAnsi="Times New Roman" w:cs="Times New Roman"/>
          <w:bCs/>
          <w:sz w:val="24"/>
          <w:szCs w:val="24"/>
        </w:rPr>
        <w:t>culture</w:t>
      </w:r>
      <w:proofErr w:type="gramEnd"/>
      <w:r w:rsidR="006D0F65" w:rsidRPr="002763E4">
        <w:rPr>
          <w:rFonts w:ascii="Times New Roman" w:hAnsi="Times New Roman" w:cs="Times New Roman"/>
          <w:bCs/>
          <w:sz w:val="24"/>
          <w:szCs w:val="24"/>
        </w:rPr>
        <w:t xml:space="preserve"> and this is dominant within education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 xml:space="preserve"> through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 xml:space="preserve"> the norms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 and values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 xml:space="preserve"> expected within 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schools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>(Bourdieu, 1973</w:t>
      </w:r>
      <w:r w:rsidR="00C6266F" w:rsidRPr="002763E4">
        <w:rPr>
          <w:rFonts w:ascii="Times New Roman" w:hAnsi="Times New Roman" w:cs="Times New Roman"/>
          <w:bCs/>
          <w:sz w:val="24"/>
          <w:szCs w:val="24"/>
        </w:rPr>
        <w:t>, 1986</w:t>
      </w:r>
      <w:r w:rsidR="006D0F65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L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ack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leaves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students unfamiliar with the environment and expectations and lacking the skillset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 and language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to thrive, meaning they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fall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behind academically 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Bernstein, 1962; 1986; 2003; 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>Bourdieu, 1973</w:t>
      </w:r>
      <w:r w:rsidR="00C6266F" w:rsidRPr="002763E4">
        <w:rPr>
          <w:rFonts w:ascii="Times New Roman" w:hAnsi="Times New Roman" w:cs="Times New Roman"/>
          <w:bCs/>
          <w:sz w:val="24"/>
          <w:szCs w:val="24"/>
        </w:rPr>
        <w:t>, 1986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; Bourdieu &amp; </w:t>
      </w:r>
      <w:proofErr w:type="spellStart"/>
      <w:r w:rsidR="0024668B" w:rsidRPr="002763E4">
        <w:rPr>
          <w:rFonts w:ascii="Times New Roman" w:hAnsi="Times New Roman" w:cs="Times New Roman"/>
          <w:bCs/>
          <w:sz w:val="24"/>
          <w:szCs w:val="24"/>
        </w:rPr>
        <w:t>Passeron</w:t>
      </w:r>
      <w:proofErr w:type="spellEnd"/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, 1990; Edgerton &amp; Roberts, 2014; 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 xml:space="preserve">Edwards, 1987; 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Jæger &amp; Breen, 2016</w:t>
      </w:r>
      <w:r w:rsidR="008602F4" w:rsidRPr="002763E4">
        <w:rPr>
          <w:rFonts w:ascii="Times New Roman" w:hAnsi="Times New Roman" w:cs="Times New Roman"/>
          <w:bCs/>
          <w:sz w:val="24"/>
          <w:szCs w:val="24"/>
        </w:rPr>
        <w:t>; Poole, 1979</w:t>
      </w:r>
      <w:r w:rsidR="00737314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>. This theory suggests class inequality within education is systemic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it is by design that </w:t>
      </w:r>
      <w:r w:rsidR="00BF75B8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24668B" w:rsidRPr="002763E4">
        <w:rPr>
          <w:rFonts w:ascii="Times New Roman" w:hAnsi="Times New Roman" w:cs="Times New Roman"/>
          <w:bCs/>
          <w:sz w:val="24"/>
          <w:szCs w:val="24"/>
        </w:rPr>
        <w:t xml:space="preserve"> pupils are disadvantaged</w:t>
      </w:r>
      <w:r w:rsidR="00362560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6566F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>DiMaggio (1982)</w:t>
      </w:r>
      <w:r w:rsidR="006566F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 xml:space="preserve">supports this, as they 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 xml:space="preserve">found higher levels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 xml:space="preserve"> were 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 xml:space="preserve">positively 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>correlated with grades</w:t>
      </w:r>
      <w:r w:rsidR="006C47F6" w:rsidRPr="002763E4">
        <w:rPr>
          <w:rFonts w:ascii="Times New Roman" w:hAnsi="Times New Roman" w:cs="Times New Roman"/>
          <w:bCs/>
          <w:sz w:val="24"/>
          <w:szCs w:val="24"/>
        </w:rPr>
        <w:t>. H</w:t>
      </w:r>
      <w:r w:rsidR="00223828" w:rsidRPr="002763E4">
        <w:rPr>
          <w:rFonts w:ascii="Times New Roman" w:hAnsi="Times New Roman" w:cs="Times New Roman"/>
          <w:bCs/>
          <w:sz w:val="24"/>
          <w:szCs w:val="24"/>
        </w:rPr>
        <w:t xml:space="preserve">owever, their study used retrospective measures, asking adults to reflect on grades they achieved in school and so it is unlikely that data was reliable. 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Higher quality evidence is </w:t>
      </w:r>
      <w:proofErr w:type="gramStart"/>
      <w:r w:rsidR="00922B5F" w:rsidRPr="002763E4">
        <w:rPr>
          <w:rFonts w:ascii="Times New Roman" w:hAnsi="Times New Roman" w:cs="Times New Roman"/>
          <w:bCs/>
          <w:sz w:val="24"/>
          <w:szCs w:val="24"/>
        </w:rPr>
        <w:t>available,</w:t>
      </w:r>
      <w:proofErr w:type="gramEnd"/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 however, this evidence comes from non-UK studies and is </w:t>
      </w:r>
      <w:r w:rsidR="0039462F" w:rsidRPr="002763E4">
        <w:rPr>
          <w:rFonts w:ascii="Times New Roman" w:hAnsi="Times New Roman" w:cs="Times New Roman"/>
          <w:bCs/>
          <w:sz w:val="24"/>
          <w:szCs w:val="24"/>
        </w:rPr>
        <w:t xml:space="preserve">therefore 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>not entirely transferable to discussions of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class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 inequality within the UK system (Atmaca &amp; Aydin, 2020)</w:t>
      </w:r>
      <w:r w:rsidR="00C97AA4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58DDEAF8" w14:textId="0170D802" w:rsidR="00142912" w:rsidRPr="002763E4" w:rsidRDefault="00883B7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However, far more evidence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 xml:space="preserve">exists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for the impact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on class inequalities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within HE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Ahn, 2020; Ahn &amp; Davis, 2023; </w:t>
      </w:r>
      <w:r w:rsidR="004E349F" w:rsidRPr="002763E4">
        <w:rPr>
          <w:rFonts w:ascii="Times New Roman" w:hAnsi="Times New Roman" w:cs="Times New Roman"/>
          <w:bCs/>
          <w:sz w:val="24"/>
          <w:szCs w:val="24"/>
        </w:rPr>
        <w:t xml:space="preserve">Clegg, 2011; 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>Jack, 201</w:t>
      </w:r>
      <w:r w:rsidR="00D578D2" w:rsidRPr="002763E4">
        <w:rPr>
          <w:rFonts w:ascii="Times New Roman" w:hAnsi="Times New Roman" w:cs="Times New Roman"/>
          <w:bCs/>
          <w:sz w:val="24"/>
          <w:szCs w:val="24"/>
        </w:rPr>
        <w:t>6</w:t>
      </w:r>
      <w:r w:rsidR="00922B5F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4E349F" w:rsidRPr="002763E4">
        <w:rPr>
          <w:rFonts w:ascii="Times New Roman" w:hAnsi="Times New Roman" w:cs="Times New Roman"/>
          <w:bCs/>
          <w:sz w:val="24"/>
          <w:szCs w:val="24"/>
        </w:rPr>
        <w:t>Noble &amp; Davies, 2009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Lamont and Lareau (1988) suggest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a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lack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capital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leads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young people to feel as though they do not belong </w:t>
      </w:r>
      <w:proofErr w:type="gramStart"/>
      <w:r w:rsidR="003A1D28" w:rsidRPr="002763E4">
        <w:rPr>
          <w:rFonts w:ascii="Times New Roman" w:hAnsi="Times New Roman" w:cs="Times New Roman"/>
          <w:bCs/>
          <w:sz w:val="24"/>
          <w:szCs w:val="24"/>
        </w:rPr>
        <w:t>in</w:t>
      </w:r>
      <w:proofErr w:type="gramEnd"/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and therefore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prevents applications</w:t>
      </w:r>
      <w:r w:rsidR="003A1D2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to universities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>or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 in the case of those who do apply, results in difficulties with applications, not being selected to attend, or withdrawals. 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 xml:space="preserve">Furthermore, struggling working-class students </w:t>
      </w:r>
      <w:r w:rsidR="004B3C0B" w:rsidRPr="002763E4">
        <w:rPr>
          <w:rFonts w:ascii="Times New Roman" w:hAnsi="Times New Roman" w:cs="Times New Roman"/>
          <w:bCs/>
          <w:sz w:val="24"/>
          <w:szCs w:val="24"/>
        </w:rPr>
        <w:t>are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>less likely to seek support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 due to a lack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 xml:space="preserve">, contributing to academic failure (Lareau, 2014). 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This impact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BF08EF" w:rsidRPr="002763E4">
        <w:rPr>
          <w:rFonts w:ascii="Times New Roman" w:hAnsi="Times New Roman" w:cs="Times New Roman"/>
          <w:bCs/>
          <w:sz w:val="24"/>
          <w:szCs w:val="24"/>
        </w:rPr>
        <w:t xml:space="preserve"> has greater support</w:t>
      </w:r>
      <w:r w:rsidR="00A377BF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C06E7F" w:rsidRPr="002763E4">
        <w:rPr>
          <w:rFonts w:ascii="Times New Roman" w:hAnsi="Times New Roman" w:cs="Times New Roman"/>
          <w:bCs/>
          <w:sz w:val="24"/>
          <w:szCs w:val="24"/>
        </w:rPr>
        <w:t xml:space="preserve">Ahn, 2020; </w:t>
      </w:r>
      <w:r w:rsidR="00A377BF" w:rsidRPr="002763E4">
        <w:rPr>
          <w:rFonts w:ascii="Times New Roman" w:hAnsi="Times New Roman" w:cs="Times New Roman"/>
          <w:bCs/>
          <w:sz w:val="24"/>
          <w:szCs w:val="24"/>
        </w:rPr>
        <w:t>Ahn &amp; Davis, 2023</w:t>
      </w:r>
      <w:r w:rsidR="00C06E7F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D578D2" w:rsidRPr="002763E4">
        <w:rPr>
          <w:rFonts w:ascii="Times New Roman" w:hAnsi="Times New Roman" w:cs="Times New Roman"/>
          <w:bCs/>
          <w:sz w:val="24"/>
          <w:szCs w:val="24"/>
        </w:rPr>
        <w:t xml:space="preserve">DiMaggio &amp; Mohr, 1985; </w:t>
      </w:r>
      <w:r w:rsidR="00C06E7F" w:rsidRPr="002763E4">
        <w:rPr>
          <w:rFonts w:ascii="Times New Roman" w:hAnsi="Times New Roman" w:cs="Times New Roman"/>
          <w:bCs/>
          <w:sz w:val="24"/>
          <w:szCs w:val="24"/>
        </w:rPr>
        <w:t>Jack, 2016</w:t>
      </w:r>
      <w:r w:rsidR="00581426" w:rsidRPr="002763E4">
        <w:rPr>
          <w:rFonts w:ascii="Times New Roman" w:hAnsi="Times New Roman" w:cs="Times New Roman"/>
          <w:bCs/>
          <w:sz w:val="24"/>
          <w:szCs w:val="24"/>
        </w:rPr>
        <w:t xml:space="preserve">; Jury et al., 2017). </w:t>
      </w:r>
    </w:p>
    <w:p w14:paraId="3CE5D0BF" w14:textId="49722907" w:rsidR="00A0069F" w:rsidRPr="002763E4" w:rsidRDefault="00D578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Whilst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accounts for some educational inequalities experienced by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, Sullivan’s (2001) study 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demonstrated that class inequalities in GCSE results persisted when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was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controlled for. This suggests other factors contribute to class inequalities within education.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Additionally,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 theory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ignores </w:t>
      </w:r>
      <w:r w:rsidR="009E7CF4" w:rsidRPr="002763E4">
        <w:rPr>
          <w:rFonts w:ascii="Times New Roman" w:hAnsi="Times New Roman" w:cs="Times New Roman"/>
          <w:bCs/>
          <w:sz w:val="24"/>
          <w:szCs w:val="24"/>
        </w:rPr>
        <w:t xml:space="preserve">the practicalities of being a working-class student.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Q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ualitative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studies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>exploring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 the experiences of 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low SES 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students in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 found working-class students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, who 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 xml:space="preserve">are more likely to be commuter students, mature students, or have additional responsibilities, are less likely to engage with supplementary activities within the university environment that cultivate a sense of belonging and prevent withdrawal (Gale &amp; Parker, 2014; Holton &amp; Finn, 2018; </w:t>
      </w:r>
      <w:r w:rsidR="006A1FD0" w:rsidRPr="002763E4">
        <w:rPr>
          <w:rFonts w:ascii="Times New Roman" w:hAnsi="Times New Roman" w:cs="Times New Roman"/>
          <w:bCs/>
          <w:sz w:val="24"/>
          <w:szCs w:val="24"/>
        </w:rPr>
        <w:t xml:space="preserve">Kelly &amp; Mulrooney, 2019; </w:t>
      </w:r>
      <w:r w:rsidR="00FF3097" w:rsidRPr="002763E4">
        <w:rPr>
          <w:rFonts w:ascii="Times New Roman" w:hAnsi="Times New Roman" w:cs="Times New Roman"/>
          <w:bCs/>
          <w:sz w:val="24"/>
          <w:szCs w:val="24"/>
        </w:rPr>
        <w:t>Thomas &amp; Jones, 2017)</w:t>
      </w:r>
      <w:r w:rsidR="006A1FD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83799" w:rsidRPr="002763E4">
        <w:rPr>
          <w:rFonts w:ascii="Times New Roman" w:hAnsi="Times New Roman" w:cs="Times New Roman"/>
          <w:bCs/>
          <w:sz w:val="24"/>
          <w:szCs w:val="24"/>
        </w:rPr>
        <w:t xml:space="preserve">These circumstances are in part caused by material deprivation 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as students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cannot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 afford travel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or </w:t>
      </w:r>
      <w:r w:rsidR="00546E1D" w:rsidRPr="002763E4">
        <w:rPr>
          <w:rFonts w:ascii="Times New Roman" w:hAnsi="Times New Roman" w:cs="Times New Roman"/>
          <w:bCs/>
          <w:sz w:val="24"/>
          <w:szCs w:val="24"/>
        </w:rPr>
        <w:t>fees for clubs</w:t>
      </w:r>
      <w:r w:rsidR="0011629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546E1D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proofErr w:type="gramStart"/>
      <w:r w:rsidR="00546E1D" w:rsidRPr="002763E4">
        <w:rPr>
          <w:rFonts w:ascii="Times New Roman" w:hAnsi="Times New Roman" w:cs="Times New Roman"/>
          <w:bCs/>
          <w:sz w:val="24"/>
          <w:szCs w:val="24"/>
        </w:rPr>
        <w:t>have to</w:t>
      </w:r>
      <w:proofErr w:type="gramEnd"/>
      <w:r w:rsidR="00546E1D" w:rsidRPr="002763E4">
        <w:rPr>
          <w:rFonts w:ascii="Times New Roman" w:hAnsi="Times New Roman" w:cs="Times New Roman"/>
          <w:bCs/>
          <w:sz w:val="24"/>
          <w:szCs w:val="24"/>
        </w:rPr>
        <w:t xml:space="preserve"> devote more time to part-time work </w:t>
      </w:r>
      <w:r w:rsidR="00683799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5C120B" w:rsidRPr="002763E4">
        <w:rPr>
          <w:rFonts w:ascii="Times New Roman" w:hAnsi="Times New Roman" w:cs="Times New Roman"/>
          <w:bCs/>
          <w:sz w:val="24"/>
          <w:szCs w:val="24"/>
        </w:rPr>
        <w:t>Kaye, 2024</w:t>
      </w:r>
      <w:r w:rsidR="00683799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5BB228A2" w14:textId="24F69C0E" w:rsidR="008576CC" w:rsidRPr="002763E4" w:rsidRDefault="005C12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Townsend (1979</w:t>
      </w:r>
      <w:r w:rsidR="008D2CEA" w:rsidRPr="002763E4">
        <w:rPr>
          <w:rFonts w:ascii="Times New Roman" w:hAnsi="Times New Roman" w:cs="Times New Roman"/>
          <w:bCs/>
          <w:sz w:val="24"/>
          <w:szCs w:val="24"/>
        </w:rPr>
        <w:t>, 1987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 defined material deprivation as a symptom of poverty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where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D2CEA" w:rsidRPr="002763E4">
        <w:rPr>
          <w:rFonts w:ascii="Times New Roman" w:hAnsi="Times New Roman" w:cs="Times New Roman"/>
          <w:bCs/>
          <w:sz w:val="24"/>
          <w:szCs w:val="24"/>
        </w:rPr>
        <w:t>an individual or community cannot obtain resources to acquire goods, engage in activities, and live the expected or standard lifestyle.</w:t>
      </w:r>
      <w:r w:rsidR="00C97AA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D2CE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Material deprivation also impacts students’ education prior to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. For example, parents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of low SES students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cannot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 afford educational resources such as books, laptops,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and tuition</w:t>
      </w:r>
      <w:r w:rsidR="00EE7E25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 xml:space="preserve">Cullinane and </w:t>
      </w:r>
      <w:proofErr w:type="spellStart"/>
      <w:r w:rsidR="00CD67DC" w:rsidRPr="002763E4">
        <w:rPr>
          <w:rFonts w:ascii="Times New Roman" w:hAnsi="Times New Roman" w:cs="Times New Roman"/>
          <w:bCs/>
          <w:sz w:val="24"/>
          <w:szCs w:val="24"/>
        </w:rPr>
        <w:t>Montacute</w:t>
      </w:r>
      <w:proofErr w:type="spellEnd"/>
      <w:r w:rsidR="00CD67DC" w:rsidRPr="002763E4">
        <w:rPr>
          <w:rFonts w:ascii="Times New Roman" w:hAnsi="Times New Roman" w:cs="Times New Roman"/>
          <w:bCs/>
          <w:sz w:val="24"/>
          <w:szCs w:val="24"/>
        </w:rPr>
        <w:t xml:space="preserve">, 2020;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Mihai, </w:t>
      </w:r>
      <w:proofErr w:type="spellStart"/>
      <w:r w:rsidR="00DA4A5A" w:rsidRPr="002763E4">
        <w:rPr>
          <w:rFonts w:ascii="Times New Roman" w:hAnsi="Times New Roman" w:cs="Times New Roman"/>
          <w:bCs/>
          <w:sz w:val="24"/>
          <w:szCs w:val="24"/>
        </w:rPr>
        <w:t>Ţiţan</w:t>
      </w:r>
      <w:proofErr w:type="spellEnd"/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, &amp; Manea, 2015), meaning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working-class students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have unequal access to the opportunities that 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>middle-class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children have. This</w:t>
      </w:r>
      <w:r w:rsidR="00B736CB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had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a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 greater impact on the attainment of students who were in education during the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Covid </w:t>
      </w:r>
      <w:r w:rsidR="00DA4A5A" w:rsidRPr="002763E4">
        <w:rPr>
          <w:rFonts w:ascii="Times New Roman" w:hAnsi="Times New Roman" w:cs="Times New Roman"/>
          <w:bCs/>
          <w:sz w:val="24"/>
          <w:szCs w:val="24"/>
        </w:rPr>
        <w:t xml:space="preserve">pandemic, as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>homeschooling required access to educational resources and the internet (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>Blundell et al., 2021; Goudeau et al., 2021</w:t>
      </w:r>
      <w:r w:rsidR="00864D17" w:rsidRPr="002763E4">
        <w:rPr>
          <w:rFonts w:ascii="Times New Roman" w:hAnsi="Times New Roman" w:cs="Times New Roman"/>
          <w:bCs/>
          <w:sz w:val="24"/>
          <w:szCs w:val="24"/>
        </w:rPr>
        <w:t>; Janda, 2022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For example, Bayrakdar and </w:t>
      </w:r>
      <w:proofErr w:type="spellStart"/>
      <w:r w:rsidR="00D95358" w:rsidRPr="002763E4">
        <w:rPr>
          <w:rFonts w:ascii="Times New Roman" w:hAnsi="Times New Roman" w:cs="Times New Roman"/>
          <w:bCs/>
          <w:sz w:val="24"/>
          <w:szCs w:val="24"/>
        </w:rPr>
        <w:t>Guveli</w:t>
      </w:r>
      <w:proofErr w:type="spellEnd"/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(2023) found FSM students spent less time engaging with online learning materials during the pandemic, and Cullinane and </w:t>
      </w:r>
      <w:proofErr w:type="spellStart"/>
      <w:r w:rsidR="00D95358" w:rsidRPr="002763E4">
        <w:rPr>
          <w:rFonts w:ascii="Times New Roman" w:hAnsi="Times New Roman" w:cs="Times New Roman"/>
          <w:bCs/>
          <w:sz w:val="24"/>
          <w:szCs w:val="24"/>
        </w:rPr>
        <w:t>Montacute</w:t>
      </w:r>
      <w:proofErr w:type="spellEnd"/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(2020) found teachers in deprived schools reported that a third of their students did not have adequate access to an electronic device for learning during this time.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Therefore, material deprivation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could explain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why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 are currently more likely to be leaving primary school with insufficient reading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>writing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, and maths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 skills (</w:t>
      </w:r>
      <w:r w:rsidR="00864D17" w:rsidRPr="002763E4">
        <w:rPr>
          <w:rFonts w:ascii="Times New Roman" w:hAnsi="Times New Roman" w:cs="Times New Roman"/>
          <w:bCs/>
          <w:sz w:val="24"/>
          <w:szCs w:val="24"/>
        </w:rPr>
        <w:t>Farquharson et al., 2024; Hutchinson et al., 2020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), as these students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were</w:t>
      </w:r>
      <w:r w:rsidR="00447BF7" w:rsidRPr="002763E4">
        <w:rPr>
          <w:rFonts w:ascii="Times New Roman" w:hAnsi="Times New Roman" w:cs="Times New Roman"/>
          <w:bCs/>
          <w:sz w:val="24"/>
          <w:szCs w:val="24"/>
        </w:rPr>
        <w:t xml:space="preserve"> impacted by the pandemic. </w:t>
      </w:r>
    </w:p>
    <w:p w14:paraId="12FC6710" w14:textId="7E4DD26E" w:rsidR="00E13D20" w:rsidRPr="002763E4" w:rsidRDefault="00DA4A5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Furthermore, 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differences in 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proofErr w:type="spellStart"/>
      <w:proofErr w:type="gramStart"/>
      <w:r w:rsidR="008576CC" w:rsidRPr="002763E4">
        <w:rPr>
          <w:rFonts w:ascii="Times New Roman" w:hAnsi="Times New Roman" w:cs="Times New Roman"/>
          <w:bCs/>
          <w:sz w:val="24"/>
          <w:szCs w:val="24"/>
        </w:rPr>
        <w:t>schools</w:t>
      </w:r>
      <w:proofErr w:type="spellEnd"/>
      <w:proofErr w:type="gramEnd"/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 students of differing SES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can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 access also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contribute</w:t>
      </w:r>
      <w:r w:rsidR="008576CC" w:rsidRPr="002763E4">
        <w:rPr>
          <w:rFonts w:ascii="Times New Roman" w:hAnsi="Times New Roman" w:cs="Times New Roman"/>
          <w:bCs/>
          <w:sz w:val="24"/>
          <w:szCs w:val="24"/>
        </w:rPr>
        <w:t xml:space="preserve"> to the attainment gap.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Private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schools create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educational inequality as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high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have access to higher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-</w:t>
      </w:r>
      <w:r w:rsidRPr="002763E4">
        <w:rPr>
          <w:rFonts w:ascii="Times New Roman" w:hAnsi="Times New Roman" w:cs="Times New Roman"/>
          <w:bCs/>
          <w:sz w:val="24"/>
          <w:szCs w:val="24"/>
        </w:rPr>
        <w:t>quality education with smaller class sizes</w:t>
      </w:r>
      <w:r w:rsidR="00FC0DE6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2763E4">
        <w:rPr>
          <w:rFonts w:ascii="Times New Roman" w:hAnsi="Times New Roman" w:cs="Times New Roman"/>
          <w:bCs/>
          <w:sz w:val="24"/>
          <w:szCs w:val="24"/>
        </w:rPr>
        <w:t>and greater access to resources (</w:t>
      </w:r>
      <w:r w:rsidR="00861D38" w:rsidRPr="002763E4">
        <w:rPr>
          <w:rFonts w:ascii="Times New Roman" w:hAnsi="Times New Roman" w:cs="Times New Roman"/>
          <w:bCs/>
          <w:sz w:val="24"/>
          <w:szCs w:val="24"/>
        </w:rPr>
        <w:t>Major &amp; Machin, 2018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, whereas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 xml:space="preserve"> are unable to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afford private schooling</w:t>
      </w:r>
      <w:r w:rsidR="00A0069F" w:rsidRPr="002763E4">
        <w:rPr>
          <w:rFonts w:ascii="Times New Roman" w:hAnsi="Times New Roman" w:cs="Times New Roman"/>
          <w:bCs/>
          <w:sz w:val="24"/>
          <w:szCs w:val="24"/>
        </w:rPr>
        <w:t>, as annual fees are approximately 50% of the median UK household income (Green et al., 2017b).</w:t>
      </w:r>
      <w:r w:rsidR="00FC0DE6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Private schooling has benefits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including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access to a wider range of subjects, increased likelihood of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acceptance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to Russell Group universities, and increased chance of holding high-status and high-paying occupation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such as a judge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demonstrating unequal access to opportunities experienced by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lower SES students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B043CA" w:rsidRPr="002763E4">
        <w:rPr>
          <w:rFonts w:ascii="Times New Roman" w:hAnsi="Times New Roman" w:cs="Times New Roman"/>
          <w:bCs/>
          <w:sz w:val="24"/>
          <w:szCs w:val="24"/>
        </w:rPr>
        <w:t xml:space="preserve">Green et al., 2017a; Green et al, 2017b; 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>Henderson et al., 2020; Reeves et al., 2017</w:t>
      </w:r>
      <w:r w:rsidR="00B043CA" w:rsidRPr="002763E4">
        <w:rPr>
          <w:rFonts w:ascii="Times New Roman" w:hAnsi="Times New Roman" w:cs="Times New Roman"/>
          <w:bCs/>
          <w:sz w:val="24"/>
          <w:szCs w:val="24"/>
        </w:rPr>
        <w:t>; Sullivan et al., 2017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547A0D8E" w14:textId="6229F8BF" w:rsidR="00DA4A5A" w:rsidRPr="002763E4" w:rsidRDefault="00DA4A5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Material deprivation 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>further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contributes to educational class inequality as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are often confined to living in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affordable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areas, whereas </w:t>
      </w:r>
      <w:r w:rsidR="0074310D" w:rsidRPr="002763E4">
        <w:rPr>
          <w:rFonts w:ascii="Times New Roman" w:hAnsi="Times New Roman" w:cs="Times New Roman"/>
          <w:bCs/>
          <w:sz w:val="24"/>
          <w:szCs w:val="24"/>
        </w:rPr>
        <w:t>middle-class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families with greater wealth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can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choose to live in areas with schools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 xml:space="preserve"> with better ratings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A526BA" w:rsidRPr="002763E4">
        <w:rPr>
          <w:rFonts w:ascii="Times New Roman" w:hAnsi="Times New Roman" w:cs="Times New Roman"/>
          <w:bCs/>
          <w:sz w:val="24"/>
          <w:szCs w:val="24"/>
        </w:rPr>
        <w:t>and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greater funding and facilities (</w:t>
      </w:r>
      <w:r w:rsidR="00861D38" w:rsidRPr="002763E4">
        <w:rPr>
          <w:rFonts w:ascii="Times New Roman" w:hAnsi="Times New Roman" w:cs="Times New Roman"/>
          <w:bCs/>
          <w:sz w:val="24"/>
          <w:szCs w:val="24"/>
        </w:rPr>
        <w:t>Allen, 2007; Gibbons &amp; Machin, 2003; Hobbs, 2016; West, Barham, &amp; Hind, 2011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Wood et al. (2020)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evidenced </w:t>
      </w:r>
      <w:r w:rsidR="00CD67DC" w:rsidRPr="002763E4">
        <w:rPr>
          <w:rFonts w:ascii="Times New Roman" w:hAnsi="Times New Roman" w:cs="Times New Roman"/>
          <w:bCs/>
          <w:sz w:val="24"/>
          <w:szCs w:val="24"/>
        </w:rPr>
        <w:t>the impact of this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>analys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ing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6,264 FSM students’ responses to the 2019 National Literacy Trust Annual Literacy Survey and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finding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</w:t>
      </w:r>
      <w:r w:rsidR="00EC1C43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D95358" w:rsidRPr="002763E4">
        <w:rPr>
          <w:rFonts w:ascii="Times New Roman" w:hAnsi="Times New Roman" w:cs="Times New Roman"/>
          <w:bCs/>
          <w:sz w:val="24"/>
          <w:szCs w:val="24"/>
        </w:rPr>
        <w:t xml:space="preserve">with access to school libraries were more confident in their reading and writing abilities, gained more enjoyment from reading, and engaged with more diverse material.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These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material factors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impact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’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access to opportunities to enrich their education, contributing to inequality of educational </w:t>
      </w:r>
      <w:r w:rsidR="00E13D20" w:rsidRPr="002763E4">
        <w:rPr>
          <w:rFonts w:ascii="Times New Roman" w:hAnsi="Times New Roman" w:cs="Times New Roman"/>
          <w:bCs/>
          <w:sz w:val="24"/>
          <w:szCs w:val="24"/>
        </w:rPr>
        <w:t>outcomes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7C7C03FA" w14:textId="4A7A3421" w:rsidR="001B26BD" w:rsidRPr="002763E4" w:rsidRDefault="005E21F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The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effect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material deprivation on school selection begins to address the impact of the school environment on the attainment gap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>. H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owever,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Shaw et al. (2017) found 88% of the FSM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GCSE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>attainment gap was attributed to within-school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 rather than between-school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 factors, suggesting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the impact of material deprivation on school selection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 xml:space="preserve"> only accounts for a small segment of the gap. As within-school factors are so impactful, it is useful to consider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interactionist theories, such as 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>labelling theory (</w:t>
      </w:r>
      <w:r w:rsidR="00A81272" w:rsidRPr="002763E4">
        <w:rPr>
          <w:rFonts w:ascii="Times New Roman" w:hAnsi="Times New Roman" w:cs="Times New Roman"/>
          <w:bCs/>
          <w:sz w:val="24"/>
          <w:szCs w:val="24"/>
        </w:rPr>
        <w:t xml:space="preserve">Becker, </w:t>
      </w:r>
      <w:r w:rsidR="008243A6" w:rsidRPr="002763E4">
        <w:rPr>
          <w:rFonts w:ascii="Times New Roman" w:hAnsi="Times New Roman" w:cs="Times New Roman"/>
          <w:bCs/>
          <w:sz w:val="24"/>
          <w:szCs w:val="24"/>
        </w:rPr>
        <w:t>1963,1984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 xml:space="preserve">). Labelling theory proposes 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 xml:space="preserve">social actors have perceptions of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others 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 xml:space="preserve">and give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them positive or negative l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>abels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 which the labelled person internalises and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acts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 according to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4344E3" w:rsidRPr="002763E4">
        <w:rPr>
          <w:rFonts w:ascii="Times New Roman" w:hAnsi="Times New Roman" w:cs="Times New Roman"/>
          <w:bCs/>
          <w:sz w:val="24"/>
          <w:szCs w:val="24"/>
        </w:rPr>
        <w:t xml:space="preserve">Becker, 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>1966</w:t>
      </w:r>
      <w:r w:rsidR="004344E3" w:rsidRPr="002763E4">
        <w:rPr>
          <w:rFonts w:ascii="Times New Roman" w:hAnsi="Times New Roman" w:cs="Times New Roman"/>
          <w:bCs/>
          <w:sz w:val="24"/>
          <w:szCs w:val="24"/>
        </w:rPr>
        <w:t>; Goldman, 2021</w:t>
      </w:r>
      <w:r w:rsidR="004B2EA1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This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cycle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is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sometimes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called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the ‘self-fulfilling prophecy’ (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Merton, 1947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W</w:t>
      </w:r>
      <w:r w:rsidR="000161D1" w:rsidRPr="002763E4">
        <w:rPr>
          <w:rFonts w:ascii="Times New Roman" w:hAnsi="Times New Roman" w:cs="Times New Roman"/>
          <w:bCs/>
          <w:sz w:val="24"/>
          <w:szCs w:val="24"/>
        </w:rPr>
        <w:t>ithin education, Becker (1984) believed teachers’ perceptions and labels were informed by their idea of the ‘ideal pupil’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 ‘ideal pupil’ is middle-class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polite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speak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 well,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dresses smartly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(Becker, 1963, 1984</w:t>
      </w:r>
      <w:r w:rsidR="00503A0D" w:rsidRPr="002763E4">
        <w:rPr>
          <w:rFonts w:ascii="Times New Roman" w:hAnsi="Times New Roman" w:cs="Times New Roman"/>
          <w:bCs/>
          <w:sz w:val="24"/>
          <w:szCs w:val="24"/>
        </w:rPr>
        <w:t>; Hempel‐Jorgensen, 2009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This reflects the ideas of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(Bourdieu, 1973, 1986) and Berstein’s elaborate and restricted language codes (Bernstein, 1962; 1986; 2003). Bernstein suggests the elaborate code, with a greater variety of vocabulary and syntax, is the language code used by the middle-class and is deemed to be the appropriate code within education (Bernstein, 1962; 1986; 2003). As teachers are predominantly middle-class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pupils with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cultural capital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and elaborated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 xml:space="preserve">language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are seen as the ‘ideal pupil’ (Becker, 1963, 1984; Hempel-Jorgensen, 2009).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Working-class pupils, on the other hand, are seen as deviant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and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branded as such (</w:t>
      </w:r>
      <w:r w:rsidR="00ED721A" w:rsidRPr="002763E4">
        <w:rPr>
          <w:rFonts w:ascii="Times New Roman" w:hAnsi="Times New Roman" w:cs="Times New Roman"/>
          <w:bCs/>
          <w:sz w:val="24"/>
          <w:szCs w:val="24"/>
        </w:rPr>
        <w:t>Becker, 1963, 1984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; Hempel-Jorgensen, 2009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390CBF2D" w14:textId="4E454E34" w:rsidR="00DA4A5A" w:rsidRPr="002763E4" w:rsidRDefault="007037B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Plenty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of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evidence 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>to support</w:t>
      </w:r>
      <w:r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452249" w:rsidRPr="002763E4">
        <w:rPr>
          <w:rFonts w:ascii="Times New Roman" w:hAnsi="Times New Roman" w:cs="Times New Roman"/>
          <w:bCs/>
          <w:sz w:val="24"/>
          <w:szCs w:val="24"/>
        </w:rPr>
        <w:t xml:space="preserve"> these claims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F75A41" w:rsidRPr="002763E4">
        <w:rPr>
          <w:rFonts w:ascii="Times New Roman" w:hAnsi="Times New Roman" w:cs="Times New Roman"/>
          <w:bCs/>
          <w:sz w:val="24"/>
          <w:szCs w:val="24"/>
        </w:rPr>
        <w:t xml:space="preserve">Auwarter &amp; </w:t>
      </w:r>
      <w:proofErr w:type="spellStart"/>
      <w:r w:rsidR="00F75A41" w:rsidRPr="002763E4">
        <w:rPr>
          <w:rFonts w:ascii="Times New Roman" w:hAnsi="Times New Roman" w:cs="Times New Roman"/>
          <w:bCs/>
          <w:sz w:val="24"/>
          <w:szCs w:val="24"/>
        </w:rPr>
        <w:t>Aruguete</w:t>
      </w:r>
      <w:proofErr w:type="spellEnd"/>
      <w:r w:rsidR="00F75A41" w:rsidRPr="002763E4">
        <w:rPr>
          <w:rFonts w:ascii="Times New Roman" w:hAnsi="Times New Roman" w:cs="Times New Roman"/>
          <w:bCs/>
          <w:sz w:val="24"/>
          <w:szCs w:val="24"/>
        </w:rPr>
        <w:t>, 2008</w:t>
      </w:r>
      <w:r w:rsidR="008B5DF8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445118" w:rsidRPr="002763E4">
        <w:rPr>
          <w:rFonts w:ascii="Times New Roman" w:hAnsi="Times New Roman" w:cs="Times New Roman"/>
          <w:bCs/>
          <w:sz w:val="24"/>
          <w:szCs w:val="24"/>
        </w:rPr>
        <w:t>Brandmiller</w:t>
      </w:r>
      <w:proofErr w:type="spellEnd"/>
      <w:r w:rsidR="00445118" w:rsidRPr="002763E4">
        <w:rPr>
          <w:rFonts w:ascii="Times New Roman" w:hAnsi="Times New Roman" w:cs="Times New Roman"/>
          <w:bCs/>
          <w:sz w:val="24"/>
          <w:szCs w:val="24"/>
        </w:rPr>
        <w:t xml:space="preserve">, Dumont, &amp; Becker, 2020; </w:t>
      </w:r>
      <w:proofErr w:type="spellStart"/>
      <w:r w:rsidR="008B5DF8" w:rsidRPr="002763E4">
        <w:rPr>
          <w:rFonts w:ascii="Times New Roman" w:hAnsi="Times New Roman" w:cs="Times New Roman"/>
          <w:bCs/>
          <w:sz w:val="24"/>
          <w:szCs w:val="24"/>
        </w:rPr>
        <w:t>Elhoweris</w:t>
      </w:r>
      <w:proofErr w:type="spellEnd"/>
      <w:r w:rsidR="008B5DF8" w:rsidRPr="002763E4">
        <w:rPr>
          <w:rFonts w:ascii="Times New Roman" w:hAnsi="Times New Roman" w:cs="Times New Roman"/>
          <w:bCs/>
          <w:sz w:val="24"/>
          <w:szCs w:val="24"/>
        </w:rPr>
        <w:t xml:space="preserve">, 2008; Glock et al., 2013; Glock &amp; Krolak-Schwerdt, 2014; 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Ready &amp; Wright, 2011; </w:t>
      </w:r>
      <w:proofErr w:type="spellStart"/>
      <w:r w:rsidR="008B5DF8" w:rsidRPr="002763E4">
        <w:rPr>
          <w:rFonts w:ascii="Times New Roman" w:hAnsi="Times New Roman" w:cs="Times New Roman"/>
          <w:bCs/>
          <w:sz w:val="24"/>
          <w:szCs w:val="24"/>
        </w:rPr>
        <w:t>Speybroeck</w:t>
      </w:r>
      <w:proofErr w:type="spellEnd"/>
      <w:r w:rsidR="008B5DF8" w:rsidRPr="002763E4">
        <w:rPr>
          <w:rFonts w:ascii="Times New Roman" w:hAnsi="Times New Roman" w:cs="Times New Roman"/>
          <w:bCs/>
          <w:sz w:val="24"/>
          <w:szCs w:val="24"/>
        </w:rPr>
        <w:t xml:space="preserve"> et al., 2012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445118" w:rsidRPr="002763E4">
        <w:rPr>
          <w:rFonts w:ascii="Times New Roman" w:hAnsi="Times New Roman" w:cs="Times New Roman"/>
          <w:bCs/>
          <w:sz w:val="24"/>
          <w:szCs w:val="24"/>
        </w:rPr>
        <w:t>. F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or example</w:t>
      </w:r>
      <w:r w:rsidR="00864D17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proofErr w:type="spellStart"/>
      <w:r w:rsidR="003879AB" w:rsidRPr="002763E4">
        <w:rPr>
          <w:rFonts w:ascii="Times New Roman" w:hAnsi="Times New Roman" w:cs="Times New Roman"/>
          <w:bCs/>
          <w:sz w:val="24"/>
          <w:szCs w:val="24"/>
        </w:rPr>
        <w:t>Auwater</w:t>
      </w:r>
      <w:proofErr w:type="spellEnd"/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and </w:t>
      </w:r>
      <w:proofErr w:type="spellStart"/>
      <w:r w:rsidR="003879AB" w:rsidRPr="002763E4">
        <w:rPr>
          <w:rFonts w:ascii="Times New Roman" w:hAnsi="Times New Roman" w:cs="Times New Roman"/>
          <w:bCs/>
          <w:sz w:val="24"/>
          <w:szCs w:val="24"/>
        </w:rPr>
        <w:t>Aruguete</w:t>
      </w:r>
      <w:proofErr w:type="spellEnd"/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>2008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randomly allocated teachers the same passage about a </w:t>
      </w:r>
      <w:r w:rsidRPr="002763E4">
        <w:rPr>
          <w:rFonts w:ascii="Times New Roman" w:hAnsi="Times New Roman" w:cs="Times New Roman"/>
          <w:bCs/>
          <w:sz w:val="24"/>
          <w:szCs w:val="24"/>
        </w:rPr>
        <w:t>student’s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academic ability and behaviour but gave some students high SES and others low SES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.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t xml:space="preserve"> They asked teachers about </w:t>
      </w:r>
      <w:r w:rsidR="003879AB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their views on 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proofErr w:type="gramStart"/>
      <w:r w:rsidR="008756F1" w:rsidRPr="002763E4">
        <w:rPr>
          <w:rFonts w:ascii="Times New Roman" w:hAnsi="Times New Roman" w:cs="Times New Roman"/>
          <w:bCs/>
          <w:sz w:val="24"/>
          <w:szCs w:val="24"/>
        </w:rPr>
        <w:t>future prospects</w:t>
      </w:r>
      <w:proofErr w:type="gramEnd"/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 of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the students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 and found teachers h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eld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 more negative attitudes about low SES students and had lower expectations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>of them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>. This was especially true for low SES boys, demonstrating intersectionality, with multiple identities interacting to create unique experiences of inequality (</w:t>
      </w:r>
      <w:r w:rsidR="00F17B59" w:rsidRPr="002763E4">
        <w:rPr>
          <w:rFonts w:ascii="Times New Roman" w:hAnsi="Times New Roman" w:cs="Times New Roman"/>
          <w:sz w:val="24"/>
          <w:szCs w:val="24"/>
        </w:rPr>
        <w:t>Cho, Crenshaw, &amp; McCall, 2013; Crenshaw, 1989, 1991, 1997; Nash, 2008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The effect has also been demonstrated in naturalistic studies, for instance, </w:t>
      </w:r>
      <w:proofErr w:type="spellStart"/>
      <w:r w:rsidR="001B26BD" w:rsidRPr="002763E4">
        <w:rPr>
          <w:rFonts w:ascii="Times New Roman" w:hAnsi="Times New Roman" w:cs="Times New Roman"/>
          <w:bCs/>
          <w:sz w:val="24"/>
          <w:szCs w:val="24"/>
        </w:rPr>
        <w:t>Brandmiller</w:t>
      </w:r>
      <w:proofErr w:type="spellEnd"/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et al. (2020) analysed data from 4746</w:t>
      </w:r>
      <w:r w:rsidR="008756F1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>students in 4</w:t>
      </w:r>
      <w:r w:rsidR="001B26BD" w:rsidRPr="002763E4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grade in Germany. They compared teacher perceptions to actual standardized achievement tests and found teachers underestimated the cognitive skills and motivation of lower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>. Gender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and immigration status also impacted perceptions, further demonstrating the importance of intersectionality (</w:t>
      </w:r>
      <w:r w:rsidR="00F17B59" w:rsidRPr="002763E4">
        <w:rPr>
          <w:rFonts w:ascii="Times New Roman" w:hAnsi="Times New Roman" w:cs="Times New Roman"/>
          <w:bCs/>
          <w:sz w:val="24"/>
          <w:szCs w:val="24"/>
        </w:rPr>
        <w:t>Crenshaw, 1989, 1991, 1997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However, 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whilst there is great support for labelling theory, very few of the </w:t>
      </w:r>
      <w:proofErr w:type="gramStart"/>
      <w:r w:rsidR="001B26BD" w:rsidRPr="002763E4">
        <w:rPr>
          <w:rFonts w:ascii="Times New Roman" w:hAnsi="Times New Roman" w:cs="Times New Roman"/>
          <w:bCs/>
          <w:sz w:val="24"/>
          <w:szCs w:val="24"/>
        </w:rPr>
        <w:t>aforementioned studies</w:t>
      </w:r>
      <w:proofErr w:type="gramEnd"/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are UK-based and none refer to FSM students explicitly. This could have been an area for future research, however</w:t>
      </w:r>
      <w:r w:rsidR="00F17B59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1B26BD" w:rsidRPr="002763E4">
        <w:rPr>
          <w:rFonts w:ascii="Times New Roman" w:hAnsi="Times New Roman" w:cs="Times New Roman"/>
          <w:bCs/>
          <w:sz w:val="24"/>
          <w:szCs w:val="24"/>
        </w:rPr>
        <w:t xml:space="preserve"> due to the issues with using FSM as a future measure,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 future UK research should look to alternative measures </w:t>
      </w:r>
      <w:r w:rsidR="002D2980" w:rsidRPr="002763E4">
        <w:rPr>
          <w:rFonts w:ascii="Times New Roman" w:hAnsi="Times New Roman" w:cs="Times New Roman"/>
          <w:bCs/>
          <w:sz w:val="24"/>
          <w:szCs w:val="24"/>
        </w:rPr>
        <w:t xml:space="preserve">of SES 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such as living in social housing or a postcode in the lower quintiles of the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Indices of Multiple Deprivation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F17B59" w:rsidRPr="002763E4">
        <w:rPr>
          <w:rFonts w:ascii="Times New Roman" w:hAnsi="Times New Roman" w:cs="Times New Roman"/>
          <w:bCs/>
          <w:sz w:val="24"/>
          <w:szCs w:val="24"/>
        </w:rPr>
        <w:t>Kaye, 2024; McCartney et al., 2023; Noble et al., 2006</w:t>
      </w:r>
      <w:r w:rsidR="008E4574" w:rsidRPr="002763E4">
        <w:rPr>
          <w:rFonts w:ascii="Times New Roman" w:hAnsi="Times New Roman" w:cs="Times New Roman"/>
          <w:bCs/>
          <w:sz w:val="24"/>
          <w:szCs w:val="24"/>
        </w:rPr>
        <w:t xml:space="preserve">).  Furthermore, 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>Becker (</w:t>
      </w:r>
      <w:r w:rsidR="0066278B" w:rsidRPr="002763E4">
        <w:rPr>
          <w:rFonts w:ascii="Times New Roman" w:hAnsi="Times New Roman" w:cs="Times New Roman"/>
          <w:bCs/>
          <w:sz w:val="24"/>
          <w:szCs w:val="24"/>
        </w:rPr>
        <w:t>1984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)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states</w:t>
      </w:r>
      <w:r w:rsidR="005E21F8" w:rsidRPr="002763E4">
        <w:rPr>
          <w:rFonts w:ascii="Times New Roman" w:hAnsi="Times New Roman" w:cs="Times New Roman"/>
          <w:bCs/>
          <w:sz w:val="24"/>
          <w:szCs w:val="24"/>
        </w:rPr>
        <w:t xml:space="preserve"> labelling theory cannot account for the entire effect and is to be used in conjunction with other theories. </w:t>
      </w:r>
    </w:p>
    <w:p w14:paraId="1B9DE371" w14:textId="53D60D03" w:rsidR="00570051" w:rsidRPr="002763E4" w:rsidRDefault="0057005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Thus far, </w:t>
      </w:r>
      <w:r w:rsidR="00ED721A" w:rsidRPr="002763E4">
        <w:rPr>
          <w:rFonts w:ascii="Times New Roman" w:hAnsi="Times New Roman" w:cs="Times New Roman"/>
          <w:bCs/>
          <w:sz w:val="24"/>
          <w:szCs w:val="24"/>
        </w:rPr>
        <w:t xml:space="preserve">evidence for social class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educational inequalities</w:t>
      </w:r>
      <w:r w:rsidR="00ED721A" w:rsidRPr="002763E4">
        <w:rPr>
          <w:rFonts w:ascii="Times New Roman" w:hAnsi="Times New Roman" w:cs="Times New Roman"/>
          <w:bCs/>
          <w:sz w:val="24"/>
          <w:szCs w:val="24"/>
        </w:rPr>
        <w:t xml:space="preserve"> has been provided and theories and supporting evidence have been explored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, but it is also important to consider the impact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of the attainment gap 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to appreciate the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full 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extent of this inequality. As aforementioned, 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fewer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attend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HE (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>Lim, 2024; Martin, 2023; Pickering, 2019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>). HE has an impact on future earnings</w:t>
      </w:r>
      <w:r w:rsidR="007037B3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life satisfaction</w:t>
      </w:r>
      <w:r w:rsidR="00375E25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and wellbeing (</w:t>
      </w:r>
      <w:r w:rsidR="00375E25" w:rsidRPr="002763E4">
        <w:rPr>
          <w:rFonts w:ascii="Times New Roman" w:hAnsi="Times New Roman" w:cs="Times New Roman"/>
          <w:bCs/>
          <w:sz w:val="24"/>
          <w:szCs w:val="24"/>
        </w:rPr>
        <w:t xml:space="preserve">Britton et al., 2020; </w:t>
      </w:r>
      <w:r w:rsidR="00E517E3" w:rsidRPr="002763E4">
        <w:rPr>
          <w:rFonts w:ascii="Times New Roman" w:hAnsi="Times New Roman" w:cs="Times New Roman"/>
          <w:bCs/>
          <w:sz w:val="24"/>
          <w:szCs w:val="24"/>
        </w:rPr>
        <w:t xml:space="preserve">Duta, </w:t>
      </w:r>
      <w:proofErr w:type="spellStart"/>
      <w:r w:rsidR="00E517E3" w:rsidRPr="002763E4">
        <w:rPr>
          <w:rFonts w:ascii="Times New Roman" w:hAnsi="Times New Roman" w:cs="Times New Roman"/>
          <w:bCs/>
          <w:sz w:val="24"/>
          <w:szCs w:val="24"/>
        </w:rPr>
        <w:t>Wielgoszewska</w:t>
      </w:r>
      <w:proofErr w:type="spellEnd"/>
      <w:r w:rsidR="00E517E3" w:rsidRPr="002763E4">
        <w:rPr>
          <w:rFonts w:ascii="Times New Roman" w:hAnsi="Times New Roman" w:cs="Times New Roman"/>
          <w:bCs/>
          <w:sz w:val="24"/>
          <w:szCs w:val="24"/>
        </w:rPr>
        <w:t xml:space="preserve">, &amp; Iannelli, 2021; Herbert, 2020; Hewitt, 2020; </w:t>
      </w:r>
      <w:r w:rsidR="00375E25" w:rsidRPr="002763E4">
        <w:rPr>
          <w:rFonts w:ascii="Times New Roman" w:hAnsi="Times New Roman" w:cs="Times New Roman"/>
          <w:bCs/>
          <w:sz w:val="24"/>
          <w:szCs w:val="24"/>
        </w:rPr>
        <w:t xml:space="preserve">Papi &amp; Cheraghi, 2021).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This therefore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 xml:space="preserve"> inhibits social mobility (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>DiPrete, 2020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>). Social mobility refers to one’s ability to move between social classes (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 xml:space="preserve">Heath &amp; Li, 2023; Ingram &amp; </w:t>
      </w:r>
      <w:proofErr w:type="spellStart"/>
      <w:r w:rsidR="00FF3944" w:rsidRPr="002763E4">
        <w:rPr>
          <w:rFonts w:ascii="Times New Roman" w:hAnsi="Times New Roman" w:cs="Times New Roman"/>
          <w:bCs/>
          <w:sz w:val="24"/>
          <w:szCs w:val="24"/>
        </w:rPr>
        <w:t>Gamsu</w:t>
      </w:r>
      <w:proofErr w:type="spellEnd"/>
      <w:r w:rsidR="00FF3944" w:rsidRPr="002763E4">
        <w:rPr>
          <w:rFonts w:ascii="Times New Roman" w:hAnsi="Times New Roman" w:cs="Times New Roman"/>
          <w:bCs/>
          <w:sz w:val="24"/>
          <w:szCs w:val="24"/>
        </w:rPr>
        <w:t>, 2022; Jin &amp; Ball, 2020</w:t>
      </w:r>
      <w:r w:rsidR="003A1146" w:rsidRPr="002763E4">
        <w:rPr>
          <w:rFonts w:ascii="Times New Roman" w:hAnsi="Times New Roman" w:cs="Times New Roman"/>
          <w:bCs/>
          <w:sz w:val="24"/>
          <w:szCs w:val="24"/>
        </w:rPr>
        <w:t>).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If educational class 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inequalities persist, low SES students will be unable to access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higher-earning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occupations, meaning social mobility cannot be achieved. However, Brown and James (202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0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) argue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addressing 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educational inequality alone is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insufficient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to end class inequality as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 xml:space="preserve">graduate 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job opportunities need to be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expanded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 to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 xml:space="preserve">allow low SES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students </w:t>
      </w:r>
      <w:r w:rsidR="00FF3944" w:rsidRPr="002763E4">
        <w:rPr>
          <w:rFonts w:ascii="Times New Roman" w:hAnsi="Times New Roman" w:cs="Times New Roman"/>
          <w:bCs/>
          <w:sz w:val="24"/>
          <w:szCs w:val="24"/>
        </w:rPr>
        <w:t>equal opportunity to access higher SES roles</w:t>
      </w:r>
      <w:r w:rsidR="009877C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657B6405" w14:textId="576F48B7" w:rsidR="00ED721A" w:rsidRPr="002763E4" w:rsidRDefault="00ED721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Therefore, the impact of social class educational inequalities </w:t>
      </w:r>
      <w:r w:rsidR="00C66633" w:rsidRPr="002763E4">
        <w:rPr>
          <w:rFonts w:ascii="Times New Roman" w:hAnsi="Times New Roman" w:cs="Times New Roman"/>
          <w:bCs/>
          <w:sz w:val="24"/>
          <w:szCs w:val="24"/>
        </w:rPr>
        <w:t>extends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beyond grades and progression to </w:t>
      </w:r>
      <w:r w:rsidR="0057542A" w:rsidRPr="002763E4">
        <w:rPr>
          <w:rFonts w:ascii="Times New Roman" w:hAnsi="Times New Roman" w:cs="Times New Roman"/>
          <w:bCs/>
          <w:sz w:val="24"/>
          <w:szCs w:val="24"/>
        </w:rPr>
        <w:t>HE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and the problem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must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be addressed. 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Demie and Mclean (2016) conducted an ethnographic study in which they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interviewed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teachers in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five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 xml:space="preserve"> primary 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>school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within the London Local Authority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. Selected schools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had high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percentages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FSM 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>students but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were achieving very highly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both academically and in Ofstead ratings. The interviews revealed many strategies used by schools to reduce the attainment gap. These included: employing parents and community 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>members</w:t>
      </w:r>
      <w:r w:rsidR="00E45343" w:rsidRPr="002763E4">
        <w:rPr>
          <w:rFonts w:ascii="Times New Roman" w:hAnsi="Times New Roman" w:cs="Times New Roman"/>
          <w:bCs/>
          <w:sz w:val="24"/>
          <w:szCs w:val="24"/>
        </w:rPr>
        <w:t xml:space="preserve"> in school, </w:t>
      </w:r>
      <w:r w:rsidR="00190CC4" w:rsidRPr="002763E4">
        <w:rPr>
          <w:rFonts w:ascii="Times New Roman" w:hAnsi="Times New Roman" w:cs="Times New Roman"/>
          <w:bCs/>
          <w:sz w:val="24"/>
          <w:szCs w:val="24"/>
        </w:rPr>
        <w:t xml:space="preserve">providing FSM intervention groups with the strongest and most popular teachers,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addressing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pupils’ </w:t>
      </w:r>
      <w:r w:rsidR="00D5393A" w:rsidRPr="002763E4">
        <w:rPr>
          <w:rFonts w:ascii="Times New Roman" w:hAnsi="Times New Roman" w:cs="Times New Roman"/>
          <w:bCs/>
          <w:sz w:val="24"/>
          <w:szCs w:val="24"/>
        </w:rPr>
        <w:t xml:space="preserve">intersecting difficulties such as special educational needs, developing key social and life skills in early years education through fun activities such as gardening, 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and professional development opportunities for staff. The schools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fund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these interventions through strategic spending of the ‘pupil premium’ funding for FSM students to ensure additional staffing and activities are targeted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towards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FSM students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This is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an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example of equitable treatment of FSM students as schools provide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d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additional resources and time to compensate for the lack of resources they may have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at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 home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 xml:space="preserve">Mihai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>et al.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 xml:space="preserve"> 2015</w:t>
      </w:r>
      <w:r w:rsidR="00A46379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61B90EAE" w14:textId="1694970F" w:rsidR="00C66633" w:rsidRPr="002763E4" w:rsidRDefault="00C6663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Demie and Mclean (2016) provide insight into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>successful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methods </w:t>
      </w:r>
      <w:r w:rsidR="00882164" w:rsidRPr="002763E4">
        <w:rPr>
          <w:rFonts w:ascii="Times New Roman" w:hAnsi="Times New Roman" w:cs="Times New Roman"/>
          <w:bCs/>
          <w:sz w:val="24"/>
          <w:szCs w:val="24"/>
        </w:rPr>
        <w:t xml:space="preserve">for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addressing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class inequality in education, however, they lack detail. For example, the importance of professional development and training is emphasised, but what this include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i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s no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t mentioned. One suggestion comes from Hooper (2022). 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Hooper measured teacher bias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towards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low SES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students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using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a survey of attitudes and measurements of how often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FSM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students were referred for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behavioural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discretions. They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delivered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four sessions for teachers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exploring</w:t>
      </w:r>
      <w:r w:rsidR="004B6B7A" w:rsidRPr="002763E4">
        <w:rPr>
          <w:rFonts w:ascii="Times New Roman" w:hAnsi="Times New Roman" w:cs="Times New Roman"/>
          <w:bCs/>
          <w:sz w:val="24"/>
          <w:szCs w:val="24"/>
        </w:rPr>
        <w:t xml:space="preserve"> the experiences of students in poverty, </w:t>
      </w:r>
      <w:r w:rsidR="00A2454D" w:rsidRPr="002763E4">
        <w:rPr>
          <w:rFonts w:ascii="Times New Roman" w:hAnsi="Times New Roman" w:cs="Times New Roman"/>
          <w:bCs/>
          <w:sz w:val="24"/>
          <w:szCs w:val="24"/>
        </w:rPr>
        <w:t xml:space="preserve">asset-based thinking,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 xml:space="preserve">poverty 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myths, and successful classroom strategies. Classroom strategies included setting small,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achievable 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goals for all students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daily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to encourage the feeling of success for all and discussions of the cultural contributions of </w:t>
      </w:r>
      <w:r w:rsidR="00682BD2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people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, representative of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FSM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students’ backgrounds.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The</w:t>
      </w:r>
      <w:r w:rsidR="003118D9" w:rsidRPr="002763E4">
        <w:rPr>
          <w:rFonts w:ascii="Times New Roman" w:hAnsi="Times New Roman" w:cs="Times New Roman"/>
          <w:bCs/>
          <w:sz w:val="24"/>
          <w:szCs w:val="24"/>
        </w:rPr>
        <w:t xml:space="preserve"> sessions </w:t>
      </w:r>
      <w:r w:rsidR="00682BD2" w:rsidRPr="002763E4">
        <w:rPr>
          <w:rFonts w:ascii="Times New Roman" w:hAnsi="Times New Roman" w:cs="Times New Roman"/>
          <w:bCs/>
          <w:sz w:val="24"/>
          <w:szCs w:val="24"/>
        </w:rPr>
        <w:t xml:space="preserve">resulted in a decline in the number and frequency of FSM students’ out-of-classroom discipline, demonstrating a positive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impact </w:t>
      </w:r>
      <w:r w:rsidR="00D60850" w:rsidRPr="002763E4">
        <w:rPr>
          <w:rFonts w:ascii="Times New Roman" w:hAnsi="Times New Roman" w:cs="Times New Roman"/>
          <w:bCs/>
          <w:sz w:val="24"/>
          <w:szCs w:val="24"/>
        </w:rPr>
        <w:t>on inequalities</w:t>
      </w:r>
      <w:r w:rsidR="00682BD2" w:rsidRPr="002763E4">
        <w:rPr>
          <w:rFonts w:ascii="Times New Roman" w:hAnsi="Times New Roman" w:cs="Times New Roman"/>
          <w:bCs/>
          <w:sz w:val="24"/>
          <w:szCs w:val="24"/>
        </w:rPr>
        <w:t>.</w:t>
      </w:r>
    </w:p>
    <w:p w14:paraId="35C86082" w14:textId="091B45C6" w:rsidR="00441692" w:rsidRPr="002763E4" w:rsidRDefault="00682B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Furthermore, widening participation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(WP) </w:t>
      </w:r>
      <w:r w:rsidRPr="002763E4">
        <w:rPr>
          <w:rFonts w:ascii="Times New Roman" w:hAnsi="Times New Roman" w:cs="Times New Roman"/>
          <w:bCs/>
          <w:sz w:val="24"/>
          <w:szCs w:val="24"/>
        </w:rPr>
        <w:t>interventions aim to reduce class inequality within HE (Baines, Gooch, &amp; Knight, 2024</w:t>
      </w:r>
      <w:r w:rsidR="00C20F18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proofErr w:type="spellStart"/>
      <w:r w:rsidR="00C404C4" w:rsidRPr="002763E4">
        <w:rPr>
          <w:rFonts w:ascii="Times New Roman" w:hAnsi="Times New Roman" w:cs="Times New Roman"/>
          <w:bCs/>
          <w:sz w:val="24"/>
          <w:szCs w:val="24"/>
        </w:rPr>
        <w:t>Chorcora</w:t>
      </w:r>
      <w:proofErr w:type="spellEnd"/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, Bray, &amp; Banks, 2023; Evans et al., 2019; </w:t>
      </w:r>
      <w:r w:rsidR="00C20F18" w:rsidRPr="002763E4">
        <w:rPr>
          <w:rFonts w:ascii="Times New Roman" w:hAnsi="Times New Roman" w:cs="Times New Roman"/>
          <w:bCs/>
          <w:sz w:val="24"/>
          <w:szCs w:val="24"/>
        </w:rPr>
        <w:t xml:space="preserve">Gummesson &amp; Hammarlund, 2024; </w:t>
      </w:r>
      <w:proofErr w:type="spellStart"/>
      <w:r w:rsidR="00C20F18" w:rsidRPr="002763E4">
        <w:rPr>
          <w:rFonts w:ascii="Times New Roman" w:hAnsi="Times New Roman" w:cs="Times New Roman"/>
          <w:bCs/>
          <w:sz w:val="24"/>
          <w:szCs w:val="24"/>
        </w:rPr>
        <w:t>Ravulo</w:t>
      </w:r>
      <w:proofErr w:type="spellEnd"/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et al., </w:t>
      </w:r>
      <w:r w:rsidR="00C20F18" w:rsidRPr="002763E4">
        <w:rPr>
          <w:rFonts w:ascii="Times New Roman" w:hAnsi="Times New Roman" w:cs="Times New Roman"/>
          <w:bCs/>
          <w:sz w:val="24"/>
          <w:szCs w:val="24"/>
        </w:rPr>
        <w:t>2020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>WP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interventions work with primary, secondary, further education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and HE students to encourage participation in university and aid success (</w:t>
      </w:r>
      <w:proofErr w:type="spellStart"/>
      <w:r w:rsidR="00C404C4" w:rsidRPr="002763E4">
        <w:rPr>
          <w:rFonts w:ascii="Times New Roman" w:hAnsi="Times New Roman" w:cs="Times New Roman"/>
          <w:bCs/>
          <w:sz w:val="24"/>
          <w:szCs w:val="24"/>
        </w:rPr>
        <w:t>Ravulo</w:t>
      </w:r>
      <w:proofErr w:type="spellEnd"/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et al., 2020). Pre-entry activities aim to increase knowledge and experience of the HE environment in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low SES groups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 and include activities such as skills workshops, subject tasters, 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mentoring programmes, 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>and summer schools (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Contreras, 2011;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Sanderson &amp; Spacey, 2020;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Smith et al., 2013</w:t>
      </w:r>
      <w:r w:rsidR="00C404C4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Bowes et al. (2019) demonstrated that interventions should be used in conjunction as students who attended more WP activities saw greater benefits.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Moreover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, activities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involving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current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university 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students can be particularly beneficial for working-class males, as Baars, Mulcahy and Bernardes (2016) found these students preferred knowledge and advice from peers.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 xml:space="preserve">Summer schools,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especially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, have been shown to increase feelings of comfort and belonging in the university environment (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Barkat, 2019;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Hatt, Baxter, &amp;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Tate, 2009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; 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 xml:space="preserve">Pedler, Willis, &amp; Nieuwoudt, 2022; 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 xml:space="preserve">Rubin, 2012; 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>Wong, Glen, &amp; Williams, 2019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 xml:space="preserve">), which can encourage applications 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>a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>nd enable retention (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>O’Keeffe, 2013; Pedler et al., 2022</w:t>
      </w:r>
      <w:r w:rsidR="00F63855"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EE18BF" w:rsidRPr="002763E4">
        <w:rPr>
          <w:rFonts w:ascii="Times New Roman" w:hAnsi="Times New Roman" w:cs="Times New Roman"/>
          <w:bCs/>
          <w:sz w:val="24"/>
          <w:szCs w:val="24"/>
        </w:rPr>
        <w:t>For example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EE18BF" w:rsidRPr="002763E4">
        <w:rPr>
          <w:rFonts w:ascii="Times New Roman" w:hAnsi="Times New Roman" w:cs="Times New Roman"/>
          <w:bCs/>
          <w:sz w:val="24"/>
          <w:szCs w:val="24"/>
        </w:rPr>
        <w:t xml:space="preserve"> Barkat (2019) found low SES students who had attended a WP summer school had increased academic attainment and entry </w:t>
      </w:r>
      <w:r w:rsidR="00EE18BF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rates to Russell Group universities. 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 xml:space="preserve">Therefore, policies from HE </w:t>
      </w:r>
      <w:proofErr w:type="gramStart"/>
      <w:r w:rsidR="00BA4325" w:rsidRPr="002763E4">
        <w:rPr>
          <w:rFonts w:ascii="Times New Roman" w:hAnsi="Times New Roman" w:cs="Times New Roman"/>
          <w:bCs/>
          <w:sz w:val="24"/>
          <w:szCs w:val="24"/>
        </w:rPr>
        <w:t>governing</w:t>
      </w:r>
      <w:proofErr w:type="gramEnd"/>
      <w:r w:rsidR="00BA4325" w:rsidRPr="002763E4">
        <w:rPr>
          <w:rFonts w:ascii="Times New Roman" w:hAnsi="Times New Roman" w:cs="Times New Roman"/>
          <w:bCs/>
          <w:sz w:val="24"/>
          <w:szCs w:val="24"/>
        </w:rPr>
        <w:t xml:space="preserve"> bodies such as </w:t>
      </w:r>
      <w:proofErr w:type="spellStart"/>
      <w:r w:rsidR="00BA4325" w:rsidRPr="002763E4">
        <w:rPr>
          <w:rFonts w:ascii="Times New Roman" w:hAnsi="Times New Roman" w:cs="Times New Roman"/>
          <w:bCs/>
          <w:sz w:val="24"/>
          <w:szCs w:val="24"/>
        </w:rPr>
        <w:t>Medr</w:t>
      </w:r>
      <w:proofErr w:type="spellEnd"/>
      <w:r w:rsidR="00BA4325" w:rsidRPr="002763E4">
        <w:rPr>
          <w:rFonts w:ascii="Times New Roman" w:hAnsi="Times New Roman" w:cs="Times New Roman"/>
          <w:bCs/>
          <w:sz w:val="24"/>
          <w:szCs w:val="24"/>
        </w:rPr>
        <w:t xml:space="preserve"> and Higher Education Funding Council for England </w:t>
      </w:r>
      <w:r w:rsidR="00F67640" w:rsidRPr="002763E4">
        <w:rPr>
          <w:rFonts w:ascii="Times New Roman" w:hAnsi="Times New Roman" w:cs="Times New Roman"/>
          <w:bCs/>
          <w:sz w:val="24"/>
          <w:szCs w:val="24"/>
        </w:rPr>
        <w:t>are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 xml:space="preserve"> crucial in ensuring HE institutions commit funding to </w:t>
      </w:r>
      <w:r w:rsidR="00925F78" w:rsidRPr="002763E4">
        <w:rPr>
          <w:rFonts w:ascii="Times New Roman" w:hAnsi="Times New Roman" w:cs="Times New Roman"/>
          <w:bCs/>
          <w:sz w:val="24"/>
          <w:szCs w:val="24"/>
        </w:rPr>
        <w:t xml:space="preserve">these 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>programmes (Nesom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 et al.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 2024</w:t>
      </w:r>
      <w:r w:rsidR="00BA4325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. However, </w:t>
      </w:r>
      <w:r w:rsidR="001206EF" w:rsidRPr="002763E4">
        <w:rPr>
          <w:rFonts w:ascii="Times New Roman" w:hAnsi="Times New Roman" w:cs="Times New Roman"/>
          <w:bCs/>
          <w:sz w:val="24"/>
          <w:szCs w:val="24"/>
        </w:rPr>
        <w:t>there are few empirical studies on the effectiveness of these interventions, identifying an area for future research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 xml:space="preserve"> (Bowes et al., 2019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>; Younger et al., 2019</w:t>
      </w:r>
      <w:r w:rsidR="00C529B6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A247D6"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</w:p>
    <w:p w14:paraId="70CAA75E" w14:textId="52026D01" w:rsidR="008F1CFE" w:rsidRPr="002763E4" w:rsidRDefault="00F6764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>U</w:t>
      </w:r>
      <w:r w:rsidR="00441692" w:rsidRPr="002763E4">
        <w:rPr>
          <w:rFonts w:ascii="Times New Roman" w:hAnsi="Times New Roman" w:cs="Times New Roman"/>
          <w:bCs/>
          <w:sz w:val="24"/>
          <w:szCs w:val="24"/>
        </w:rPr>
        <w:t xml:space="preserve">niversities can also contribute to WP for low SES students during the admissions process through contextual offers (Boliver, </w:t>
      </w:r>
      <w:proofErr w:type="spellStart"/>
      <w:r w:rsidR="00441692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441692" w:rsidRPr="002763E4">
        <w:rPr>
          <w:rFonts w:ascii="Times New Roman" w:hAnsi="Times New Roman" w:cs="Times New Roman"/>
          <w:bCs/>
          <w:sz w:val="24"/>
          <w:szCs w:val="24"/>
        </w:rPr>
        <w:t>, &amp; Siddiqui, 2015). Contextual offers are reduced entry requirements for students from underrepresented groups, such as FSM students, to increase the admission of these groups to HE</w:t>
      </w:r>
      <w:r w:rsidR="00AC7754" w:rsidRPr="002763E4">
        <w:rPr>
          <w:rFonts w:ascii="Times New Roman" w:hAnsi="Times New Roman" w:cs="Times New Roman"/>
          <w:bCs/>
          <w:sz w:val="24"/>
          <w:szCs w:val="24"/>
        </w:rPr>
        <w:t xml:space="preserve"> (Boliver et al., 2015; </w:t>
      </w:r>
      <w:proofErr w:type="spellStart"/>
      <w:r w:rsidR="00AC7754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AC7754" w:rsidRPr="002763E4">
        <w:rPr>
          <w:rFonts w:ascii="Times New Roman" w:hAnsi="Times New Roman" w:cs="Times New Roman"/>
          <w:bCs/>
          <w:sz w:val="24"/>
          <w:szCs w:val="24"/>
        </w:rPr>
        <w:t xml:space="preserve"> et al., 2019). There is some concern over whether contextual offers set students up to fail, however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AC7754" w:rsidRPr="002763E4">
        <w:rPr>
          <w:rFonts w:ascii="Times New Roman" w:hAnsi="Times New Roman" w:cs="Times New Roman"/>
          <w:bCs/>
          <w:sz w:val="24"/>
          <w:szCs w:val="24"/>
        </w:rPr>
        <w:t xml:space="preserve"> analysis of degree outcomes of students with contextual offers demonstrates there is no effect on outcomes (Boliver et al., 2017). 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Despite this, contextual offers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require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further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research as they are currently used inconsistently (Boliver et al., 2015; </w:t>
      </w:r>
      <w:proofErr w:type="spellStart"/>
      <w:r w:rsidR="008F1CFE" w:rsidRPr="002763E4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 et al., 2019).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F</w:t>
      </w:r>
      <w:r w:rsidR="008F1CFE" w:rsidRPr="002763E4">
        <w:rPr>
          <w:rFonts w:ascii="Times New Roman" w:hAnsi="Times New Roman" w:cs="Times New Roman"/>
          <w:bCs/>
          <w:sz w:val="24"/>
          <w:szCs w:val="24"/>
        </w:rPr>
        <w:t xml:space="preserve">inancial incentives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such as bursaries for low SES students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can act as alternative practical support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Riddell et al., 2013;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Sanderson &amp; Spacey, 2020). However, research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demonstrates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that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financial incentives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alone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are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insufficient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 to encourage applications to HE, though they are effective at aiding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the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retention of low SES students (</w:t>
      </w:r>
      <w:r w:rsidR="0050188D" w:rsidRPr="002763E4">
        <w:rPr>
          <w:rFonts w:ascii="Times New Roman" w:hAnsi="Times New Roman" w:cs="Times New Roman"/>
          <w:bCs/>
          <w:sz w:val="24"/>
          <w:szCs w:val="24"/>
        </w:rPr>
        <w:t>Baines et al., 2024; Riddell et al., 2013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). Furthermore</w:t>
      </w:r>
      <w:r w:rsidR="0050188D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 xml:space="preserve"> providing low SES students with information about financial support available was an effective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WP </w:t>
      </w:r>
      <w:r w:rsidR="00D87FFC" w:rsidRPr="002763E4">
        <w:rPr>
          <w:rFonts w:ascii="Times New Roman" w:hAnsi="Times New Roman" w:cs="Times New Roman"/>
          <w:bCs/>
          <w:sz w:val="24"/>
          <w:szCs w:val="24"/>
        </w:rPr>
        <w:t>strategy</w:t>
      </w:r>
      <w:r w:rsidR="00260459" w:rsidRPr="002763E4">
        <w:rPr>
          <w:rFonts w:ascii="Times New Roman" w:hAnsi="Times New Roman" w:cs="Times New Roman"/>
          <w:bCs/>
          <w:sz w:val="24"/>
          <w:szCs w:val="24"/>
        </w:rPr>
        <w:t xml:space="preserve"> (Callender and Wilkinson, 2013; Contreras, 2011)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.</w:t>
      </w:r>
    </w:p>
    <w:p w14:paraId="028A9A16" w14:textId="0EAAA377" w:rsidR="008E4574" w:rsidRPr="002763E4" w:rsidRDefault="008E457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2763E4">
        <w:rPr>
          <w:rFonts w:ascii="Times New Roman" w:hAnsi="Times New Roman" w:cs="Times New Roman"/>
          <w:bCs/>
          <w:sz w:val="24"/>
          <w:szCs w:val="24"/>
        </w:rPr>
        <w:t xml:space="preserve">In conclusion,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educational </w:t>
      </w:r>
      <w:r w:rsidRPr="002763E4">
        <w:rPr>
          <w:rFonts w:ascii="Times New Roman" w:hAnsi="Times New Roman" w:cs="Times New Roman"/>
          <w:bCs/>
          <w:sz w:val="24"/>
          <w:szCs w:val="24"/>
        </w:rPr>
        <w:t>class inequality is a persistent problem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Chancel et al., 2022; Dev, 2017; Hurst, Gibbon, and Nurse, 2016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O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utcome inequalities for FSM students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are stark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enduring, and worsening </w:t>
      </w:r>
      <w:r w:rsidRPr="002763E4">
        <w:rPr>
          <w:rFonts w:ascii="Times New Roman" w:hAnsi="Times New Roman" w:cs="Times New Roman"/>
          <w:bCs/>
          <w:sz w:val="24"/>
          <w:szCs w:val="24"/>
        </w:rPr>
        <w:t>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Blanden, Doepke, &amp; Stuhler, 2023; Farquharson et al., 2024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 and whilst inequality of outcome is inevitable (Murshed, 2022), inequality of opportunity needs to be addressed. Marxist and Interactionist theories point to in-school issues as the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 xml:space="preserve">predominant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lastRenderedPageBreak/>
        <w:t>cause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the attainment gap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Becker, 1963,1984; Bernstein, 1962; 1986; 2003; Bourdieu, 1973, 1986</w:t>
      </w:r>
      <w:r w:rsidRPr="002763E4">
        <w:rPr>
          <w:rFonts w:ascii="Times New Roman" w:hAnsi="Times New Roman" w:cs="Times New Roman"/>
          <w:bCs/>
          <w:sz w:val="24"/>
          <w:szCs w:val="24"/>
        </w:rPr>
        <w:t>), however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material deprivation and its effects demonstrate wider social issues that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must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be addressed for students of all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classes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to have equal opportunity to achieve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Blundell et al., 2021; Goudeau et al., 2021; Janda, 2022; Kaye, 2024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Whilst this essay has mainly focused on compulsory education, reference to HE research has demonstrated that class inequality is endemic in all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levels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of the education system (</w:t>
      </w:r>
      <w:r w:rsidR="007A0CBD" w:rsidRPr="002763E4">
        <w:rPr>
          <w:rFonts w:ascii="Times New Roman" w:hAnsi="Times New Roman" w:cs="Times New Roman"/>
          <w:bCs/>
          <w:sz w:val="24"/>
          <w:szCs w:val="24"/>
        </w:rPr>
        <w:t>Lim, 2024; Martin, 2023; Pickering, 2019</w:t>
      </w:r>
      <w:r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,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and interventions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should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tackle all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levels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4714E" w:rsidRPr="002763E4">
        <w:rPr>
          <w:rFonts w:ascii="Times New Roman" w:hAnsi="Times New Roman" w:cs="Times New Roman"/>
          <w:bCs/>
          <w:sz w:val="24"/>
          <w:szCs w:val="24"/>
        </w:rPr>
        <w:t>I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nterventions </w:t>
      </w:r>
      <w:r w:rsidR="0003080D" w:rsidRPr="002763E4">
        <w:rPr>
          <w:rFonts w:ascii="Times New Roman" w:hAnsi="Times New Roman" w:cs="Times New Roman"/>
          <w:bCs/>
          <w:sz w:val="24"/>
          <w:szCs w:val="24"/>
        </w:rPr>
        <w:t>must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go beyond school and </w:t>
      </w:r>
      <w:r w:rsidR="00701875" w:rsidRPr="002763E4">
        <w:rPr>
          <w:rFonts w:ascii="Times New Roman" w:hAnsi="Times New Roman" w:cs="Times New Roman"/>
          <w:bCs/>
          <w:sz w:val="24"/>
          <w:szCs w:val="24"/>
        </w:rPr>
        <w:t>address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structural difficulties that prevent </w:t>
      </w:r>
      <w:r w:rsidR="0024714E" w:rsidRPr="002763E4">
        <w:rPr>
          <w:rFonts w:ascii="Times New Roman" w:hAnsi="Times New Roman" w:cs="Times New Roman"/>
          <w:bCs/>
          <w:sz w:val="24"/>
          <w:szCs w:val="24"/>
        </w:rPr>
        <w:t>working-class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students from achieving</w:t>
      </w:r>
      <w:r w:rsidR="0024714E" w:rsidRPr="002763E4">
        <w:rPr>
          <w:rFonts w:ascii="Times New Roman" w:hAnsi="Times New Roman" w:cs="Times New Roman"/>
          <w:bCs/>
          <w:sz w:val="24"/>
          <w:szCs w:val="24"/>
        </w:rPr>
        <w:t xml:space="preserve"> (Dittman &amp; Stephens, 2017)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In order to achieve equality of opportunity and equity in schools,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teacher biases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must be addressed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>Hooper, 2022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), 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students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should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 be equipped with key skills early (</w:t>
      </w:r>
      <w:r w:rsidR="00EE18BF" w:rsidRPr="002763E4">
        <w:rPr>
          <w:rFonts w:ascii="Times New Roman" w:hAnsi="Times New Roman" w:cs="Times New Roman"/>
          <w:bCs/>
          <w:sz w:val="24"/>
          <w:szCs w:val="24"/>
        </w:rPr>
        <w:t>Demie &amp; Mclean, 2016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), 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and at a HE level, </w:t>
      </w:r>
      <w:r w:rsidR="002763E4" w:rsidRPr="002763E4">
        <w:rPr>
          <w:rFonts w:ascii="Times New Roman" w:hAnsi="Times New Roman" w:cs="Times New Roman"/>
          <w:bCs/>
          <w:sz w:val="24"/>
          <w:szCs w:val="24"/>
        </w:rPr>
        <w:t>low SES students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 need to be given the skills and knowledge to apply to and achieve in HE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 xml:space="preserve"> (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 xml:space="preserve">Baines et al., 2024; </w:t>
      </w:r>
      <w:proofErr w:type="spellStart"/>
      <w:r w:rsidR="00576032" w:rsidRPr="002763E4">
        <w:rPr>
          <w:rFonts w:ascii="Times New Roman" w:hAnsi="Times New Roman" w:cs="Times New Roman"/>
          <w:bCs/>
          <w:sz w:val="24"/>
          <w:szCs w:val="24"/>
        </w:rPr>
        <w:t>Chorcora</w:t>
      </w:r>
      <w:proofErr w:type="spellEnd"/>
      <w:r w:rsidR="00576032" w:rsidRPr="002763E4">
        <w:rPr>
          <w:rFonts w:ascii="Times New Roman" w:hAnsi="Times New Roman" w:cs="Times New Roman"/>
          <w:bCs/>
          <w:sz w:val="24"/>
          <w:szCs w:val="24"/>
        </w:rPr>
        <w:t xml:space="preserve"> et al., 2023; Contreras, 2011; Sanderson &amp; Spacey, 2020</w:t>
      </w:r>
      <w:r w:rsidR="004D6141" w:rsidRPr="002763E4">
        <w:rPr>
          <w:rFonts w:ascii="Times New Roman" w:hAnsi="Times New Roman" w:cs="Times New Roman"/>
          <w:bCs/>
          <w:sz w:val="24"/>
          <w:szCs w:val="24"/>
        </w:rPr>
        <w:t>)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, and self-confidence and belonging need to be developed to enable engagement </w:t>
      </w:r>
      <w:r w:rsidR="00FD5238" w:rsidRPr="002763E4">
        <w:rPr>
          <w:rFonts w:ascii="Times New Roman" w:hAnsi="Times New Roman" w:cs="Times New Roman"/>
          <w:bCs/>
          <w:sz w:val="24"/>
          <w:szCs w:val="24"/>
        </w:rPr>
        <w:t xml:space="preserve">in </w:t>
      </w:r>
      <w:r w:rsidRPr="002763E4">
        <w:rPr>
          <w:rFonts w:ascii="Times New Roman" w:hAnsi="Times New Roman" w:cs="Times New Roman"/>
          <w:bCs/>
          <w:sz w:val="24"/>
          <w:szCs w:val="24"/>
        </w:rPr>
        <w:t>HE (</w:t>
      </w:r>
      <w:r w:rsidR="00576032" w:rsidRPr="002763E4">
        <w:rPr>
          <w:rFonts w:ascii="Times New Roman" w:hAnsi="Times New Roman" w:cs="Times New Roman"/>
          <w:bCs/>
          <w:sz w:val="24"/>
          <w:szCs w:val="24"/>
        </w:rPr>
        <w:t>O’Keeffe, 2013; Pedler et al., 2022; Rubin, 2012</w:t>
      </w:r>
      <w:r w:rsidRPr="002763E4">
        <w:rPr>
          <w:rFonts w:ascii="Times New Roman" w:hAnsi="Times New Roman" w:cs="Times New Roman"/>
          <w:bCs/>
          <w:sz w:val="24"/>
          <w:szCs w:val="24"/>
        </w:rPr>
        <w:t xml:space="preserve">). </w:t>
      </w:r>
    </w:p>
    <w:p w14:paraId="05F7A0C5" w14:textId="77777777" w:rsidR="00DA4A5A" w:rsidRDefault="00DA4A5A" w:rsidP="00687E13">
      <w:pPr>
        <w:rPr>
          <w:rFonts w:ascii="Times New Roman" w:hAnsi="Times New Roman" w:cs="Times New Roman"/>
          <w:bCs/>
        </w:rPr>
      </w:pPr>
    </w:p>
    <w:p w14:paraId="1BE6C983" w14:textId="77777777" w:rsidR="00DA4A5A" w:rsidRDefault="00DA4A5A" w:rsidP="00687E13">
      <w:pPr>
        <w:rPr>
          <w:rFonts w:ascii="Times New Roman" w:hAnsi="Times New Roman" w:cs="Times New Roman"/>
          <w:bCs/>
        </w:rPr>
      </w:pPr>
    </w:p>
    <w:p w14:paraId="76C853C9" w14:textId="77777777" w:rsidR="00FA6058" w:rsidRDefault="00FA6058" w:rsidP="007E2FF5">
      <w:pPr>
        <w:rPr>
          <w:rFonts w:ascii="Times New Roman" w:hAnsi="Times New Roman" w:cs="Times New Roman"/>
          <w:bCs/>
        </w:rPr>
      </w:pPr>
    </w:p>
    <w:p w14:paraId="53DCA673" w14:textId="77777777" w:rsidR="00377071" w:rsidRDefault="00377071" w:rsidP="00687E13">
      <w:pPr>
        <w:rPr>
          <w:rFonts w:ascii="Times New Roman" w:hAnsi="Times New Roman" w:cs="Times New Roman"/>
          <w:bCs/>
        </w:rPr>
      </w:pPr>
    </w:p>
    <w:p w14:paraId="641CB976" w14:textId="77777777" w:rsidR="00A55662" w:rsidRDefault="00A55662" w:rsidP="00687E13">
      <w:pPr>
        <w:rPr>
          <w:rFonts w:ascii="Times New Roman" w:hAnsi="Times New Roman" w:cs="Times New Roman"/>
          <w:b/>
        </w:rPr>
      </w:pPr>
    </w:p>
    <w:p w14:paraId="76DF7F52" w14:textId="77777777" w:rsidR="00D54D94" w:rsidRDefault="00D54D94" w:rsidP="00687E13">
      <w:pPr>
        <w:rPr>
          <w:rFonts w:ascii="Times New Roman" w:hAnsi="Times New Roman" w:cs="Times New Roman"/>
          <w:b/>
        </w:rPr>
      </w:pPr>
    </w:p>
    <w:p w14:paraId="373AF777" w14:textId="77777777" w:rsidR="00874B56" w:rsidRDefault="00874B56" w:rsidP="00687E13">
      <w:pPr>
        <w:rPr>
          <w:rFonts w:ascii="Times New Roman" w:hAnsi="Times New Roman" w:cs="Times New Roman"/>
          <w:b/>
        </w:rPr>
      </w:pPr>
    </w:p>
    <w:p w14:paraId="054A1295" w14:textId="723D5D8E" w:rsidR="00377071" w:rsidRPr="00874B56" w:rsidRDefault="00377071" w:rsidP="00687E13">
      <w:pPr>
        <w:rPr>
          <w:rFonts w:ascii="Times New Roman" w:hAnsi="Times New Roman" w:cs="Times New Roman"/>
          <w:b/>
          <w:sz w:val="24"/>
          <w:szCs w:val="24"/>
        </w:rPr>
      </w:pPr>
      <w:r w:rsidRPr="00874B56">
        <w:rPr>
          <w:rFonts w:ascii="Times New Roman" w:hAnsi="Times New Roman" w:cs="Times New Roman"/>
          <w:b/>
          <w:sz w:val="24"/>
          <w:szCs w:val="24"/>
        </w:rPr>
        <w:lastRenderedPageBreak/>
        <w:t>References:</w:t>
      </w:r>
    </w:p>
    <w:p w14:paraId="63AB59DC" w14:textId="7174E4E6" w:rsidR="000B24FD" w:rsidRPr="00874B56" w:rsidRDefault="000B24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Adams-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Prassl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A., Boneva, T., Golin, M. and Rauh, C., 2020. Inequality in the impact of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coronavirus shock: Evidence from real time surveys.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Public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189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>p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p.104245. </w:t>
      </w:r>
      <w:hyperlink r:id="rId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https://doi.org/10.1016/j.jpubeco.2020.104245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BAF7483" w14:textId="3D62C853" w:rsidR="00C06E7F" w:rsidRPr="00874B56" w:rsidRDefault="00C06E7F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Ahn, M.Y., 2020. Students’ sense of belonging in higher education: the impacts of social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class, locality and institutional habitus.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SRHE final report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https://srhe.ac.uk/wp-</w:t>
        </w:r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content/uploads/2020/03/AHNMiyoungReport.pdf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(Accessed: 21/10/24)</w:t>
      </w:r>
    </w:p>
    <w:p w14:paraId="70D9F6D8" w14:textId="132EC91A" w:rsidR="00A377BF" w:rsidRPr="00874B56" w:rsidRDefault="00A377BF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Ahn, M.Y. and Davis, H.H., 2023. Students’ sense of belonging and their socio-economic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status in higher education: a quantitative approach.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Teaching in Higher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pp.136-149. </w:t>
      </w:r>
      <w:hyperlink r:id="rId9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https://doi.org/10.1080/13562517.2020.1778664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1383936" w14:textId="38B4A189" w:rsidR="00E84475" w:rsidRPr="00874B56" w:rsidRDefault="00E84475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Allen, R., 2007. Allocating pupils to their nearest secondary school: The consequences for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social and ability stratification.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Urban 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pp.751-770.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https://doi.org/10.1080/00420980601184737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58A3454" w14:textId="06B0080F" w:rsidR="00362560" w:rsidRPr="00874B56" w:rsidRDefault="006D255B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Althusser, L., 2011. ‘Ideology and Ideological State Apparatuses (Notes towards an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Investigation) </w:t>
      </w:r>
      <w:r w:rsidR="00E355B8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1970’, in I. Szeman and T. Kaposy (eds.)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Cultural Theory: An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Anthology</w:t>
      </w:r>
      <w:r w:rsidR="00E355B8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. </w:t>
      </w:r>
      <w:r w:rsidR="00E355B8" w:rsidRPr="00874B56">
        <w:rPr>
          <w:rFonts w:ascii="Times New Roman" w:hAnsi="Times New Roman" w:cs="Times New Roman"/>
          <w:bCs/>
          <w:sz w:val="24"/>
          <w:szCs w:val="24"/>
        </w:rPr>
        <w:t>West Sussex: Wiley</w:t>
      </w:r>
      <w:r w:rsid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E355B8" w:rsidRPr="00874B56">
        <w:rPr>
          <w:rFonts w:ascii="Times New Roman" w:hAnsi="Times New Roman" w:cs="Times New Roman"/>
          <w:bCs/>
          <w:sz w:val="24"/>
          <w:szCs w:val="24"/>
        </w:rPr>
        <w:t>Blackwell, pp.204-222.</w:t>
      </w:r>
    </w:p>
    <w:p w14:paraId="5215DB1F" w14:textId="54EDB02D" w:rsidR="00B44441" w:rsidRPr="00874B56" w:rsidRDefault="00B44441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Anyon, J., 2006. ‘Social class and the hidden curriculum of work’, in G. Handel (ed.)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Childhood Socialization. </w:t>
      </w:r>
      <w:r w:rsidRPr="00874B56">
        <w:rPr>
          <w:rFonts w:ascii="Times New Roman" w:hAnsi="Times New Roman" w:cs="Times New Roman"/>
          <w:bCs/>
          <w:sz w:val="24"/>
          <w:szCs w:val="24"/>
        </w:rPr>
        <w:t>London: Routledge, pp.369-394</w:t>
      </w:r>
    </w:p>
    <w:p w14:paraId="7662DB54" w14:textId="1D10A271" w:rsidR="00362560" w:rsidRPr="00874B56" w:rsidRDefault="00800B68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Aoki, R.,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Yomogida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Y. and Matsumoto, K., 2015. The neural bases for valuing social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Neuroscience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pp.33-40.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https://doi.org/10.1016/j.neures.2014.10.020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9C1F4CC" w14:textId="2496B33A" w:rsidR="00800B68" w:rsidRPr="00874B56" w:rsidRDefault="00800B68" w:rsidP="00800B68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Arneson, R. J., 1989. Equality and Equal Opportunity for Welfare.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Philosophical Studies,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pp.77-93. </w:t>
      </w:r>
      <w:hyperlink r:id="rId1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http://www.jstor.org/stable/4320032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2D3E525" w14:textId="076E00FB" w:rsidR="00922B5F" w:rsidRPr="00874B56" w:rsidRDefault="00922B5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Atmaca, T. and Aydın, A., 2020. Reproduction of social inequality in education by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transferring cultural capital.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MANAS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Sosyal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Araştırmalar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Dergisi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pp.778-797.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https://doi.org/10.33206/mjss.673924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1E79D3F" w14:textId="7005F19B" w:rsidR="00F75A41" w:rsidRPr="00874B56" w:rsidRDefault="00F75A4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Auwarter, A.E.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Aruguete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M.S., 2008. Effects of student gender and socioeconomic status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on teacher perceptions.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Journal of Educational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pp.242-246.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https://doi.org/10.3200/JOER.101.4.243-246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5870C12" w14:textId="089B6DAB" w:rsidR="008F1CFE" w:rsidRPr="00874B56" w:rsidRDefault="008F1CF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Baars, S., Mulcahy, E., and Bernardes, E., 2017.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underrepresentation of white </w:t>
      </w:r>
      <w:proofErr w:type="gram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working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class</w:t>
      </w:r>
      <w:proofErr w:type="gram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boys in higher education: The role of widening participation.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London: Kings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College. Available at: </w:t>
      </w:r>
      <w:hyperlink r:id="rId15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https://cfey.org/wp-content/uploads/2016/07/The-</w:t>
        </w:r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underrepresentation-of-white-working-class-boys-in-higher-education-baars-et-al-</w:t>
        </w:r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2016.pdf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07/11/24)</w:t>
      </w:r>
    </w:p>
    <w:p w14:paraId="245FFDC2" w14:textId="17B634E4" w:rsidR="00FD5238" w:rsidRPr="00874B56" w:rsidRDefault="00FD52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Baines, L., Gooch, D. and Ng-Knight, T., 2024. Do widening participation interventions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change university attitudes in UK school children? A systematic review of the efficacy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of UK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programmes, and quality of evaluation evidence.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pp.628-647. </w:t>
      </w:r>
      <w:hyperlink r:id="rId16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https://doi.org/10.1080/00131911.2022.2077703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37403AE" w14:textId="5E5FC6D3" w:rsidR="00260459" w:rsidRPr="00874B56" w:rsidRDefault="002604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Barkat, S., 2019. Evaluating the impact of the academic enrichment Programme on widening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access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to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selectiveuniversities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: Application of the theory of change framework.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British Educational Research Journal, 45(6),1160–1185.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7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https://doi.org/10.1002/berj.3556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6EAB001" w14:textId="65C74998" w:rsidR="0068791F" w:rsidRPr="00874B56" w:rsidRDefault="001B68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Barreiro, A.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Wainryb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2023. Adolescents thinking on economic inequality: Expanding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the discussion beyond the Global North.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New Ideas in Psychology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p.101045.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https://doi.org/10.1016/j.newideapsych.2023.101045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F6557E" w14:textId="3E8D5FE7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Bayrakdar, S.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Guveli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A., 2023. Inequalities in home learning and schools’ remote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teaching provision during the COVID-19 school closure in the UK.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pp.767-788. </w:t>
      </w:r>
      <w:hyperlink r:id="rId19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https://doi.org/10.1177/00380385221122444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A919010" w14:textId="02E68108" w:rsidR="000161D1" w:rsidRPr="00874B56" w:rsidRDefault="000161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Becker, H. S. 1966. Outsiders: Studies in the Sociology of Deviance. New York: The Free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Press.</w:t>
      </w:r>
    </w:p>
    <w:p w14:paraId="7DA4FC05" w14:textId="47B9E675" w:rsidR="00C86844" w:rsidRPr="00874B56" w:rsidRDefault="000161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Becker, H. S. 1984. Classrooms and Staffrooms. London: Routledge.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https://doi.org/10.4324/9780367823221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C8B01B8" w14:textId="2389EF10" w:rsidR="00F8664A" w:rsidRPr="00874B56" w:rsidRDefault="00F8664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Bernstein, B., 1962. Social class, linguistic codes and grammatical elements.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Language and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speech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pp.221-240.</w:t>
      </w:r>
      <w:r w:rsidR="001D1AFF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21" w:history="1">
        <w:r w:rsidR="001D1AFF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https://doi.org/10.1177/002383096200500405</w:t>
        </w:r>
      </w:hyperlink>
      <w:r w:rsidR="001D1AFF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F5B3E5F" w14:textId="2B5A6904" w:rsidR="00922B5F" w:rsidRPr="00874B56" w:rsidRDefault="00922B5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Bernstein B.</w:t>
      </w:r>
      <w:r w:rsidR="00F1349D" w:rsidRPr="00874B56">
        <w:rPr>
          <w:rFonts w:ascii="Times New Roman" w:hAnsi="Times New Roman" w:cs="Times New Roman"/>
          <w:bCs/>
          <w:sz w:val="24"/>
          <w:szCs w:val="24"/>
        </w:rPr>
        <w:t>,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1986. ‘A sociolinguistic approach to socialization; with some reference to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educability.’ in J.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Gumperz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and D. Hymes (eds.) </w:t>
      </w:r>
      <w:r w:rsidR="00F1349D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Directions in Sociolinguistics: The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F1349D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Ethnography of Communication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 New York: Blackwell</w:t>
      </w:r>
      <w:r w:rsidR="00F1349D" w:rsidRPr="00874B56">
        <w:rPr>
          <w:rFonts w:ascii="Times New Roman" w:hAnsi="Times New Roman" w:cs="Times New Roman"/>
          <w:bCs/>
          <w:sz w:val="24"/>
          <w:szCs w:val="24"/>
        </w:rPr>
        <w:t>, pp. 465–97</w:t>
      </w:r>
      <w:r w:rsidR="001D1AFF" w:rsidRPr="00874B56">
        <w:rPr>
          <w:rFonts w:ascii="Times New Roman" w:hAnsi="Times New Roman" w:cs="Times New Roman"/>
          <w:bCs/>
          <w:sz w:val="24"/>
          <w:szCs w:val="24"/>
        </w:rPr>
        <w:t>.</w:t>
      </w:r>
    </w:p>
    <w:p w14:paraId="578A5ED8" w14:textId="0B948931" w:rsidR="001D1AFF" w:rsidRPr="00874B56" w:rsidRDefault="001D1AF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Bernstein, B., 2003.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Class, codes and control: Applied studies towards a sociology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language</w:t>
      </w:r>
      <w:r w:rsidRPr="00874B56">
        <w:rPr>
          <w:rFonts w:ascii="Times New Roman" w:hAnsi="Times New Roman" w:cs="Times New Roman"/>
          <w:bCs/>
          <w:sz w:val="24"/>
          <w:szCs w:val="24"/>
        </w:rPr>
        <w:t>. Oxon: Routledge.</w:t>
      </w:r>
    </w:p>
    <w:p w14:paraId="6CEA45C6" w14:textId="6C348999" w:rsidR="007E7D2C" w:rsidRPr="00874B56" w:rsidRDefault="006D693E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Binelli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Loveless, M. and Whitefield, S., 2015. What is social inequality and why does it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matter? Evidence from Central and Eastern Europe.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World Development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pp.239-248. </w:t>
      </w:r>
      <w:hyperlink r:id="rId22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https://doi.org/10.1016/j.worlddev.2015.02.007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B33F5CE" w14:textId="1983CF47" w:rsidR="00A61C01" w:rsidRPr="00874B56" w:rsidRDefault="00A61C0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Blackburn, R.M., 2008. What is social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inequality?.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International Journal of Sociology and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(7/8), pp.250-259. </w:t>
      </w:r>
      <w:hyperlink r:id="rId2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https://doi.org/10.1108/01443330810890664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60B9FA" w14:textId="6189B546" w:rsidR="002E3A15" w:rsidRPr="00874B56" w:rsidRDefault="002E3A1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Blanden, J., Doepke, M. and Stuhler, J., 2023. Educational inequality. In E. Hanushek, S.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Machin, and L.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Woessmann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(eds.)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Handbook of the Economics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 Elsevier</w:t>
      </w:r>
      <w:r w:rsidR="00A716DF"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A716DF" w:rsidRPr="00874B56">
        <w:rPr>
          <w:rFonts w:ascii="Times New Roman" w:hAnsi="Times New Roman" w:cs="Times New Roman"/>
          <w:bCs/>
          <w:sz w:val="24"/>
          <w:szCs w:val="24"/>
        </w:rPr>
        <w:t xml:space="preserve">pp. 405-497. </w:t>
      </w:r>
      <w:hyperlink r:id="rId24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https://doi.org/10.1016/bs.hesedu.2022.11.003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544EA1B" w14:textId="7F3BF631" w:rsidR="00637EC0" w:rsidRPr="00874B56" w:rsidRDefault="00637E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Blundell, R., Costa Dias, M., Joyce, R. and Xu, X., 2020. COVID‐19 and Inequalities.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Fiscal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pp.291-319. </w:t>
      </w:r>
      <w:hyperlink r:id="rId2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https://doi.org/10.1111/1475-5890.12232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F29A3C2" w14:textId="662D1005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Blundell, R., Cribb, J., McNally, S., Warwick, R. and Xu, X., 2021. Inequalities in education,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skills,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and incomes in the UK: The implications of the COVID-19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pandemic.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Institute for Fiscal 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 pp.1-42.</w:t>
      </w:r>
    </w:p>
    <w:p w14:paraId="5DE464EA" w14:textId="030E6D45" w:rsidR="00AC7754" w:rsidRPr="00874B56" w:rsidRDefault="00AC775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Boliver, V., Crawford, C., Powell, M. and Craige, W., 2017.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Admissions in context: The use of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 xml:space="preserve">contextual information by leading universities.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The Sutton Trust. </w:t>
      </w:r>
      <w:r w:rsidR="008F1CFE" w:rsidRPr="00874B56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r w:rsidR="008F1CFE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6" w:history="1">
        <w:r w:rsidR="008F1CFE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https://durham-repository.worktribe.com/output/1635800</w:t>
        </w:r>
      </w:hyperlink>
      <w:r w:rsidR="008F1CFE" w:rsidRPr="00874B56">
        <w:rPr>
          <w:rFonts w:ascii="Times New Roman" w:hAnsi="Times New Roman" w:cs="Times New Roman"/>
          <w:bCs/>
          <w:sz w:val="24"/>
          <w:szCs w:val="24"/>
        </w:rPr>
        <w:t xml:space="preserve"> (Accessed 07/11/24)</w:t>
      </w:r>
    </w:p>
    <w:p w14:paraId="0B8580CB" w14:textId="52D04888" w:rsidR="002724C0" w:rsidRPr="00874B56" w:rsidRDefault="002724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Boliver, V.,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Gorard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 and Siddiqui, N., 2022. Who counts as socioeconomically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disadvantaged for the purposes of widening access to higher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education?.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British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pp.349-374.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7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https://doi.org/10.1080/01425692.2021.2017852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310A59F" w14:textId="34C17C91" w:rsidR="00C20F18" w:rsidRPr="00874B56" w:rsidRDefault="00C20F1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Boliver, V.,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Gorard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 and Siddiqui, N., 2015. Will the use of contextual indicators make UK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higher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education admissions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fairer?.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 Sciences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pp.306-322.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2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https://doi.org/10.3390/educsci5040306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9F60CCB" w14:textId="5EBD550A" w:rsidR="006D0F65" w:rsidRPr="00874B56" w:rsidRDefault="006D0F6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Bourdieu, P., 1973. ‘Cultural Reproduction and Social Reproduction’ in R. Brown (ed.)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Knowledge, Education and Cultural Change.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London: Routledge, pp.71-112. </w:t>
      </w:r>
    </w:p>
    <w:p w14:paraId="2A0F6BE9" w14:textId="2A5AD2EF" w:rsidR="00C6266F" w:rsidRPr="00874B56" w:rsidRDefault="00C6266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Bourdieu, P., 1986. ‘The Forms of Capital’ in J. Richardson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Handbook of Theory and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for the Sociology of Education.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Westport: Greenwood, pp.241-258. </w:t>
      </w:r>
    </w:p>
    <w:p w14:paraId="0FC8C894" w14:textId="795AF004" w:rsidR="0024668B" w:rsidRPr="00874B56" w:rsidRDefault="0024668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Bourdieu, P.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Passeron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J.C., 1990.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Reproduction in education, society and culture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(Vol.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4). Sage.</w:t>
      </w:r>
    </w:p>
    <w:p w14:paraId="4061386C" w14:textId="0B524AC3" w:rsidR="00184E83" w:rsidRPr="00874B56" w:rsidRDefault="00184E8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Bourguignon, F., 2018. ‘Inequality of opportunity’, in J. Stiglitz, J. Fitoussi, and M. Durand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(eds.)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For Good Measure: Advancing Research on Well-being Metrics Beyond GDP.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Paris: OECD, pp.101-141.</w:t>
      </w:r>
    </w:p>
    <w:p w14:paraId="6F9B3EA3" w14:textId="647D8C08" w:rsidR="00C529B6" w:rsidRPr="00874B56" w:rsidRDefault="00C529B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Bowes, L.,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Tazzyman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Sandhu, J., Moreton, R., Birkin, G., McCaig, C., Madriaga, M.,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Kozman, E. and Wright, H., 2019.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National Collaborative Outreach Programme: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End of phase 1 report for the national formative and impact evaluations.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Office for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Students. Available at: </w:t>
      </w:r>
      <w:hyperlink r:id="rId29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https://shura.shu.ac.uk/25381/1/ncop-end-of-phase-one-</w:t>
        </w:r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evaluation-report.pdf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07/11/24)</w:t>
      </w:r>
    </w:p>
    <w:p w14:paraId="4CFDB039" w14:textId="384F29DD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Brandmiller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Dumont, H. and Becker, M., 2020. Teacher perceptions of learning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motivation and classroom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behavior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: The role of student characteristics.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Contemporary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Psychology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p.101893.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0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https://doi.org/10.1016/j.cedpsych.2020.101893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8EBCE8" w14:textId="6EB82A5E" w:rsidR="00375E25" w:rsidRPr="00874B56" w:rsidRDefault="00375E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Britton, J., Dearden, L., van der Erve, L. and Waltmann, B., 2020.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impact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undergraduate degrees on lifetime earnings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IFS Report.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1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https://doi.org/10.1920/re.ifs.2020.0167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71EF266" w14:textId="28A59DEC" w:rsidR="00236691" w:rsidRPr="00874B56" w:rsidRDefault="0023669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Broer, M., Bai, Y., Fonseca, F., 2019. A review of the literature on socioeconomic status and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educational achievement.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Socioeconomic inequality and educational outcomes: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Evidence from twenty years of TIMSS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pp.7-17.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2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https://doi.org/10.1007/978-3-030-11991-1_2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8AE7B49" w14:textId="51C80B6B" w:rsidR="004D75BB" w:rsidRPr="00874B56" w:rsidRDefault="004D75B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Bronfenbrenner, M., 1973. Equality and equity.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ANNALS of the American Academy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Political and Social Science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409</w:t>
      </w:r>
      <w:r w:rsidRPr="00874B56">
        <w:rPr>
          <w:rFonts w:ascii="Times New Roman" w:hAnsi="Times New Roman" w:cs="Times New Roman"/>
          <w:bCs/>
          <w:sz w:val="24"/>
          <w:szCs w:val="24"/>
        </w:rPr>
        <w:t>(1), pp.9-23.</w:t>
      </w:r>
    </w:p>
    <w:p w14:paraId="66A5ACC1" w14:textId="35680F3F" w:rsidR="009877C0" w:rsidRPr="00874B56" w:rsidRDefault="009877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Brown, P. and James, D., 2020. Educational expansion, poverty reduction and social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mobility: Reframing the debate.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International Journal of Educational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p.101537.</w:t>
      </w:r>
      <w:r w:rsidR="00FF3944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33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https://doi.org/10.1016/j.ijer.2020.101537</w:t>
        </w:r>
      </w:hyperlink>
      <w:r w:rsidR="00FF3944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F398257" w14:textId="507CE1F5" w:rsidR="0050188D" w:rsidRPr="00874B56" w:rsidRDefault="0050188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Callender, C. and Wilkinson, D., 2013. Student perceptions of the impact of bursaries and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institutional aid on their higher education choices and the implications for the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National Scholarship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Programme in England.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Social 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pp.281-308. </w:t>
      </w:r>
      <w:hyperlink r:id="rId34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https://doi.org/10.1017/S0047279412000992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F20AE75" w14:textId="17E5D26F" w:rsidR="00817ABD" w:rsidRPr="00874B56" w:rsidRDefault="00817AB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Chancel, L., Piketty, T., Saez, E. and Zucman, G. eds., 2022.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World inequality report 2022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Harvard University Press.</w:t>
      </w:r>
    </w:p>
    <w:p w14:paraId="63FA5275" w14:textId="60FF7183" w:rsidR="00F17B59" w:rsidRPr="00874B56" w:rsidRDefault="00F17B59" w:rsidP="00687E13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 xml:space="preserve">Cho, S., Crenshaw, K.W. and McCall, L., 2013. Toward a field of intersectionality studies: </w:t>
      </w:r>
      <w:r w:rsidRPr="00874B56">
        <w:rPr>
          <w:rFonts w:ascii="Times New Roman" w:hAnsi="Times New Roman" w:cs="Times New Roman"/>
          <w:sz w:val="24"/>
          <w:szCs w:val="24"/>
        </w:rPr>
        <w:tab/>
        <w:t>Theory, applications, and praxis. 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 xml:space="preserve">Signs: Journal of women in culture and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  <w:t>society</w:t>
      </w:r>
      <w:r w:rsidRPr="00874B56">
        <w:rPr>
          <w:rFonts w:ascii="Times New Roman" w:hAnsi="Times New Roman" w:cs="Times New Roman"/>
          <w:sz w:val="24"/>
          <w:szCs w:val="24"/>
        </w:rPr>
        <w:t>, 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>38</w:t>
      </w:r>
      <w:r w:rsidRPr="00874B56">
        <w:rPr>
          <w:rFonts w:ascii="Times New Roman" w:hAnsi="Times New Roman" w:cs="Times New Roman"/>
          <w:sz w:val="24"/>
          <w:szCs w:val="24"/>
        </w:rPr>
        <w:t>(4), pp.785-810.</w:t>
      </w:r>
      <w:r w:rsidRPr="00874B56">
        <w:rPr>
          <w:sz w:val="24"/>
          <w:szCs w:val="24"/>
        </w:rPr>
        <w:t xml:space="preserve"> </w:t>
      </w:r>
      <w:hyperlink r:id="rId35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https://doi.org/10.1086/669608</w:t>
        </w:r>
      </w:hyperlink>
      <w:r w:rsidRPr="00874B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7A6C4A" w14:textId="14F047CF" w:rsidR="00817424" w:rsidRPr="00874B56" w:rsidRDefault="0081742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Clark, R., 2023. Within, Between, and Beyond: A New Approach to Examining World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Income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Forces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pp.403-429.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6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https://doi.org/10.1093/sf/soad051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7784327" w14:textId="20A85A90" w:rsidR="004E349F" w:rsidRPr="00874B56" w:rsidRDefault="004E349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Clegg, S., 2011. Cultural capital and agency: Connecting critique and curriculum in higher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education.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pp.93-108.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https://doi.org/10.1080/01425692.2011.527723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376416C" w14:textId="2C056ECC" w:rsidR="00B93D7B" w:rsidRPr="00874B56" w:rsidRDefault="00B93D7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Collins, R., 1986.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Weberian sociological theory</w:t>
      </w:r>
      <w:r w:rsidRPr="00874B56">
        <w:rPr>
          <w:rFonts w:ascii="Times New Roman" w:hAnsi="Times New Roman" w:cs="Times New Roman"/>
          <w:bCs/>
          <w:sz w:val="24"/>
          <w:szCs w:val="24"/>
        </w:rPr>
        <w:t>. Cambridge University Press.</w:t>
      </w:r>
    </w:p>
    <w:p w14:paraId="7F79B613" w14:textId="62D5B2DF" w:rsidR="00260459" w:rsidRPr="00874B56" w:rsidRDefault="002604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Contreras, F., 2011. Strengthening the bridge to higher education for academically promising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underrepresented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Advanced Academics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pp.500-526.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3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https://doi.org/10.1177/1932202X1102200306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730AA02" w14:textId="37AAAA6C" w:rsidR="00005182" w:rsidRPr="00874B56" w:rsidRDefault="0000518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Cook, J.M. and Lawson, G., 2016.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Counselors'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social class and socioeconomic status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understanding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and awareness.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Counseling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&amp; Development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pp.442-453. </w:t>
      </w:r>
      <w:hyperlink r:id="rId39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https://doi.org/10.1002/jcad.12103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0A84BA0" w14:textId="76AEC2B1" w:rsidR="008243A6" w:rsidRPr="00874B56" w:rsidRDefault="008243A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Crawford, C., Macmillan, L., &amp; Vignoles, A. (2017). When and why do initially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high-achieving poor children fall behind? Oxford Review of Education, 43(1),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  <w:t>pp.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88-108. </w:t>
      </w:r>
      <w:hyperlink r:id="rId40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https://doi.org/10.1080/03054985.2016.1240672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9CF41AC" w14:textId="77777777" w:rsidR="00F17B59" w:rsidRPr="00874B56" w:rsidRDefault="00F17B59" w:rsidP="00F17B59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 xml:space="preserve">Crenshaw, K., 1989.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 xml:space="preserve">Demarginalizing the Intersection of Race and Sex: A Black Feminist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  <w:t xml:space="preserve">Critique of Antidiscrimination Doctrine, Feminist Theory and Antiracist Politics,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sz w:val="24"/>
          <w:szCs w:val="24"/>
        </w:rPr>
        <w:t xml:space="preserve">University of Chicago Legal Forum: Vol. 1989, Article 8. Available at: </w:t>
      </w:r>
      <w:r w:rsidRPr="00874B56">
        <w:rPr>
          <w:rFonts w:ascii="Times New Roman" w:hAnsi="Times New Roman" w:cs="Times New Roman"/>
          <w:sz w:val="24"/>
          <w:szCs w:val="24"/>
        </w:rPr>
        <w:tab/>
      </w:r>
      <w:hyperlink r:id="rId41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</w:rPr>
          <w:t>https://chicagounbound.uchicago.edu/uclf/vol1989/iss1/8</w:t>
        </w:r>
      </w:hyperlink>
      <w:r w:rsidRPr="00874B56">
        <w:rPr>
          <w:rFonts w:ascii="Times New Roman" w:hAnsi="Times New Roman" w:cs="Times New Roman"/>
          <w:sz w:val="24"/>
          <w:szCs w:val="24"/>
        </w:rPr>
        <w:t xml:space="preserve"> (Accessed: 03/06/2024)</w:t>
      </w:r>
    </w:p>
    <w:p w14:paraId="6F1715C2" w14:textId="77777777" w:rsidR="00F17B59" w:rsidRPr="00874B56" w:rsidRDefault="00F17B59" w:rsidP="00F17B59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>Crenshaw, K, 1997. ‘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Mapping the margins: Intersectionality, identity politics, and violence 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  <w:t xml:space="preserve">against women of </w:t>
      </w:r>
      <w:proofErr w:type="spellStart"/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color</w:t>
      </w:r>
      <w:proofErr w:type="spellEnd"/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’, in K. Maschke (ed.) 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legal response to violence against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ab/>
        <w:t xml:space="preserve"> women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New York: Garland Publishing Inc, pp. 91-151.</w:t>
      </w:r>
    </w:p>
    <w:p w14:paraId="173FE8B6" w14:textId="684E18E1" w:rsidR="00F17B59" w:rsidRPr="00874B56" w:rsidRDefault="00F17B59" w:rsidP="00687E13">
      <w:pPr>
        <w:rPr>
          <w:rFonts w:ascii="Times New Roman" w:hAnsi="Times New Roman" w:cs="Times New Roman"/>
          <w:sz w:val="24"/>
          <w:szCs w:val="24"/>
        </w:rPr>
      </w:pPr>
      <w:r w:rsidRPr="00874B56">
        <w:rPr>
          <w:rFonts w:ascii="Times New Roman" w:hAnsi="Times New Roman" w:cs="Times New Roman"/>
          <w:sz w:val="24"/>
          <w:szCs w:val="24"/>
        </w:rPr>
        <w:t xml:space="preserve">Crenshaw, K., 1991. Race Gender and Sexual Harassment. 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>Stanford Law Review, 43</w:t>
      </w:r>
      <w:r w:rsidRPr="00874B56">
        <w:rPr>
          <w:rFonts w:ascii="Times New Roman" w:hAnsi="Times New Roman" w:cs="Times New Roman"/>
          <w:sz w:val="24"/>
          <w:szCs w:val="24"/>
        </w:rPr>
        <w:t>(6),</w:t>
      </w:r>
      <w:r w:rsidRPr="00874B56">
        <w:rPr>
          <w:rFonts w:ascii="Times New Roman" w:hAnsi="Times New Roman" w:cs="Times New Roman"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sz w:val="24"/>
          <w:szCs w:val="24"/>
        </w:rPr>
        <w:t xml:space="preserve">pp.1241-1299. </w:t>
      </w:r>
      <w:hyperlink r:id="rId42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</w:rPr>
          <w:t>https://doi.org/10.2307/1229039</w:t>
        </w:r>
      </w:hyperlink>
      <w:r w:rsidRPr="00874B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74C0170" w14:textId="1EE8254F" w:rsidR="000B24FD" w:rsidRPr="00874B56" w:rsidRDefault="000B24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Crossley, T.F., Fisher, P. and Low, H., 2021. The heterogeneous and regressive consequences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of COVID-19: Evidence from high quality panel data.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public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193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p.104334. </w:t>
      </w:r>
      <w:hyperlink r:id="rId4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https://doi.org/10.1016/j.jpubeco.2020.104334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A00559B" w14:textId="3AD99251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Cullinane, C.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Montacute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R., 2020. COVID-19 and social mobility impact brief #1: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School shutdown.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Sutton Trust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pp.1-11.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4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https://core.ac.uk/download/pdf/305121045.pdf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03/11/2024)</w:t>
      </w:r>
    </w:p>
    <w:p w14:paraId="168EF67D" w14:textId="58BBFF19" w:rsidR="00A46379" w:rsidRPr="00874B56" w:rsidRDefault="00A4637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Demie, F. and Mclean, C., 2015. Tackling disadvantage: what works in narrowing the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achievement gap in schools.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pp.138-174.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45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https://doi.org/10.1002/rev3.3052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60C59B4" w14:textId="0A381536" w:rsidR="00817ABD" w:rsidRPr="00874B56" w:rsidRDefault="00817AB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Dev, S.M., 2017. The problem of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Development and Change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pp.1-43.</w:t>
      </w:r>
      <w:r w:rsidR="00906DB6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hyperlink r:id="rId46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https://doi.org/10.1177/0972266120170101</w:t>
        </w:r>
      </w:hyperlink>
      <w:r w:rsidR="002763CB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21D27A1" w14:textId="525E6BFE" w:rsidR="00223828" w:rsidRPr="00874B56" w:rsidRDefault="0022382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DiMaggio, P., 1982. Cultural capital and school success: The impact of status culture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participation on the grades of US high school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sociological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pp.189-201.</w:t>
      </w:r>
    </w:p>
    <w:p w14:paraId="71D167BC" w14:textId="1CEA7757" w:rsidR="00D578D2" w:rsidRPr="00874B56" w:rsidRDefault="00D578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DiMaggio, P. and Mohr, J., 1985. Cultural capital, educational attainment, and marital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selection.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journal of 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90</w:t>
      </w:r>
      <w:r w:rsidRPr="00874B56">
        <w:rPr>
          <w:rFonts w:ascii="Times New Roman" w:hAnsi="Times New Roman" w:cs="Times New Roman"/>
          <w:bCs/>
          <w:sz w:val="24"/>
          <w:szCs w:val="24"/>
        </w:rPr>
        <w:t>(6), pp.1231-1261.</w:t>
      </w:r>
    </w:p>
    <w:p w14:paraId="26BD01A4" w14:textId="3B2BC4B6" w:rsidR="009877C0" w:rsidRPr="00874B56" w:rsidRDefault="009877C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DiPrete, T.A., 2020. The impact of inequality on intergenerational mobility.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Annual Review of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pp.379-398. </w:t>
      </w:r>
      <w:hyperlink r:id="rId4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https://doi.org/10.1146/annurev-soc-121919-054814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9AB8B0D" w14:textId="68B0BDC6" w:rsidR="0024714E" w:rsidRPr="00874B56" w:rsidRDefault="0024714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Dittmann, A.G. and Stephens, N.M., 2017. Interventions aimed at closing the social class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achievement gap: Changing individuals, structures,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construals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Current opinion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psychology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pp.111-116. </w:t>
      </w:r>
      <w:hyperlink r:id="rId4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https://doi.org/10.1016/j.copsyc.2017.07.044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34BCE8E" w14:textId="5F6D3F8D" w:rsidR="004D2BE0" w:rsidRPr="00874B56" w:rsidRDefault="004D2BE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Dorling, D., 2023.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Shattered nation: Inequality and the geography of a failing state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Verso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Books.</w:t>
      </w:r>
    </w:p>
    <w:p w14:paraId="31C11E1B" w14:textId="4AB9FC58" w:rsidR="004D2BE0" w:rsidRPr="00874B56" w:rsidRDefault="004D2BE0" w:rsidP="00687E13">
      <w:pPr>
        <w:rPr>
          <w:rFonts w:ascii="Times New Roman" w:hAnsi="Times New Roman" w:cs="Times New Roman"/>
          <w:bCs/>
          <w:i/>
          <w:i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Dorling, D., 2024. Visualising the 2020s UK cost-of-living crisis.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Policy and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Administratio</w:t>
      </w:r>
      <w:r w:rsidR="002763CB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n,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Early View, </w:t>
      </w:r>
      <w:r w:rsidR="002763CB" w:rsidRPr="00874B56">
        <w:rPr>
          <w:rFonts w:ascii="Times New Roman" w:hAnsi="Times New Roman" w:cs="Times New Roman"/>
          <w:bCs/>
          <w:sz w:val="24"/>
          <w:szCs w:val="24"/>
        </w:rPr>
        <w:t xml:space="preserve">pp.1-24. </w:t>
      </w:r>
      <w:hyperlink r:id="rId49" w:history="1">
        <w:r w:rsidR="002763CB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https://doi.org/10.1111/spol.13035</w:t>
        </w:r>
      </w:hyperlink>
      <w:r w:rsidR="002763CB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B96FFBE" w14:textId="5A89113B" w:rsidR="00E517E3" w:rsidRPr="00874B56" w:rsidRDefault="00E517E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Duta, A.,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Wielgoszewska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B. and Iannelli, C., 2021. Different degrees of career success: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Social origin and graduates’ education and labour market trajectories.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Advances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Life Course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p.100376. </w:t>
      </w:r>
      <w:hyperlink r:id="rId5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https://doi.org/10.1016/j.alcr.2020.100376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BAC0181" w14:textId="698A023A" w:rsidR="0024668B" w:rsidRPr="00874B56" w:rsidRDefault="0024668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Edgerton, J.D. and Roberts, L.W., 2014. Cultural capital or habitus? Bourdieu and beyond in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the explanation of enduring educational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Theory and research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pp.193-220. </w:t>
      </w:r>
      <w:hyperlink r:id="rId5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https://doi.org/10.1177/1477878514530231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3D2698B" w14:textId="6908C59F" w:rsidR="001D1AFF" w:rsidRPr="00874B56" w:rsidRDefault="001D1AF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Edwards, A. D. (1987) ‘Language Codes and Classroom Practice’,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Review of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 237–247.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doi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: 10.1080/0305498870130301. </w:t>
      </w:r>
    </w:p>
    <w:p w14:paraId="03078F60" w14:textId="1272E3A5" w:rsidR="00F75A41" w:rsidRPr="00874B56" w:rsidRDefault="00F75A41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Elhoweris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H., 2008. Teacher judgment in identifying gifted/talented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Multicultural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15</w:t>
      </w:r>
      <w:r w:rsidRPr="00874B56">
        <w:rPr>
          <w:rFonts w:ascii="Times New Roman" w:hAnsi="Times New Roman" w:cs="Times New Roman"/>
          <w:bCs/>
          <w:sz w:val="24"/>
          <w:szCs w:val="24"/>
        </w:rPr>
        <w:t>(3), pp.35-38.</w:t>
      </w:r>
    </w:p>
    <w:p w14:paraId="24D3CED9" w14:textId="56869F76" w:rsidR="00332687" w:rsidRPr="00874B56" w:rsidRDefault="0033268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Espinoza, O., 2007. Solving the equity–equality conceptual dilemma: A new model for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analysis of the educational process.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49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pp.343-363.</w:t>
      </w:r>
      <w:r w:rsidR="0096691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66918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2" w:history="1">
        <w:r w:rsidR="00966918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https://doi.org/10.1080/00131880701717198</w:t>
        </w:r>
      </w:hyperlink>
      <w:r w:rsidR="0096691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05206E8" w14:textId="0C0F2E5E" w:rsidR="00576E9D" w:rsidRPr="00874B56" w:rsidRDefault="00576E9D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Faremi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A.F.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Jita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L.C., 2018. ‘Assessment of family characteristics and learners’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variables in enhancing academic achievement motivation in secondary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schools’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Rethinking Teaching and learning in the 21st Century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Manhattan Hotel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Pretoria, 17-19 September 2018. University of the Free State, Bloemfontein, South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Africa, pp.147-161.</w:t>
      </w:r>
    </w:p>
    <w:p w14:paraId="1182C066" w14:textId="5EE27291" w:rsidR="002A5DBD" w:rsidRPr="00874B56" w:rsidRDefault="002A5DB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Farquharson, C., McNally, S. and Tahir, I., 2024. Education inequalities.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Open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pp.760-820. </w:t>
      </w:r>
      <w:hyperlink r:id="rId5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https://doi.org/10.1093/ooec/odad029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9B74912" w14:textId="591F4D6B" w:rsidR="00236691" w:rsidRPr="00874B56" w:rsidRDefault="0023669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Fergusson, D.M., Horwood, L.J. and Boden, J.M., 2008. The transmission of social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inequality: Examination of the linkages between family socioeconomic status in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childhood and educational achievement in young adulthood.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in Social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Stratification and Mobility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pp.277-295.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4" w:history="1">
        <w:r w:rsidR="00874B56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https://doi.org/10.1016/j.rssm.2008.05.001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0AE092D" w14:textId="5222D4A0" w:rsidR="00E84475" w:rsidRPr="00874B56" w:rsidRDefault="00E8447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Gibbons, S. and Machin, S., 2003. Valuing English primary schools.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urban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economics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pp.197-219. </w:t>
      </w:r>
      <w:hyperlink r:id="rId5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https://doi.org/10.1016/S0094-1190(02)00516-8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6299E5C" w14:textId="6B902C9B" w:rsidR="00DE2A6F" w:rsidRPr="00874B56" w:rsidRDefault="00DE2A6F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Giupponi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G., and Machin, S., 2024. Labour market inequality.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Open Economy, 3,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pp.884-905. </w:t>
      </w:r>
      <w:hyperlink r:id="rId5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https://doi.org/10.1093/ooec/odad039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1FC1F8B" w14:textId="285DB5C0" w:rsidR="00F75A41" w:rsidRPr="00874B56" w:rsidRDefault="00F75A4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Glock, S. and Krolak-Schwerdt, S., 2014. Stereotype activation versus application: How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teachers process and judge information about students from ethnic minorities and with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low socioeconomic background.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Psychology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17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pp.589-607.</w:t>
      </w:r>
      <w:r w:rsidR="008B5DF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8B5DF8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7" w:history="1">
        <w:r w:rsidR="008B5DF8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https://doi.org/10.1007/s11218-014-9266-6</w:t>
        </w:r>
      </w:hyperlink>
      <w:r w:rsidR="008B5DF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1D8D030" w14:textId="11277D02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Glock, S., Krolak-Schwerdt, S., Klapproth, F. and Böhmer, M., 2013. Beyond judgment bias: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How students’ ethnicity and academic profile consistency influence teachers’ tracking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judgments.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Psychology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pp.555-573.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https://doi.org/10.1007/s11218-013-9227-5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BFC22FE" w14:textId="32F35D4A" w:rsidR="00B01533" w:rsidRPr="00874B56" w:rsidRDefault="00B01533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2018.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Education Policy: Evidence for Equity and Effectiveness. </w:t>
      </w:r>
      <w:r w:rsidR="00DE52AE" w:rsidRPr="00874B56">
        <w:rPr>
          <w:rFonts w:ascii="Times New Roman" w:hAnsi="Times New Roman" w:cs="Times New Roman"/>
          <w:bCs/>
          <w:sz w:val="24"/>
          <w:szCs w:val="24"/>
        </w:rPr>
        <w:t xml:space="preserve">Bristol, Policy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="00DE52AE" w:rsidRPr="00874B56">
        <w:rPr>
          <w:rFonts w:ascii="Times New Roman" w:hAnsi="Times New Roman" w:cs="Times New Roman"/>
          <w:bCs/>
          <w:sz w:val="24"/>
          <w:szCs w:val="24"/>
        </w:rPr>
        <w:t xml:space="preserve">Press. </w:t>
      </w:r>
    </w:p>
    <w:p w14:paraId="5EA07308" w14:textId="44B7DDFA" w:rsidR="00DE52AE" w:rsidRPr="00874B56" w:rsidRDefault="00DE52AE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2023. Segregation and the attainment gap for permanently disadvantaged pupils in </w:t>
      </w:r>
      <w:r w:rsidR="00582E0B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England.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Review, 75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(6), pp.1039-1062. </w:t>
      </w:r>
      <w:r w:rsidR="00582E0B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59" w:history="1">
        <w:r w:rsidR="00582E0B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https://doi.org/10.1080/00131911.2021.2007055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55CD09D" w14:textId="2AFB5A7B" w:rsidR="00AC7754" w:rsidRPr="00874B56" w:rsidRDefault="00AC7754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Gorard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Boliver, V., Siddiqui, N. and Banerjee, P., 2019. Which are the most suitable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contextual indicators for use in widening participation to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HE?.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Papers in </w:t>
      </w:r>
      <w:r w:rsid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pp.99-129. </w:t>
      </w:r>
      <w:hyperlink r:id="rId6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https://doi.org/10.1080/02671522.2017.1402083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C569D1A" w14:textId="07CAFC06" w:rsidR="004344E3" w:rsidRPr="00874B56" w:rsidRDefault="004344E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Goldman, R., 2021. A critical introduction to labelling theory. In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Routledge Library Editions: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Education Mini-Set M Special Education and Inclusion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(pp. Vol213-1). London: </w:t>
      </w:r>
      <w:r w:rsid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Routledge.</w:t>
      </w:r>
    </w:p>
    <w:p w14:paraId="70786FF3" w14:textId="544431EB" w:rsidR="00C662C2" w:rsidRPr="00874B56" w:rsidRDefault="00C662C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Goldstone, R., Baker, W. and Barg, K., 2023. A comparative perspective on social class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inequalities in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parental involvement in education: structural dynamics, institutional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design, and cultural factors.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(5), pp.976-992.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https://doi.org/10.1080/00131911.2021.1974347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CD6EEB4" w14:textId="6C60507F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Goudeau, S.,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Sanrey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Stanczak, A.,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Manstead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Darnon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2021. Why lockdown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and distance learning during the COVID-19 pandemic are likely to increase the social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class achievement gap.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Nature human behaviour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(10), pp.1273-1281.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https://doi.org/10.1038/s41562-021-01212-7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31BD59F" w14:textId="4C6521A1" w:rsidR="008576CC" w:rsidRPr="00874B56" w:rsidRDefault="008576C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Green, F., Anders, J., Henderson, M.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Henseke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G., 2017. Who chooses private schooling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 Britain and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why?.</w:t>
      </w:r>
      <w:proofErr w:type="gramEnd"/>
      <w:r w:rsidR="00C32E46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C32E46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Centre for Learning and Life Chances in Knowledge, Economics,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C32E46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and Societies, 62, </w:t>
      </w:r>
      <w:r w:rsidR="00C32E46" w:rsidRPr="00874B56">
        <w:rPr>
          <w:rFonts w:ascii="Times New Roman" w:hAnsi="Times New Roman" w:cs="Times New Roman"/>
          <w:bCs/>
          <w:sz w:val="24"/>
          <w:szCs w:val="24"/>
        </w:rPr>
        <w:t xml:space="preserve">pp.1-42. Available at: </w:t>
      </w:r>
      <w:r w:rsidR="00C32E46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3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https://discovery.ucl.ac.uk/id/eprint/10043039/1/Green%2C%20Anders%2C%20Hen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derson%20%26%20Henseke.pdf</w:t>
        </w:r>
      </w:hyperlink>
      <w:r w:rsidR="00C32E46" w:rsidRPr="00874B56">
        <w:rPr>
          <w:rFonts w:ascii="Times New Roman" w:hAnsi="Times New Roman" w:cs="Times New Roman"/>
          <w:bCs/>
          <w:sz w:val="24"/>
          <w:szCs w:val="24"/>
        </w:rPr>
        <w:t xml:space="preserve"> (Accessed: 04/11/24)</w:t>
      </w:r>
    </w:p>
    <w:p w14:paraId="6F7268A9" w14:textId="6295F885" w:rsidR="00B043CA" w:rsidRPr="00874B56" w:rsidRDefault="00B043C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Green, F.,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Henseke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G. and Vignoles, A., 2017. Private schooling and labour market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outcomes.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Educational Research 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pp.7-28.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64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https://doi.org/10.1002/berj.3256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687DCB0" w14:textId="34A37BE1" w:rsidR="00C86844" w:rsidRPr="00874B56" w:rsidRDefault="00C868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Green, L. and Emmerson, C., 2023. Free School Meals Extension to all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4-11 year olds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in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primary education in Wales.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European journal of public health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33</w:t>
      </w:r>
      <w:r w:rsidRPr="00874B56">
        <w:rPr>
          <w:rFonts w:ascii="Times New Roman" w:hAnsi="Times New Roman" w:cs="Times New Roman"/>
          <w:bCs/>
          <w:sz w:val="24"/>
          <w:szCs w:val="24"/>
        </w:rPr>
        <w:t>(2), pp.160-303.</w:t>
      </w:r>
    </w:p>
    <w:p w14:paraId="33B82AB3" w14:textId="59813FED" w:rsidR="00F63855" w:rsidRPr="00874B56" w:rsidRDefault="00F6385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Hatt, S., Baxter, A. and Tate, J., 2009. ‘It was definitely a turning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point!’A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review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Aimhigher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summer schools in the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south west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of England.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Further and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Higher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pp.333-346. </w:t>
      </w:r>
      <w:hyperlink r:id="rId6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https://doi.org/10.1080/03098770903266034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AB260E1" w14:textId="45309F84" w:rsidR="00FF3944" w:rsidRPr="00874B56" w:rsidRDefault="00FF39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Heath, A. and Li, Y., 2023.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mobility</w:t>
      </w:r>
      <w:r w:rsidRPr="00874B56">
        <w:rPr>
          <w:rFonts w:ascii="Times New Roman" w:hAnsi="Times New Roman" w:cs="Times New Roman"/>
          <w:bCs/>
          <w:sz w:val="24"/>
          <w:szCs w:val="24"/>
        </w:rPr>
        <w:t>. John Wiley &amp; Sons.</w:t>
      </w:r>
    </w:p>
    <w:p w14:paraId="652EA762" w14:textId="52E44603" w:rsidR="00503A0D" w:rsidRPr="00874B56" w:rsidRDefault="00503A0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Hempel‐Jorgensen, A., 2009. The construction of the ‘ideal pupil’ and pupils’ perceptions of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‘misbehaviour’ and discipline: contrasting experiences from a low‐socio‐economic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and a high‐socio‐economic primary school.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30</w:t>
      </w:r>
      <w:r w:rsidRPr="00874B56">
        <w:rPr>
          <w:rFonts w:ascii="Times New Roman" w:hAnsi="Times New Roman" w:cs="Times New Roman"/>
          <w:bCs/>
          <w:sz w:val="24"/>
          <w:szCs w:val="24"/>
        </w:rPr>
        <w:t>(4),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pp.435-448. </w:t>
      </w:r>
      <w:hyperlink r:id="rId6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https://doi.org/10.1080/01425690902954612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B218EEE" w14:textId="70FCB6C8" w:rsidR="00EC1C43" w:rsidRPr="00874B56" w:rsidRDefault="00EC1C4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Henderson, M., Anders, J., Green, F.,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Henseke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G., 2020. Private schooling, subject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choice, upper secondary attainment, and progression to university.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Review of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Education, 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pp.295-312. </w:t>
      </w:r>
      <w:hyperlink r:id="rId6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https://doi.org/10.1080/03054985.2019.1669551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BD3ABFC" w14:textId="6B1E21CA" w:rsidR="00E517E3" w:rsidRPr="00874B56" w:rsidRDefault="00E517E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Herbert, I.P., Rothwell, A.T., Glover, J.L. and Lambert, S.A., 2020. Graduate employability,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employment prospects and work-readiness in the changing field of professional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work.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International Journal of Management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p.100378.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6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https://doi.org/10.1016/j.ijme.2020.100378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549F2EB" w14:textId="5D5DAED4" w:rsidR="00E517E3" w:rsidRPr="00874B56" w:rsidRDefault="00E517E3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Hewitt, R., 2020.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Getting on: Graduate employment and its influence on UK higher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 Oxford, UK: Higher Education Policy Institute.</w:t>
      </w:r>
    </w:p>
    <w:p w14:paraId="7706B3C7" w14:textId="64EE9AD0" w:rsidR="00582E0B" w:rsidRPr="00874B56" w:rsidRDefault="00582E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Hill, D., 2018. Education, social class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marxist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theory. In R. Simmons and J. Smyth (eds.)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 and working-class youth: Reshaping the politics of inclusion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Cham,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Springer International, pp.181-208. </w:t>
      </w:r>
      <w:hyperlink r:id="rId6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https://doi.org/10.1007/978-3-319-90671-3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1E79ED1" w14:textId="2CA58F2D" w:rsidR="00473EFC" w:rsidRPr="00874B56" w:rsidRDefault="00473E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Hill, N. E., &amp; Tyson, D. F., 2009. Parental involvement in middle school: A meta-analytic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assessment of the strategies that promote achievement.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Developmental Psychology,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pp.740–763. </w:t>
      </w:r>
      <w:hyperlink r:id="rId70" w:tgtFrame="_blank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https://doi.org/10.1037/a0015362</w:t>
        </w:r>
      </w:hyperlink>
    </w:p>
    <w:p w14:paraId="4E4414E0" w14:textId="66727F32" w:rsidR="00A61C01" w:rsidRPr="00874B56" w:rsidRDefault="00A61C0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Hoffman, R., 2008. ‘Concepts of social inequality’, in R. Hoffman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Socioeconomic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Differences in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 xml:space="preserve">Old Age Mortality.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Dordrecht: Springer, pp.29-55.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7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https://doi.org/10.1007/978-1-4020-8692-2_4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949A99F" w14:textId="2FB502A5" w:rsidR="006D693E" w:rsidRPr="00874B56" w:rsidRDefault="006D693E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Höivik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T., 1971. Social Inequality—The Main Issues.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Peace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pp.119-142. </w:t>
      </w:r>
      <w:hyperlink r:id="rId72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https://doi.org/10.1177/002234337100800202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D405772" w14:textId="12EE0157" w:rsidR="00FF3097" w:rsidRPr="00874B56" w:rsidRDefault="00FF309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Holton, M. and Finn, K., 2018. Being-in-motion: The everyday (gendered and classed)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embodied mobilities for UK university students who commute.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Mobilities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pp.426-440. </w:t>
      </w:r>
      <w:hyperlink r:id="rId73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https://doi.org/10.1080/17450101.2017.1331018</w:t>
        </w:r>
      </w:hyperlink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7B738B1" w14:textId="7F0A4D49" w:rsidR="004D6141" w:rsidRPr="00874B56" w:rsidRDefault="004D614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Hooper, J., 2022.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Changing the Lens: Building Teacher Capacity to Understand the Effects of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Teacher Implicit Bias on Educational Experiences for Students Living in Poverty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Western Carolina University. Available at: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74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https://www.proquest.com/docview/2662853246?pq-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origsite=gscholar&amp;fromopenview=true&amp;sourcetype=Dissertations%20&amp;%20Theses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(Accessed 10/11/24)</w:t>
      </w:r>
    </w:p>
    <w:p w14:paraId="2C4825BA" w14:textId="75023CD7" w:rsidR="00377071" w:rsidRPr="00874B56" w:rsidRDefault="0037707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Hurst, C., Gibbon, H.F. and Nurse, A., 2016.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inequality: Forms, causes, and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consequences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Routledge. </w:t>
      </w:r>
      <w:hyperlink r:id="rId7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https://doi.org/10.4324/9781315536859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ECDC943" w14:textId="780311F7" w:rsidR="009769F5" w:rsidRPr="00874B56" w:rsidRDefault="009769F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Hutchinson, J., Reader, M.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Akhal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A., 2020.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Education in England: Annual Report 2020.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London: Education Policy Institute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7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https://epi.org.uk/publications-and-research/education-in-england-annual-report-2020/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(Accessed 24/10/2024)</w:t>
      </w:r>
    </w:p>
    <w:p w14:paraId="7F5E8100" w14:textId="75C56754" w:rsidR="00F430DA" w:rsidRPr="00874B56" w:rsidRDefault="00F430D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Ilie, S., Sutherland, A. and Vignoles, A., 2017. Revisiting free school meal eligibility as a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proxy for pupil socio‐economic deprivation.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British Educational Research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pp.253-274.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7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https://doi.org/10.1002/berj.3260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8E6587F" w14:textId="37B831F8" w:rsidR="00FF3944" w:rsidRPr="00874B56" w:rsidRDefault="00FF39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Ingram, N.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Gamsu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2022. Talking the talk of social mobility: The political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performance of a misguided agenda.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Research Online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pp.189-206. </w:t>
      </w:r>
      <w:hyperlink r:id="rId78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https://doi.org/10.1177/13607804211055493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AD43026" w14:textId="5BE7B8F3" w:rsidR="00C06E7F" w:rsidRPr="00874B56" w:rsidRDefault="00C06E7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Jack, A.A., 2016. (No) harm in asking: Class, acquired cultural capital, and academic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engagement at an elite university.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pp.1-19.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7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https://doi.org/10.1177/0038040715614913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0F6D2B1" w14:textId="4FBF7D9B" w:rsidR="00C70C59" w:rsidRPr="00874B56" w:rsidRDefault="00C70C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Jæger, M.M. and Breen, R., 2016. A dynamic model of cultural reproduction.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American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121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pp.1079-1115.</w:t>
      </w:r>
    </w:p>
    <w:p w14:paraId="6495748F" w14:textId="68FE32FB" w:rsidR="00C20F18" w:rsidRPr="00874B56" w:rsidRDefault="00366DE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Janda, T.K., 2022.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 exploration into the educational experiences of high achieving young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people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entitled to free school meals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(Doctoral dissertation, University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Birmingham).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0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https://etheses.bham.ac.uk/id/eprint/13202/13/Janda2022ApEdandChildPsyDVol1_Re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dacted.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20/10/2024). </w:t>
      </w:r>
    </w:p>
    <w:p w14:paraId="75E42305" w14:textId="100F78CE" w:rsidR="00FF3944" w:rsidRPr="00874B56" w:rsidRDefault="00FF394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Jin, J. and Ball, S.J., 2020. Meritocracy, social mobility and a new form of class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domination.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pp.64-79.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https://doi.org/10.1080/01425692.2019.1665496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BF3DF8C" w14:textId="25457D49" w:rsidR="00F430DA" w:rsidRPr="00874B56" w:rsidRDefault="00F430D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Johnson, P., 2024. Educational Inequalities.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Open Economics,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3(1), pp.758-759.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https://doi.org/10.1093/ooec/odae003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8D9781E" w14:textId="75D3A50B" w:rsidR="00581426" w:rsidRPr="00874B56" w:rsidRDefault="0058142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Jury, M., Smeding, A., Stephens, N.M., Nelson, J.E.,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Aelenei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Darnon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2017.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experience of low‐SES students in higher education: Psychological barriers to success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and interventions to reduce social‐class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Social Issues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pp.23-41. https://doi.org/10.1111/josi.12202</w:t>
      </w:r>
    </w:p>
    <w:p w14:paraId="29A56E7A" w14:textId="454D45A7" w:rsidR="005C120B" w:rsidRPr="00874B56" w:rsidRDefault="005C12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Kaye, N., 2024. The cumulative impact of socioeconomic disadvantage on educational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attainment during austerity: a comparative cross-cohort approach.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Oxford Review of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pp.186-206. </w:t>
      </w:r>
      <w:hyperlink r:id="rId8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https://doi.org/10.1080/03054985.2023.2234287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351DFBA" w14:textId="067FAF68" w:rsidR="006A1FD0" w:rsidRPr="00874B56" w:rsidRDefault="006A1FD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Kelly, A.F. and Mulrooney, H.M., 2019. Student perceptions of belonging at university: a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qualitative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perspective.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New Directions in the Teaching of Physical Sciences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pp.1-11.</w:t>
      </w:r>
    </w:p>
    <w:p w14:paraId="5378FD76" w14:textId="50AE2530" w:rsidR="007B4476" w:rsidRPr="00874B56" w:rsidRDefault="007B447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Lakner, C., Mahler, D.G., Negre, M.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Prydz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E.B., 2022. How much does reducing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inequality matter for global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poverty?.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Journal of Economic Inequality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pp.559-585. </w:t>
      </w:r>
      <w:hyperlink r:id="rId84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https://doi.org/10.1007/s10888-021-09510-w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0CC64A4" w14:textId="3D4DA47F" w:rsidR="00D578D2" w:rsidRPr="00874B56" w:rsidRDefault="00D578D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Lamont, M. and Lareau, A., 1988. Cultural capital: Allusions, gaps and glissandos in recent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theoretical developments.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theory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pp.153-168.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85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https://doi.org/10.2307/202113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5427496" w14:textId="3F51663F" w:rsidR="00C662C2" w:rsidRPr="00874B56" w:rsidRDefault="00C662C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Lareau, A. 2012.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Unequal Childhoods: Class, Race, and Family Life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Berkeley: University of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California Press. </w:t>
      </w:r>
      <w:hyperlink r:id="rId8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https://doi.org/10.1525/9780520949904</w:t>
        </w:r>
      </w:hyperlink>
    </w:p>
    <w:p w14:paraId="6AF304D6" w14:textId="0F15A2B6" w:rsidR="00581426" w:rsidRPr="00874B56" w:rsidRDefault="00F0636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Lareau, A., 2015. Cultural knowledge and social inequality.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American sociological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pp.1-27. </w:t>
      </w:r>
      <w:r w:rsidR="00581426" w:rsidRPr="00874B56">
        <w:rPr>
          <w:rFonts w:ascii="Times New Roman" w:hAnsi="Times New Roman" w:cs="Times New Roman"/>
          <w:bCs/>
          <w:sz w:val="24"/>
          <w:szCs w:val="24"/>
        </w:rPr>
        <w:t>https:/doi.org/10.1177/0003122414565814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3082FC4" w14:textId="25CF8474" w:rsidR="00184E83" w:rsidRPr="00874B56" w:rsidRDefault="00184E83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Lefranc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Pistolesi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N.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Trannoy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A., 2008. Inequality of opportunities vs. inequality of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outcomes: Are Western societies all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alike?.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income and wealth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54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pp.513-546.  </w:t>
      </w:r>
      <w:hyperlink r:id="rId87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https://doi.org/10.1111/j.1475-4991.2008.00289.x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4649B99" w14:textId="4AF5C04F" w:rsidR="0038789E" w:rsidRPr="00874B56" w:rsidRDefault="0038789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Lim, C.H.J., 2024.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Tracking the June 2020 Key Stage 5 cohort: progression to further and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higher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 xml:space="preserve">education.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Cambridge University Press &amp; Assessment.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8" w:history="1">
        <w:r w:rsidRPr="00874B56">
          <w:rPr>
            <w:rStyle w:val="Hyperlink"/>
            <w:rFonts w:ascii="Times New Roman" w:hAnsi="Times New Roman" w:cs="Times New Roman"/>
            <w:bCs/>
            <w:color w:val="215E99" w:themeColor="text2" w:themeTint="BF"/>
            <w:sz w:val="24"/>
            <w:szCs w:val="24"/>
          </w:rPr>
          <w:t>https://api.repository.cam.ac.uk/server/api/core/bitstreams/80fbe2ab-eea0-4274-aaff-</w:t>
        </w:r>
      </w:hyperlink>
      <w:r w:rsidRPr="00874B56">
        <w:rPr>
          <w:rFonts w:ascii="Times New Roman" w:hAnsi="Times New Roman" w:cs="Times New Roman"/>
          <w:bCs/>
          <w:color w:val="215E99" w:themeColor="text2" w:themeTint="BF"/>
          <w:sz w:val="24"/>
          <w:szCs w:val="24"/>
          <w:u w:val="single"/>
        </w:rPr>
        <w:tab/>
        <w:t>53f1e551a8eb/content</w:t>
      </w:r>
      <w:r w:rsidRPr="00874B56">
        <w:rPr>
          <w:rFonts w:ascii="Times New Roman" w:hAnsi="Times New Roman" w:cs="Times New Roman"/>
          <w:bCs/>
          <w:color w:val="215E99" w:themeColor="text2" w:themeTint="BF"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(Accessed: 21/10/2024)</w:t>
      </w:r>
    </w:p>
    <w:p w14:paraId="4CD8E989" w14:textId="28713E59" w:rsidR="004600C6" w:rsidRPr="00874B56" w:rsidRDefault="004600C6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Lisauskaite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E., McIntosh, S.,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Speckesser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 and Espinoza, H., 2021.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Going further: Further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education, disadvantage and social mobility.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London: The Sutton Trust. 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8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https://cris.brighton.ac.uk/ws/portalfiles/portal/31603322/Going_Further.pdf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(Accessed 23/10/2024)</w:t>
      </w:r>
    </w:p>
    <w:p w14:paraId="18052980" w14:textId="717289AB" w:rsidR="00375E25" w:rsidRPr="00874B56" w:rsidRDefault="00375E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Liu, B., Ji, S. and Zhu, Z., 2024. Does higher education matter for health in the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UK?.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SSM-Population Health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p.101642. </w:t>
      </w:r>
      <w:hyperlink r:id="rId9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https://doi.org/10.1016/j.ssmph.2024.101642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7C908FA" w14:textId="43AE7D2E" w:rsidR="00861D38" w:rsidRPr="00874B56" w:rsidRDefault="00861D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Major, L.E. and Machin, S., 2018.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mobility: And its enemies</w:t>
      </w:r>
      <w:r w:rsidRPr="00874B56">
        <w:rPr>
          <w:rFonts w:ascii="Times New Roman" w:hAnsi="Times New Roman" w:cs="Times New Roman"/>
          <w:bCs/>
          <w:sz w:val="24"/>
          <w:szCs w:val="24"/>
        </w:rPr>
        <w:t>. Penguin UK.</w:t>
      </w:r>
    </w:p>
    <w:p w14:paraId="35C1EF88" w14:textId="4378F29C" w:rsidR="0038789E" w:rsidRPr="00874B56" w:rsidRDefault="0038789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Martin, P., 2023.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An exploration of the factors which predict the likelihood of young people in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England progressing into higher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 (Doctoral dissertation, University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Warwick). Available at: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91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http://webcat.warwick.ac.uk/record=b3980946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21/10/24)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</w:p>
    <w:p w14:paraId="6691DF45" w14:textId="5A381EB2" w:rsidR="000A2770" w:rsidRPr="00874B56" w:rsidRDefault="000A2770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Marx, K., and Engels., F. 1967.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Communist Manifesto.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Translated by S. Moore. London: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Penguin Classics. </w:t>
      </w:r>
    </w:p>
    <w:p w14:paraId="534BC45D" w14:textId="7C9282A9" w:rsidR="00C9530B" w:rsidRPr="00874B56" w:rsidRDefault="00C9530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Marx, K., and Engels, F., 2011. ‘The German Ideology’, in I. Szeman and T. Kaposy (eds.)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Cultural Theory: An Anthology. </w:t>
      </w:r>
      <w:r w:rsidR="006D255B" w:rsidRPr="00874B56">
        <w:rPr>
          <w:rFonts w:ascii="Times New Roman" w:hAnsi="Times New Roman" w:cs="Times New Roman"/>
          <w:bCs/>
          <w:sz w:val="24"/>
          <w:szCs w:val="24"/>
        </w:rPr>
        <w:t>West Sussex: Wiley Blackwell, pp.161-171.</w:t>
      </w:r>
    </w:p>
    <w:p w14:paraId="5A22C625" w14:textId="39F01AD9" w:rsidR="002763CB" w:rsidRPr="00874B56" w:rsidRDefault="002763C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McCann, P., 2020. Perceptions of regional inequality and the geography of discontent: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insights from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the UK.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Regional Studies, 54</w:t>
      </w:r>
      <w:r w:rsidRPr="00874B56">
        <w:rPr>
          <w:rFonts w:ascii="Times New Roman" w:hAnsi="Times New Roman" w:cs="Times New Roman"/>
          <w:bCs/>
          <w:sz w:val="24"/>
          <w:szCs w:val="24"/>
        </w:rPr>
        <w:t>(2), pp.256-267.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92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https://doi.org/10.1080/00343404.2019.1619928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0289076" w14:textId="33CF8981" w:rsidR="00390609" w:rsidRPr="00874B56" w:rsidRDefault="0039060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McCartney, G.,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Hoggett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R., Walsh, D. and Lee, D., 2023. How well do area-based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deprivation indices identify income-and employment-deprived individuals across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Great Britain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today?.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Public Health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217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pp.22-25.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93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https://doi.org/10.1016/j.puhe.2023.01.020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0EB63A6" w14:textId="0655AF09" w:rsidR="001975CC" w:rsidRPr="00874B56" w:rsidRDefault="001975C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McLennan, G., 1996. Post-Marxism and the “four sins” of modernist theorizing.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New Left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218</w:t>
      </w:r>
      <w:r w:rsidRPr="00874B56">
        <w:rPr>
          <w:rFonts w:ascii="Times New Roman" w:hAnsi="Times New Roman" w:cs="Times New Roman"/>
          <w:bCs/>
          <w:sz w:val="24"/>
          <w:szCs w:val="24"/>
        </w:rPr>
        <w:t>(2), pp.53-74.</w:t>
      </w:r>
    </w:p>
    <w:p w14:paraId="4DB2FF3F" w14:textId="2BC5EC7B" w:rsidR="00452249" w:rsidRPr="00874B56" w:rsidRDefault="0045224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Merton, R.K., 1948. The self-fulfilling prophecy.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antioch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pp.193-210.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9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https://doi.org/10.2307/4609267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4E18EBC" w14:textId="61DF46FB" w:rsidR="00DA4A5A" w:rsidRPr="00874B56" w:rsidRDefault="00DA4A5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Mihai, M.,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Ţiţan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E. and Manea, D., 2015. Education and poverty.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Procedia Economics and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Finance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pp.855-860. </w:t>
      </w:r>
      <w:hyperlink r:id="rId9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https://doi.org/10.1016/S2212-5671(15)01532-4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44EED7B" w14:textId="26E5B1C5" w:rsidR="00EE720F" w:rsidRPr="00874B56" w:rsidRDefault="00EE720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Minow, M., 2021. Equality vs. equity.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Journal of Law and Equality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</w:t>
      </w:r>
      <w:r w:rsidRPr="00874B56">
        <w:rPr>
          <w:rFonts w:ascii="Times New Roman" w:hAnsi="Times New Roman" w:cs="Times New Roman"/>
          <w:bCs/>
          <w:sz w:val="24"/>
          <w:szCs w:val="24"/>
        </w:rPr>
        <w:t>, pp.167-193.</w:t>
      </w:r>
      <w:r w:rsidR="00966918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966918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96" w:tgtFrame="_blank" w:history="1">
        <w:r w:rsidR="00966918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https://doi.org/10.1162/ajle_a_00019</w:t>
        </w:r>
      </w:hyperlink>
    </w:p>
    <w:p w14:paraId="6B7D993F" w14:textId="7FF527EE" w:rsidR="0038220B" w:rsidRPr="00874B56" w:rsidRDefault="0038220B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Mouzelis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N., 1988. Marxism or post-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Marxism?.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New Left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167</w:t>
      </w:r>
      <w:r w:rsidRPr="00874B56">
        <w:rPr>
          <w:rFonts w:ascii="Times New Roman" w:hAnsi="Times New Roman" w:cs="Times New Roman"/>
          <w:bCs/>
          <w:sz w:val="24"/>
          <w:szCs w:val="24"/>
        </w:rPr>
        <w:t>(1), pp.107-123.</w:t>
      </w:r>
    </w:p>
    <w:p w14:paraId="6F3078C0" w14:textId="69C0289A" w:rsidR="0016143C" w:rsidRPr="00874B56" w:rsidRDefault="0089108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Murshed, S. M., 2022. ‘Consequences of the Covid-19 Pandemic for Economic Inequality’,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 E.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Papyrakis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Covid-19 and International Development.</w:t>
      </w:r>
      <w:r w:rsidR="0016143C" w:rsidRPr="00874B56">
        <w:rPr>
          <w:rFonts w:ascii="Times New Roman" w:hAnsi="Times New Roman" w:cs="Times New Roman"/>
          <w:bCs/>
          <w:sz w:val="24"/>
          <w:szCs w:val="24"/>
        </w:rPr>
        <w:t xml:space="preserve"> Cham: Springer,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="0016143C" w:rsidRPr="00874B56">
        <w:rPr>
          <w:rFonts w:ascii="Times New Roman" w:hAnsi="Times New Roman" w:cs="Times New Roman"/>
          <w:bCs/>
          <w:sz w:val="24"/>
          <w:szCs w:val="24"/>
        </w:rPr>
        <w:t xml:space="preserve">pp.59-70. </w:t>
      </w:r>
      <w:hyperlink r:id="rId97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https://doi.org/10.1007/978-3-030-82339-9_5</w:t>
        </w:r>
      </w:hyperlink>
      <w:r w:rsidR="0016143C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7472A13" w14:textId="77777777" w:rsidR="00F17B59" w:rsidRPr="00874B56" w:rsidRDefault="00F17B59" w:rsidP="00F17B59">
      <w:pP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Nash, J., 2008. Re-thinking intersectionality. 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Feminist review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874B5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89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(1), pp.1-15. </w:t>
      </w:r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</w:r>
      <w:hyperlink r:id="rId98" w:history="1">
        <w:r w:rsidRPr="00874B5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https://doi.org/10.1057/fr.2008.4</w:t>
        </w:r>
      </w:hyperlink>
      <w:r w:rsidRPr="00874B5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60FCD64" w14:textId="34D27AC4" w:rsidR="00F17B59" w:rsidRPr="00874B56" w:rsidRDefault="00BA43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Nesom, S., Silva, L., Skeels, A., Taylor-Collins, E., Hill-Dixon, A. and Price, J., 2024.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Widening participation in tertiary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.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Wales Centre for Public Policy.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Available at: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99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https://wcpp.org.uk/wp-content/uploads/2024/10/Evidence-Review-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Widening-Participation-in-Tertiary-Education.pdf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</w:t>
      </w:r>
      <w:r w:rsidR="00A247D6" w:rsidRPr="00874B56">
        <w:rPr>
          <w:rFonts w:ascii="Times New Roman" w:hAnsi="Times New Roman" w:cs="Times New Roman"/>
          <w:bCs/>
          <w:sz w:val="24"/>
          <w:szCs w:val="24"/>
        </w:rPr>
        <w:t>7/11/24)</w:t>
      </w:r>
    </w:p>
    <w:p w14:paraId="32365C23" w14:textId="1EA924D7" w:rsidR="00C13A54" w:rsidRPr="00874B56" w:rsidRDefault="00C13A5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Niño‐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Zarazúa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M., Roope, L. and Tarp, F., 2017. Global inequality: Relatively lower,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absolutely higher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Income and Wealth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pp.661-684.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00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https://doi.org/10.1111/roiw.12240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1C9CFC7" w14:textId="5B634DF0" w:rsidR="004E349F" w:rsidRPr="00874B56" w:rsidRDefault="004E349F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Noble, J. and Davies, P., 2009. Cultural capital as an explanation of variation in participation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in higher education.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Sociology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30</w:t>
      </w:r>
      <w:r w:rsidRPr="00874B56">
        <w:rPr>
          <w:rFonts w:ascii="Times New Roman" w:hAnsi="Times New Roman" w:cs="Times New Roman"/>
          <w:bCs/>
          <w:sz w:val="24"/>
          <w:szCs w:val="24"/>
        </w:rPr>
        <w:t>(5), pp.591-605.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https://doi.org/10.1080/01425690903101098</w:t>
      </w:r>
    </w:p>
    <w:p w14:paraId="73EBDF05" w14:textId="546780EC" w:rsidR="00D35AD1" w:rsidRPr="00874B56" w:rsidRDefault="00D35A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Noble, M., Wright, G., Smith, G. and Dibben, C., 2006. Measuring multiple deprivation at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small-area level.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Environment and planning A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38</w:t>
      </w:r>
      <w:r w:rsidRPr="00874B56">
        <w:rPr>
          <w:rFonts w:ascii="Times New Roman" w:hAnsi="Times New Roman" w:cs="Times New Roman"/>
          <w:bCs/>
          <w:sz w:val="24"/>
          <w:szCs w:val="24"/>
        </w:rPr>
        <w:t>(1), pp.169-185.</w:t>
      </w:r>
      <w:r w:rsidR="00390609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390609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1" w:history="1">
        <w:r w:rsidR="00390609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https://doi.org/10.1068/a37168</w:t>
        </w:r>
      </w:hyperlink>
      <w:r w:rsidR="00390609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7D365C6" w14:textId="02363069" w:rsidR="001B6838" w:rsidRPr="00874B56" w:rsidRDefault="001B68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Nolan, B.,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Richiardi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M.G. and Valenzuela, L., 2019. The drivers of income inequality in rich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countries.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Economic Surveys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pp.1285-1324.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https://doi.org/10.1111/joes.12328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29D3856" w14:textId="3F275A23" w:rsidR="00441692" w:rsidRPr="00874B56" w:rsidRDefault="0044169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O'Keeffe, P., 2013. A sense of belonging: Improving student retention.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College student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47</w:t>
      </w:r>
      <w:r w:rsidRPr="00874B56">
        <w:rPr>
          <w:rFonts w:ascii="Times New Roman" w:hAnsi="Times New Roman" w:cs="Times New Roman"/>
          <w:bCs/>
          <w:sz w:val="24"/>
          <w:szCs w:val="24"/>
        </w:rPr>
        <w:t>(4), pp.605-613.</w:t>
      </w:r>
    </w:p>
    <w:p w14:paraId="515446E1" w14:textId="777585DC" w:rsidR="004F50C9" w:rsidRPr="00874B56" w:rsidRDefault="004F50C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Panday, R., 1983. Max Weber’s theory of social stratification: Controversies, contexts and </w:t>
      </w:r>
      <w:r w:rsidR="001B6838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correctives.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Bulletin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pp.171-203. </w:t>
      </w:r>
      <w:r w:rsidR="001B6838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3" w:history="1">
        <w:r w:rsidR="001B6838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https://doi.org/10.1177/0038022919830204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127C2D7" w14:textId="3C487B49" w:rsidR="00375E25" w:rsidRPr="00874B56" w:rsidRDefault="00375E2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Papi, S. and Cheraghi, M., 2021. Multiple factors associated with life satisfaction in older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adults.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Menopause Review/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Przegląd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Menopauzalny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pp.65-71.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0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https://doi.org/10.5114/pm.2021.107025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E6434B2" w14:textId="69435F44" w:rsidR="006C47F6" w:rsidRPr="00874B56" w:rsidRDefault="006C47F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Parsons, T., 1959. The School Class as a Social System: Some of Its Functions in American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Society.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Harvard Educational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29</w:t>
      </w:r>
      <w:r w:rsidRPr="00874B56">
        <w:rPr>
          <w:rFonts w:ascii="Times New Roman" w:hAnsi="Times New Roman" w:cs="Times New Roman"/>
          <w:bCs/>
          <w:sz w:val="24"/>
          <w:szCs w:val="24"/>
        </w:rPr>
        <w:t>(4,) pp.297-318.</w:t>
      </w:r>
    </w:p>
    <w:p w14:paraId="063E4EFB" w14:textId="173EA85E" w:rsidR="00441692" w:rsidRPr="00874B56" w:rsidRDefault="0044169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Pedler, M.L., Willis, R. and Nieuwoudt, J.E., 2022. A sense of belonging at university: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Student retention, motivation and enjoyment.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Further and Higher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pp.397-408. </w:t>
      </w:r>
      <w:hyperlink r:id="rId10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https://doi.org/10.1080/0309877X.2021.1955844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4BE64B7" w14:textId="1516C947" w:rsidR="0038789E" w:rsidRPr="00874B56" w:rsidRDefault="0038789E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Pickering, N., 2019. No such thing as a free lunch: widening participation in English higher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education for those on free school meals.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Widening Participation and Lifelong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Learning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21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pp.57-80. </w:t>
      </w:r>
      <w:hyperlink r:id="rId10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https://doi.org/10.5456/WPLL.21.3.57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6175806" w14:textId="79147F0D" w:rsidR="00D45D48" w:rsidRPr="00874B56" w:rsidRDefault="00D45D4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Poole, M. E., 1979. Social Class, Sex and Linguistic Coding.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Language and Speech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pp.49-67. </w:t>
      </w:r>
      <w:hyperlink r:id="rId10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https://doi.org/10.1177/002383097902200104</w:t>
        </w:r>
      </w:hyperlink>
    </w:p>
    <w:p w14:paraId="1F862E65" w14:textId="3D837028" w:rsidR="00942C1D" w:rsidRPr="00874B56" w:rsidRDefault="00942C1D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Popcevski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N. 2022. </w:t>
      </w:r>
      <w:r w:rsidR="00A275A9" w:rsidRPr="00874B56">
        <w:rPr>
          <w:rFonts w:ascii="Times New Roman" w:hAnsi="Times New Roman" w:cs="Times New Roman"/>
          <w:bCs/>
          <w:sz w:val="24"/>
          <w:szCs w:val="24"/>
        </w:rPr>
        <w:t>‘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The Billionaire Boom: Capital as Power and the Distribution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Wealth</w:t>
      </w:r>
      <w:r w:rsidR="00A275A9" w:rsidRPr="00874B56">
        <w:rPr>
          <w:rFonts w:ascii="Times New Roman" w:hAnsi="Times New Roman" w:cs="Times New Roman"/>
          <w:bCs/>
          <w:sz w:val="24"/>
          <w:szCs w:val="24"/>
        </w:rPr>
        <w:t xml:space="preserve">’, in T. Di Muzio and M. Dow (eds.) </w:t>
      </w:r>
      <w:r w:rsidR="00A275A9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Covid-19 and the Global Political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="00A275A9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Economy. </w:t>
      </w:r>
      <w:r w:rsidR="00A275A9" w:rsidRPr="00874B56">
        <w:rPr>
          <w:rFonts w:ascii="Times New Roman" w:hAnsi="Times New Roman" w:cs="Times New Roman"/>
          <w:bCs/>
          <w:sz w:val="24"/>
          <w:szCs w:val="24"/>
        </w:rPr>
        <w:t xml:space="preserve">London: Routledge, pp.40-52. </w:t>
      </w:r>
      <w:hyperlink r:id="rId108" w:history="1">
        <w:r w:rsidR="00A275A9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https://doi.org/10.4324/9781003250432</w:t>
        </w:r>
      </w:hyperlink>
      <w:r w:rsidR="00A275A9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F237DC2" w14:textId="5B1BD09B" w:rsidR="00473EFC" w:rsidRPr="00874B56" w:rsidRDefault="00473E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Pomerantz, E.M., Moorman, E.A. and Litwack, S.D., 2007. The how, whom, and why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parents’ involvement in children’s academic lives: more is not always better.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Review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of educational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pp.373-410. </w:t>
      </w:r>
      <w:hyperlink r:id="rId10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https://doi.org/10.3102/003465430305567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4A6C3AF" w14:textId="56EA8CA0" w:rsidR="00103ECB" w:rsidRPr="00874B56" w:rsidRDefault="00103EC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Radulović, L.M. and Krstić, S.M., 2017. Social inequality in education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analyzed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within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various theoretical frameworks. 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Facta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Universitatis, Series: Philosophy, Sociology,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lastRenderedPageBreak/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Psychology and History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pp.25-36.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10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https://doi.org/10.22190/FUPSPH1701025M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153FB8A" w14:textId="3894B287" w:rsidR="00486FE8" w:rsidRPr="00874B56" w:rsidRDefault="00486FE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Ramos, X. and Van de Gaer, D., 2016. Approaches to inequality of opportunity: Principles,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measures and evidence.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Economic Surveys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(5), pp.855-883.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https://doi.org/10.1111/joes.12121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E2CFDCC" w14:textId="584605A9" w:rsidR="00C624F9" w:rsidRPr="00874B56" w:rsidRDefault="00C624F9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Ravallion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>, M., 2018. Inequality and globalization: A review essay.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Economic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Literature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pp.620-642. </w:t>
      </w:r>
      <w:hyperlink r:id="rId11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https://doi.org/10.1257/jel.20171419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E82F83C" w14:textId="64C5B0DE" w:rsidR="00C20F18" w:rsidRPr="00874B56" w:rsidRDefault="00C20F18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Ravulo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J., Said, S., Micsko, J. and Purchase, G., 2020. Social value and its impact through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widening participation: A review of four programs working with primary, secondary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&amp; higher education students.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Cogent Social Sciences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p.1722307.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https://doi.org/10.1080/23311886.2020.1722307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0759A1C" w14:textId="38EC57A6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Ready, D.D. and Wright, D.L., 2011. Accuracy and inaccuracy in teachers’ perceptions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young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children’s cognitive abilities: The role of child background and classroom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context.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American Educational Research 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48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pp.335-360.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4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https://doi.org/10.3102/0002831210374874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8FDE687" w14:textId="5A69F722" w:rsidR="00B043CA" w:rsidRPr="00874B56" w:rsidRDefault="00B043C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Reeves, A., Friedman, S., Rahal, C.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Flemmen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M., 2017. The decline and persistence of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the old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boy: Private schools and elite recruitment 1897 to 2016.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American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Sociological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(6), pp.1139-1166.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15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https://doi.org/10.1177/0003122417735742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8160E9D" w14:textId="67FC4485" w:rsidR="005726F6" w:rsidRPr="00874B56" w:rsidRDefault="005726F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Remington, T. 2023. Top-End Wealth Accumulation: The Forbes Lists and Wealth Inequality.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Development Issues, 45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pp.37-60. </w:t>
      </w:r>
      <w:hyperlink r:id="rId116" w:history="1">
        <w:r w:rsidR="00776995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https://doi.org/10.3998/sdi.3905</w:t>
        </w:r>
      </w:hyperlink>
      <w:r w:rsidR="00776995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DC2F581" w14:textId="5B94D7DE" w:rsidR="0050188D" w:rsidRPr="00874B56" w:rsidRDefault="0050188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Riddell, S., Edward, S., Boeren, E. and Weedon, E., 2013. Widening access to higher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education: Does anyone know what works.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Widening Access to Higher Education: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Does Anyone Know What Works?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Edinburgh: Centre for Research in Education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Inclusion and Diversity (CREID). </w:t>
      </w:r>
    </w:p>
    <w:p w14:paraId="20228A5F" w14:textId="08E3248E" w:rsidR="00776995" w:rsidRPr="00874B56" w:rsidRDefault="0077699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Roemer, J.E., 2002. Equality of opportunity: A progress report.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Choice and Welfare</w:t>
      </w:r>
      <w:r w:rsidRPr="00874B56">
        <w:rPr>
          <w:rFonts w:ascii="Times New Roman" w:hAnsi="Times New Roman" w:cs="Times New Roman"/>
          <w:bCs/>
          <w:sz w:val="24"/>
          <w:szCs w:val="24"/>
        </w:rPr>
        <w:t>,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19</w:t>
      </w:r>
      <w:r w:rsidRPr="00874B56">
        <w:rPr>
          <w:rFonts w:ascii="Times New Roman" w:hAnsi="Times New Roman" w:cs="Times New Roman"/>
          <w:bCs/>
          <w:sz w:val="24"/>
          <w:szCs w:val="24"/>
        </w:rPr>
        <w:t>(2)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pp.455-471. </w:t>
      </w:r>
      <w:hyperlink r:id="rId11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http://www.jstor.org/stable/41106460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98C3C20" w14:textId="0B475A43" w:rsidR="00D87FFC" w:rsidRPr="00874B56" w:rsidRDefault="00D87F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Sanderson, R., and Spacey, R., 2020.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Widening Access to Higher Education - What Works? A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Review of Relevant Literature. Access and Participation Plan Evaluation Project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University of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Lincoln. </w:t>
      </w:r>
      <w:hyperlink r:id="rId11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https://hdl.handle.net/10779/lincoln.24874737.v1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2F86F60" w14:textId="752FE5B5" w:rsidR="00925AFD" w:rsidRPr="00874B56" w:rsidRDefault="00925A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Saunders, P., 2006.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class and stratification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London: Routledge.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19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https://doi.org/10.4324/9780203129715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C0F90F5" w14:textId="55EA2774" w:rsidR="00C13A54" w:rsidRPr="00874B56" w:rsidRDefault="00C13A5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Sauter, C., Grether, J.M. and Mathys, N.A., 2016. Geographical spread of global emissions: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Within-country inequalities are large and increasing.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Energy 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89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pp.138-149.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20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https://doi.org/10.1016/j.enpol.2015.11.024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E435C8E" w14:textId="4B5E7EE0" w:rsidR="001B6838" w:rsidRPr="00874B56" w:rsidRDefault="001B683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Sen, A., 2006. ‘Conceptualizing and Measuring Poverty’, in D. B.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Grusky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and R. Kanbur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(eds.)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Poverty and Inequality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Redwood City: Stanford University Press,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pp. 30-46. </w:t>
      </w:r>
      <w:hyperlink r:id="rId12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https://doi.org/10.1515/9780804767590-003</w:t>
        </w:r>
      </w:hyperlink>
    </w:p>
    <w:p w14:paraId="695ACF56" w14:textId="47FFADA0" w:rsidR="00864D17" w:rsidRPr="00874B56" w:rsidRDefault="00864D1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Shaw, B., Baars, S., Menzies, L.,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Parameshwaran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M. and Allen, R., 2017. </w:t>
      </w:r>
      <w:proofErr w:type="gram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Low income</w:t>
      </w:r>
      <w:proofErr w:type="gram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pupils’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progress at secondary school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 London: Social Mobility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Commision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Available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at:</w:t>
      </w:r>
      <w:r w:rsidR="006E371F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hyperlink r:id="rId122" w:history="1"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https://www.academia.edu/download/52072647/Progress_at_Secondary_School_repo</w:t>
        </w:r>
        <w:r w:rsidR="006E371F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ab/>
          <w:t>rt_final.pdf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(Accessed 7/11/2024).</w:t>
      </w:r>
    </w:p>
    <w:p w14:paraId="1CA501C6" w14:textId="4CF4AA8C" w:rsidR="00F63855" w:rsidRPr="00874B56" w:rsidRDefault="00F6385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Smith, S., Alexander, A., Dubb, S., Murphy, K. and Laycock, J., 2013. Opening doors and </w:t>
      </w:r>
      <w:r w:rsidR="006E371F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minds: a path for widening access.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clinical teacher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10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pp.124-128.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23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https://doi.org/10.1111/j.1743-498X.2012.00616.x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688E6807" w14:textId="6047702B" w:rsidR="008B5DF8" w:rsidRPr="00874B56" w:rsidRDefault="008B5DF8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Speybroeck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Kuppens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S., Van Damme, J., Van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Petegem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P.,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Lamote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C., Boonen, T., and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de Bilde, J., 2012. The role of teachers' expectations in the association between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children's SES and performance in kindergarten: A moderated mediation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analysis. </w:t>
      </w:r>
      <w:proofErr w:type="spellStart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PloS</w:t>
      </w:r>
      <w:proofErr w:type="spellEnd"/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 one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p.e34502. </w:t>
      </w:r>
      <w:hyperlink r:id="rId124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https://doi.org/10.1371/journal.pone.0034502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9F63753" w14:textId="43B99F78" w:rsidR="002D15DA" w:rsidRPr="00874B56" w:rsidRDefault="002D15D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Stewart, K. and Roberts, N., 2019. Child poverty measurement in the UK: Assessing support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for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downgrading of income-based poverty measures.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Social Indicators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142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pp.523-542. </w:t>
      </w:r>
      <w:hyperlink r:id="rId125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https://doi.org/10.1007/s11205-018-1880-9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ECE7167" w14:textId="698A5895" w:rsidR="00473EFC" w:rsidRPr="00874B56" w:rsidRDefault="00473EFC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Strømme, T.B. and Helland, H., 2020. Parents’ educational involvement: Types of resources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and forms of involvement in four countries.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British Educational Research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(5), pp.993-1011. </w:t>
      </w:r>
      <w:hyperlink r:id="rId126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https://doi.org/10.1002/berj.3609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5BD0404A" w14:textId="5D4B0A7D" w:rsidR="009E7CF4" w:rsidRPr="00874B56" w:rsidRDefault="009E7CF4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Sullivan, A., 2001. Cultural capital and educational attainment.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pp.893-912.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27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https://doi.org/10.1177/0038038501035004006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91B1729" w14:textId="3C51E9F9" w:rsidR="00B043CA" w:rsidRPr="00874B56" w:rsidRDefault="00B043C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Sullivan, A., Parsons, S., Green, F., Wiggins, R.D.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Ploubidis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G., 2018. The path from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social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>origins to top jobs: social reproduction via education.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British journal of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pp.776-798. </w:t>
      </w:r>
      <w:hyperlink r:id="rId12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https://doi.org/10.1111/1468-4446.12314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8BE2979" w14:textId="11A2630D" w:rsidR="00635CA7" w:rsidRPr="00874B56" w:rsidRDefault="00635CA7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Taylor, C., 2018. The reliability of free school meal eligibility as a measure of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socio-economic</w:t>
      </w:r>
      <w:r w:rsidR="00E15DB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disadvantage: Evidence from the millennium cohort study in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Wales.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British journal of educational studies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pp.29-51.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hyperlink r:id="rId129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https://doi.org/10.1080/00071005.2017.1330464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3BC9E87" w14:textId="339A7E8E" w:rsidR="00683799" w:rsidRPr="00874B56" w:rsidRDefault="0068379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>Townsend, P., 1979.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Poverty in the United Kingdom: a survey of household resources and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standards of living</w:t>
      </w:r>
      <w:r w:rsidRPr="00874B56">
        <w:rPr>
          <w:rFonts w:ascii="Times New Roman" w:hAnsi="Times New Roman" w:cs="Times New Roman"/>
          <w:bCs/>
          <w:sz w:val="24"/>
          <w:szCs w:val="24"/>
        </w:rPr>
        <w:t>. Univ</w:t>
      </w:r>
      <w:r w:rsidR="00E15DBB">
        <w:rPr>
          <w:rFonts w:ascii="Times New Roman" w:hAnsi="Times New Roman" w:cs="Times New Roman"/>
          <w:bCs/>
          <w:sz w:val="24"/>
          <w:szCs w:val="24"/>
        </w:rPr>
        <w:t>ersity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 of California Press.</w:t>
      </w:r>
    </w:p>
    <w:p w14:paraId="3CCB0B0B" w14:textId="1282955D" w:rsidR="008D2CEA" w:rsidRPr="00874B56" w:rsidRDefault="008D2CEA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Townsend, P., 1987. Deprivation.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social policy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16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(2), pp.125-146.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0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https://doi.org/10.1017/S0047279400020341</w:t>
        </w:r>
      </w:hyperlink>
      <w:r w:rsidR="00E15DBB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09CB245" w14:textId="78D70F1D" w:rsidR="00101122" w:rsidRPr="00874B56" w:rsidRDefault="0010112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Waters, T. and Waters, D., 2016. Are the terms “socio-economic status” and “class status” a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warped form of reasoning for Max Weber?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Palgrave Communications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pp.1-13.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1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https://doi.org/10.1057/palcomms.2016.2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 </w:t>
      </w:r>
    </w:p>
    <w:p w14:paraId="50224DA4" w14:textId="6D6BD0D5" w:rsidR="00B93D7B" w:rsidRPr="00874B56" w:rsidRDefault="00B93D7B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Weber, M., </w:t>
      </w:r>
      <w:r w:rsidR="008F4193" w:rsidRPr="00874B56">
        <w:rPr>
          <w:rFonts w:ascii="Times New Roman" w:hAnsi="Times New Roman" w:cs="Times New Roman"/>
          <w:bCs/>
          <w:sz w:val="24"/>
          <w:szCs w:val="24"/>
        </w:rPr>
        <w:t>1964</w:t>
      </w:r>
      <w:r w:rsidRPr="00874B56">
        <w:rPr>
          <w:rFonts w:ascii="Times New Roman" w:hAnsi="Times New Roman" w:cs="Times New Roman"/>
          <w:bCs/>
          <w:sz w:val="24"/>
          <w:szCs w:val="24"/>
        </w:rPr>
        <w:t>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The theory of social and economic organization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New York: Simon and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Schuster.</w:t>
      </w:r>
    </w:p>
    <w:p w14:paraId="61234631" w14:textId="71D4BAF6" w:rsidR="00101122" w:rsidRPr="00874B56" w:rsidRDefault="0010112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Weber, M., 2011. ‘Class, Status, Party’, in D.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Grusky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(ed.)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The Inequality Reader.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New York: Routledge, pp.56-67. </w:t>
      </w:r>
      <w:hyperlink r:id="rId132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https://doi.org/10.4324/9780429494468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31D188DE" w14:textId="4460C996" w:rsidR="003E5FD1" w:rsidRPr="00874B56" w:rsidRDefault="003E5FD1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>Weiß, A., 2017. Sociological theories of global inequalities.</w:t>
      </w:r>
      <w:r w:rsidR="008D1C1C" w:rsidRPr="00874B56">
        <w:rPr>
          <w:rFonts w:ascii="Open Sans" w:hAnsi="Open Sans" w:cs="Open Sans"/>
          <w:i/>
          <w:iCs/>
          <w:color w:val="333333"/>
          <w:sz w:val="24"/>
          <w:szCs w:val="24"/>
          <w:shd w:val="clear" w:color="auto" w:fill="FFFFFF"/>
        </w:rPr>
        <w:t xml:space="preserve"> </w:t>
      </w:r>
      <w:r w:rsidR="008D1C1C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Sociology</w:t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="008D1C1C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51</w:t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 xml:space="preserve">(6), </w:t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="008D1C1C" w:rsidRPr="00874B56">
        <w:rPr>
          <w:rFonts w:ascii="Times New Roman" w:hAnsi="Times New Roman" w:cs="Times New Roman"/>
          <w:bCs/>
          <w:sz w:val="24"/>
          <w:szCs w:val="24"/>
        </w:rPr>
        <w:tab/>
        <w:t>pp.1318-1324. </w:t>
      </w:r>
      <w:hyperlink r:id="rId133" w:history="1">
        <w:r w:rsidR="008D1C1C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https://doi.org/10.1177/0038038517712949</w:t>
        </w:r>
      </w:hyperlink>
    </w:p>
    <w:p w14:paraId="46CA4570" w14:textId="247E18A3" w:rsidR="00E84475" w:rsidRPr="00874B56" w:rsidRDefault="00E84475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West, A., Barham, E. and Hind, A., 2011. Secondary school admissions in England 2001 to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2008: Changing legislation, policy and practice.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Oxford Review of 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37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pp.1-20. </w:t>
      </w:r>
      <w:hyperlink r:id="rId134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https://doi.org/10.1080/03054985.2010.538527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9F671E2" w14:textId="3CD07937" w:rsidR="00000086" w:rsidRPr="00874B56" w:rsidRDefault="0000008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Wietzke, F.B., 2020. Poverty, inequality, and fertility: the contribution of demographic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change to global poverty reduction.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Population and Development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46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pp.65-99. </w:t>
      </w:r>
      <w:hyperlink r:id="rId135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https://doi.org/10.1111/padr.12317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ED9692F" w14:textId="32CEA011" w:rsidR="000B24FD" w:rsidRPr="00874B56" w:rsidRDefault="000B24FD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Witteveen, D., 2020. Sociodemographic inequality in exposure to COVID-19-induced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economic hardship in the United Kingdom.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Research in Social Stratification and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Mobility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69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pp.100551. </w:t>
      </w:r>
      <w:hyperlink r:id="rId136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https://doi.org/10.1016/j.rssm.2020.100551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193A0741" w14:textId="5D285290" w:rsidR="00005182" w:rsidRPr="00874B56" w:rsidRDefault="00005182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Wohlfarth, T., 1997. Socioeconomic inequality and psychopathology: are socioeconomic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status and social class </w:t>
      </w:r>
      <w:proofErr w:type="gramStart"/>
      <w:r w:rsidRPr="00874B56">
        <w:rPr>
          <w:rFonts w:ascii="Times New Roman" w:hAnsi="Times New Roman" w:cs="Times New Roman"/>
          <w:bCs/>
          <w:sz w:val="24"/>
          <w:szCs w:val="24"/>
        </w:rPr>
        <w:t>interchangeable?.</w:t>
      </w:r>
      <w:proofErr w:type="gramEnd"/>
      <w:r w:rsidRPr="00874B56">
        <w:rPr>
          <w:rFonts w:ascii="Times New Roman" w:hAnsi="Times New Roman" w:cs="Times New Roman"/>
          <w:bCs/>
          <w:sz w:val="24"/>
          <w:szCs w:val="24"/>
        </w:rPr>
        <w:t>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Social Science &amp; Medicine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45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(3),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pp.399-410. </w:t>
      </w:r>
      <w:hyperlink r:id="rId137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https://doi.org/10.1016/S0277-9536(96)00355-3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04CFA86C" w14:textId="6EE34E6E" w:rsidR="00F3382D" w:rsidRPr="00874B56" w:rsidRDefault="00F3382D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Wolbring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G. and Nguyen, A., 2023. Equity/equality, diversity and inclusion, and other EDI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phrases and EDI policy frameworks: A scoping review.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Trends in Higher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Education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(1), pp.168-237.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8" w:history="1">
        <w:r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https://doi.org/10.3390/higheredu2010011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49852666" w14:textId="63B8FB0C" w:rsidR="00C529B6" w:rsidRPr="00874B56" w:rsidRDefault="00C529B6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Wong, E., Glen, J. and Williams, S., 2019.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Stakeholder perspectives of widening access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initiatives to medical school in the UK: A scoping review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. </w:t>
      </w:r>
      <w:r w:rsidR="00441692" w:rsidRPr="00874B56">
        <w:rPr>
          <w:rFonts w:ascii="Times New Roman" w:hAnsi="Times New Roman" w:cs="Times New Roman"/>
          <w:bCs/>
          <w:sz w:val="24"/>
          <w:szCs w:val="24"/>
        </w:rPr>
        <w:t xml:space="preserve">Bangor University. </w:t>
      </w:r>
      <w:r w:rsidR="00441692" w:rsidRPr="00874B56">
        <w:rPr>
          <w:rFonts w:ascii="Times New Roman" w:hAnsi="Times New Roman" w:cs="Times New Roman"/>
          <w:bCs/>
          <w:sz w:val="24"/>
          <w:szCs w:val="24"/>
        </w:rPr>
        <w:tab/>
      </w:r>
      <w:hyperlink r:id="rId139" w:history="1">
        <w:r w:rsidR="00441692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https://doi.org/10.21203/rs.2.18919/v1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B4AC125" w14:textId="551FBF48" w:rsidR="00D95358" w:rsidRPr="00874B56" w:rsidRDefault="00D95358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Wood, C., Clark, C., Teravainen-Goff, A., Rudkin, G. and Vardy, E., 2020. Exploring the </w:t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ab/>
        <w:t xml:space="preserve">Literacy-Related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Behaviors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 and Feelings of Pupils Eligible for Free School Meals in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Relation to Their Use of and Access to School Libraries.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School Library Research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23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pp.1-22.</w:t>
      </w:r>
    </w:p>
    <w:p w14:paraId="31DB6047" w14:textId="596FA646" w:rsidR="00A275A9" w:rsidRPr="00874B56" w:rsidRDefault="00A275A9" w:rsidP="00687E13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Yadavendu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V.K., 2023. Looking beyond the lamp post: Health inequality in the times of </w:t>
      </w:r>
      <w:r w:rsidR="002B3B44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="002B3B44" w:rsidRPr="00874B56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COVID-19.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International Journal of Social Determinants of Health and Health </w:t>
      </w:r>
      <w:r w:rsidR="002B3B44"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Services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53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(4), pp.478-487. </w:t>
      </w:r>
      <w:hyperlink r:id="rId140" w:history="1">
        <w:r w:rsidR="002B3B44" w:rsidRPr="00874B56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https://doi.org/10.1177%2F27551938231189203</w:t>
        </w:r>
      </w:hyperlink>
      <w:r w:rsidR="002B3B44"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28F4BB19" w14:textId="1D5B568B" w:rsidR="00260459" w:rsidRPr="00874B56" w:rsidRDefault="00260459" w:rsidP="00687E13">
      <w:pPr>
        <w:rPr>
          <w:rFonts w:ascii="Times New Roman" w:hAnsi="Times New Roman" w:cs="Times New Roman"/>
          <w:bCs/>
          <w:sz w:val="24"/>
          <w:szCs w:val="24"/>
        </w:rPr>
      </w:pPr>
      <w:r w:rsidRPr="00874B56">
        <w:rPr>
          <w:rFonts w:ascii="Times New Roman" w:hAnsi="Times New Roman" w:cs="Times New Roman"/>
          <w:bCs/>
          <w:sz w:val="24"/>
          <w:szCs w:val="24"/>
        </w:rPr>
        <w:t xml:space="preserve">Younger, K., Gascoine, L., Menzies, V., &amp; Torgerson, C., 2019. A systematic review of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evidence on the effectiveness of interventions and strategies for widening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participation in higher education.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Journal of Further and Higher Education, 43</w:t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(6),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 xml:space="preserve">742–773. </w:t>
      </w:r>
      <w:hyperlink r:id="rId141" w:history="1">
        <w:r w:rsidR="00E15DBB" w:rsidRPr="00420765">
          <w:rPr>
            <w:rStyle w:val="Hyperlink"/>
            <w:rFonts w:ascii="Times New Roman" w:hAnsi="Times New Roman" w:cs="Times New Roman"/>
            <w:bCs/>
            <w:sz w:val="24"/>
            <w:szCs w:val="24"/>
          </w:rPr>
          <w:t>https://doi.org/10.1080/0309877x.2017.1404558</w:t>
        </w:r>
      </w:hyperlink>
      <w:r w:rsidRPr="00874B56">
        <w:rPr>
          <w:rFonts w:ascii="Times New Roman" w:hAnsi="Times New Roman" w:cs="Times New Roman"/>
          <w:bCs/>
          <w:sz w:val="24"/>
          <w:szCs w:val="24"/>
        </w:rPr>
        <w:t xml:space="preserve"> </w:t>
      </w:r>
    </w:p>
    <w:p w14:paraId="7CA7C69F" w14:textId="49F8A313" w:rsidR="00747CB5" w:rsidRPr="00874B56" w:rsidRDefault="00F1349D" w:rsidP="00E84475">
      <w:pPr>
        <w:rPr>
          <w:rFonts w:ascii="Times New Roman" w:hAnsi="Times New Roman" w:cs="Times New Roman"/>
          <w:bCs/>
          <w:sz w:val="24"/>
          <w:szCs w:val="24"/>
        </w:rPr>
      </w:pP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Zahedani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Z.Z., Rezaee, R., Yazdani, Z., Bagheri, S. and </w:t>
      </w:r>
      <w:proofErr w:type="spellStart"/>
      <w:r w:rsidRPr="00874B56">
        <w:rPr>
          <w:rFonts w:ascii="Times New Roman" w:hAnsi="Times New Roman" w:cs="Times New Roman"/>
          <w:bCs/>
          <w:sz w:val="24"/>
          <w:szCs w:val="24"/>
        </w:rPr>
        <w:t>Nabeiei</w:t>
      </w:r>
      <w:proofErr w:type="spellEnd"/>
      <w:r w:rsidRPr="00874B56">
        <w:rPr>
          <w:rFonts w:ascii="Times New Roman" w:hAnsi="Times New Roman" w:cs="Times New Roman"/>
          <w:bCs/>
          <w:sz w:val="24"/>
          <w:szCs w:val="24"/>
        </w:rPr>
        <w:t xml:space="preserve">, P., 2016. The influence of </w:t>
      </w:r>
      <w:r w:rsidR="00E15DBB">
        <w:rPr>
          <w:rFonts w:ascii="Times New Roman" w:hAnsi="Times New Roman" w:cs="Times New Roman"/>
          <w:b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sz w:val="24"/>
          <w:szCs w:val="24"/>
        </w:rPr>
        <w:t>parenting</w:t>
      </w:r>
      <w:r w:rsidR="00E15DBB">
        <w:rPr>
          <w:rFonts w:ascii="Times New Roman" w:hAnsi="Times New Roman" w:cs="Times New Roman"/>
          <w:bCs/>
          <w:sz w:val="24"/>
          <w:szCs w:val="24"/>
        </w:rPr>
        <w:t xml:space="preserve"> </w:t>
      </w:r>
      <w:r w:rsidRPr="00874B56">
        <w:rPr>
          <w:rFonts w:ascii="Times New Roman" w:hAnsi="Times New Roman" w:cs="Times New Roman"/>
          <w:bCs/>
          <w:sz w:val="24"/>
          <w:szCs w:val="24"/>
        </w:rPr>
        <w:t>style on academic achievement and career path.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Journal of advances in </w:t>
      </w:r>
      <w:r w:rsidR="00E15DBB">
        <w:rPr>
          <w:rFonts w:ascii="Times New Roman" w:hAnsi="Times New Roman" w:cs="Times New Roman"/>
          <w:bCs/>
          <w:i/>
          <w:iCs/>
          <w:sz w:val="24"/>
          <w:szCs w:val="24"/>
        </w:rPr>
        <w:tab/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 xml:space="preserve">medical education &amp; 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ab/>
        <w:t>professionalism</w:t>
      </w:r>
      <w:r w:rsidRPr="00874B56">
        <w:rPr>
          <w:rFonts w:ascii="Times New Roman" w:hAnsi="Times New Roman" w:cs="Times New Roman"/>
          <w:bCs/>
          <w:sz w:val="24"/>
          <w:szCs w:val="24"/>
        </w:rPr>
        <w:t>, </w:t>
      </w:r>
      <w:r w:rsidRPr="00874B56">
        <w:rPr>
          <w:rFonts w:ascii="Times New Roman" w:hAnsi="Times New Roman" w:cs="Times New Roman"/>
          <w:bCs/>
          <w:i/>
          <w:iCs/>
          <w:sz w:val="24"/>
          <w:szCs w:val="24"/>
        </w:rPr>
        <w:t>4</w:t>
      </w:r>
      <w:r w:rsidRPr="00874B56">
        <w:rPr>
          <w:rFonts w:ascii="Times New Roman" w:hAnsi="Times New Roman" w:cs="Times New Roman"/>
          <w:bCs/>
          <w:sz w:val="24"/>
          <w:szCs w:val="24"/>
        </w:rPr>
        <w:t>(3), p</w:t>
      </w:r>
      <w:r w:rsidR="00D578D2" w:rsidRPr="00874B56">
        <w:rPr>
          <w:rFonts w:ascii="Times New Roman" w:hAnsi="Times New Roman" w:cs="Times New Roman"/>
          <w:bCs/>
          <w:sz w:val="24"/>
          <w:szCs w:val="24"/>
        </w:rPr>
        <w:t>p</w:t>
      </w:r>
      <w:r w:rsidRPr="00874B56">
        <w:rPr>
          <w:rFonts w:ascii="Times New Roman" w:hAnsi="Times New Roman" w:cs="Times New Roman"/>
          <w:bCs/>
          <w:sz w:val="24"/>
          <w:szCs w:val="24"/>
        </w:rPr>
        <w:t>.130</w:t>
      </w:r>
      <w:r w:rsidR="00D578D2" w:rsidRPr="00874B56">
        <w:rPr>
          <w:rFonts w:ascii="Times New Roman" w:hAnsi="Times New Roman" w:cs="Times New Roman"/>
          <w:bCs/>
          <w:sz w:val="24"/>
          <w:szCs w:val="24"/>
        </w:rPr>
        <w:t>-135</w:t>
      </w:r>
      <w:r w:rsidRPr="00874B56">
        <w:rPr>
          <w:rFonts w:ascii="Times New Roman" w:hAnsi="Times New Roman" w:cs="Times New Roman"/>
          <w:bCs/>
          <w:sz w:val="24"/>
          <w:szCs w:val="24"/>
        </w:rPr>
        <w:t>.</w:t>
      </w:r>
    </w:p>
    <w:sectPr w:rsidR="00747CB5" w:rsidRPr="00874B56" w:rsidSect="00647257">
      <w:headerReference w:type="default" r:id="rId14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8EBFCB0" w14:textId="77777777" w:rsidR="00647257" w:rsidRDefault="00647257" w:rsidP="00647257">
      <w:pPr>
        <w:spacing w:before="0" w:after="0" w:line="240" w:lineRule="auto"/>
      </w:pPr>
      <w:r>
        <w:separator/>
      </w:r>
    </w:p>
  </w:endnote>
  <w:endnote w:type="continuationSeparator" w:id="0">
    <w:p w14:paraId="40DADC9B" w14:textId="77777777" w:rsidR="00647257" w:rsidRDefault="00647257" w:rsidP="0064725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A91C180" w14:textId="77777777" w:rsidR="00647257" w:rsidRDefault="00647257" w:rsidP="00647257">
      <w:pPr>
        <w:spacing w:before="0" w:after="0" w:line="240" w:lineRule="auto"/>
      </w:pPr>
      <w:r>
        <w:separator/>
      </w:r>
    </w:p>
  </w:footnote>
  <w:footnote w:type="continuationSeparator" w:id="0">
    <w:p w14:paraId="52118EA1" w14:textId="77777777" w:rsidR="00647257" w:rsidRDefault="00647257" w:rsidP="00647257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953221" w14:textId="225A3328" w:rsidR="00647257" w:rsidRPr="00647257" w:rsidRDefault="00647257">
    <w:pPr>
      <w:pStyle w:val="Header"/>
      <w:rPr>
        <w:rFonts w:ascii="Times New Roman" w:hAnsi="Times New Roman" w:cs="Times New Roman"/>
      </w:rPr>
    </w:pPr>
    <w:r w:rsidRPr="00647257">
      <w:rPr>
        <w:rFonts w:ascii="Times New Roman" w:hAnsi="Times New Roman" w:cs="Times New Roman"/>
      </w:rPr>
      <w:t>Phoebe Richards</w:t>
    </w:r>
    <w:r w:rsidRPr="00647257">
      <w:rPr>
        <w:rFonts w:ascii="Times New Roman" w:hAnsi="Times New Roman" w:cs="Times New Roman"/>
      </w:rPr>
      <w:ptab w:relativeTo="margin" w:alignment="center" w:leader="none"/>
    </w:r>
    <w:r w:rsidRPr="00647257">
      <w:rPr>
        <w:rFonts w:ascii="Times New Roman" w:hAnsi="Times New Roman" w:cs="Times New Roman"/>
      </w:rPr>
      <w:t>ECED7009</w:t>
    </w:r>
    <w:r w:rsidRPr="00647257">
      <w:rPr>
        <w:rFonts w:ascii="Times New Roman" w:hAnsi="Times New Roman" w:cs="Times New Roman"/>
      </w:rPr>
      <w:ptab w:relativeTo="margin" w:alignment="right" w:leader="none"/>
    </w:r>
    <w:r w:rsidRPr="00647257">
      <w:rPr>
        <w:rFonts w:ascii="Times New Roman" w:hAnsi="Times New Roman" w:cs="Times New Roman"/>
      </w:rPr>
      <w:t>2306489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C587749"/>
    <w:multiLevelType w:val="hybridMultilevel"/>
    <w:tmpl w:val="1D860CA6"/>
    <w:lvl w:ilvl="0" w:tplc="BB400368"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82509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7CB5"/>
    <w:rsid w:val="00000086"/>
    <w:rsid w:val="00003D4D"/>
    <w:rsid w:val="00005182"/>
    <w:rsid w:val="000161D1"/>
    <w:rsid w:val="000201FE"/>
    <w:rsid w:val="0003080D"/>
    <w:rsid w:val="00034228"/>
    <w:rsid w:val="0003428A"/>
    <w:rsid w:val="00034C18"/>
    <w:rsid w:val="000470C3"/>
    <w:rsid w:val="00055EA9"/>
    <w:rsid w:val="00080B17"/>
    <w:rsid w:val="000A2770"/>
    <w:rsid w:val="000B1066"/>
    <w:rsid w:val="000B24FD"/>
    <w:rsid w:val="000B37FA"/>
    <w:rsid w:val="000E3196"/>
    <w:rsid w:val="000E72CD"/>
    <w:rsid w:val="000F0A67"/>
    <w:rsid w:val="000F1E54"/>
    <w:rsid w:val="00101122"/>
    <w:rsid w:val="00103ECB"/>
    <w:rsid w:val="00116299"/>
    <w:rsid w:val="0012042D"/>
    <w:rsid w:val="001206EF"/>
    <w:rsid w:val="00142912"/>
    <w:rsid w:val="00142A1B"/>
    <w:rsid w:val="00151DFB"/>
    <w:rsid w:val="0016143C"/>
    <w:rsid w:val="001661A4"/>
    <w:rsid w:val="00184E83"/>
    <w:rsid w:val="00184EF3"/>
    <w:rsid w:val="00190CC4"/>
    <w:rsid w:val="001975CC"/>
    <w:rsid w:val="001B26BD"/>
    <w:rsid w:val="001B6838"/>
    <w:rsid w:val="001C4756"/>
    <w:rsid w:val="001D080A"/>
    <w:rsid w:val="001D1AFF"/>
    <w:rsid w:val="001D1B0D"/>
    <w:rsid w:val="001F15AE"/>
    <w:rsid w:val="00202C2B"/>
    <w:rsid w:val="00223828"/>
    <w:rsid w:val="00236691"/>
    <w:rsid w:val="00246270"/>
    <w:rsid w:val="0024668B"/>
    <w:rsid w:val="0024714E"/>
    <w:rsid w:val="00260459"/>
    <w:rsid w:val="0026465D"/>
    <w:rsid w:val="002724C0"/>
    <w:rsid w:val="00272D99"/>
    <w:rsid w:val="00274A9C"/>
    <w:rsid w:val="002763CB"/>
    <w:rsid w:val="002763E4"/>
    <w:rsid w:val="00277B69"/>
    <w:rsid w:val="002841FA"/>
    <w:rsid w:val="002A5DBD"/>
    <w:rsid w:val="002B0463"/>
    <w:rsid w:val="002B0AD6"/>
    <w:rsid w:val="002B3B44"/>
    <w:rsid w:val="002B433E"/>
    <w:rsid w:val="002D15DA"/>
    <w:rsid w:val="002D2980"/>
    <w:rsid w:val="002E3A15"/>
    <w:rsid w:val="00307C93"/>
    <w:rsid w:val="003118D9"/>
    <w:rsid w:val="00315B38"/>
    <w:rsid w:val="00321607"/>
    <w:rsid w:val="0033184F"/>
    <w:rsid w:val="00332687"/>
    <w:rsid w:val="003348FD"/>
    <w:rsid w:val="00362560"/>
    <w:rsid w:val="00366DE9"/>
    <w:rsid w:val="003701DE"/>
    <w:rsid w:val="00373166"/>
    <w:rsid w:val="00375E25"/>
    <w:rsid w:val="00377071"/>
    <w:rsid w:val="0038220B"/>
    <w:rsid w:val="0038789E"/>
    <w:rsid w:val="003879AB"/>
    <w:rsid w:val="00390609"/>
    <w:rsid w:val="0039462F"/>
    <w:rsid w:val="003A1146"/>
    <w:rsid w:val="003A127D"/>
    <w:rsid w:val="003A1D28"/>
    <w:rsid w:val="003A756F"/>
    <w:rsid w:val="003B0D10"/>
    <w:rsid w:val="003E5FD1"/>
    <w:rsid w:val="00411A2B"/>
    <w:rsid w:val="004344E3"/>
    <w:rsid w:val="00441692"/>
    <w:rsid w:val="00445118"/>
    <w:rsid w:val="00447BF7"/>
    <w:rsid w:val="00452249"/>
    <w:rsid w:val="004600C6"/>
    <w:rsid w:val="00464437"/>
    <w:rsid w:val="00467317"/>
    <w:rsid w:val="004706C5"/>
    <w:rsid w:val="004728C9"/>
    <w:rsid w:val="00473EFC"/>
    <w:rsid w:val="004838E3"/>
    <w:rsid w:val="00486FE8"/>
    <w:rsid w:val="004B180A"/>
    <w:rsid w:val="004B2EA1"/>
    <w:rsid w:val="004B3C0B"/>
    <w:rsid w:val="004B6B7A"/>
    <w:rsid w:val="004D2BE0"/>
    <w:rsid w:val="004D3DF4"/>
    <w:rsid w:val="004D6141"/>
    <w:rsid w:val="004D6B79"/>
    <w:rsid w:val="004D75BB"/>
    <w:rsid w:val="004E349F"/>
    <w:rsid w:val="004F50C9"/>
    <w:rsid w:val="0050188D"/>
    <w:rsid w:val="00503A0D"/>
    <w:rsid w:val="00506A17"/>
    <w:rsid w:val="00523FB6"/>
    <w:rsid w:val="0053644D"/>
    <w:rsid w:val="00546103"/>
    <w:rsid w:val="00546E1D"/>
    <w:rsid w:val="005532A4"/>
    <w:rsid w:val="00560809"/>
    <w:rsid w:val="00570051"/>
    <w:rsid w:val="005726F6"/>
    <w:rsid w:val="0057542A"/>
    <w:rsid w:val="00576032"/>
    <w:rsid w:val="00576E9D"/>
    <w:rsid w:val="00581426"/>
    <w:rsid w:val="00582E0B"/>
    <w:rsid w:val="0059257C"/>
    <w:rsid w:val="005B74CA"/>
    <w:rsid w:val="005C120B"/>
    <w:rsid w:val="005E21F8"/>
    <w:rsid w:val="005F1F6E"/>
    <w:rsid w:val="00635CA7"/>
    <w:rsid w:val="00637EC0"/>
    <w:rsid w:val="00647257"/>
    <w:rsid w:val="006559B6"/>
    <w:rsid w:val="006566F5"/>
    <w:rsid w:val="0066278B"/>
    <w:rsid w:val="006701C2"/>
    <w:rsid w:val="006730B0"/>
    <w:rsid w:val="00680176"/>
    <w:rsid w:val="00682BD2"/>
    <w:rsid w:val="00683799"/>
    <w:rsid w:val="0068791F"/>
    <w:rsid w:val="00687E13"/>
    <w:rsid w:val="0069380C"/>
    <w:rsid w:val="00694B12"/>
    <w:rsid w:val="00695106"/>
    <w:rsid w:val="006A1FD0"/>
    <w:rsid w:val="006B10FD"/>
    <w:rsid w:val="006B5CE9"/>
    <w:rsid w:val="006C47F6"/>
    <w:rsid w:val="006C4EFF"/>
    <w:rsid w:val="006D0F65"/>
    <w:rsid w:val="006D1863"/>
    <w:rsid w:val="006D255B"/>
    <w:rsid w:val="006D693E"/>
    <w:rsid w:val="006E371F"/>
    <w:rsid w:val="006F5963"/>
    <w:rsid w:val="006F72A3"/>
    <w:rsid w:val="00701875"/>
    <w:rsid w:val="007037B3"/>
    <w:rsid w:val="00737314"/>
    <w:rsid w:val="007401E2"/>
    <w:rsid w:val="0074310D"/>
    <w:rsid w:val="00747CB5"/>
    <w:rsid w:val="00755DC4"/>
    <w:rsid w:val="00762E5B"/>
    <w:rsid w:val="007739E2"/>
    <w:rsid w:val="00776995"/>
    <w:rsid w:val="007A0CBD"/>
    <w:rsid w:val="007A280B"/>
    <w:rsid w:val="007A5E47"/>
    <w:rsid w:val="007B0BEC"/>
    <w:rsid w:val="007B4476"/>
    <w:rsid w:val="007C1BC9"/>
    <w:rsid w:val="007C238C"/>
    <w:rsid w:val="007E04DE"/>
    <w:rsid w:val="007E2FF5"/>
    <w:rsid w:val="007E38ED"/>
    <w:rsid w:val="007E7D2C"/>
    <w:rsid w:val="00800B68"/>
    <w:rsid w:val="00817424"/>
    <w:rsid w:val="00817ABD"/>
    <w:rsid w:val="0082399E"/>
    <w:rsid w:val="008243A6"/>
    <w:rsid w:val="008337A2"/>
    <w:rsid w:val="008576CC"/>
    <w:rsid w:val="008602F4"/>
    <w:rsid w:val="0086132C"/>
    <w:rsid w:val="00861D38"/>
    <w:rsid w:val="0086378B"/>
    <w:rsid w:val="0086383E"/>
    <w:rsid w:val="00864D17"/>
    <w:rsid w:val="0087208A"/>
    <w:rsid w:val="00874B56"/>
    <w:rsid w:val="008756F1"/>
    <w:rsid w:val="00882164"/>
    <w:rsid w:val="00883B7F"/>
    <w:rsid w:val="00891088"/>
    <w:rsid w:val="008A1C60"/>
    <w:rsid w:val="008B5DF8"/>
    <w:rsid w:val="008D1C1C"/>
    <w:rsid w:val="008D2CEA"/>
    <w:rsid w:val="008E0473"/>
    <w:rsid w:val="008E4574"/>
    <w:rsid w:val="008F1CFE"/>
    <w:rsid w:val="008F4193"/>
    <w:rsid w:val="00906DB6"/>
    <w:rsid w:val="00922B5F"/>
    <w:rsid w:val="00925AFD"/>
    <w:rsid w:val="00925F78"/>
    <w:rsid w:val="00927A07"/>
    <w:rsid w:val="00936649"/>
    <w:rsid w:val="00942C1D"/>
    <w:rsid w:val="00952BAE"/>
    <w:rsid w:val="00966918"/>
    <w:rsid w:val="009769F5"/>
    <w:rsid w:val="009877C0"/>
    <w:rsid w:val="0099384E"/>
    <w:rsid w:val="009C5FF2"/>
    <w:rsid w:val="009E7CF4"/>
    <w:rsid w:val="00A0069F"/>
    <w:rsid w:val="00A1110B"/>
    <w:rsid w:val="00A2454D"/>
    <w:rsid w:val="00A247D6"/>
    <w:rsid w:val="00A24F58"/>
    <w:rsid w:val="00A275A9"/>
    <w:rsid w:val="00A313D8"/>
    <w:rsid w:val="00A377BF"/>
    <w:rsid w:val="00A43F8F"/>
    <w:rsid w:val="00A46379"/>
    <w:rsid w:val="00A526BA"/>
    <w:rsid w:val="00A55662"/>
    <w:rsid w:val="00A61C01"/>
    <w:rsid w:val="00A7074C"/>
    <w:rsid w:val="00A716DF"/>
    <w:rsid w:val="00A81272"/>
    <w:rsid w:val="00AC7754"/>
    <w:rsid w:val="00AD42E8"/>
    <w:rsid w:val="00AF0115"/>
    <w:rsid w:val="00AF1C1B"/>
    <w:rsid w:val="00AF67D0"/>
    <w:rsid w:val="00AF6A47"/>
    <w:rsid w:val="00B01533"/>
    <w:rsid w:val="00B043CA"/>
    <w:rsid w:val="00B44441"/>
    <w:rsid w:val="00B544FB"/>
    <w:rsid w:val="00B736CB"/>
    <w:rsid w:val="00B84DC2"/>
    <w:rsid w:val="00B87A94"/>
    <w:rsid w:val="00B87DC4"/>
    <w:rsid w:val="00B91C3B"/>
    <w:rsid w:val="00B93D7B"/>
    <w:rsid w:val="00BA4325"/>
    <w:rsid w:val="00BB158A"/>
    <w:rsid w:val="00BC2E3C"/>
    <w:rsid w:val="00BF08EF"/>
    <w:rsid w:val="00BF75B8"/>
    <w:rsid w:val="00C06E7F"/>
    <w:rsid w:val="00C13A54"/>
    <w:rsid w:val="00C20F18"/>
    <w:rsid w:val="00C32E46"/>
    <w:rsid w:val="00C34201"/>
    <w:rsid w:val="00C404C4"/>
    <w:rsid w:val="00C47816"/>
    <w:rsid w:val="00C529B6"/>
    <w:rsid w:val="00C624F9"/>
    <w:rsid w:val="00C6266F"/>
    <w:rsid w:val="00C662C2"/>
    <w:rsid w:val="00C66633"/>
    <w:rsid w:val="00C70C59"/>
    <w:rsid w:val="00C77E28"/>
    <w:rsid w:val="00C86844"/>
    <w:rsid w:val="00C9530B"/>
    <w:rsid w:val="00C97AA4"/>
    <w:rsid w:val="00CB006B"/>
    <w:rsid w:val="00CB6DC1"/>
    <w:rsid w:val="00CD4211"/>
    <w:rsid w:val="00CD67DC"/>
    <w:rsid w:val="00CF2218"/>
    <w:rsid w:val="00D1655F"/>
    <w:rsid w:val="00D35AD1"/>
    <w:rsid w:val="00D45D48"/>
    <w:rsid w:val="00D5393A"/>
    <w:rsid w:val="00D54D94"/>
    <w:rsid w:val="00D578D2"/>
    <w:rsid w:val="00D60850"/>
    <w:rsid w:val="00D67405"/>
    <w:rsid w:val="00D82DE1"/>
    <w:rsid w:val="00D8796C"/>
    <w:rsid w:val="00D87FFC"/>
    <w:rsid w:val="00D95358"/>
    <w:rsid w:val="00DA4A5A"/>
    <w:rsid w:val="00DB54F8"/>
    <w:rsid w:val="00DC2DCE"/>
    <w:rsid w:val="00DD283B"/>
    <w:rsid w:val="00DE2A6F"/>
    <w:rsid w:val="00DE52AE"/>
    <w:rsid w:val="00DF2FB9"/>
    <w:rsid w:val="00E04BE0"/>
    <w:rsid w:val="00E07455"/>
    <w:rsid w:val="00E13D20"/>
    <w:rsid w:val="00E15DBB"/>
    <w:rsid w:val="00E21049"/>
    <w:rsid w:val="00E355B8"/>
    <w:rsid w:val="00E45343"/>
    <w:rsid w:val="00E517E3"/>
    <w:rsid w:val="00E63C4C"/>
    <w:rsid w:val="00E73B4F"/>
    <w:rsid w:val="00E84475"/>
    <w:rsid w:val="00EA279C"/>
    <w:rsid w:val="00EA3203"/>
    <w:rsid w:val="00EA441E"/>
    <w:rsid w:val="00EC1C43"/>
    <w:rsid w:val="00EC595B"/>
    <w:rsid w:val="00ED3EDB"/>
    <w:rsid w:val="00ED721A"/>
    <w:rsid w:val="00EE18BF"/>
    <w:rsid w:val="00EE46D9"/>
    <w:rsid w:val="00EE720F"/>
    <w:rsid w:val="00EE7E25"/>
    <w:rsid w:val="00EF176F"/>
    <w:rsid w:val="00F0636F"/>
    <w:rsid w:val="00F1349D"/>
    <w:rsid w:val="00F17B59"/>
    <w:rsid w:val="00F26891"/>
    <w:rsid w:val="00F3244E"/>
    <w:rsid w:val="00F3382D"/>
    <w:rsid w:val="00F430DA"/>
    <w:rsid w:val="00F50341"/>
    <w:rsid w:val="00F63855"/>
    <w:rsid w:val="00F67146"/>
    <w:rsid w:val="00F67640"/>
    <w:rsid w:val="00F75A41"/>
    <w:rsid w:val="00F8664A"/>
    <w:rsid w:val="00FA6058"/>
    <w:rsid w:val="00FA7BBB"/>
    <w:rsid w:val="00FC0DE6"/>
    <w:rsid w:val="00FC7DFB"/>
    <w:rsid w:val="00FD5238"/>
    <w:rsid w:val="00FF3097"/>
    <w:rsid w:val="00FF39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956E3D"/>
  <w15:chartTrackingRefBased/>
  <w15:docId w15:val="{A5F943A7-15EB-4402-B602-917D4E062C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before="240" w:after="24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47CB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47CB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47CB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47CB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47CB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47CB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47CB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47CB5"/>
    <w:pPr>
      <w:keepNext/>
      <w:keepLines/>
      <w:spacing w:before="0"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47CB5"/>
    <w:pPr>
      <w:keepNext/>
      <w:keepLines/>
      <w:spacing w:before="0"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47CB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47CB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47CB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47CB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47CB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47CB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47CB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47CB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47CB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47CB5"/>
    <w:pPr>
      <w:spacing w:before="0"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47CB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7CB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47CB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47CB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47CB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47CB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47CB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47CB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47CB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47CB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770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707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728C9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472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7257"/>
  </w:style>
  <w:style w:type="paragraph" w:styleId="Footer">
    <w:name w:val="footer"/>
    <w:basedOn w:val="Normal"/>
    <w:link w:val="FooterChar"/>
    <w:uiPriority w:val="99"/>
    <w:unhideWhenUsed/>
    <w:rsid w:val="00647257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725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://www.jstor.org/stable/41106460" TargetMode="External"/><Relationship Id="rId21" Type="http://schemas.openxmlformats.org/officeDocument/2006/relationships/hyperlink" Target="https://doi.org/10.1177/002383096200500405" TargetMode="External"/><Relationship Id="rId42" Type="http://schemas.openxmlformats.org/officeDocument/2006/relationships/hyperlink" Target="https://doi.org/10.2307/1229039" TargetMode="External"/><Relationship Id="rId63" Type="http://schemas.openxmlformats.org/officeDocument/2006/relationships/hyperlink" Target="https://discovery.ucl.ac.uk/id/eprint/10043039/1/Green%2C%20Anders%2C%20Hen%09derson%20%26%20Henseke.pdf" TargetMode="External"/><Relationship Id="rId84" Type="http://schemas.openxmlformats.org/officeDocument/2006/relationships/hyperlink" Target="https://doi.org/10.1007/s10888-021-09510-w" TargetMode="External"/><Relationship Id="rId138" Type="http://schemas.openxmlformats.org/officeDocument/2006/relationships/hyperlink" Target="https://doi.org/10.3390/higheredu2010011" TargetMode="External"/><Relationship Id="rId107" Type="http://schemas.openxmlformats.org/officeDocument/2006/relationships/hyperlink" Target="https://doi.org/10.1177/002383097902200104" TargetMode="External"/><Relationship Id="rId11" Type="http://schemas.openxmlformats.org/officeDocument/2006/relationships/hyperlink" Target="https://doi.org/10.1016/j.neures.2014.10.020" TargetMode="External"/><Relationship Id="rId32" Type="http://schemas.openxmlformats.org/officeDocument/2006/relationships/hyperlink" Target="https://doi.org/10.1007/978-3-030-11991-1_2" TargetMode="External"/><Relationship Id="rId37" Type="http://schemas.openxmlformats.org/officeDocument/2006/relationships/hyperlink" Target="https://doi.org/10.1080/01425692.2011.527723" TargetMode="External"/><Relationship Id="rId53" Type="http://schemas.openxmlformats.org/officeDocument/2006/relationships/hyperlink" Target="https://doi.org/10.1093/ooec/odad029" TargetMode="External"/><Relationship Id="rId58" Type="http://schemas.openxmlformats.org/officeDocument/2006/relationships/hyperlink" Target="https://doi.org/10.1007/s11218-013-9227-5" TargetMode="External"/><Relationship Id="rId74" Type="http://schemas.openxmlformats.org/officeDocument/2006/relationships/hyperlink" Target="https://www.proquest.com/docview/2662853246?pq-%09origsite=gscholar&amp;fromopenview=true&amp;sourcetype=Dissertations%20&amp;%20Theses" TargetMode="External"/><Relationship Id="rId79" Type="http://schemas.openxmlformats.org/officeDocument/2006/relationships/hyperlink" Target="https://doi.org/10.1177/0038040715614913" TargetMode="External"/><Relationship Id="rId102" Type="http://schemas.openxmlformats.org/officeDocument/2006/relationships/hyperlink" Target="https://doi.org/10.1111/joes.12328" TargetMode="External"/><Relationship Id="rId123" Type="http://schemas.openxmlformats.org/officeDocument/2006/relationships/hyperlink" Target="https://doi.org/10.1111/j.1743-498X.2012.00616.x" TargetMode="External"/><Relationship Id="rId128" Type="http://schemas.openxmlformats.org/officeDocument/2006/relationships/hyperlink" Target="https://doi.org/10.1111/1468-4446.12314" TargetMode="External"/><Relationship Id="rId144" Type="http://schemas.openxmlformats.org/officeDocument/2006/relationships/theme" Target="theme/theme1.xml"/><Relationship Id="rId5" Type="http://schemas.openxmlformats.org/officeDocument/2006/relationships/footnotes" Target="footnotes.xml"/><Relationship Id="rId90" Type="http://schemas.openxmlformats.org/officeDocument/2006/relationships/hyperlink" Target="https://doi.org/10.1016/j.ssmph.2024.101642" TargetMode="External"/><Relationship Id="rId95" Type="http://schemas.openxmlformats.org/officeDocument/2006/relationships/hyperlink" Target="https://doi.org/10.1016/S2212-5671(15)01532-4" TargetMode="External"/><Relationship Id="rId22" Type="http://schemas.openxmlformats.org/officeDocument/2006/relationships/hyperlink" Target="https://doi.org/10.1016/j.worlddev.2015.02.007" TargetMode="External"/><Relationship Id="rId27" Type="http://schemas.openxmlformats.org/officeDocument/2006/relationships/hyperlink" Target="https://doi.org/10.1080/01425692.2021.2017852" TargetMode="External"/><Relationship Id="rId43" Type="http://schemas.openxmlformats.org/officeDocument/2006/relationships/hyperlink" Target="https://doi.org/10.1016/j.jpubeco.2020.104334" TargetMode="External"/><Relationship Id="rId48" Type="http://schemas.openxmlformats.org/officeDocument/2006/relationships/hyperlink" Target="https://doi.org/10.1016/j.copsyc.2017.07.044" TargetMode="External"/><Relationship Id="rId64" Type="http://schemas.openxmlformats.org/officeDocument/2006/relationships/hyperlink" Target="https://doi.org/10.1002/berj.3256" TargetMode="External"/><Relationship Id="rId69" Type="http://schemas.openxmlformats.org/officeDocument/2006/relationships/hyperlink" Target="https://doi.org/10.1007/978-3-319-90671-3" TargetMode="External"/><Relationship Id="rId113" Type="http://schemas.openxmlformats.org/officeDocument/2006/relationships/hyperlink" Target="https://doi.org/10.1080/23311886.2020.1722307" TargetMode="External"/><Relationship Id="rId118" Type="http://schemas.openxmlformats.org/officeDocument/2006/relationships/hyperlink" Target="https://hdl.handle.net/10779/lincoln.24874737.v1" TargetMode="External"/><Relationship Id="rId134" Type="http://schemas.openxmlformats.org/officeDocument/2006/relationships/hyperlink" Target="https://doi.org/10.1080/03054985.2010.538527" TargetMode="External"/><Relationship Id="rId139" Type="http://schemas.openxmlformats.org/officeDocument/2006/relationships/hyperlink" Target="https://doi.org/10.21203/rs.2.18919/v1" TargetMode="External"/><Relationship Id="rId80" Type="http://schemas.openxmlformats.org/officeDocument/2006/relationships/hyperlink" Target="https://etheses.bham.ac.uk/id/eprint/13202/13/Janda2022ApEdandChildPsyDVol1_Re%09dacted.%09pdf" TargetMode="External"/><Relationship Id="rId85" Type="http://schemas.openxmlformats.org/officeDocument/2006/relationships/hyperlink" Target="https://doi.org/10.2307/202113" TargetMode="External"/><Relationship Id="rId12" Type="http://schemas.openxmlformats.org/officeDocument/2006/relationships/hyperlink" Target="http://www.jstor.org/stable/4320032" TargetMode="External"/><Relationship Id="rId17" Type="http://schemas.openxmlformats.org/officeDocument/2006/relationships/hyperlink" Target="https://doi.org/10.1002/berj.3556" TargetMode="External"/><Relationship Id="rId33" Type="http://schemas.openxmlformats.org/officeDocument/2006/relationships/hyperlink" Target="https://doi.org/10.1016/j.ijer.2020.101537" TargetMode="External"/><Relationship Id="rId38" Type="http://schemas.openxmlformats.org/officeDocument/2006/relationships/hyperlink" Target="https://doi.org/10.1177/1932202X1102200306" TargetMode="External"/><Relationship Id="rId59" Type="http://schemas.openxmlformats.org/officeDocument/2006/relationships/hyperlink" Target="https://doi.org/10.1080/00131911.2021.2007055" TargetMode="External"/><Relationship Id="rId103" Type="http://schemas.openxmlformats.org/officeDocument/2006/relationships/hyperlink" Target="https://doi.org/10.1177/0038022919830204" TargetMode="External"/><Relationship Id="rId108" Type="http://schemas.openxmlformats.org/officeDocument/2006/relationships/hyperlink" Target="https://doi.org/10.4324/9781003250432" TargetMode="External"/><Relationship Id="rId124" Type="http://schemas.openxmlformats.org/officeDocument/2006/relationships/hyperlink" Target="https://doi.org/10.1371/journal.pone.0034502" TargetMode="External"/><Relationship Id="rId129" Type="http://schemas.openxmlformats.org/officeDocument/2006/relationships/hyperlink" Target="https://doi.org/10.1080/00071005.2017.1330464" TargetMode="External"/><Relationship Id="rId54" Type="http://schemas.openxmlformats.org/officeDocument/2006/relationships/hyperlink" Target="https://doi.org/10.1016/j.rssm.2008.05.001" TargetMode="External"/><Relationship Id="rId70" Type="http://schemas.openxmlformats.org/officeDocument/2006/relationships/hyperlink" Target="https://psycnet.apa.org/doi/10.1037/a0015362" TargetMode="External"/><Relationship Id="rId75" Type="http://schemas.openxmlformats.org/officeDocument/2006/relationships/hyperlink" Target="https://doi.org/10.4324/9781315536859" TargetMode="External"/><Relationship Id="rId91" Type="http://schemas.openxmlformats.org/officeDocument/2006/relationships/hyperlink" Target="http://webcat.warwick.ac.uk/record=b3980946" TargetMode="External"/><Relationship Id="rId96" Type="http://schemas.openxmlformats.org/officeDocument/2006/relationships/hyperlink" Target="https://doi.org/10.1162/ajle_a_00019" TargetMode="External"/><Relationship Id="rId140" Type="http://schemas.openxmlformats.org/officeDocument/2006/relationships/hyperlink" Target="https://doi.org/10.1177%2F27551938231189203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23" Type="http://schemas.openxmlformats.org/officeDocument/2006/relationships/hyperlink" Target="https://doi.org/10.1108/01443330810890664" TargetMode="External"/><Relationship Id="rId28" Type="http://schemas.openxmlformats.org/officeDocument/2006/relationships/hyperlink" Target="https://doi.org/10.3390/educsci5040306" TargetMode="External"/><Relationship Id="rId49" Type="http://schemas.openxmlformats.org/officeDocument/2006/relationships/hyperlink" Target="https://doi.org/10.1111/spol.13035" TargetMode="External"/><Relationship Id="rId114" Type="http://schemas.openxmlformats.org/officeDocument/2006/relationships/hyperlink" Target="https://doi.org/10.3102/0002831210374874" TargetMode="External"/><Relationship Id="rId119" Type="http://schemas.openxmlformats.org/officeDocument/2006/relationships/hyperlink" Target="https://doi.org/10.4324/9780203129715" TargetMode="External"/><Relationship Id="rId44" Type="http://schemas.openxmlformats.org/officeDocument/2006/relationships/hyperlink" Target="https://core.ac.uk/download/pdf/305121045.pdf" TargetMode="External"/><Relationship Id="rId60" Type="http://schemas.openxmlformats.org/officeDocument/2006/relationships/hyperlink" Target="https://doi.org/10.1080/02671522.2017.1402083" TargetMode="External"/><Relationship Id="rId65" Type="http://schemas.openxmlformats.org/officeDocument/2006/relationships/hyperlink" Target="https://doi.org/10.1080/03098770903266034" TargetMode="External"/><Relationship Id="rId81" Type="http://schemas.openxmlformats.org/officeDocument/2006/relationships/hyperlink" Target="https://doi.org/10.1080/01425692.2019.1665496" TargetMode="External"/><Relationship Id="rId86" Type="http://schemas.openxmlformats.org/officeDocument/2006/relationships/hyperlink" Target="https://doi.org/10.1525/9780520949904" TargetMode="External"/><Relationship Id="rId130" Type="http://schemas.openxmlformats.org/officeDocument/2006/relationships/hyperlink" Target="https://doi.org/10.1017/S0047279400020341" TargetMode="External"/><Relationship Id="rId135" Type="http://schemas.openxmlformats.org/officeDocument/2006/relationships/hyperlink" Target="https://doi.org/10.1111/padr.12317" TargetMode="External"/><Relationship Id="rId13" Type="http://schemas.openxmlformats.org/officeDocument/2006/relationships/hyperlink" Target="https://doi.org/10.33206/mjss.673924" TargetMode="External"/><Relationship Id="rId18" Type="http://schemas.openxmlformats.org/officeDocument/2006/relationships/hyperlink" Target="https://doi.org/10.1016/j.newideapsych.2023.101045" TargetMode="External"/><Relationship Id="rId39" Type="http://schemas.openxmlformats.org/officeDocument/2006/relationships/hyperlink" Target="https://doi.org/10.1002/jcad.12103" TargetMode="External"/><Relationship Id="rId109" Type="http://schemas.openxmlformats.org/officeDocument/2006/relationships/hyperlink" Target="https://doi.org/10.3102/003465430305567" TargetMode="External"/><Relationship Id="rId34" Type="http://schemas.openxmlformats.org/officeDocument/2006/relationships/hyperlink" Target="https://doi.org/10.1017/S0047279412000992" TargetMode="External"/><Relationship Id="rId50" Type="http://schemas.openxmlformats.org/officeDocument/2006/relationships/hyperlink" Target="https://doi.org/10.1016/j.alcr.2020.100376" TargetMode="External"/><Relationship Id="rId55" Type="http://schemas.openxmlformats.org/officeDocument/2006/relationships/hyperlink" Target="https://doi.org/10.1016/S0094-1190(02)00516-8" TargetMode="External"/><Relationship Id="rId76" Type="http://schemas.openxmlformats.org/officeDocument/2006/relationships/hyperlink" Target="https://epi.org.uk/publications-and-research/education-in-england-annual-report-2020/" TargetMode="External"/><Relationship Id="rId97" Type="http://schemas.openxmlformats.org/officeDocument/2006/relationships/hyperlink" Target="https://doi.org/10.1007/978-3-030-82339-9_5" TargetMode="External"/><Relationship Id="rId104" Type="http://schemas.openxmlformats.org/officeDocument/2006/relationships/hyperlink" Target="https://doi.org/10.5114/pm.2021.107025" TargetMode="External"/><Relationship Id="rId120" Type="http://schemas.openxmlformats.org/officeDocument/2006/relationships/hyperlink" Target="https://doi.org/10.1016/j.enpol.2015.11.024" TargetMode="External"/><Relationship Id="rId125" Type="http://schemas.openxmlformats.org/officeDocument/2006/relationships/hyperlink" Target="https://doi.org/10.1007/s11205-018-1880-9" TargetMode="External"/><Relationship Id="rId141" Type="http://schemas.openxmlformats.org/officeDocument/2006/relationships/hyperlink" Target="https://doi.org/10.1080/0309877x.2017.1404558" TargetMode="External"/><Relationship Id="rId7" Type="http://schemas.openxmlformats.org/officeDocument/2006/relationships/hyperlink" Target="https://doi.org/10.1016/j.jpubeco.2020.104245" TargetMode="External"/><Relationship Id="rId71" Type="http://schemas.openxmlformats.org/officeDocument/2006/relationships/hyperlink" Target="https://doi.org/10.1007/978-1-4020-8692-2_4" TargetMode="External"/><Relationship Id="rId92" Type="http://schemas.openxmlformats.org/officeDocument/2006/relationships/hyperlink" Target="https://doi.org/10.1080/00343404.2019.1619928" TargetMode="External"/><Relationship Id="rId2" Type="http://schemas.openxmlformats.org/officeDocument/2006/relationships/styles" Target="styles.xml"/><Relationship Id="rId29" Type="http://schemas.openxmlformats.org/officeDocument/2006/relationships/hyperlink" Target="https://shura.shu.ac.uk/25381/1/ncop-end-of-phase-one-%09evaluation-report.pdf" TargetMode="External"/><Relationship Id="rId24" Type="http://schemas.openxmlformats.org/officeDocument/2006/relationships/hyperlink" Target="https://doi.org/10.1016/bs.hesedu.2022.11.003" TargetMode="External"/><Relationship Id="rId40" Type="http://schemas.openxmlformats.org/officeDocument/2006/relationships/hyperlink" Target="https://doi.org/10.1080/03054985.2016.1240672" TargetMode="External"/><Relationship Id="rId45" Type="http://schemas.openxmlformats.org/officeDocument/2006/relationships/hyperlink" Target="https://doi.org/10.1002/rev3.3052" TargetMode="External"/><Relationship Id="rId66" Type="http://schemas.openxmlformats.org/officeDocument/2006/relationships/hyperlink" Target="https://doi.org/10.1080/01425690902954612" TargetMode="External"/><Relationship Id="rId87" Type="http://schemas.openxmlformats.org/officeDocument/2006/relationships/hyperlink" Target="https://doi.org/10.1111/j.1475-4991.2008.00289.x" TargetMode="External"/><Relationship Id="rId110" Type="http://schemas.openxmlformats.org/officeDocument/2006/relationships/hyperlink" Target="https://doi.org/10.22190/FUPSPH1701025M" TargetMode="External"/><Relationship Id="rId115" Type="http://schemas.openxmlformats.org/officeDocument/2006/relationships/hyperlink" Target="https://doi.org/10.1177/0003122417735742" TargetMode="External"/><Relationship Id="rId131" Type="http://schemas.openxmlformats.org/officeDocument/2006/relationships/hyperlink" Target="https://doi.org/10.1057/palcomms.2016.2" TargetMode="External"/><Relationship Id="rId136" Type="http://schemas.openxmlformats.org/officeDocument/2006/relationships/hyperlink" Target="https://doi.org/10.1016/j.rssm.2020.100551" TargetMode="External"/><Relationship Id="rId61" Type="http://schemas.openxmlformats.org/officeDocument/2006/relationships/hyperlink" Target="https://doi.org/10.1080/00131911.2021.1974347" TargetMode="External"/><Relationship Id="rId82" Type="http://schemas.openxmlformats.org/officeDocument/2006/relationships/hyperlink" Target="https://doi.org/10.1093/ooec/odae003" TargetMode="External"/><Relationship Id="rId19" Type="http://schemas.openxmlformats.org/officeDocument/2006/relationships/hyperlink" Target="https://doi.org/10.1177/00380385221122444" TargetMode="External"/><Relationship Id="rId14" Type="http://schemas.openxmlformats.org/officeDocument/2006/relationships/hyperlink" Target="https://doi.org/10.3200/JOER.101.4.243-246" TargetMode="External"/><Relationship Id="rId30" Type="http://schemas.openxmlformats.org/officeDocument/2006/relationships/hyperlink" Target="https://doi.org/10.1016/j.cedpsych.2020.101893" TargetMode="External"/><Relationship Id="rId35" Type="http://schemas.openxmlformats.org/officeDocument/2006/relationships/hyperlink" Target="https://doi.org/10.1086/669608" TargetMode="External"/><Relationship Id="rId56" Type="http://schemas.openxmlformats.org/officeDocument/2006/relationships/hyperlink" Target="https://doi.org/10.1093/ooec/odad039" TargetMode="External"/><Relationship Id="rId77" Type="http://schemas.openxmlformats.org/officeDocument/2006/relationships/hyperlink" Target="https://doi.org/10.1002/berj.3260" TargetMode="External"/><Relationship Id="rId100" Type="http://schemas.openxmlformats.org/officeDocument/2006/relationships/hyperlink" Target="https://doi.org/10.1111/roiw.12240" TargetMode="External"/><Relationship Id="rId105" Type="http://schemas.openxmlformats.org/officeDocument/2006/relationships/hyperlink" Target="https://doi.org/10.1080/0309877X.2021.1955844" TargetMode="External"/><Relationship Id="rId126" Type="http://schemas.openxmlformats.org/officeDocument/2006/relationships/hyperlink" Target="https://doi.org/10.1002/berj.3609" TargetMode="External"/><Relationship Id="rId8" Type="http://schemas.openxmlformats.org/officeDocument/2006/relationships/hyperlink" Target="https://srhe.ac.uk/wp-%09content/uploads/2020/03/AHNMiyoungReport.pdf" TargetMode="External"/><Relationship Id="rId51" Type="http://schemas.openxmlformats.org/officeDocument/2006/relationships/hyperlink" Target="https://doi.org/10.1177/1477878514530231" TargetMode="External"/><Relationship Id="rId72" Type="http://schemas.openxmlformats.org/officeDocument/2006/relationships/hyperlink" Target="https://doi.org/10.1177/002234337100800202" TargetMode="External"/><Relationship Id="rId93" Type="http://schemas.openxmlformats.org/officeDocument/2006/relationships/hyperlink" Target="https://doi.org/10.1016/j.puhe.2023.01.020" TargetMode="External"/><Relationship Id="rId98" Type="http://schemas.openxmlformats.org/officeDocument/2006/relationships/hyperlink" Target="https://doi.org/10.1057/fr.2008.4" TargetMode="External"/><Relationship Id="rId121" Type="http://schemas.openxmlformats.org/officeDocument/2006/relationships/hyperlink" Target="https://doi.org/10.1515/9780804767590-003" TargetMode="External"/><Relationship Id="rId142" Type="http://schemas.openxmlformats.org/officeDocument/2006/relationships/header" Target="header1.xml"/><Relationship Id="rId3" Type="http://schemas.openxmlformats.org/officeDocument/2006/relationships/settings" Target="settings.xml"/><Relationship Id="rId25" Type="http://schemas.openxmlformats.org/officeDocument/2006/relationships/hyperlink" Target="https://doi.org/10.1111/1475-5890.12232" TargetMode="External"/><Relationship Id="rId46" Type="http://schemas.openxmlformats.org/officeDocument/2006/relationships/hyperlink" Target="https://doi.org/10.1177/0972266120170101" TargetMode="External"/><Relationship Id="rId67" Type="http://schemas.openxmlformats.org/officeDocument/2006/relationships/hyperlink" Target="https://doi.org/10.1080/03054985.2019.1669551" TargetMode="External"/><Relationship Id="rId116" Type="http://schemas.openxmlformats.org/officeDocument/2006/relationships/hyperlink" Target="https://doi.org/10.3998/sdi.3905" TargetMode="External"/><Relationship Id="rId137" Type="http://schemas.openxmlformats.org/officeDocument/2006/relationships/hyperlink" Target="https://doi.org/10.1016/S0277-9536(96)00355-3" TargetMode="External"/><Relationship Id="rId20" Type="http://schemas.openxmlformats.org/officeDocument/2006/relationships/hyperlink" Target="https://doi.org/10.4324/9780367823221" TargetMode="External"/><Relationship Id="rId41" Type="http://schemas.openxmlformats.org/officeDocument/2006/relationships/hyperlink" Target="https://chicagounbound.uchicago.edu/uclf/vol1989/iss1/8" TargetMode="External"/><Relationship Id="rId62" Type="http://schemas.openxmlformats.org/officeDocument/2006/relationships/hyperlink" Target="https://doi.org/10.1038/s41562-021-01212-7" TargetMode="External"/><Relationship Id="rId83" Type="http://schemas.openxmlformats.org/officeDocument/2006/relationships/hyperlink" Target="https://doi.org/10.1080/03054985.2023.2234287" TargetMode="External"/><Relationship Id="rId88" Type="http://schemas.openxmlformats.org/officeDocument/2006/relationships/hyperlink" Target="https://api.repository.cam.ac.uk/server/api/core/bitstreams/80fbe2ab-eea0-4274-aaff-" TargetMode="External"/><Relationship Id="rId111" Type="http://schemas.openxmlformats.org/officeDocument/2006/relationships/hyperlink" Target="https://doi.org/10.1111/joes.12121" TargetMode="External"/><Relationship Id="rId132" Type="http://schemas.openxmlformats.org/officeDocument/2006/relationships/hyperlink" Target="https://doi.org/10.4324/9780429494468" TargetMode="External"/><Relationship Id="rId15" Type="http://schemas.openxmlformats.org/officeDocument/2006/relationships/hyperlink" Target="https://cfey.org/wp-content/uploads/2016/07/The-%09underrepresentation-of-white-working-class-boys-in-higher-education-baars-et-al-%092016.pdf" TargetMode="External"/><Relationship Id="rId36" Type="http://schemas.openxmlformats.org/officeDocument/2006/relationships/hyperlink" Target="https://doi.org/10.1093/sf/soad051" TargetMode="External"/><Relationship Id="rId57" Type="http://schemas.openxmlformats.org/officeDocument/2006/relationships/hyperlink" Target="https://doi.org/10.1007/s11218-014-9266-6" TargetMode="External"/><Relationship Id="rId106" Type="http://schemas.openxmlformats.org/officeDocument/2006/relationships/hyperlink" Target="https://doi.org/10.5456/WPLL.21.3.57" TargetMode="External"/><Relationship Id="rId127" Type="http://schemas.openxmlformats.org/officeDocument/2006/relationships/hyperlink" Target="https://doi.org/10.1177/0038038501035004006" TargetMode="External"/><Relationship Id="rId10" Type="http://schemas.openxmlformats.org/officeDocument/2006/relationships/hyperlink" Target="https://doi.org/10.1080/00420980601184737" TargetMode="External"/><Relationship Id="rId31" Type="http://schemas.openxmlformats.org/officeDocument/2006/relationships/hyperlink" Target="https://doi.org/10.1920/re.ifs.2020.0167" TargetMode="External"/><Relationship Id="rId52" Type="http://schemas.openxmlformats.org/officeDocument/2006/relationships/hyperlink" Target="https://doi.org/10.1080/00131880701717198" TargetMode="External"/><Relationship Id="rId73" Type="http://schemas.openxmlformats.org/officeDocument/2006/relationships/hyperlink" Target="https://doi.org/10.1080/17450101.2017.1331018" TargetMode="External"/><Relationship Id="rId78" Type="http://schemas.openxmlformats.org/officeDocument/2006/relationships/hyperlink" Target="https://doi.org/10.1177/13607804211055493" TargetMode="External"/><Relationship Id="rId94" Type="http://schemas.openxmlformats.org/officeDocument/2006/relationships/hyperlink" Target="https://doi.org/10.2307/4609267" TargetMode="External"/><Relationship Id="rId99" Type="http://schemas.openxmlformats.org/officeDocument/2006/relationships/hyperlink" Target="https://wcpp.org.uk/wp-content/uploads/2024/10/Evidence-Review-%09Widening-Participation-in-Tertiary-Education.pdf" TargetMode="External"/><Relationship Id="rId101" Type="http://schemas.openxmlformats.org/officeDocument/2006/relationships/hyperlink" Target="https://doi.org/10.1068/a37168" TargetMode="External"/><Relationship Id="rId122" Type="http://schemas.openxmlformats.org/officeDocument/2006/relationships/hyperlink" Target="https://www.academia.edu/download/52072647/Progress_at_Secondary_School_repo%09rt_final.pdf" TargetMode="External"/><Relationship Id="rId143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3562517.2020.1778664" TargetMode="External"/><Relationship Id="rId26" Type="http://schemas.openxmlformats.org/officeDocument/2006/relationships/hyperlink" Target="https://durham-repository.worktribe.com/output/1635800" TargetMode="External"/><Relationship Id="rId47" Type="http://schemas.openxmlformats.org/officeDocument/2006/relationships/hyperlink" Target="https://doi.org/10.1146/annurev-soc-121919-054814" TargetMode="External"/><Relationship Id="rId68" Type="http://schemas.openxmlformats.org/officeDocument/2006/relationships/hyperlink" Target="https://doi.org/10.1016/j.ijme.2020.100378" TargetMode="External"/><Relationship Id="rId89" Type="http://schemas.openxmlformats.org/officeDocument/2006/relationships/hyperlink" Target="https://cris.brighton.ac.uk/ws/portalfiles/portal/31603322/Going_Further.pdf" TargetMode="External"/><Relationship Id="rId112" Type="http://schemas.openxmlformats.org/officeDocument/2006/relationships/hyperlink" Target="https://doi.org/10.1257/jel.20171419" TargetMode="External"/><Relationship Id="rId133" Type="http://schemas.openxmlformats.org/officeDocument/2006/relationships/hyperlink" Target="https://doi.org/10.1177/0038038517712949" TargetMode="External"/><Relationship Id="rId16" Type="http://schemas.openxmlformats.org/officeDocument/2006/relationships/hyperlink" Target="https://doi.org/10.1080/00131911.2022.207770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38</Pages>
  <Words>8281</Words>
  <Characters>63680</Characters>
  <Application>Microsoft Office Word</Application>
  <DocSecurity>0</DocSecurity>
  <Lines>530</Lines>
  <Paragraphs>143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Richards</dc:creator>
  <cp:keywords/>
  <dc:description/>
  <cp:lastModifiedBy>Phoebe Richards</cp:lastModifiedBy>
  <cp:revision>2</cp:revision>
  <dcterms:created xsi:type="dcterms:W3CDTF">2024-11-14T15:49:00Z</dcterms:created>
  <dcterms:modified xsi:type="dcterms:W3CDTF">2024-11-14T15:49:00Z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29362e78-8195-4938-9837-66f9ae7da62d</vt:lpwstr>
  </property>
</Properties>
</file>