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eastAsia="en-US"/>
          <w14:ligatures w14:val="standardContextual"/>
        </w:rPr>
        <w:id w:val="1650871119"/>
        <w:docPartObj>
          <w:docPartGallery w:val="Cover Pages"/>
          <w:docPartUnique/>
        </w:docPartObj>
      </w:sdtPr>
      <w:sdtEndPr>
        <w:rPr>
          <w:rFonts w:ascii="Arial" w:eastAsia="Times New Roman" w:hAnsi="Arial" w:cs="Arial"/>
          <w:b/>
          <w:bCs/>
          <w:kern w:val="36"/>
          <w:sz w:val="24"/>
          <w:szCs w:val="24"/>
        </w:rPr>
      </w:sdtEndPr>
      <w:sdtContent>
        <w:p w14:paraId="6CFF1817" w14:textId="15FD4B04" w:rsidR="00722211" w:rsidRDefault="00722211">
          <w:pPr>
            <w:pStyle w:val="NoSpacing"/>
          </w:pPr>
          <w:r>
            <w:rPr>
              <w:noProof/>
            </w:rPr>
            <mc:AlternateContent>
              <mc:Choice Requires="wpg">
                <w:drawing>
                  <wp:anchor distT="0" distB="0" distL="114300" distR="114300" simplePos="0" relativeHeight="251659264" behindDoc="1" locked="0" layoutInCell="1" allowOverlap="1" wp14:anchorId="114C1282" wp14:editId="2E6ECB4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dd/MM/yyyy"/>
                                      <w:lid w:val="en-GB"/>
                                      <w:storeMappedDataAs w:val="dateTime"/>
                                      <w:calendar w:val="gregorian"/>
                                    </w:date>
                                  </w:sdtPr>
                                  <w:sdtContent>
                                    <w:p w14:paraId="27967D5A" w14:textId="67B42AD1" w:rsidR="00722211" w:rsidRDefault="00722211">
                                      <w:pPr>
                                        <w:pStyle w:val="NoSpacing"/>
                                        <w:jc w:val="right"/>
                                        <w:rPr>
                                          <w:color w:val="FFFFFF" w:themeColor="background1"/>
                                          <w:sz w:val="28"/>
                                          <w:szCs w:val="28"/>
                                        </w:rPr>
                                      </w:pPr>
                                      <w:r>
                                        <w:rPr>
                                          <w:color w:val="FFFFFF" w:themeColor="background1"/>
                                          <w:sz w:val="28"/>
                                          <w:szCs w:val="28"/>
                                        </w:rPr>
                                        <w:t>21/04/2026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14C128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1T00:00:00Z">
                                <w:dateFormat w:val="dd/MM/yyyy"/>
                                <w:lid w:val="en-GB"/>
                                <w:storeMappedDataAs w:val="dateTime"/>
                                <w:calendar w:val="gregorian"/>
                              </w:date>
                            </w:sdtPr>
                            <w:sdtContent>
                              <w:p w14:paraId="27967D5A" w14:textId="67B42AD1" w:rsidR="00722211" w:rsidRDefault="00722211">
                                <w:pPr>
                                  <w:pStyle w:val="NoSpacing"/>
                                  <w:jc w:val="right"/>
                                  <w:rPr>
                                    <w:color w:val="FFFFFF" w:themeColor="background1"/>
                                    <w:sz w:val="28"/>
                                    <w:szCs w:val="28"/>
                                  </w:rPr>
                                </w:pPr>
                                <w:r>
                                  <w:rPr>
                                    <w:color w:val="FFFFFF" w:themeColor="background1"/>
                                    <w:sz w:val="28"/>
                                    <w:szCs w:val="28"/>
                                  </w:rPr>
                                  <w:t>21/04/2026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B7982FD" wp14:editId="2FA30B1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539FC4" w14:textId="49CDA542" w:rsidR="00722211" w:rsidRDefault="00722211">
                                <w:pPr>
                                  <w:pStyle w:val="NoSpacing"/>
                                  <w:rPr>
                                    <w:color w:val="156082" w:themeColor="accent1"/>
                                    <w:sz w:val="26"/>
                                    <w:szCs w:val="26"/>
                                  </w:rPr>
                                </w:pPr>
                                <w:r>
                                  <w:rPr>
                                    <w:color w:val="156082" w:themeColor="accent1"/>
                                    <w:sz w:val="26"/>
                                    <w:szCs w:val="26"/>
                                  </w:rPr>
                                  <w:t>Rosemary Jordao</w:t>
                                </w:r>
                              </w:p>
                              <w:p w14:paraId="4A24F346" w14:textId="21271386" w:rsidR="00722211"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22211">
                                      <w:rPr>
                                        <w:caps/>
                                        <w:color w:val="595959" w:themeColor="text1" w:themeTint="A6"/>
                                        <w:sz w:val="20"/>
                                        <w:szCs w:val="20"/>
                                      </w:rPr>
                                      <w:t>Student ID: 2335147</w:t>
                                    </w:r>
                                  </w:sdtContent>
                                </w:sdt>
                              </w:p>
                              <w:p w14:paraId="4B4548DD" w14:textId="1012800A" w:rsidR="00722211" w:rsidRDefault="00722211">
                                <w:pPr>
                                  <w:pStyle w:val="NoSpacing"/>
                                  <w:rPr>
                                    <w:caps/>
                                    <w:color w:val="595959" w:themeColor="text1" w:themeTint="A6"/>
                                    <w:sz w:val="20"/>
                                    <w:szCs w:val="20"/>
                                  </w:rPr>
                                </w:pPr>
                                <w:r>
                                  <w:rPr>
                                    <w:caps/>
                                    <w:color w:val="595959" w:themeColor="text1" w:themeTint="A6"/>
                                    <w:sz w:val="20"/>
                                    <w:szCs w:val="20"/>
                                  </w:rPr>
                                  <w:t>LCLM 5005</w:t>
                                </w:r>
                              </w:p>
                              <w:p w14:paraId="3450872C" w14:textId="0755782D" w:rsidR="00722211" w:rsidRDefault="00722211">
                                <w:pPr>
                                  <w:pStyle w:val="NoSpacing"/>
                                  <w:rPr>
                                    <w:caps/>
                                    <w:color w:val="595959" w:themeColor="text1" w:themeTint="A6"/>
                                    <w:sz w:val="20"/>
                                    <w:szCs w:val="20"/>
                                  </w:rPr>
                                </w:pPr>
                                <w:r>
                                  <w:rPr>
                                    <w:caps/>
                                    <w:color w:val="595959" w:themeColor="text1" w:themeTint="A6"/>
                                    <w:sz w:val="20"/>
                                    <w:szCs w:val="20"/>
                                  </w:rPr>
                                  <w:t>Lecturer: Dr Rameses Manalang</w:t>
                                </w:r>
                              </w:p>
                              <w:p w14:paraId="363486A8" w14:textId="25A3B8D5" w:rsidR="00722211" w:rsidRDefault="00722211">
                                <w:pPr>
                                  <w:pStyle w:val="NoSpacing"/>
                                  <w:rPr>
                                    <w:color w:val="595959" w:themeColor="text1" w:themeTint="A6"/>
                                    <w:sz w:val="20"/>
                                    <w:szCs w:val="20"/>
                                  </w:rPr>
                                </w:pPr>
                                <w:r>
                                  <w:rPr>
                                    <w:caps/>
                                    <w:color w:val="595959" w:themeColor="text1" w:themeTint="A6"/>
                                    <w:sz w:val="20"/>
                                    <w:szCs w:val="20"/>
                                  </w:rPr>
                                  <w:t>Individual Report on toyota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7982FD"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3539FC4" w14:textId="49CDA542" w:rsidR="00722211" w:rsidRDefault="00722211">
                          <w:pPr>
                            <w:pStyle w:val="NoSpacing"/>
                            <w:rPr>
                              <w:color w:val="156082" w:themeColor="accent1"/>
                              <w:sz w:val="26"/>
                              <w:szCs w:val="26"/>
                            </w:rPr>
                          </w:pPr>
                          <w:r>
                            <w:rPr>
                              <w:color w:val="156082" w:themeColor="accent1"/>
                              <w:sz w:val="26"/>
                              <w:szCs w:val="26"/>
                            </w:rPr>
                            <w:t>Rosemary Jordao</w:t>
                          </w:r>
                        </w:p>
                        <w:p w14:paraId="4A24F346" w14:textId="21271386" w:rsidR="00722211"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722211">
                                <w:rPr>
                                  <w:caps/>
                                  <w:color w:val="595959" w:themeColor="text1" w:themeTint="A6"/>
                                  <w:sz w:val="20"/>
                                  <w:szCs w:val="20"/>
                                </w:rPr>
                                <w:t>Student ID: 2335147</w:t>
                              </w:r>
                            </w:sdtContent>
                          </w:sdt>
                        </w:p>
                        <w:p w14:paraId="4B4548DD" w14:textId="1012800A" w:rsidR="00722211" w:rsidRDefault="00722211">
                          <w:pPr>
                            <w:pStyle w:val="NoSpacing"/>
                            <w:rPr>
                              <w:caps/>
                              <w:color w:val="595959" w:themeColor="text1" w:themeTint="A6"/>
                              <w:sz w:val="20"/>
                              <w:szCs w:val="20"/>
                            </w:rPr>
                          </w:pPr>
                          <w:r>
                            <w:rPr>
                              <w:caps/>
                              <w:color w:val="595959" w:themeColor="text1" w:themeTint="A6"/>
                              <w:sz w:val="20"/>
                              <w:szCs w:val="20"/>
                            </w:rPr>
                            <w:t>LCLM 5005</w:t>
                          </w:r>
                        </w:p>
                        <w:p w14:paraId="3450872C" w14:textId="0755782D" w:rsidR="00722211" w:rsidRDefault="00722211">
                          <w:pPr>
                            <w:pStyle w:val="NoSpacing"/>
                            <w:rPr>
                              <w:caps/>
                              <w:color w:val="595959" w:themeColor="text1" w:themeTint="A6"/>
                              <w:sz w:val="20"/>
                              <w:szCs w:val="20"/>
                            </w:rPr>
                          </w:pPr>
                          <w:r>
                            <w:rPr>
                              <w:caps/>
                              <w:color w:val="595959" w:themeColor="text1" w:themeTint="A6"/>
                              <w:sz w:val="20"/>
                              <w:szCs w:val="20"/>
                            </w:rPr>
                            <w:t>Lecturer: Dr Rameses Manalang</w:t>
                          </w:r>
                        </w:p>
                        <w:p w14:paraId="363486A8" w14:textId="25A3B8D5" w:rsidR="00722211" w:rsidRDefault="00722211">
                          <w:pPr>
                            <w:pStyle w:val="NoSpacing"/>
                            <w:rPr>
                              <w:color w:val="595959" w:themeColor="text1" w:themeTint="A6"/>
                              <w:sz w:val="20"/>
                              <w:szCs w:val="20"/>
                            </w:rPr>
                          </w:pPr>
                          <w:r>
                            <w:rPr>
                              <w:caps/>
                              <w:color w:val="595959" w:themeColor="text1" w:themeTint="A6"/>
                              <w:sz w:val="20"/>
                              <w:szCs w:val="20"/>
                            </w:rPr>
                            <w:t>Individual Report on toyota</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CED297B" wp14:editId="515D090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95B2CE" w14:textId="3B85215C" w:rsidR="0072221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22211" w:rsidRPr="00180657">
                                      <w:rPr>
                                        <w:rFonts w:asciiTheme="majorHAnsi" w:eastAsiaTheme="majorEastAsia" w:hAnsiTheme="majorHAnsi" w:cstheme="majorBidi"/>
                                        <w:color w:val="262626" w:themeColor="text1" w:themeTint="D9"/>
                                        <w:sz w:val="56"/>
                                        <w:szCs w:val="56"/>
                                      </w:rPr>
                                      <w:t>Organisational Culture</w:t>
                                    </w:r>
                                  </w:sdtContent>
                                </w:sdt>
                              </w:p>
                              <w:p w14:paraId="37F92B4E" w14:textId="36F8FAD2" w:rsidR="007222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22211">
                                      <w:rPr>
                                        <w:color w:val="404040" w:themeColor="text1" w:themeTint="BF"/>
                                        <w:sz w:val="36"/>
                                        <w:szCs w:val="36"/>
                                      </w:rPr>
                                      <w:t>Individual Report on Toyota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CED297B"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695B2CE" w14:textId="3B85215C" w:rsidR="0072221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22211" w:rsidRPr="00180657">
                                <w:rPr>
                                  <w:rFonts w:asciiTheme="majorHAnsi" w:eastAsiaTheme="majorEastAsia" w:hAnsiTheme="majorHAnsi" w:cstheme="majorBidi"/>
                                  <w:color w:val="262626" w:themeColor="text1" w:themeTint="D9"/>
                                  <w:sz w:val="56"/>
                                  <w:szCs w:val="56"/>
                                </w:rPr>
                                <w:t>Organisational Culture</w:t>
                              </w:r>
                            </w:sdtContent>
                          </w:sdt>
                        </w:p>
                        <w:p w14:paraId="37F92B4E" w14:textId="36F8FAD2" w:rsidR="0072221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22211">
                                <w:rPr>
                                  <w:color w:val="404040" w:themeColor="text1" w:themeTint="BF"/>
                                  <w:sz w:val="36"/>
                                  <w:szCs w:val="36"/>
                                </w:rPr>
                                <w:t>Individual Report on Toyota</w:t>
                              </w:r>
                            </w:sdtContent>
                          </w:sdt>
                        </w:p>
                      </w:txbxContent>
                    </v:textbox>
                    <w10:wrap anchorx="page" anchory="page"/>
                  </v:shape>
                </w:pict>
              </mc:Fallback>
            </mc:AlternateContent>
          </w:r>
        </w:p>
        <w:p w14:paraId="5040A7DC" w14:textId="79305E54" w:rsidR="00722211" w:rsidRDefault="00722211">
          <w:pPr>
            <w:rPr>
              <w:rFonts w:ascii="Arial" w:eastAsia="Times New Roman" w:hAnsi="Arial" w:cs="Arial"/>
              <w:b/>
              <w:bCs/>
              <w:kern w:val="36"/>
              <w:sz w:val="24"/>
              <w:szCs w:val="24"/>
              <w:lang w:eastAsia="en-GB"/>
              <w14:ligatures w14:val="none"/>
            </w:rPr>
          </w:pPr>
          <w:r>
            <w:rPr>
              <w:rFonts w:ascii="Arial" w:eastAsia="Times New Roman" w:hAnsi="Arial" w:cs="Arial"/>
              <w:b/>
              <w:bCs/>
              <w:kern w:val="36"/>
              <w:sz w:val="24"/>
              <w:szCs w:val="24"/>
              <w:lang w:eastAsia="en-GB"/>
              <w14:ligatures w14:val="none"/>
            </w:rPr>
            <w:br w:type="page"/>
          </w:r>
        </w:p>
      </w:sdtContent>
    </w:sdt>
    <w:p w14:paraId="76153B72" w14:textId="77777777" w:rsidR="000555FE" w:rsidRDefault="000555FE" w:rsidP="00DB7BC3">
      <w:pPr>
        <w:pStyle w:val="Heading1"/>
        <w:rPr>
          <w:lang w:eastAsia="en-GB"/>
        </w:rPr>
      </w:pPr>
    </w:p>
    <w:sdt>
      <w:sdtPr>
        <w:rPr>
          <w:rFonts w:asciiTheme="minorHAnsi" w:eastAsiaTheme="minorHAnsi" w:hAnsiTheme="minorHAnsi" w:cstheme="minorBidi"/>
          <w:color w:val="auto"/>
          <w:kern w:val="2"/>
          <w:sz w:val="22"/>
          <w:szCs w:val="22"/>
          <w:lang w:eastAsia="en-US"/>
          <w14:ligatures w14:val="standardContextual"/>
        </w:rPr>
        <w:id w:val="-646281370"/>
        <w:docPartObj>
          <w:docPartGallery w:val="Table of Contents"/>
          <w:docPartUnique/>
        </w:docPartObj>
      </w:sdtPr>
      <w:sdtEndPr>
        <w:rPr>
          <w:b/>
          <w:bCs/>
        </w:rPr>
      </w:sdtEndPr>
      <w:sdtContent>
        <w:p w14:paraId="4BE73067" w14:textId="14C1E011" w:rsidR="00DB7BC3" w:rsidRDefault="00DB7BC3">
          <w:pPr>
            <w:pStyle w:val="TOCHeading"/>
          </w:pPr>
          <w:r>
            <w:t>Contents</w:t>
          </w:r>
        </w:p>
        <w:p w14:paraId="2564B730" w14:textId="10F05FDE" w:rsidR="00844F8F" w:rsidRDefault="00DB7BC3">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19520" w:history="1">
            <w:r w:rsidR="00844F8F" w:rsidRPr="0035622B">
              <w:rPr>
                <w:rStyle w:val="Hyperlink"/>
                <w:rFonts w:cs="Arial"/>
                <w:noProof/>
              </w:rPr>
              <w:t>1.</w:t>
            </w:r>
            <w:r w:rsidR="00844F8F">
              <w:rPr>
                <w:rFonts w:eastAsiaTheme="minorEastAsia"/>
                <w:noProof/>
                <w:sz w:val="24"/>
                <w:szCs w:val="24"/>
                <w:lang w:eastAsia="en-GB"/>
              </w:rPr>
              <w:tab/>
            </w:r>
            <w:r w:rsidR="00844F8F" w:rsidRPr="0035622B">
              <w:rPr>
                <w:rStyle w:val="Hyperlink"/>
                <w:rFonts w:cs="Arial"/>
                <w:noProof/>
              </w:rPr>
              <w:t>Introduction</w:t>
            </w:r>
            <w:r w:rsidR="00844F8F">
              <w:rPr>
                <w:noProof/>
                <w:webHidden/>
              </w:rPr>
              <w:tab/>
            </w:r>
            <w:r w:rsidR="00844F8F">
              <w:rPr>
                <w:noProof/>
                <w:webHidden/>
              </w:rPr>
              <w:fldChar w:fldCharType="begin"/>
            </w:r>
            <w:r w:rsidR="00844F8F">
              <w:rPr>
                <w:noProof/>
                <w:webHidden/>
              </w:rPr>
              <w:instrText xml:space="preserve"> PAGEREF _Toc227519520 \h </w:instrText>
            </w:r>
            <w:r w:rsidR="00844F8F">
              <w:rPr>
                <w:noProof/>
                <w:webHidden/>
              </w:rPr>
            </w:r>
            <w:r w:rsidR="00844F8F">
              <w:rPr>
                <w:noProof/>
                <w:webHidden/>
              </w:rPr>
              <w:fldChar w:fldCharType="separate"/>
            </w:r>
            <w:r w:rsidR="00844F8F">
              <w:rPr>
                <w:noProof/>
                <w:webHidden/>
              </w:rPr>
              <w:t>2</w:t>
            </w:r>
            <w:r w:rsidR="00844F8F">
              <w:rPr>
                <w:noProof/>
                <w:webHidden/>
              </w:rPr>
              <w:fldChar w:fldCharType="end"/>
            </w:r>
          </w:hyperlink>
        </w:p>
        <w:p w14:paraId="23D46982" w14:textId="718F0B00" w:rsidR="00844F8F" w:rsidRDefault="00844F8F">
          <w:pPr>
            <w:pStyle w:val="TOC1"/>
            <w:tabs>
              <w:tab w:val="left" w:pos="440"/>
              <w:tab w:val="right" w:leader="dot" w:pos="9016"/>
            </w:tabs>
            <w:rPr>
              <w:rFonts w:eastAsiaTheme="minorEastAsia"/>
              <w:noProof/>
              <w:sz w:val="24"/>
              <w:szCs w:val="24"/>
              <w:lang w:eastAsia="en-GB"/>
            </w:rPr>
          </w:pPr>
          <w:hyperlink w:anchor="_Toc227519521" w:history="1">
            <w:r w:rsidRPr="0035622B">
              <w:rPr>
                <w:rStyle w:val="Hyperlink"/>
                <w:rFonts w:cs="Arial"/>
                <w:noProof/>
              </w:rPr>
              <w:t>2.</w:t>
            </w:r>
            <w:r>
              <w:rPr>
                <w:rFonts w:eastAsiaTheme="minorEastAsia"/>
                <w:noProof/>
                <w:sz w:val="24"/>
                <w:szCs w:val="24"/>
                <w:lang w:eastAsia="en-GB"/>
              </w:rPr>
              <w:tab/>
            </w:r>
            <w:r w:rsidRPr="0035622B">
              <w:rPr>
                <w:rStyle w:val="Hyperlink"/>
                <w:rFonts w:cs="Arial"/>
                <w:noProof/>
              </w:rPr>
              <w:t>Organisational Culture of Toyota</w:t>
            </w:r>
            <w:r>
              <w:rPr>
                <w:noProof/>
                <w:webHidden/>
              </w:rPr>
              <w:tab/>
            </w:r>
            <w:r>
              <w:rPr>
                <w:noProof/>
                <w:webHidden/>
              </w:rPr>
              <w:fldChar w:fldCharType="begin"/>
            </w:r>
            <w:r>
              <w:rPr>
                <w:noProof/>
                <w:webHidden/>
              </w:rPr>
              <w:instrText xml:space="preserve"> PAGEREF _Toc227519521 \h </w:instrText>
            </w:r>
            <w:r>
              <w:rPr>
                <w:noProof/>
                <w:webHidden/>
              </w:rPr>
            </w:r>
            <w:r>
              <w:rPr>
                <w:noProof/>
                <w:webHidden/>
              </w:rPr>
              <w:fldChar w:fldCharType="separate"/>
            </w:r>
            <w:r>
              <w:rPr>
                <w:noProof/>
                <w:webHidden/>
              </w:rPr>
              <w:t>2</w:t>
            </w:r>
            <w:r>
              <w:rPr>
                <w:noProof/>
                <w:webHidden/>
              </w:rPr>
              <w:fldChar w:fldCharType="end"/>
            </w:r>
          </w:hyperlink>
        </w:p>
        <w:p w14:paraId="26E05521" w14:textId="55BDC554" w:rsidR="00844F8F" w:rsidRDefault="00844F8F">
          <w:pPr>
            <w:pStyle w:val="TOC1"/>
            <w:tabs>
              <w:tab w:val="left" w:pos="440"/>
              <w:tab w:val="right" w:leader="dot" w:pos="9016"/>
            </w:tabs>
            <w:rPr>
              <w:rFonts w:eastAsiaTheme="minorEastAsia"/>
              <w:noProof/>
              <w:sz w:val="24"/>
              <w:szCs w:val="24"/>
              <w:lang w:eastAsia="en-GB"/>
            </w:rPr>
          </w:pPr>
          <w:hyperlink w:anchor="_Toc227519522" w:history="1">
            <w:r w:rsidRPr="0035622B">
              <w:rPr>
                <w:rStyle w:val="Hyperlink"/>
                <w:rFonts w:cs="Arial"/>
                <w:noProof/>
              </w:rPr>
              <w:t>3.</w:t>
            </w:r>
            <w:r>
              <w:rPr>
                <w:rFonts w:eastAsiaTheme="minorEastAsia"/>
                <w:noProof/>
                <w:sz w:val="24"/>
                <w:szCs w:val="24"/>
                <w:lang w:eastAsia="en-GB"/>
              </w:rPr>
              <w:tab/>
            </w:r>
            <w:r w:rsidRPr="0035622B">
              <w:rPr>
                <w:rStyle w:val="Hyperlink"/>
                <w:rFonts w:cs="Arial"/>
                <w:noProof/>
              </w:rPr>
              <w:t>How Organisational Culture Shapes Structure and Decision</w:t>
            </w:r>
            <w:r w:rsidRPr="0035622B">
              <w:rPr>
                <w:rStyle w:val="Hyperlink"/>
                <w:rFonts w:cs="Arial"/>
                <w:noProof/>
              </w:rPr>
              <w:noBreakHyphen/>
              <w:t>Making</w:t>
            </w:r>
            <w:r>
              <w:rPr>
                <w:noProof/>
                <w:webHidden/>
              </w:rPr>
              <w:tab/>
            </w:r>
            <w:r>
              <w:rPr>
                <w:noProof/>
                <w:webHidden/>
              </w:rPr>
              <w:fldChar w:fldCharType="begin"/>
            </w:r>
            <w:r>
              <w:rPr>
                <w:noProof/>
                <w:webHidden/>
              </w:rPr>
              <w:instrText xml:space="preserve"> PAGEREF _Toc227519522 \h </w:instrText>
            </w:r>
            <w:r>
              <w:rPr>
                <w:noProof/>
                <w:webHidden/>
              </w:rPr>
            </w:r>
            <w:r>
              <w:rPr>
                <w:noProof/>
                <w:webHidden/>
              </w:rPr>
              <w:fldChar w:fldCharType="separate"/>
            </w:r>
            <w:r>
              <w:rPr>
                <w:noProof/>
                <w:webHidden/>
              </w:rPr>
              <w:t>3</w:t>
            </w:r>
            <w:r>
              <w:rPr>
                <w:noProof/>
                <w:webHidden/>
              </w:rPr>
              <w:fldChar w:fldCharType="end"/>
            </w:r>
          </w:hyperlink>
        </w:p>
        <w:p w14:paraId="05F971F9" w14:textId="09FE806A" w:rsidR="00844F8F" w:rsidRDefault="00844F8F">
          <w:pPr>
            <w:pStyle w:val="TOC1"/>
            <w:tabs>
              <w:tab w:val="left" w:pos="440"/>
              <w:tab w:val="right" w:leader="dot" w:pos="9016"/>
            </w:tabs>
            <w:rPr>
              <w:rFonts w:eastAsiaTheme="minorEastAsia"/>
              <w:noProof/>
              <w:sz w:val="24"/>
              <w:szCs w:val="24"/>
              <w:lang w:eastAsia="en-GB"/>
            </w:rPr>
          </w:pPr>
          <w:hyperlink w:anchor="_Toc227519525" w:history="1">
            <w:r w:rsidRPr="0035622B">
              <w:rPr>
                <w:rStyle w:val="Hyperlink"/>
                <w:rFonts w:cs="Arial"/>
                <w:noProof/>
              </w:rPr>
              <w:t>4.</w:t>
            </w:r>
            <w:r>
              <w:rPr>
                <w:rFonts w:eastAsiaTheme="minorEastAsia"/>
                <w:noProof/>
                <w:sz w:val="24"/>
                <w:szCs w:val="24"/>
                <w:lang w:eastAsia="en-GB"/>
              </w:rPr>
              <w:tab/>
            </w:r>
            <w:r w:rsidRPr="0035622B">
              <w:rPr>
                <w:rStyle w:val="Hyperlink"/>
                <w:rFonts w:cs="Arial"/>
                <w:noProof/>
              </w:rPr>
              <w:t>Relevant Frameworks and Model</w:t>
            </w:r>
            <w:r>
              <w:rPr>
                <w:noProof/>
                <w:webHidden/>
              </w:rPr>
              <w:tab/>
            </w:r>
            <w:r>
              <w:rPr>
                <w:noProof/>
                <w:webHidden/>
              </w:rPr>
              <w:fldChar w:fldCharType="begin"/>
            </w:r>
            <w:r>
              <w:rPr>
                <w:noProof/>
                <w:webHidden/>
              </w:rPr>
              <w:instrText xml:space="preserve"> PAGEREF _Toc227519525 \h </w:instrText>
            </w:r>
            <w:r>
              <w:rPr>
                <w:noProof/>
                <w:webHidden/>
              </w:rPr>
            </w:r>
            <w:r>
              <w:rPr>
                <w:noProof/>
                <w:webHidden/>
              </w:rPr>
              <w:fldChar w:fldCharType="separate"/>
            </w:r>
            <w:r>
              <w:rPr>
                <w:noProof/>
                <w:webHidden/>
              </w:rPr>
              <w:t>4</w:t>
            </w:r>
            <w:r>
              <w:rPr>
                <w:noProof/>
                <w:webHidden/>
              </w:rPr>
              <w:fldChar w:fldCharType="end"/>
            </w:r>
          </w:hyperlink>
        </w:p>
        <w:p w14:paraId="4D960CA9" w14:textId="72F09497" w:rsidR="00844F8F" w:rsidRDefault="00844F8F">
          <w:pPr>
            <w:pStyle w:val="TOC1"/>
            <w:tabs>
              <w:tab w:val="left" w:pos="440"/>
              <w:tab w:val="right" w:leader="dot" w:pos="9016"/>
            </w:tabs>
            <w:rPr>
              <w:rFonts w:eastAsiaTheme="minorEastAsia"/>
              <w:noProof/>
              <w:sz w:val="24"/>
              <w:szCs w:val="24"/>
              <w:lang w:eastAsia="en-GB"/>
            </w:rPr>
          </w:pPr>
          <w:hyperlink w:anchor="_Toc227519526" w:history="1">
            <w:r w:rsidRPr="0035622B">
              <w:rPr>
                <w:rStyle w:val="Hyperlink"/>
                <w:rFonts w:cs="Arial"/>
                <w:noProof/>
              </w:rPr>
              <w:t>5.</w:t>
            </w:r>
            <w:r>
              <w:rPr>
                <w:rFonts w:eastAsiaTheme="minorEastAsia"/>
                <w:noProof/>
                <w:sz w:val="24"/>
                <w:szCs w:val="24"/>
                <w:lang w:eastAsia="en-GB"/>
              </w:rPr>
              <w:tab/>
            </w:r>
            <w:r w:rsidRPr="0035622B">
              <w:rPr>
                <w:rStyle w:val="Hyperlink"/>
                <w:rFonts w:cs="Arial"/>
                <w:noProof/>
              </w:rPr>
              <w:t>Organisational Culture and Adaptation to the External Environment</w:t>
            </w:r>
            <w:r>
              <w:rPr>
                <w:noProof/>
                <w:webHidden/>
              </w:rPr>
              <w:tab/>
            </w:r>
            <w:r>
              <w:rPr>
                <w:noProof/>
                <w:webHidden/>
              </w:rPr>
              <w:fldChar w:fldCharType="begin"/>
            </w:r>
            <w:r>
              <w:rPr>
                <w:noProof/>
                <w:webHidden/>
              </w:rPr>
              <w:instrText xml:space="preserve"> PAGEREF _Toc227519526 \h </w:instrText>
            </w:r>
            <w:r>
              <w:rPr>
                <w:noProof/>
                <w:webHidden/>
              </w:rPr>
            </w:r>
            <w:r>
              <w:rPr>
                <w:noProof/>
                <w:webHidden/>
              </w:rPr>
              <w:fldChar w:fldCharType="separate"/>
            </w:r>
            <w:r>
              <w:rPr>
                <w:noProof/>
                <w:webHidden/>
              </w:rPr>
              <w:t>6</w:t>
            </w:r>
            <w:r>
              <w:rPr>
                <w:noProof/>
                <w:webHidden/>
              </w:rPr>
              <w:fldChar w:fldCharType="end"/>
            </w:r>
          </w:hyperlink>
        </w:p>
        <w:p w14:paraId="107099DF" w14:textId="0964FE52" w:rsidR="00844F8F" w:rsidRDefault="00844F8F">
          <w:pPr>
            <w:pStyle w:val="TOC1"/>
            <w:tabs>
              <w:tab w:val="left" w:pos="440"/>
              <w:tab w:val="right" w:leader="dot" w:pos="9016"/>
            </w:tabs>
            <w:rPr>
              <w:rFonts w:eastAsiaTheme="minorEastAsia"/>
              <w:noProof/>
              <w:sz w:val="24"/>
              <w:szCs w:val="24"/>
              <w:lang w:eastAsia="en-GB"/>
            </w:rPr>
          </w:pPr>
          <w:hyperlink w:anchor="_Toc227519527" w:history="1">
            <w:r w:rsidRPr="0035622B">
              <w:rPr>
                <w:rStyle w:val="Hyperlink"/>
                <w:rFonts w:cs="Arial"/>
                <w:noProof/>
              </w:rPr>
              <w:t>6.</w:t>
            </w:r>
            <w:r>
              <w:rPr>
                <w:rFonts w:eastAsiaTheme="minorEastAsia"/>
                <w:noProof/>
                <w:sz w:val="24"/>
                <w:szCs w:val="24"/>
                <w:lang w:eastAsia="en-GB"/>
              </w:rPr>
              <w:tab/>
            </w:r>
            <w:r w:rsidRPr="0035622B">
              <w:rPr>
                <w:rStyle w:val="Hyperlink"/>
                <w:rFonts w:cs="Arial"/>
                <w:noProof/>
              </w:rPr>
              <w:t>Impact of Organisational Culture on Performance</w:t>
            </w:r>
            <w:r>
              <w:rPr>
                <w:noProof/>
                <w:webHidden/>
              </w:rPr>
              <w:tab/>
            </w:r>
            <w:r>
              <w:rPr>
                <w:noProof/>
                <w:webHidden/>
              </w:rPr>
              <w:fldChar w:fldCharType="begin"/>
            </w:r>
            <w:r>
              <w:rPr>
                <w:noProof/>
                <w:webHidden/>
              </w:rPr>
              <w:instrText xml:space="preserve"> PAGEREF _Toc227519527 \h </w:instrText>
            </w:r>
            <w:r>
              <w:rPr>
                <w:noProof/>
                <w:webHidden/>
              </w:rPr>
            </w:r>
            <w:r>
              <w:rPr>
                <w:noProof/>
                <w:webHidden/>
              </w:rPr>
              <w:fldChar w:fldCharType="separate"/>
            </w:r>
            <w:r>
              <w:rPr>
                <w:noProof/>
                <w:webHidden/>
              </w:rPr>
              <w:t>8</w:t>
            </w:r>
            <w:r>
              <w:rPr>
                <w:noProof/>
                <w:webHidden/>
              </w:rPr>
              <w:fldChar w:fldCharType="end"/>
            </w:r>
          </w:hyperlink>
        </w:p>
        <w:p w14:paraId="4ACBB7C2" w14:textId="1A3CBCDF" w:rsidR="00844F8F" w:rsidRDefault="00844F8F">
          <w:pPr>
            <w:pStyle w:val="TOC1"/>
            <w:tabs>
              <w:tab w:val="left" w:pos="440"/>
              <w:tab w:val="right" w:leader="dot" w:pos="9016"/>
            </w:tabs>
            <w:rPr>
              <w:rFonts w:eastAsiaTheme="minorEastAsia"/>
              <w:noProof/>
              <w:sz w:val="24"/>
              <w:szCs w:val="24"/>
              <w:lang w:eastAsia="en-GB"/>
            </w:rPr>
          </w:pPr>
          <w:hyperlink w:anchor="_Toc227519528" w:history="1">
            <w:r w:rsidRPr="0035622B">
              <w:rPr>
                <w:rStyle w:val="Hyperlink"/>
                <w:rFonts w:cs="Arial"/>
                <w:noProof/>
              </w:rPr>
              <w:t>7.</w:t>
            </w:r>
            <w:r>
              <w:rPr>
                <w:rFonts w:eastAsiaTheme="minorEastAsia"/>
                <w:noProof/>
                <w:sz w:val="24"/>
                <w:szCs w:val="24"/>
                <w:lang w:eastAsia="en-GB"/>
              </w:rPr>
              <w:tab/>
            </w:r>
            <w:r w:rsidRPr="0035622B">
              <w:rPr>
                <w:rStyle w:val="Hyperlink"/>
                <w:rFonts w:cs="Arial"/>
                <w:noProof/>
              </w:rPr>
              <w:t>Conclusion</w:t>
            </w:r>
            <w:r>
              <w:rPr>
                <w:noProof/>
                <w:webHidden/>
              </w:rPr>
              <w:tab/>
            </w:r>
            <w:r>
              <w:rPr>
                <w:noProof/>
                <w:webHidden/>
              </w:rPr>
              <w:fldChar w:fldCharType="begin"/>
            </w:r>
            <w:r>
              <w:rPr>
                <w:noProof/>
                <w:webHidden/>
              </w:rPr>
              <w:instrText xml:space="preserve"> PAGEREF _Toc227519528 \h </w:instrText>
            </w:r>
            <w:r>
              <w:rPr>
                <w:noProof/>
                <w:webHidden/>
              </w:rPr>
            </w:r>
            <w:r>
              <w:rPr>
                <w:noProof/>
                <w:webHidden/>
              </w:rPr>
              <w:fldChar w:fldCharType="separate"/>
            </w:r>
            <w:r>
              <w:rPr>
                <w:noProof/>
                <w:webHidden/>
              </w:rPr>
              <w:t>9</w:t>
            </w:r>
            <w:r>
              <w:rPr>
                <w:noProof/>
                <w:webHidden/>
              </w:rPr>
              <w:fldChar w:fldCharType="end"/>
            </w:r>
          </w:hyperlink>
        </w:p>
        <w:p w14:paraId="04556CB7" w14:textId="072C4D76" w:rsidR="00844F8F" w:rsidRDefault="00844F8F">
          <w:pPr>
            <w:pStyle w:val="TOC1"/>
            <w:tabs>
              <w:tab w:val="right" w:leader="dot" w:pos="9016"/>
            </w:tabs>
            <w:rPr>
              <w:rFonts w:eastAsiaTheme="minorEastAsia"/>
              <w:noProof/>
              <w:sz w:val="24"/>
              <w:szCs w:val="24"/>
              <w:lang w:eastAsia="en-GB"/>
            </w:rPr>
          </w:pPr>
          <w:hyperlink w:anchor="_Toc227519529" w:history="1">
            <w:r w:rsidRPr="0035622B">
              <w:rPr>
                <w:rStyle w:val="Hyperlink"/>
                <w:rFonts w:cs="Arial"/>
                <w:noProof/>
              </w:rPr>
              <w:t>References</w:t>
            </w:r>
            <w:r>
              <w:rPr>
                <w:noProof/>
                <w:webHidden/>
              </w:rPr>
              <w:tab/>
            </w:r>
            <w:r>
              <w:rPr>
                <w:noProof/>
                <w:webHidden/>
              </w:rPr>
              <w:fldChar w:fldCharType="begin"/>
            </w:r>
            <w:r>
              <w:rPr>
                <w:noProof/>
                <w:webHidden/>
              </w:rPr>
              <w:instrText xml:space="preserve"> PAGEREF _Toc227519529 \h </w:instrText>
            </w:r>
            <w:r>
              <w:rPr>
                <w:noProof/>
                <w:webHidden/>
              </w:rPr>
            </w:r>
            <w:r>
              <w:rPr>
                <w:noProof/>
                <w:webHidden/>
              </w:rPr>
              <w:fldChar w:fldCharType="separate"/>
            </w:r>
            <w:r>
              <w:rPr>
                <w:noProof/>
                <w:webHidden/>
              </w:rPr>
              <w:t>11</w:t>
            </w:r>
            <w:r>
              <w:rPr>
                <w:noProof/>
                <w:webHidden/>
              </w:rPr>
              <w:fldChar w:fldCharType="end"/>
            </w:r>
          </w:hyperlink>
        </w:p>
        <w:p w14:paraId="7F38CDC9" w14:textId="5C3856C9" w:rsidR="00DB7BC3" w:rsidRDefault="00DB7BC3">
          <w:r>
            <w:rPr>
              <w:b/>
              <w:bCs/>
            </w:rPr>
            <w:fldChar w:fldCharType="end"/>
          </w:r>
        </w:p>
      </w:sdtContent>
    </w:sdt>
    <w:p w14:paraId="2064452F" w14:textId="77777777" w:rsidR="000555FE" w:rsidRDefault="000555FE">
      <w:pPr>
        <w:rPr>
          <w:rFonts w:ascii="Arial" w:eastAsia="Times New Roman" w:hAnsi="Arial" w:cs="Arial"/>
          <w:b/>
          <w:bCs/>
          <w:kern w:val="36"/>
          <w:sz w:val="24"/>
          <w:szCs w:val="24"/>
          <w:lang w:eastAsia="en-GB"/>
          <w14:ligatures w14:val="none"/>
        </w:rPr>
      </w:pPr>
      <w:r>
        <w:rPr>
          <w:rFonts w:ascii="Arial" w:eastAsia="Times New Roman" w:hAnsi="Arial" w:cs="Arial"/>
          <w:b/>
          <w:bCs/>
          <w:kern w:val="36"/>
          <w:sz w:val="24"/>
          <w:szCs w:val="24"/>
          <w:lang w:eastAsia="en-GB"/>
          <w14:ligatures w14:val="none"/>
        </w:rPr>
        <w:br w:type="page"/>
      </w:r>
    </w:p>
    <w:p w14:paraId="2B833A54" w14:textId="5B7486CD" w:rsidR="00700B4F" w:rsidRPr="00844F8F" w:rsidRDefault="00700B4F" w:rsidP="00844F8F">
      <w:pPr>
        <w:pStyle w:val="Heading1"/>
        <w:numPr>
          <w:ilvl w:val="0"/>
          <w:numId w:val="13"/>
        </w:numPr>
        <w:spacing w:line="360" w:lineRule="auto"/>
        <w:jc w:val="both"/>
        <w:rPr>
          <w:rFonts w:cs="Arial"/>
          <w:sz w:val="22"/>
          <w:szCs w:val="22"/>
        </w:rPr>
      </w:pPr>
      <w:bookmarkStart w:id="0" w:name="_Toc227519520"/>
      <w:r w:rsidRPr="00844F8F">
        <w:rPr>
          <w:rFonts w:cs="Arial"/>
          <w:sz w:val="22"/>
          <w:szCs w:val="22"/>
        </w:rPr>
        <w:t>Introduction</w:t>
      </w:r>
      <w:bookmarkEnd w:id="0"/>
      <w:r w:rsidRPr="00844F8F">
        <w:rPr>
          <w:rFonts w:cs="Arial"/>
          <w:sz w:val="22"/>
          <w:szCs w:val="22"/>
        </w:rPr>
        <w:t xml:space="preserve"> </w:t>
      </w:r>
    </w:p>
    <w:p w14:paraId="68F26185" w14:textId="6E12D35B" w:rsidR="00844F8F" w:rsidRPr="00844F8F" w:rsidRDefault="00844F8F" w:rsidP="00844F8F">
      <w:pPr>
        <w:pStyle w:val="NormalWeb"/>
        <w:spacing w:line="360" w:lineRule="auto"/>
        <w:jc w:val="both"/>
        <w:rPr>
          <w:rFonts w:ascii="Arial" w:hAnsi="Arial" w:cs="Arial"/>
          <w:sz w:val="22"/>
          <w:szCs w:val="22"/>
        </w:rPr>
      </w:pPr>
      <w:r w:rsidRPr="00844F8F">
        <w:rPr>
          <w:rFonts w:ascii="Arial" w:hAnsi="Arial" w:cs="Arial"/>
          <w:sz w:val="22"/>
          <w:szCs w:val="22"/>
        </w:rPr>
        <w:t>Organisational culture plays an important role in shaping how businesses operate, influencing decision-making, employee motivation, and overall strategic direction. This becomes even more critical in multinational organisations, where a strong and consistent culture helps guide behaviour across different countries and contexts. Toyota is a clear example of a company where culture is deeply embedded in its operations, particularly through its focus on continuous improvement and shared responsibility among employees.</w:t>
      </w:r>
      <w:r w:rsidRPr="00844F8F">
        <w:rPr>
          <w:rFonts w:ascii="Arial" w:hAnsi="Arial" w:cs="Arial"/>
          <w:sz w:val="22"/>
          <w:szCs w:val="22"/>
        </w:rPr>
        <w:t xml:space="preserve"> </w:t>
      </w:r>
      <w:r w:rsidRPr="00844F8F">
        <w:rPr>
          <w:rFonts w:ascii="Arial" w:hAnsi="Arial" w:cs="Arial"/>
          <w:sz w:val="22"/>
          <w:szCs w:val="22"/>
        </w:rPr>
        <w:t>This report draws on the work of Mullins and Christy (2016), who highlight the significance of different cultural layers in understanding organisational behaviour. Using Schein’s Model of Organisational Culture, the report analyses Toyota’s visible practices, underlying values, and core assumptions. It explores how these cultural elements support Toyota in maintaining high levels of efficiency, responding to external pressures, and adapting to global challenges. At the same time, the analysis considers possible limitations of such a strong culture, especially in a rapidly changing business environment.</w:t>
      </w:r>
      <w:r w:rsidRPr="00844F8F">
        <w:rPr>
          <w:rFonts w:ascii="Arial" w:hAnsi="Arial" w:cs="Arial"/>
          <w:sz w:val="22"/>
          <w:szCs w:val="22"/>
        </w:rPr>
        <w:t xml:space="preserve"> </w:t>
      </w:r>
      <w:r w:rsidRPr="00844F8F">
        <w:rPr>
          <w:rFonts w:ascii="Arial" w:hAnsi="Arial" w:cs="Arial"/>
          <w:sz w:val="22"/>
          <w:szCs w:val="22"/>
        </w:rPr>
        <w:t>The report concludes by providing evidence-based recommendations aimed at improving Toyota’s cultural effectiveness and ensuring it remains competitive in the global market.</w:t>
      </w:r>
    </w:p>
    <w:p w14:paraId="06D38849" w14:textId="1E482E25" w:rsidR="00700B4F" w:rsidRPr="00844F8F" w:rsidRDefault="00700B4F" w:rsidP="00844F8F">
      <w:pPr>
        <w:pStyle w:val="Heading1"/>
        <w:numPr>
          <w:ilvl w:val="0"/>
          <w:numId w:val="13"/>
        </w:numPr>
        <w:spacing w:line="360" w:lineRule="auto"/>
        <w:jc w:val="both"/>
        <w:rPr>
          <w:rFonts w:cs="Arial"/>
          <w:sz w:val="22"/>
          <w:szCs w:val="22"/>
        </w:rPr>
      </w:pPr>
      <w:bookmarkStart w:id="1" w:name="_Toc227519521"/>
      <w:r w:rsidRPr="00844F8F">
        <w:rPr>
          <w:rFonts w:cs="Arial"/>
          <w:sz w:val="22"/>
          <w:szCs w:val="22"/>
        </w:rPr>
        <w:t>Organisational Culture of Toyota</w:t>
      </w:r>
      <w:bookmarkEnd w:id="1"/>
      <w:r w:rsidRPr="00844F8F">
        <w:rPr>
          <w:rFonts w:cs="Arial"/>
          <w:sz w:val="22"/>
          <w:szCs w:val="22"/>
        </w:rPr>
        <w:t xml:space="preserve"> </w:t>
      </w:r>
    </w:p>
    <w:p w14:paraId="1009E4F3" w14:textId="77777777" w:rsidR="000A3720" w:rsidRPr="00844F8F" w:rsidRDefault="000A3720" w:rsidP="00844F8F">
      <w:pPr>
        <w:pStyle w:val="NormalWeb"/>
        <w:spacing w:line="360" w:lineRule="auto"/>
        <w:jc w:val="both"/>
        <w:rPr>
          <w:rFonts w:ascii="Arial" w:hAnsi="Arial" w:cs="Arial"/>
          <w:sz w:val="22"/>
          <w:szCs w:val="22"/>
        </w:rPr>
      </w:pPr>
      <w:r w:rsidRPr="00844F8F">
        <w:rPr>
          <w:rFonts w:ascii="Arial" w:hAnsi="Arial" w:cs="Arial"/>
          <w:sz w:val="22"/>
          <w:szCs w:val="22"/>
        </w:rPr>
        <w:t>Toyota’s organisational culture is widely regarded as one of the strongest in the global automotive industry. It is based on the Toyota Production System, which combines technical processes with shared values to create a consistent way of working. According to Liker (2021), two core principles sit at the centre of this culture: kaizen, meaning continuous improvement, and respect for people. These principles are not abstract ideas but are embedded in everyday practices, shaping how employees think, behave and contribute to organisational goals.</w:t>
      </w:r>
    </w:p>
    <w:p w14:paraId="2D861941" w14:textId="710F05A1" w:rsidR="000A3720" w:rsidRPr="00844F8F" w:rsidRDefault="000A3720"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Kaizen encourages employees at all levels to identify problems, suggest improvements and take responsibility for refining processes. This creates an active and engaged workforce rather than a passive one. Employees are expected to look for small improvements in their daily work, which over time leads to significant gains in efficiency and quality. Ohno (2019) explains that this focus on continuous improvement is a key reason for Toyota’s long term success, helping the company maintain high standards across its global operations. </w:t>
      </w:r>
    </w:p>
    <w:p w14:paraId="2F4874AC" w14:textId="6EA9CD44" w:rsidR="000A3720" w:rsidRPr="00844F8F" w:rsidRDefault="00A4384C" w:rsidP="00844F8F">
      <w:pPr>
        <w:pStyle w:val="NormalWeb"/>
        <w:spacing w:line="360" w:lineRule="auto"/>
        <w:jc w:val="both"/>
        <w:rPr>
          <w:rFonts w:ascii="Arial" w:hAnsi="Arial" w:cs="Arial"/>
          <w:sz w:val="22"/>
          <w:szCs w:val="22"/>
        </w:rPr>
      </w:pPr>
      <w:r w:rsidRPr="00844F8F">
        <w:rPr>
          <w:rFonts w:ascii="Arial" w:hAnsi="Arial" w:cs="Arial"/>
          <w:sz w:val="22"/>
          <w:szCs w:val="22"/>
        </w:rPr>
        <w:t>The principle of respect for people is based on trust, teamwork and employee involvement. Toyota believes that employees closest to the work understand it best, so they are encouraged to identify problems and suggest solutions. A clear example is the authority given to frontline workers to stop production when defects are found. Liker and Convis (2020) explain that this shows quality is prioritised over speed and that employees are trusted with important decisions. This approach improves motivation, strengthens accountability and enhances collaboration across teams.</w:t>
      </w:r>
    </w:p>
    <w:p w14:paraId="63BF3008" w14:textId="77777777" w:rsidR="00A4384C" w:rsidRPr="00844F8F" w:rsidRDefault="00A4384C" w:rsidP="00844F8F">
      <w:pPr>
        <w:pStyle w:val="NormalWeb"/>
        <w:spacing w:line="360" w:lineRule="auto"/>
        <w:jc w:val="both"/>
        <w:rPr>
          <w:rFonts w:ascii="Arial" w:hAnsi="Arial" w:cs="Arial"/>
          <w:sz w:val="22"/>
          <w:szCs w:val="22"/>
        </w:rPr>
      </w:pPr>
      <w:r w:rsidRPr="00844F8F">
        <w:rPr>
          <w:rFonts w:ascii="Arial" w:hAnsi="Arial" w:cs="Arial"/>
          <w:sz w:val="22"/>
          <w:szCs w:val="22"/>
        </w:rPr>
        <w:t>Toyota’s culture is influenced by broader Japanese values such as collectivism, harmony and long term thinking. These values promote cooperation and shared goals rather than individual achievement. Hofstede (2011) explains that Japan’s high uncertainty avoidance leads organisations to rely on structure, clear rules and standardised processes, which is reflected in Toyota’s careful and systematic decision making. While this improves stability and reduces risk, it can also slow responses in fast changing environments. Meyer (2014) adds that indirect communication in Japanese organisations supports harmony but may limit open discussion and delay urgent decisions.</w:t>
      </w:r>
    </w:p>
    <w:p w14:paraId="19A7013D" w14:textId="579E01FD" w:rsidR="000A3720" w:rsidRPr="00844F8F" w:rsidRDefault="000A3720" w:rsidP="00844F8F">
      <w:pPr>
        <w:pStyle w:val="NormalWeb"/>
        <w:spacing w:line="360" w:lineRule="auto"/>
        <w:jc w:val="both"/>
        <w:rPr>
          <w:rFonts w:ascii="Arial" w:hAnsi="Arial" w:cs="Arial"/>
          <w:sz w:val="22"/>
          <w:szCs w:val="22"/>
        </w:rPr>
      </w:pPr>
      <w:r w:rsidRPr="00844F8F">
        <w:rPr>
          <w:rFonts w:ascii="Arial" w:hAnsi="Arial" w:cs="Arial"/>
          <w:sz w:val="22"/>
          <w:szCs w:val="22"/>
        </w:rPr>
        <w:t>A key strength of Toyota’s culture is how it is maintained and transferred across the organisation. The company invests heavily in training and induction programmes to ensure employees understand the Toyota Way. This helps create consistency across different countries and operations. Leaders also play an important role in reinforcing culture by acting as role models and demonstrating expected behaviours.</w:t>
      </w:r>
    </w:p>
    <w:p w14:paraId="7F84F972" w14:textId="77777777" w:rsidR="000A3720" w:rsidRPr="00844F8F" w:rsidRDefault="000A3720" w:rsidP="00844F8F">
      <w:pPr>
        <w:pStyle w:val="NormalWeb"/>
        <w:spacing w:line="360" w:lineRule="auto"/>
        <w:jc w:val="both"/>
        <w:rPr>
          <w:rFonts w:ascii="Arial" w:hAnsi="Arial" w:cs="Arial"/>
          <w:sz w:val="22"/>
          <w:szCs w:val="22"/>
        </w:rPr>
      </w:pPr>
      <w:r w:rsidRPr="00844F8F">
        <w:rPr>
          <w:rFonts w:ascii="Arial" w:hAnsi="Arial" w:cs="Arial"/>
          <w:sz w:val="22"/>
          <w:szCs w:val="22"/>
        </w:rPr>
        <w:t>One important leadership practice is genchi genbutsu, meaning “go and see”. This requires managers to observe problems directly rather than relying on reports. Toyota’s culture is deeply embedded and strongly influences how the organisation operates. It supports efficiency, quality and continuous improvement, while also creating some limitations in speed and flexibility in certain situations.</w:t>
      </w:r>
    </w:p>
    <w:p w14:paraId="6EE0751D" w14:textId="6D3AB029" w:rsidR="0042290B" w:rsidRPr="00844F8F" w:rsidRDefault="00700B4F" w:rsidP="00844F8F">
      <w:pPr>
        <w:pStyle w:val="Heading1"/>
        <w:numPr>
          <w:ilvl w:val="0"/>
          <w:numId w:val="13"/>
        </w:numPr>
        <w:spacing w:line="360" w:lineRule="auto"/>
        <w:jc w:val="both"/>
        <w:rPr>
          <w:rFonts w:cs="Arial"/>
          <w:sz w:val="22"/>
          <w:szCs w:val="22"/>
        </w:rPr>
      </w:pPr>
      <w:bookmarkStart w:id="2" w:name="_Toc227519522"/>
      <w:r w:rsidRPr="00844F8F">
        <w:rPr>
          <w:rFonts w:cs="Arial"/>
          <w:sz w:val="22"/>
          <w:szCs w:val="22"/>
        </w:rPr>
        <w:t>How Organisational Culture Shapes Structure and Decision</w:t>
      </w:r>
      <w:r w:rsidRPr="00844F8F">
        <w:rPr>
          <w:rFonts w:cs="Arial"/>
          <w:sz w:val="22"/>
          <w:szCs w:val="22"/>
        </w:rPr>
        <w:noBreakHyphen/>
        <w:t>Making</w:t>
      </w:r>
      <w:bookmarkEnd w:id="2"/>
      <w:r w:rsidRPr="00844F8F">
        <w:rPr>
          <w:rFonts w:cs="Arial"/>
          <w:sz w:val="22"/>
          <w:szCs w:val="22"/>
        </w:rPr>
        <w:t xml:space="preserve"> </w:t>
      </w:r>
    </w:p>
    <w:p w14:paraId="764DC165" w14:textId="77777777" w:rsidR="00E92CD3" w:rsidRPr="00844F8F" w:rsidRDefault="00CB09C3" w:rsidP="00844F8F">
      <w:pPr>
        <w:pStyle w:val="NoSpacing"/>
        <w:spacing w:line="360" w:lineRule="auto"/>
        <w:jc w:val="both"/>
        <w:rPr>
          <w:rFonts w:ascii="Arial" w:hAnsi="Arial" w:cs="Arial"/>
        </w:rPr>
      </w:pPr>
      <w:r w:rsidRPr="00844F8F">
        <w:rPr>
          <w:rFonts w:ascii="Arial" w:hAnsi="Arial" w:cs="Arial"/>
        </w:rPr>
        <w:t>Toyota’s organisational culture has a strong impact on how the company is structured and how decisions are made. The company uses a hybrid structure that combines clear hierarchy with a level of decentralisation. This reflects its cultural focus on discipline, accountability and employee involvement. Decision making is often placed close to the operational level, where employees can directly see problems and suggest improvements. This supports Toyota’s focus on quality, efficiency and continuous improvement.</w:t>
      </w:r>
    </w:p>
    <w:p w14:paraId="6AFA2624" w14:textId="77777777" w:rsidR="00E92CD3" w:rsidRPr="00844F8F" w:rsidRDefault="00E92CD3" w:rsidP="00844F8F">
      <w:pPr>
        <w:pStyle w:val="NoSpacing"/>
        <w:spacing w:line="360" w:lineRule="auto"/>
        <w:jc w:val="both"/>
        <w:rPr>
          <w:rFonts w:ascii="Arial" w:hAnsi="Arial" w:cs="Arial"/>
        </w:rPr>
      </w:pPr>
    </w:p>
    <w:p w14:paraId="292C246F" w14:textId="77777777" w:rsidR="00E92CD3" w:rsidRPr="00844F8F" w:rsidRDefault="00CB09C3" w:rsidP="00844F8F">
      <w:pPr>
        <w:pStyle w:val="NoSpacing"/>
        <w:spacing w:line="360" w:lineRule="auto"/>
        <w:jc w:val="both"/>
        <w:rPr>
          <w:rFonts w:ascii="Arial" w:hAnsi="Arial" w:cs="Arial"/>
        </w:rPr>
      </w:pPr>
      <w:r w:rsidRPr="00844F8F">
        <w:rPr>
          <w:rFonts w:ascii="Arial" w:hAnsi="Arial" w:cs="Arial"/>
        </w:rPr>
        <w:t>At the operational level, Toyota uses a team based approach where small groups work together to manage production. This fits with the company’s emphasis on teamwork and shared responsibility. Employees are expected to take part in problem solving, share ideas and contribute to improving processes. Nguyen and Watanabe (2022) argue that this type of structure improves performance because it encourages coordination and builds a sense of ownership among employees. As a result, workers feel more responsible for outcomes and are more engaged in their roles.</w:t>
      </w:r>
    </w:p>
    <w:p w14:paraId="1A25BBAD" w14:textId="77777777" w:rsidR="00E92CD3" w:rsidRPr="00844F8F" w:rsidRDefault="00E92CD3" w:rsidP="00844F8F">
      <w:pPr>
        <w:pStyle w:val="NoSpacing"/>
        <w:spacing w:line="360" w:lineRule="auto"/>
        <w:jc w:val="both"/>
        <w:rPr>
          <w:rFonts w:ascii="Arial" w:hAnsi="Arial" w:cs="Arial"/>
        </w:rPr>
      </w:pPr>
    </w:p>
    <w:p w14:paraId="3748FEEC" w14:textId="77777777" w:rsidR="00E92CD3" w:rsidRPr="00844F8F" w:rsidRDefault="00CB09C3" w:rsidP="00844F8F">
      <w:pPr>
        <w:pStyle w:val="NoSpacing"/>
        <w:spacing w:line="360" w:lineRule="auto"/>
        <w:jc w:val="both"/>
        <w:rPr>
          <w:rFonts w:ascii="Arial" w:hAnsi="Arial" w:cs="Arial"/>
        </w:rPr>
      </w:pPr>
      <w:r w:rsidRPr="00844F8F">
        <w:rPr>
          <w:rFonts w:ascii="Arial" w:hAnsi="Arial" w:cs="Arial"/>
        </w:rPr>
        <w:t>Decision making at Toyota is also shaped by its culture, especially through a process known as nemawashi. This involves informal discussions and consultation before any formal decision is made. It ensures that different views are considered and that there is agreement before action is taken. Liker and Convis (2020) explain that this reduces resistance because employees understand and support decisions from the beginning. It also reflects Toyota’s belief that strong decisions come from shared input rather than individual authority.</w:t>
      </w:r>
    </w:p>
    <w:p w14:paraId="70E5AABD" w14:textId="77777777" w:rsidR="00E92CD3" w:rsidRPr="00844F8F" w:rsidRDefault="00E92CD3" w:rsidP="00844F8F">
      <w:pPr>
        <w:pStyle w:val="NoSpacing"/>
        <w:spacing w:line="360" w:lineRule="auto"/>
        <w:jc w:val="both"/>
        <w:rPr>
          <w:rFonts w:ascii="Arial" w:hAnsi="Arial" w:cs="Arial"/>
        </w:rPr>
      </w:pPr>
    </w:p>
    <w:p w14:paraId="6DF65ABA" w14:textId="77777777" w:rsidR="00E92CD3" w:rsidRPr="00844F8F" w:rsidRDefault="00CB09C3" w:rsidP="00844F8F">
      <w:pPr>
        <w:pStyle w:val="NoSpacing"/>
        <w:spacing w:line="360" w:lineRule="auto"/>
        <w:jc w:val="both"/>
        <w:rPr>
          <w:rFonts w:ascii="Arial" w:hAnsi="Arial" w:cs="Arial"/>
        </w:rPr>
      </w:pPr>
      <w:r w:rsidRPr="00844F8F">
        <w:rPr>
          <w:rFonts w:ascii="Arial" w:hAnsi="Arial" w:cs="Arial"/>
        </w:rPr>
        <w:t>However, this approach can also create challenges. Reaching agreement takes time, which can slow down decision making in fast moving situations. This became clear during the recall crisis between 2009 and 2010, when Toyota was criticised for responding slowly to safety issues. Kingston (2018) suggests that this delay was partly linked to the company’s focus on careful consultation and maintaining harmony, rather than acting quickly.</w:t>
      </w:r>
    </w:p>
    <w:p w14:paraId="639811BB" w14:textId="77777777" w:rsidR="00E92CD3" w:rsidRPr="00844F8F" w:rsidRDefault="00E92CD3" w:rsidP="00844F8F">
      <w:pPr>
        <w:pStyle w:val="NoSpacing"/>
        <w:spacing w:line="360" w:lineRule="auto"/>
        <w:jc w:val="both"/>
        <w:rPr>
          <w:rFonts w:ascii="Arial" w:hAnsi="Arial" w:cs="Arial"/>
        </w:rPr>
      </w:pPr>
    </w:p>
    <w:p w14:paraId="520E6B82" w14:textId="1F037B26" w:rsidR="00CB09C3" w:rsidRPr="00844F8F" w:rsidRDefault="00CB09C3" w:rsidP="00844F8F">
      <w:pPr>
        <w:pStyle w:val="NoSpacing"/>
        <w:spacing w:line="360" w:lineRule="auto"/>
        <w:jc w:val="both"/>
        <w:rPr>
          <w:rFonts w:ascii="Arial" w:hAnsi="Arial" w:cs="Arial"/>
        </w:rPr>
      </w:pPr>
      <w:r w:rsidRPr="00844F8F">
        <w:rPr>
          <w:rFonts w:ascii="Arial" w:hAnsi="Arial" w:cs="Arial"/>
        </w:rPr>
        <w:t>Toyota’s structure also shows its focus on consistency and reducing risk. The company uses standardised processes, clear procedures and visual management systems to keep operations stable. Hofstede (2011) highlights that Japan has a high level of uncertainty avoidance, which helps explain Toyota’s focus on control and predictability. These systems help maintain quality across global operations but can also limit flexibility when quick changes are needed.</w:t>
      </w:r>
    </w:p>
    <w:p w14:paraId="1468B2B9" w14:textId="77777777" w:rsidR="00CB09C3" w:rsidRPr="00844F8F" w:rsidRDefault="00CB09C3" w:rsidP="00844F8F">
      <w:pPr>
        <w:pStyle w:val="Heading1"/>
        <w:spacing w:line="360" w:lineRule="auto"/>
        <w:jc w:val="both"/>
        <w:rPr>
          <w:rFonts w:cs="Arial"/>
          <w:sz w:val="22"/>
          <w:szCs w:val="22"/>
        </w:rPr>
      </w:pPr>
      <w:bookmarkStart w:id="3" w:name="_Toc227451408"/>
      <w:bookmarkStart w:id="4" w:name="_Toc227519523"/>
      <w:r w:rsidRPr="00844F8F">
        <w:rPr>
          <w:rFonts w:cs="Arial"/>
          <w:sz w:val="22"/>
          <w:szCs w:val="22"/>
        </w:rPr>
        <w:t>Even with a clear hierarchy, Toyota gives employees a high level of responsibility at the operational level. Workers have the authority to stop production if they find a problem, which shows trust and reinforces accountability. This supports the idea that quality is everyone’s responsibility and not just management’s role.</w:t>
      </w:r>
      <w:bookmarkEnd w:id="3"/>
      <w:bookmarkEnd w:id="4"/>
    </w:p>
    <w:p w14:paraId="7F5F2267" w14:textId="1919F8C1" w:rsidR="00CB09C3" w:rsidRPr="00844F8F" w:rsidRDefault="00CB09C3" w:rsidP="00844F8F">
      <w:pPr>
        <w:pStyle w:val="Heading1"/>
        <w:spacing w:line="360" w:lineRule="auto"/>
        <w:jc w:val="both"/>
        <w:rPr>
          <w:rFonts w:cs="Arial"/>
          <w:sz w:val="22"/>
          <w:szCs w:val="22"/>
        </w:rPr>
      </w:pPr>
      <w:bookmarkStart w:id="5" w:name="_Toc227451409"/>
      <w:bookmarkStart w:id="6" w:name="_Toc227519524"/>
      <w:r w:rsidRPr="00844F8F">
        <w:rPr>
          <w:rFonts w:cs="Arial"/>
          <w:sz w:val="22"/>
          <w:szCs w:val="22"/>
        </w:rPr>
        <w:t>Toyota’s culture strongly shapes its structure and decision making. It promotes teamwork, shared responsibility and careful planning, which supports high quality performance. At the same time, these strengths can become limitations when the company needs to respond quickly or adopt more radical changes.</w:t>
      </w:r>
      <w:bookmarkEnd w:id="5"/>
      <w:bookmarkEnd w:id="6"/>
    </w:p>
    <w:p w14:paraId="15CC9F12" w14:textId="6EF67122" w:rsidR="00700B4F" w:rsidRPr="00844F8F" w:rsidRDefault="00700B4F" w:rsidP="00844F8F">
      <w:pPr>
        <w:pStyle w:val="Heading1"/>
        <w:numPr>
          <w:ilvl w:val="0"/>
          <w:numId w:val="13"/>
        </w:numPr>
        <w:spacing w:line="360" w:lineRule="auto"/>
        <w:jc w:val="both"/>
        <w:rPr>
          <w:rFonts w:cs="Arial"/>
          <w:sz w:val="22"/>
          <w:szCs w:val="22"/>
        </w:rPr>
      </w:pPr>
      <w:bookmarkStart w:id="7" w:name="_Toc227519525"/>
      <w:r w:rsidRPr="00844F8F">
        <w:rPr>
          <w:rFonts w:cs="Arial"/>
          <w:sz w:val="22"/>
          <w:szCs w:val="22"/>
        </w:rPr>
        <w:t>Relevant Frameworks</w:t>
      </w:r>
      <w:r w:rsidR="00D37354" w:rsidRPr="00844F8F">
        <w:rPr>
          <w:rFonts w:cs="Arial"/>
          <w:sz w:val="22"/>
          <w:szCs w:val="22"/>
        </w:rPr>
        <w:t xml:space="preserve"> and Model</w:t>
      </w:r>
      <w:bookmarkEnd w:id="7"/>
    </w:p>
    <w:p w14:paraId="428FF9EA" w14:textId="77777777" w:rsidR="00CB09C3" w:rsidRPr="00844F8F" w:rsidRDefault="00CB09C3" w:rsidP="00844F8F">
      <w:pPr>
        <w:pStyle w:val="NoSpacing"/>
        <w:spacing w:line="360" w:lineRule="auto"/>
        <w:jc w:val="both"/>
        <w:rPr>
          <w:rFonts w:ascii="Arial" w:hAnsi="Arial" w:cs="Arial"/>
        </w:rPr>
      </w:pPr>
      <w:r w:rsidRPr="00844F8F">
        <w:rPr>
          <w:rFonts w:ascii="Arial" w:hAnsi="Arial" w:cs="Arial"/>
        </w:rPr>
        <w:t>Schein’s organisational culture model helps explain how Toyota’s culture influences both its structure and decision making. By looking at artefacts, espoused values and underlying assumptions, it is clear that Toyota’s way of working is closely connected to its cultural foundations rather than being purely a management choice.</w:t>
      </w:r>
    </w:p>
    <w:p w14:paraId="28735B81" w14:textId="77777777" w:rsidR="00CB09C3" w:rsidRPr="00844F8F" w:rsidRDefault="00CB09C3" w:rsidP="00844F8F">
      <w:pPr>
        <w:pStyle w:val="NoSpacing"/>
        <w:spacing w:line="360" w:lineRule="auto"/>
        <w:jc w:val="both"/>
        <w:rPr>
          <w:rFonts w:ascii="Arial" w:hAnsi="Arial" w:cs="Arial"/>
        </w:rPr>
      </w:pPr>
    </w:p>
    <w:p w14:paraId="6C8A2101" w14:textId="77777777" w:rsidR="00CB09C3" w:rsidRPr="00844F8F" w:rsidRDefault="00CB09C3" w:rsidP="00844F8F">
      <w:pPr>
        <w:pStyle w:val="NoSpacing"/>
        <w:spacing w:line="360" w:lineRule="auto"/>
        <w:jc w:val="both"/>
        <w:rPr>
          <w:rFonts w:ascii="Arial" w:hAnsi="Arial" w:cs="Arial"/>
        </w:rPr>
      </w:pPr>
      <w:r w:rsidRPr="00844F8F">
        <w:rPr>
          <w:rFonts w:ascii="Arial" w:hAnsi="Arial" w:cs="Arial"/>
        </w:rPr>
        <w:t>At the level of artefacts, Toyota’s structure can be seen through its standardised processes, team based work and visual management systems. Tools such as Andon boards, structured problem solving methods and clear production routines are all visible parts of daily operations. These elements show discipline and consistency, but Schein (2017) explains that artefacts on their own do not fully explain behaviour. They are only surface level signs of deeper cultural ideas. This is supported by Bortolotti et al. (2021), who argue that systems like standard work charts and Andon are not just operational tools but reflect deeper values embedded in Toyota’s culture.</w:t>
      </w:r>
    </w:p>
    <w:p w14:paraId="0A210599" w14:textId="77777777" w:rsidR="00CB09C3" w:rsidRPr="00844F8F" w:rsidRDefault="00CB09C3" w:rsidP="00844F8F">
      <w:pPr>
        <w:pStyle w:val="NoSpacing"/>
        <w:spacing w:line="360" w:lineRule="auto"/>
        <w:jc w:val="both"/>
        <w:rPr>
          <w:rFonts w:ascii="Arial" w:hAnsi="Arial" w:cs="Arial"/>
        </w:rPr>
      </w:pPr>
    </w:p>
    <w:p w14:paraId="2FE07727" w14:textId="77777777" w:rsidR="00CB09C3" w:rsidRPr="00844F8F" w:rsidRDefault="00CB09C3" w:rsidP="00844F8F">
      <w:pPr>
        <w:pStyle w:val="NoSpacing"/>
        <w:spacing w:line="360" w:lineRule="auto"/>
        <w:jc w:val="both"/>
        <w:rPr>
          <w:rFonts w:ascii="Arial" w:hAnsi="Arial" w:cs="Arial"/>
        </w:rPr>
      </w:pPr>
      <w:r w:rsidRPr="00844F8F">
        <w:rPr>
          <w:rFonts w:ascii="Arial" w:hAnsi="Arial" w:cs="Arial"/>
        </w:rPr>
        <w:t>At the level of espoused values, Toyota strongly promotes continuous improvement and respect for people. These values shape how the organisation is structured, encouraging teamwork, employee involvement and shared responsibility. The structure allows decentralised problem solving within a wider hierarchical system. Hines et al. (2020) note that when values and structure are aligned, employees have clearer guidance, which improves performance and coordination. However, Schein also highlights that stated values do not always match actual behaviour. This can be seen during Toyota’s recall crisis, where the company’s focus on quality and openness appeared inconsistent with slow decision making and risk avoidance in practice.</w:t>
      </w:r>
    </w:p>
    <w:p w14:paraId="5147F253" w14:textId="77777777" w:rsidR="00CB09C3" w:rsidRPr="00844F8F" w:rsidRDefault="00CB09C3" w:rsidP="00844F8F">
      <w:pPr>
        <w:pStyle w:val="NoSpacing"/>
        <w:spacing w:line="360" w:lineRule="auto"/>
        <w:jc w:val="both"/>
        <w:rPr>
          <w:rFonts w:ascii="Arial" w:hAnsi="Arial" w:cs="Arial"/>
        </w:rPr>
      </w:pPr>
    </w:p>
    <w:p w14:paraId="50284E37" w14:textId="77777777" w:rsidR="00CB09C3" w:rsidRPr="00844F8F" w:rsidRDefault="00CB09C3" w:rsidP="00844F8F">
      <w:pPr>
        <w:pStyle w:val="NoSpacing"/>
        <w:spacing w:line="360" w:lineRule="auto"/>
        <w:jc w:val="both"/>
        <w:rPr>
          <w:rFonts w:ascii="Arial" w:hAnsi="Arial" w:cs="Arial"/>
        </w:rPr>
      </w:pPr>
      <w:r w:rsidRPr="00844F8F">
        <w:rPr>
          <w:rFonts w:ascii="Arial" w:hAnsi="Arial" w:cs="Arial"/>
        </w:rPr>
        <w:t>The deepest level, underlying assumptions, has the strongest influence on Toyota’s culture. One key assumption is that employees are capable of identifying and solving problems. Another is that quality is a shared responsibility across all levels of the organisation. These beliefs support decentralised authority, where frontline workers can stop production if issues arise. Netland and Powell (2022) suggest that these assumptions are central to Toyota’s ability to learn and remain resilient across global operations. However, they can also create limitations. A strong belief in consensus and careful analysis can slow down decision making, especially in fast changing environments where speed is important.</w:t>
      </w:r>
    </w:p>
    <w:p w14:paraId="354D7BAF" w14:textId="77777777" w:rsidR="00CB09C3" w:rsidRPr="00844F8F" w:rsidRDefault="00CB09C3" w:rsidP="00844F8F">
      <w:pPr>
        <w:pStyle w:val="NoSpacing"/>
        <w:spacing w:line="360" w:lineRule="auto"/>
        <w:jc w:val="both"/>
        <w:rPr>
          <w:rFonts w:ascii="Arial" w:hAnsi="Arial" w:cs="Arial"/>
        </w:rPr>
      </w:pPr>
    </w:p>
    <w:p w14:paraId="788EAB08" w14:textId="77777777" w:rsidR="00CB09C3" w:rsidRPr="00844F8F" w:rsidRDefault="00CB09C3" w:rsidP="00844F8F">
      <w:pPr>
        <w:pStyle w:val="NoSpacing"/>
        <w:spacing w:line="360" w:lineRule="auto"/>
        <w:jc w:val="both"/>
        <w:rPr>
          <w:rFonts w:ascii="Arial" w:hAnsi="Arial" w:cs="Arial"/>
        </w:rPr>
      </w:pPr>
      <w:r w:rsidRPr="00844F8F">
        <w:rPr>
          <w:rFonts w:ascii="Arial" w:hAnsi="Arial" w:cs="Arial"/>
        </w:rPr>
        <w:t>Schein’s model shows that Toyota’s strength comes from the alignment between what is visible, what is stated and what is deeply believed. The structure of the organisation reflects its culture rather than existing separately from it. However, this same alignment can also create challenges. Deeply embedded assumptions support stability and high quality, but they can reduce flexibility and slow responses when rapid change is needed.</w:t>
      </w:r>
    </w:p>
    <w:p w14:paraId="14445688" w14:textId="77777777" w:rsidR="00CB09C3" w:rsidRPr="00844F8F" w:rsidRDefault="00CB09C3" w:rsidP="00844F8F">
      <w:pPr>
        <w:pStyle w:val="NoSpacing"/>
        <w:spacing w:line="360" w:lineRule="auto"/>
        <w:jc w:val="both"/>
        <w:rPr>
          <w:rFonts w:ascii="Arial" w:hAnsi="Arial" w:cs="Arial"/>
        </w:rPr>
      </w:pPr>
    </w:p>
    <w:p w14:paraId="039E5127" w14:textId="1CB8665E" w:rsidR="00877CD7" w:rsidRPr="00844F8F" w:rsidRDefault="00CB09C3" w:rsidP="00844F8F">
      <w:pPr>
        <w:pStyle w:val="NoSpacing"/>
        <w:spacing w:line="360" w:lineRule="auto"/>
        <w:jc w:val="both"/>
        <w:rPr>
          <w:rFonts w:ascii="Arial" w:hAnsi="Arial" w:cs="Arial"/>
        </w:rPr>
      </w:pPr>
      <w:r w:rsidRPr="00844F8F">
        <w:rPr>
          <w:rFonts w:ascii="Arial" w:hAnsi="Arial" w:cs="Arial"/>
        </w:rPr>
        <w:t>In this way, Schein’s framework helps explain both why Toyota performs so strongly and why it may struggle in situations that require faster or more radical decision making.</w:t>
      </w:r>
    </w:p>
    <w:p w14:paraId="75CFC682" w14:textId="56648899" w:rsidR="00700B4F" w:rsidRPr="00844F8F" w:rsidRDefault="00700B4F" w:rsidP="00844F8F">
      <w:pPr>
        <w:pStyle w:val="Heading1"/>
        <w:numPr>
          <w:ilvl w:val="0"/>
          <w:numId w:val="13"/>
        </w:numPr>
        <w:spacing w:line="360" w:lineRule="auto"/>
        <w:jc w:val="both"/>
        <w:rPr>
          <w:rFonts w:cs="Arial"/>
          <w:sz w:val="22"/>
          <w:szCs w:val="22"/>
        </w:rPr>
      </w:pPr>
      <w:bookmarkStart w:id="8" w:name="_Toc227519526"/>
      <w:r w:rsidRPr="00844F8F">
        <w:rPr>
          <w:rFonts w:cs="Arial"/>
          <w:sz w:val="22"/>
          <w:szCs w:val="22"/>
        </w:rPr>
        <w:t>Organisational Culture and Adaptation to the External Environment</w:t>
      </w:r>
      <w:bookmarkEnd w:id="8"/>
      <w:r w:rsidRPr="00844F8F">
        <w:rPr>
          <w:rFonts w:cs="Arial"/>
          <w:sz w:val="22"/>
          <w:szCs w:val="22"/>
        </w:rPr>
        <w:t xml:space="preserve"> </w:t>
      </w:r>
    </w:p>
    <w:p w14:paraId="704AFECE" w14:textId="77777777" w:rsidR="00E70C09" w:rsidRPr="00844F8F" w:rsidRDefault="00E70C09" w:rsidP="00844F8F">
      <w:pPr>
        <w:pStyle w:val="NoSpacing"/>
        <w:spacing w:line="360" w:lineRule="auto"/>
        <w:jc w:val="both"/>
        <w:rPr>
          <w:rFonts w:ascii="Arial" w:hAnsi="Arial" w:cs="Arial"/>
        </w:rPr>
      </w:pPr>
      <w:r w:rsidRPr="00844F8F">
        <w:rPr>
          <w:rFonts w:ascii="Arial" w:hAnsi="Arial" w:cs="Arial"/>
        </w:rPr>
        <w:t>Toyota operates in a fast changing global environment that is influenced by rapid technological development, stricter regulations and changing customer expectations. In this context, organisational culture is important because it helps the company adapt to external pressures while still maintaining long term stability. Key values such as continuous improvement, teamwork and long term thinking give Toyota a stable foundation, but they also shape how the company responds to change.</w:t>
      </w:r>
    </w:p>
    <w:p w14:paraId="081E250B" w14:textId="77777777" w:rsidR="00E70C09" w:rsidRPr="00844F8F" w:rsidRDefault="00E70C09" w:rsidP="00844F8F">
      <w:pPr>
        <w:pStyle w:val="NoSpacing"/>
        <w:spacing w:line="360" w:lineRule="auto"/>
        <w:jc w:val="both"/>
        <w:rPr>
          <w:rFonts w:ascii="Arial" w:hAnsi="Arial" w:cs="Arial"/>
        </w:rPr>
      </w:pPr>
    </w:p>
    <w:p w14:paraId="077FC262" w14:textId="77777777" w:rsidR="00E70C09" w:rsidRPr="00844F8F" w:rsidRDefault="00E70C09" w:rsidP="00844F8F">
      <w:pPr>
        <w:pStyle w:val="NoSpacing"/>
        <w:spacing w:line="360" w:lineRule="auto"/>
        <w:jc w:val="both"/>
        <w:rPr>
          <w:rFonts w:ascii="Arial" w:hAnsi="Arial" w:cs="Arial"/>
        </w:rPr>
      </w:pPr>
      <w:r w:rsidRPr="00844F8F">
        <w:rPr>
          <w:rFonts w:ascii="Arial" w:hAnsi="Arial" w:cs="Arial"/>
        </w:rPr>
        <w:t>One of the main ways Toyota deals with external challenges is through continuous improvement, known as kaizen. This encourages employees to constantly look for problems, suggest improvements and refine processes. It creates a structured way of improving operations step by step rather than through sudden changes. Cusumano (2020) explains that this approach to gradual innovation has helped Toyota stay competitive because it allows the company to adjust to market changes while maintaining quality and reliability.</w:t>
      </w:r>
    </w:p>
    <w:p w14:paraId="4B50E398" w14:textId="77777777" w:rsidR="00E70C09" w:rsidRPr="00844F8F" w:rsidRDefault="00E70C09" w:rsidP="00844F8F">
      <w:pPr>
        <w:pStyle w:val="NoSpacing"/>
        <w:spacing w:line="360" w:lineRule="auto"/>
        <w:jc w:val="both"/>
        <w:rPr>
          <w:rFonts w:ascii="Arial" w:hAnsi="Arial" w:cs="Arial"/>
        </w:rPr>
      </w:pPr>
    </w:p>
    <w:p w14:paraId="79382EAF" w14:textId="77777777" w:rsidR="00E70C09" w:rsidRPr="00844F8F" w:rsidRDefault="00E70C09" w:rsidP="00844F8F">
      <w:pPr>
        <w:pStyle w:val="NoSpacing"/>
        <w:spacing w:line="360" w:lineRule="auto"/>
        <w:jc w:val="both"/>
        <w:rPr>
          <w:rFonts w:ascii="Arial" w:hAnsi="Arial" w:cs="Arial"/>
        </w:rPr>
      </w:pPr>
      <w:r w:rsidRPr="00844F8F">
        <w:rPr>
          <w:rFonts w:ascii="Arial" w:hAnsi="Arial" w:cs="Arial"/>
        </w:rPr>
        <w:t>Toyota’s culture also helps the company remain stable during crises. The organisation has managed to continue operating effectively during supply chain disruptions caused by natural disasters and political issues. This is supported by strong teamwork, preparation and a focus on improving processes over time. Zhang et al. (2024) argue that organisations with strong learning cultures and cooperation are better able to deal with uncertainty and recover from disruptions more effectively.</w:t>
      </w:r>
    </w:p>
    <w:p w14:paraId="7B63E210" w14:textId="77777777" w:rsidR="00E70C09" w:rsidRPr="00844F8F" w:rsidRDefault="00E70C09" w:rsidP="00844F8F">
      <w:pPr>
        <w:pStyle w:val="NoSpacing"/>
        <w:spacing w:line="360" w:lineRule="auto"/>
        <w:jc w:val="both"/>
        <w:rPr>
          <w:rFonts w:ascii="Arial" w:hAnsi="Arial" w:cs="Arial"/>
        </w:rPr>
      </w:pPr>
    </w:p>
    <w:p w14:paraId="41E46EA2" w14:textId="3E247339" w:rsidR="00E70C09" w:rsidRPr="00844F8F" w:rsidRDefault="00E70C09" w:rsidP="00844F8F">
      <w:pPr>
        <w:pStyle w:val="NoSpacing"/>
        <w:spacing w:line="360" w:lineRule="auto"/>
        <w:jc w:val="both"/>
        <w:rPr>
          <w:rFonts w:ascii="Arial" w:hAnsi="Arial" w:cs="Arial"/>
        </w:rPr>
      </w:pPr>
      <w:r w:rsidRPr="00844F8F">
        <w:rPr>
          <w:rFonts w:ascii="Arial" w:hAnsi="Arial" w:cs="Arial"/>
        </w:rPr>
        <w:t xml:space="preserve">However, the global automotive industry is changing quickly, especially with the rise of electric vehicles, digital technology and </w:t>
      </w:r>
      <w:r w:rsidR="00E92CD3" w:rsidRPr="00844F8F">
        <w:rPr>
          <w:rFonts w:ascii="Arial" w:hAnsi="Arial" w:cs="Arial"/>
        </w:rPr>
        <w:t>self-driving</w:t>
      </w:r>
      <w:r w:rsidRPr="00844F8F">
        <w:rPr>
          <w:rFonts w:ascii="Arial" w:hAnsi="Arial" w:cs="Arial"/>
        </w:rPr>
        <w:t xml:space="preserve"> systems. The International Energy Agency (IEA, 2023) highlights that the industry is going through major transformation driven by electrification and digital innovation. Toyota has been criticised for taking a more cautious approach to electric vehicles. This reflects its culture of long term planning and risk reduction. While this helps avoid mistakes, it may also slow down the company compared to competitors that are moving more quickly into new technologies. This shows how cultural strengths can also become limitations when fast and radical change is needed.</w:t>
      </w:r>
    </w:p>
    <w:p w14:paraId="73750933" w14:textId="77777777" w:rsidR="00E70C09" w:rsidRPr="00844F8F" w:rsidRDefault="00E70C09" w:rsidP="00844F8F">
      <w:pPr>
        <w:pStyle w:val="NoSpacing"/>
        <w:spacing w:line="360" w:lineRule="auto"/>
        <w:jc w:val="both"/>
        <w:rPr>
          <w:rFonts w:ascii="Arial" w:hAnsi="Arial" w:cs="Arial"/>
        </w:rPr>
      </w:pPr>
    </w:p>
    <w:p w14:paraId="6BEEED40" w14:textId="77777777" w:rsidR="00E70C09" w:rsidRPr="00844F8F" w:rsidRDefault="00E70C09" w:rsidP="00844F8F">
      <w:pPr>
        <w:pStyle w:val="NoSpacing"/>
        <w:spacing w:line="360" w:lineRule="auto"/>
        <w:jc w:val="both"/>
        <w:rPr>
          <w:rFonts w:ascii="Arial" w:hAnsi="Arial" w:cs="Arial"/>
        </w:rPr>
      </w:pPr>
      <w:r w:rsidRPr="00844F8F">
        <w:rPr>
          <w:rFonts w:ascii="Arial" w:hAnsi="Arial" w:cs="Arial"/>
        </w:rPr>
        <w:t>Toyota also uses a global strategy that balances consistency with local adaptation. The company follows a glocalisation approach, where core values remain the same but practices are adjusted to fit different markets. Smith and Brown (2023) explain that this type of strategy is important for global companies because it allows them to stay consistent while also responding to local needs and expectations.</w:t>
      </w:r>
    </w:p>
    <w:p w14:paraId="481096AD" w14:textId="77777777" w:rsidR="00E70C09" w:rsidRPr="00844F8F" w:rsidRDefault="00E70C09" w:rsidP="00844F8F">
      <w:pPr>
        <w:pStyle w:val="NoSpacing"/>
        <w:spacing w:line="360" w:lineRule="auto"/>
        <w:jc w:val="both"/>
        <w:rPr>
          <w:rFonts w:ascii="Arial" w:hAnsi="Arial" w:cs="Arial"/>
        </w:rPr>
      </w:pPr>
    </w:p>
    <w:p w14:paraId="4CD9C909" w14:textId="69170922" w:rsidR="001F1666" w:rsidRPr="00844F8F" w:rsidRDefault="00E70C09" w:rsidP="00844F8F">
      <w:pPr>
        <w:pStyle w:val="NoSpacing"/>
        <w:spacing w:line="360" w:lineRule="auto"/>
        <w:jc w:val="both"/>
        <w:rPr>
          <w:rFonts w:ascii="Arial" w:hAnsi="Arial" w:cs="Arial"/>
        </w:rPr>
      </w:pPr>
      <w:r w:rsidRPr="00844F8F">
        <w:rPr>
          <w:rFonts w:ascii="Arial" w:hAnsi="Arial" w:cs="Arial"/>
        </w:rPr>
        <w:t>Toyota’s organisational culture supports adaptation through continuous improvement, cooperation and long term thinking. These strengths help the company stay stable and competitive in many situations. However, the same cultural values can also make it harder for Toyota to respond quickly to major disruptions or fast industry change. As a result, the company needs to balance its strong cultural identity with the need for greater flexibility in a rapidly evolving global environment.</w:t>
      </w:r>
    </w:p>
    <w:p w14:paraId="4EF16971" w14:textId="77777777" w:rsidR="00E92CD3" w:rsidRPr="00844F8F" w:rsidRDefault="00E92CD3" w:rsidP="00844F8F">
      <w:pPr>
        <w:pStyle w:val="NormalWeb"/>
        <w:spacing w:line="360" w:lineRule="auto"/>
        <w:jc w:val="both"/>
        <w:rPr>
          <w:rFonts w:ascii="Arial" w:hAnsi="Arial" w:cs="Arial"/>
          <w:sz w:val="22"/>
          <w:szCs w:val="22"/>
        </w:rPr>
      </w:pPr>
      <w:r w:rsidRPr="00844F8F">
        <w:rPr>
          <w:rFonts w:ascii="Arial" w:hAnsi="Arial" w:cs="Arial"/>
          <w:sz w:val="22"/>
          <w:szCs w:val="22"/>
        </w:rPr>
        <w:t>Toyota’s organisational culture can be understood as both a strength and a limitation depending on the context. Cameron and Quinn (2019) explain that strong cultures often enhance performance but may reduce flexibility when rapid change is required. At Toyota, this dual nature is evident in how culture supports efficiency and stability while also shaping how the company responds to external pressures.</w:t>
      </w:r>
    </w:p>
    <w:p w14:paraId="1E66F935" w14:textId="77777777" w:rsidR="00E92CD3" w:rsidRPr="00844F8F" w:rsidRDefault="00E92CD3" w:rsidP="00844F8F">
      <w:pPr>
        <w:pStyle w:val="NormalWeb"/>
        <w:spacing w:line="360" w:lineRule="auto"/>
        <w:jc w:val="both"/>
        <w:rPr>
          <w:rFonts w:ascii="Arial" w:hAnsi="Arial" w:cs="Arial"/>
          <w:sz w:val="22"/>
          <w:szCs w:val="22"/>
        </w:rPr>
      </w:pPr>
      <w:r w:rsidRPr="00844F8F">
        <w:rPr>
          <w:rFonts w:ascii="Arial" w:hAnsi="Arial" w:cs="Arial"/>
          <w:sz w:val="22"/>
          <w:szCs w:val="22"/>
        </w:rPr>
        <w:t>On the positive side, Toyota’s culture promotes high levels of employee involvement, efficiency and quality. A key feature is continuous improvement, or kaizen, which encourages employees to identify problems and refine processes regularly. This creates a disciplined and proactive workforce focused on long term performance gains. Nguyen and Watanabe (2022) argue that such cultural characteristics are strongly linked to improved operational outcomes in manufacturing organisations, reinforcing Toyota’s global competitiveness.</w:t>
      </w:r>
    </w:p>
    <w:p w14:paraId="6F7321F8" w14:textId="77777777" w:rsidR="00E92CD3" w:rsidRPr="00844F8F" w:rsidRDefault="00E92CD3" w:rsidP="00844F8F">
      <w:pPr>
        <w:pStyle w:val="NormalWeb"/>
        <w:spacing w:line="360" w:lineRule="auto"/>
        <w:jc w:val="both"/>
        <w:rPr>
          <w:rFonts w:ascii="Arial" w:hAnsi="Arial" w:cs="Arial"/>
          <w:sz w:val="22"/>
          <w:szCs w:val="22"/>
        </w:rPr>
      </w:pPr>
      <w:r w:rsidRPr="00844F8F">
        <w:rPr>
          <w:rFonts w:ascii="Arial" w:hAnsi="Arial" w:cs="Arial"/>
          <w:sz w:val="22"/>
          <w:szCs w:val="22"/>
        </w:rPr>
        <w:t>Employee engagement is another major strength. The principle of respect for people ensures employees feel valued and included in decision making. At Toyota, workers are encouraged to contribute ideas and take responsibility for quality outcomes. Denison et al. (2021) highlight that strong organisational cultures improve performance by building shared values that support cooperation and commitment. This increases motivation and strengthens ownership of work, supporting continuous learning.</w:t>
      </w:r>
    </w:p>
    <w:p w14:paraId="2EEB1E62" w14:textId="77777777" w:rsidR="00E92CD3" w:rsidRPr="00844F8F" w:rsidRDefault="00E92CD3" w:rsidP="00844F8F">
      <w:pPr>
        <w:pStyle w:val="NormalWeb"/>
        <w:spacing w:line="360" w:lineRule="auto"/>
        <w:jc w:val="both"/>
        <w:rPr>
          <w:rFonts w:ascii="Arial" w:hAnsi="Arial" w:cs="Arial"/>
          <w:sz w:val="22"/>
          <w:szCs w:val="22"/>
        </w:rPr>
      </w:pPr>
      <w:r w:rsidRPr="00844F8F">
        <w:rPr>
          <w:rFonts w:ascii="Arial" w:hAnsi="Arial" w:cs="Arial"/>
          <w:sz w:val="22"/>
          <w:szCs w:val="22"/>
        </w:rPr>
        <w:t>Communication and coordination are also enhanced through structured systems. Toyota uses standardised procedures, visual management tools and team based structures to ensure clarity and consistency. Hofstede (2011) links this to Japan’s high uncertainty avoidance, where organisations rely on rules and structure to reduce risk. This improves reliability and ensures consistent performance across global operations.</w:t>
      </w:r>
    </w:p>
    <w:p w14:paraId="0CF94FAD" w14:textId="77777777" w:rsidR="00E92CD3" w:rsidRPr="00844F8F" w:rsidRDefault="00E92CD3" w:rsidP="00844F8F">
      <w:pPr>
        <w:pStyle w:val="NormalWeb"/>
        <w:spacing w:line="360" w:lineRule="auto"/>
        <w:jc w:val="both"/>
        <w:rPr>
          <w:rFonts w:ascii="Arial" w:hAnsi="Arial" w:cs="Arial"/>
          <w:sz w:val="22"/>
          <w:szCs w:val="22"/>
        </w:rPr>
      </w:pPr>
      <w:r w:rsidRPr="00844F8F">
        <w:rPr>
          <w:rFonts w:ascii="Arial" w:hAnsi="Arial" w:cs="Arial"/>
          <w:sz w:val="22"/>
          <w:szCs w:val="22"/>
        </w:rPr>
        <w:t>However, there are also limitations. One key issue is consensus based decision making. While this promotes agreement and reduces conflict, it can slow responses in fast moving environments. Kingston (2018) highlights this in relation to Toyota’s recall crisis in the late 2000s, where delays in decision making reduced responsiveness to urgent issues. This illustrates how strong cultural systems can limit flexibility.</w:t>
      </w:r>
    </w:p>
    <w:p w14:paraId="53724A8E" w14:textId="77777777" w:rsidR="00E92CD3" w:rsidRPr="00844F8F" w:rsidRDefault="00E92CD3" w:rsidP="00844F8F">
      <w:pPr>
        <w:pStyle w:val="NormalWeb"/>
        <w:spacing w:line="360" w:lineRule="auto"/>
        <w:jc w:val="both"/>
        <w:rPr>
          <w:rFonts w:ascii="Arial" w:hAnsi="Arial" w:cs="Arial"/>
          <w:sz w:val="22"/>
          <w:szCs w:val="22"/>
        </w:rPr>
      </w:pPr>
      <w:r w:rsidRPr="00844F8F">
        <w:rPr>
          <w:rFonts w:ascii="Arial" w:hAnsi="Arial" w:cs="Arial"/>
          <w:sz w:val="22"/>
          <w:szCs w:val="22"/>
        </w:rPr>
        <w:t>A similar tension appears in Toyota’s approach to electric vehicles. The International Energy Agency (IEA, 2023) notes that the automotive industry is rapidly changing due to electrification and digital technologies. Toyota’s more cautious strategy reflects its culture of long term planning and risk reduction. While this avoids rushed decisions, it has also led to criticism that the company may be moving too slowly compared to competitors in a fast growing market.</w:t>
      </w:r>
    </w:p>
    <w:p w14:paraId="62A317F4" w14:textId="687899FF" w:rsidR="00E92CD3" w:rsidRPr="00844F8F" w:rsidRDefault="00E92CD3" w:rsidP="00844F8F">
      <w:pPr>
        <w:pStyle w:val="NormalWeb"/>
        <w:spacing w:line="360" w:lineRule="auto"/>
        <w:jc w:val="both"/>
        <w:rPr>
          <w:rFonts w:ascii="Arial" w:hAnsi="Arial" w:cs="Arial"/>
          <w:sz w:val="22"/>
          <w:szCs w:val="22"/>
        </w:rPr>
      </w:pPr>
      <w:r w:rsidRPr="00844F8F">
        <w:rPr>
          <w:rFonts w:ascii="Arial" w:hAnsi="Arial" w:cs="Arial"/>
          <w:sz w:val="22"/>
          <w:szCs w:val="22"/>
        </w:rPr>
        <w:t>Toyota’s culture is a key driver of effective organisational functioning. It supports high performance through continuous improvement, employee involvement and structured coordination. However, it can also create challenges when speed and adaptability are required. As a result, Toyota’s success depends on balancing strong cultural foundations with greater flexibility in decision making and innovation to remain competitive in a rapidly changing global environment.</w:t>
      </w:r>
    </w:p>
    <w:p w14:paraId="0DBD9D46" w14:textId="2354DF7C" w:rsidR="00700B4F" w:rsidRPr="00844F8F" w:rsidRDefault="00700B4F" w:rsidP="00844F8F">
      <w:pPr>
        <w:pStyle w:val="Heading1"/>
        <w:numPr>
          <w:ilvl w:val="0"/>
          <w:numId w:val="13"/>
        </w:numPr>
        <w:spacing w:line="360" w:lineRule="auto"/>
        <w:jc w:val="both"/>
        <w:rPr>
          <w:rFonts w:cs="Arial"/>
          <w:sz w:val="22"/>
          <w:szCs w:val="22"/>
        </w:rPr>
      </w:pPr>
      <w:bookmarkStart w:id="9" w:name="_Toc227519527"/>
      <w:r w:rsidRPr="00844F8F">
        <w:rPr>
          <w:rFonts w:cs="Arial"/>
          <w:sz w:val="22"/>
          <w:szCs w:val="22"/>
        </w:rPr>
        <w:t>Impact of Organisational Culture on Performance</w:t>
      </w:r>
      <w:bookmarkEnd w:id="9"/>
    </w:p>
    <w:p w14:paraId="431A5ED1" w14:textId="06C35A90" w:rsidR="00E92CD3" w:rsidRPr="00844F8F" w:rsidRDefault="00E92CD3" w:rsidP="00844F8F">
      <w:pPr>
        <w:spacing w:line="360" w:lineRule="auto"/>
        <w:jc w:val="both"/>
        <w:rPr>
          <w:rFonts w:ascii="Arial" w:hAnsi="Arial" w:cs="Arial"/>
        </w:rPr>
      </w:pPr>
      <w:r w:rsidRPr="00844F8F">
        <w:rPr>
          <w:rFonts w:ascii="Arial" w:hAnsi="Arial" w:cs="Arial"/>
        </w:rPr>
        <w:t>Toyota’s organisational culture can be understood as both a strength and a limitation depending on the context in which it operates. Cameron and Quinn (2019) explain that strong organisational cultures often improve performance, but they can also reduce flexibility when rapid change is required. At Toyota, this balance between stability and adaptability is central to how the organisation functions and responds to global pressures.</w:t>
      </w:r>
    </w:p>
    <w:p w14:paraId="65B45F40" w14:textId="77777777" w:rsidR="00E92CD3" w:rsidRPr="00844F8F" w:rsidRDefault="00E92CD3" w:rsidP="00844F8F">
      <w:pPr>
        <w:spacing w:line="360" w:lineRule="auto"/>
        <w:jc w:val="both"/>
        <w:rPr>
          <w:rFonts w:ascii="Arial" w:hAnsi="Arial" w:cs="Arial"/>
        </w:rPr>
      </w:pPr>
      <w:r w:rsidRPr="00844F8F">
        <w:rPr>
          <w:rFonts w:ascii="Arial" w:hAnsi="Arial" w:cs="Arial"/>
        </w:rPr>
        <w:t>A key strength of Toyota’s culture is its focus on continuous improvement, known as kaizen. This principle encourages employees at all levels to identify inefficiencies and suggest improvements in daily operations. As a result, the organisation develops a disciplined and proactive workforce that constantly works to refine processes. Nguyen and Watanabe (2022) argue that such cultural features are strongly linked to improved operational performance in manufacturing firms, which helps explain Toyota’s sustained global competitiveness.</w:t>
      </w:r>
    </w:p>
    <w:p w14:paraId="53B70698" w14:textId="77777777" w:rsidR="00E92CD3" w:rsidRPr="00844F8F" w:rsidRDefault="00E92CD3" w:rsidP="00844F8F">
      <w:pPr>
        <w:spacing w:line="360" w:lineRule="auto"/>
        <w:jc w:val="both"/>
        <w:rPr>
          <w:rFonts w:ascii="Arial" w:hAnsi="Arial" w:cs="Arial"/>
        </w:rPr>
      </w:pPr>
    </w:p>
    <w:p w14:paraId="18C858EE" w14:textId="44D05115" w:rsidR="00E92CD3" w:rsidRPr="00844F8F" w:rsidRDefault="00E92CD3" w:rsidP="00844F8F">
      <w:pPr>
        <w:spacing w:line="360" w:lineRule="auto"/>
        <w:jc w:val="both"/>
        <w:rPr>
          <w:rFonts w:ascii="Arial" w:hAnsi="Arial" w:cs="Arial"/>
        </w:rPr>
      </w:pPr>
      <w:r w:rsidRPr="00844F8F">
        <w:rPr>
          <w:rFonts w:ascii="Arial" w:hAnsi="Arial" w:cs="Arial"/>
        </w:rPr>
        <w:t>Employee engagement is another important element of Toyota’s cultural strength. The principle of respect for people ensures that employees feel valued and involved in the organisation. Workers are encouraged to share ideas, solve problems and take responsibility for the quality of their work. Denison et al. (2021) highlight that strong organisational cultures improve performance by promoting shared values that encourage cooperation and commitment. This increases motivation and creates a strong sense of ownership, which supports long term learning and development.</w:t>
      </w:r>
    </w:p>
    <w:p w14:paraId="3076A29E" w14:textId="42334AFB" w:rsidR="00E92CD3" w:rsidRPr="00844F8F" w:rsidRDefault="00E92CD3" w:rsidP="00844F8F">
      <w:pPr>
        <w:spacing w:line="360" w:lineRule="auto"/>
        <w:jc w:val="both"/>
        <w:rPr>
          <w:rFonts w:ascii="Arial" w:hAnsi="Arial" w:cs="Arial"/>
        </w:rPr>
      </w:pPr>
      <w:r w:rsidRPr="00844F8F">
        <w:rPr>
          <w:rFonts w:ascii="Arial" w:hAnsi="Arial" w:cs="Arial"/>
        </w:rPr>
        <w:t>Toyota’s culture also improves coordination and communication through structured systems. The company relies on standardised processes, visual management tools and team based working structures to ensure consistency and clarity. Hofstede (2011) links this to Japan’s high uncertainty avoidance, where organisations prefer structured systems and clear rules to reduce risk. This approach enhances reliability and helps maintain consistent performance across global operations.</w:t>
      </w:r>
    </w:p>
    <w:p w14:paraId="63FBF4A4" w14:textId="2D982E41" w:rsidR="00E92CD3" w:rsidRPr="00844F8F" w:rsidRDefault="00E92CD3" w:rsidP="00844F8F">
      <w:pPr>
        <w:spacing w:line="360" w:lineRule="auto"/>
        <w:jc w:val="both"/>
        <w:rPr>
          <w:rFonts w:ascii="Arial" w:hAnsi="Arial" w:cs="Arial"/>
        </w:rPr>
      </w:pPr>
      <w:r w:rsidRPr="00844F8F">
        <w:rPr>
          <w:rFonts w:ascii="Arial" w:hAnsi="Arial" w:cs="Arial"/>
        </w:rPr>
        <w:t>However, there are also limitations to this cultural approach. One key challenge is the reliance on consensus based decision making. While this helps ensure agreement and reduces internal conflict, it can also slow down responses in fast changing environments. Kingston (2018) highlights this issue in relation to Toyota’s recall crisis in the late 2000s, where delays in decision making reduced the organisation’s ability to respond quickly to urgent problems. This demonstrates how strong cultural systems can sometimes limit flexibility.</w:t>
      </w:r>
    </w:p>
    <w:p w14:paraId="53E5244C" w14:textId="77777777" w:rsidR="00E92CD3" w:rsidRPr="00844F8F" w:rsidRDefault="00E92CD3" w:rsidP="00844F8F">
      <w:pPr>
        <w:spacing w:line="360" w:lineRule="auto"/>
        <w:jc w:val="both"/>
        <w:rPr>
          <w:rFonts w:ascii="Arial" w:hAnsi="Arial" w:cs="Arial"/>
        </w:rPr>
      </w:pPr>
      <w:r w:rsidRPr="00844F8F">
        <w:rPr>
          <w:rFonts w:ascii="Arial" w:hAnsi="Arial" w:cs="Arial"/>
        </w:rPr>
        <w:t>A similar issue can be seen in Toyota’s approach to electric vehicles. The International Energy Agency (IEA, 2023) notes that the automotive industry is undergoing rapid transformation due to electrification and digital technologies. Toyota’s more cautious strategy reflects its culture of long term planning and risk reduction. While this helps avoid rushed decisions and potential mistakes, it has also led to criticism that the company may be moving too slowly compared to competitors that are investing more aggressively in new technologies.</w:t>
      </w:r>
    </w:p>
    <w:p w14:paraId="18AE66F5" w14:textId="77777777" w:rsidR="00E92CD3" w:rsidRPr="00844F8F" w:rsidRDefault="00E92CD3" w:rsidP="00844F8F">
      <w:pPr>
        <w:spacing w:line="360" w:lineRule="auto"/>
        <w:jc w:val="both"/>
        <w:rPr>
          <w:rFonts w:ascii="Arial" w:hAnsi="Arial" w:cs="Arial"/>
        </w:rPr>
      </w:pPr>
    </w:p>
    <w:p w14:paraId="43101F17" w14:textId="0752B0A9" w:rsidR="00E92CD3" w:rsidRPr="00844F8F" w:rsidRDefault="001463C9" w:rsidP="00844F8F">
      <w:pPr>
        <w:spacing w:line="360" w:lineRule="auto"/>
        <w:jc w:val="both"/>
        <w:rPr>
          <w:rFonts w:ascii="Arial" w:hAnsi="Arial" w:cs="Arial"/>
        </w:rPr>
      </w:pPr>
      <w:r w:rsidRPr="00844F8F">
        <w:rPr>
          <w:rFonts w:ascii="Arial" w:hAnsi="Arial" w:cs="Arial"/>
        </w:rPr>
        <w:t>I</w:t>
      </w:r>
      <w:r w:rsidR="00E92CD3" w:rsidRPr="00844F8F">
        <w:rPr>
          <w:rFonts w:ascii="Arial" w:hAnsi="Arial" w:cs="Arial"/>
        </w:rPr>
        <w:t>n shaping organisational effectiveness</w:t>
      </w:r>
      <w:r w:rsidRPr="00844F8F">
        <w:rPr>
          <w:rFonts w:ascii="Arial" w:hAnsi="Arial" w:cs="Arial"/>
        </w:rPr>
        <w:t>, Toyota’s culture plays a major role</w:t>
      </w:r>
      <w:r w:rsidR="00E92CD3" w:rsidRPr="00844F8F">
        <w:rPr>
          <w:rFonts w:ascii="Arial" w:hAnsi="Arial" w:cs="Arial"/>
        </w:rPr>
        <w:t>. It supports high performance through continuous improvement, employee involvement and structured coordination systems. However, it can also create challenges when rapid decision making or radical innovation is required. This means Toyota’s long term success depends on how well it balances its strong cultural foundations with the need for greater agility and responsiveness in a fast changing global environment.</w:t>
      </w:r>
    </w:p>
    <w:p w14:paraId="0C0F52AE" w14:textId="3F28478D" w:rsidR="00700B4F" w:rsidRPr="00844F8F" w:rsidRDefault="00700B4F" w:rsidP="00844F8F">
      <w:pPr>
        <w:pStyle w:val="Heading1"/>
        <w:numPr>
          <w:ilvl w:val="0"/>
          <w:numId w:val="13"/>
        </w:numPr>
        <w:spacing w:line="360" w:lineRule="auto"/>
        <w:jc w:val="both"/>
        <w:rPr>
          <w:rFonts w:cs="Arial"/>
          <w:sz w:val="22"/>
          <w:szCs w:val="22"/>
        </w:rPr>
      </w:pPr>
      <w:bookmarkStart w:id="10" w:name="_Toc227519528"/>
      <w:r w:rsidRPr="00844F8F">
        <w:rPr>
          <w:rFonts w:cs="Arial"/>
          <w:sz w:val="22"/>
          <w:szCs w:val="22"/>
        </w:rPr>
        <w:t>Conclusion</w:t>
      </w:r>
      <w:bookmarkEnd w:id="10"/>
      <w:r w:rsidRPr="00844F8F">
        <w:rPr>
          <w:rFonts w:cs="Arial"/>
          <w:sz w:val="22"/>
          <w:szCs w:val="22"/>
        </w:rPr>
        <w:t xml:space="preserve"> </w:t>
      </w:r>
    </w:p>
    <w:p w14:paraId="224D0031" w14:textId="77777777" w:rsidR="0042290B" w:rsidRPr="00844F8F" w:rsidRDefault="0042290B" w:rsidP="00844F8F">
      <w:pPr>
        <w:spacing w:line="360" w:lineRule="auto"/>
        <w:jc w:val="both"/>
        <w:rPr>
          <w:rFonts w:ascii="Arial" w:hAnsi="Arial" w:cs="Arial"/>
        </w:rPr>
      </w:pPr>
      <w:r w:rsidRPr="00844F8F">
        <w:rPr>
          <w:rFonts w:ascii="Arial" w:hAnsi="Arial" w:cs="Arial"/>
        </w:rPr>
        <w:t>Toyota’s organisational culture is a key driver of performance, shaping how the company responds to change and maintains long term direction. Its core values of continuous improvement, respect for people and customer focus support efficiency, learning and consistent quality. These strengths help Toyota remain stable and competitive in a complex global environment.</w:t>
      </w:r>
    </w:p>
    <w:p w14:paraId="37787AC9" w14:textId="77777777" w:rsidR="0042290B" w:rsidRPr="00844F8F" w:rsidRDefault="0042290B" w:rsidP="00844F8F">
      <w:pPr>
        <w:spacing w:line="360" w:lineRule="auto"/>
        <w:jc w:val="both"/>
        <w:rPr>
          <w:rFonts w:ascii="Arial" w:hAnsi="Arial" w:cs="Arial"/>
        </w:rPr>
      </w:pPr>
      <w:r w:rsidRPr="00844F8F">
        <w:rPr>
          <w:rFonts w:ascii="Arial" w:hAnsi="Arial" w:cs="Arial"/>
        </w:rPr>
        <w:t>However, the analysis also shows some limitations. Continuous improvement supports steady development but may not fully address rapid technological disruption such as electrification and digital transformation. In addition, consensus based decision making improves alignment but can slow responses in urgent situations, highlighting a balance issue between stability and agility.</w:t>
      </w:r>
    </w:p>
    <w:p w14:paraId="60B6A66B" w14:textId="56ADD171" w:rsidR="0042290B" w:rsidRPr="00844F8F" w:rsidRDefault="0042290B" w:rsidP="00844F8F">
      <w:pPr>
        <w:spacing w:line="360" w:lineRule="auto"/>
        <w:jc w:val="both"/>
        <w:rPr>
          <w:rFonts w:ascii="Arial" w:hAnsi="Arial" w:cs="Arial"/>
        </w:rPr>
      </w:pPr>
      <w:r w:rsidRPr="00844F8F">
        <w:rPr>
          <w:rFonts w:ascii="Arial" w:hAnsi="Arial" w:cs="Arial"/>
        </w:rPr>
        <w:t xml:space="preserve">To address this, two main recommendations are made. First, Toyota should strengthen cultural integration across global operations to maintain consistency while allowing local flexibility. Second, Toyota should improve change management practices to increase responsiveness during periods of transformation. </w:t>
      </w:r>
    </w:p>
    <w:p w14:paraId="1F8A29F2" w14:textId="64221A01" w:rsidR="00D82B0A" w:rsidRPr="00844F8F" w:rsidRDefault="0042290B" w:rsidP="00844F8F">
      <w:pPr>
        <w:spacing w:line="360" w:lineRule="auto"/>
        <w:jc w:val="both"/>
        <w:rPr>
          <w:rFonts w:ascii="Arial" w:eastAsiaTheme="majorEastAsia" w:hAnsi="Arial" w:cs="Arial"/>
          <w:color w:val="000000" w:themeColor="text1"/>
        </w:rPr>
      </w:pPr>
      <w:r w:rsidRPr="00844F8F">
        <w:rPr>
          <w:rFonts w:ascii="Arial" w:hAnsi="Arial" w:cs="Arial"/>
        </w:rPr>
        <w:t>Overall, Toyota’s culture remains a major strength that supports high performance and organisational stability. However, improving global integration and change management would enhance agility, innovation and long term competitiveness in a rapidly evolving environment.</w:t>
      </w:r>
      <w:r w:rsidR="00D82B0A" w:rsidRPr="00844F8F">
        <w:rPr>
          <w:rFonts w:ascii="Arial" w:hAnsi="Arial" w:cs="Arial"/>
        </w:rPr>
        <w:br w:type="page"/>
      </w:r>
    </w:p>
    <w:p w14:paraId="4D0C04EE" w14:textId="59F22B1D" w:rsidR="00CE01C9" w:rsidRPr="00844F8F" w:rsidRDefault="00790FEC" w:rsidP="00844F8F">
      <w:pPr>
        <w:pStyle w:val="Heading1"/>
        <w:spacing w:line="360" w:lineRule="auto"/>
        <w:jc w:val="both"/>
        <w:rPr>
          <w:rFonts w:cs="Arial"/>
          <w:sz w:val="22"/>
          <w:szCs w:val="22"/>
        </w:rPr>
      </w:pPr>
      <w:bookmarkStart w:id="11" w:name="_Toc227519529"/>
      <w:r w:rsidRPr="00844F8F">
        <w:rPr>
          <w:rFonts w:cs="Arial"/>
          <w:sz w:val="22"/>
          <w:szCs w:val="22"/>
        </w:rPr>
        <w:t>References</w:t>
      </w:r>
      <w:bookmarkEnd w:id="11"/>
    </w:p>
    <w:p w14:paraId="772B556A"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Bortolotti, T., Boscari, S. and Danese, P. (2021) ‘Successful lean implementation: organisational culture and soft lean practices’, </w:t>
      </w:r>
      <w:r w:rsidRPr="00844F8F">
        <w:rPr>
          <w:rStyle w:val="Emphasis"/>
          <w:rFonts w:ascii="Arial" w:eastAsiaTheme="majorEastAsia" w:hAnsi="Arial" w:cs="Arial"/>
          <w:sz w:val="22"/>
          <w:szCs w:val="22"/>
        </w:rPr>
        <w:t>International Journal of Production Economics</w:t>
      </w:r>
      <w:r w:rsidRPr="00844F8F">
        <w:rPr>
          <w:rFonts w:ascii="Arial" w:hAnsi="Arial" w:cs="Arial"/>
          <w:sz w:val="22"/>
          <w:szCs w:val="22"/>
        </w:rPr>
        <w:t>, 233, pp. 1–12.</w:t>
      </w:r>
    </w:p>
    <w:p w14:paraId="5478AB6F"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Cameron, K.S. and Quinn, R.E. (2019) </w:t>
      </w:r>
      <w:r w:rsidRPr="00844F8F">
        <w:rPr>
          <w:rStyle w:val="Emphasis"/>
          <w:rFonts w:ascii="Arial" w:eastAsiaTheme="majorEastAsia" w:hAnsi="Arial" w:cs="Arial"/>
          <w:sz w:val="22"/>
          <w:szCs w:val="22"/>
        </w:rPr>
        <w:t>Diagnosing and Changing Organizational Culture: Based on the Competing Values Framework</w:t>
      </w:r>
      <w:r w:rsidRPr="00844F8F">
        <w:rPr>
          <w:rFonts w:ascii="Arial" w:hAnsi="Arial" w:cs="Arial"/>
          <w:sz w:val="22"/>
          <w:szCs w:val="22"/>
        </w:rPr>
        <w:t>. 4th edn. Hoboken: Wiley.</w:t>
      </w:r>
    </w:p>
    <w:p w14:paraId="345598C4"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Cusumano, M.A. (2020) </w:t>
      </w:r>
      <w:r w:rsidRPr="00844F8F">
        <w:rPr>
          <w:rStyle w:val="Emphasis"/>
          <w:rFonts w:ascii="Arial" w:eastAsiaTheme="majorEastAsia" w:hAnsi="Arial" w:cs="Arial"/>
          <w:sz w:val="22"/>
          <w:szCs w:val="22"/>
        </w:rPr>
        <w:t>The Business of Platforms: Strategy in the Age of Digital Competition</w:t>
      </w:r>
      <w:r w:rsidRPr="00844F8F">
        <w:rPr>
          <w:rFonts w:ascii="Arial" w:hAnsi="Arial" w:cs="Arial"/>
          <w:sz w:val="22"/>
          <w:szCs w:val="22"/>
        </w:rPr>
        <w:t>. New York: Harper Business.</w:t>
      </w:r>
    </w:p>
    <w:p w14:paraId="52D27011"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Denison, D.R., Nieminen, L. and Kotrba, L. (2021) ‘Diagnosing organizational cultures: a conceptual and empirical review of culture effectiveness surveys’, </w:t>
      </w:r>
      <w:r w:rsidRPr="00844F8F">
        <w:rPr>
          <w:rStyle w:val="Emphasis"/>
          <w:rFonts w:ascii="Arial" w:eastAsiaTheme="majorEastAsia" w:hAnsi="Arial" w:cs="Arial"/>
          <w:sz w:val="22"/>
          <w:szCs w:val="22"/>
        </w:rPr>
        <w:t>European Journal of Work and Organizational Psychology</w:t>
      </w:r>
      <w:r w:rsidRPr="00844F8F">
        <w:rPr>
          <w:rFonts w:ascii="Arial" w:hAnsi="Arial" w:cs="Arial"/>
          <w:sz w:val="22"/>
          <w:szCs w:val="22"/>
        </w:rPr>
        <w:t>, 30(4), pp. 1–15.</w:t>
      </w:r>
    </w:p>
    <w:p w14:paraId="6E222659"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Hines, P., Holweg, M. and Rich, N. (2020) ‘Learning to evolve: a review of contemporary lean thinking’, </w:t>
      </w:r>
      <w:r w:rsidRPr="00844F8F">
        <w:rPr>
          <w:rStyle w:val="Emphasis"/>
          <w:rFonts w:ascii="Arial" w:eastAsiaTheme="majorEastAsia" w:hAnsi="Arial" w:cs="Arial"/>
          <w:sz w:val="22"/>
          <w:szCs w:val="22"/>
        </w:rPr>
        <w:t>International Journal of Operations &amp; Production Management</w:t>
      </w:r>
      <w:r w:rsidRPr="00844F8F">
        <w:rPr>
          <w:rFonts w:ascii="Arial" w:hAnsi="Arial" w:cs="Arial"/>
          <w:sz w:val="22"/>
          <w:szCs w:val="22"/>
        </w:rPr>
        <w:t>, 40(2), pp. 1–25.</w:t>
      </w:r>
    </w:p>
    <w:p w14:paraId="2F260CEF"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Hofstede, G. (2011) </w:t>
      </w:r>
      <w:r w:rsidRPr="00844F8F">
        <w:rPr>
          <w:rStyle w:val="Emphasis"/>
          <w:rFonts w:ascii="Arial" w:eastAsiaTheme="majorEastAsia" w:hAnsi="Arial" w:cs="Arial"/>
          <w:sz w:val="22"/>
          <w:szCs w:val="22"/>
        </w:rPr>
        <w:t>Cultures and Organizations: Software of the Mind</w:t>
      </w:r>
      <w:r w:rsidRPr="00844F8F">
        <w:rPr>
          <w:rFonts w:ascii="Arial" w:hAnsi="Arial" w:cs="Arial"/>
          <w:sz w:val="22"/>
          <w:szCs w:val="22"/>
        </w:rPr>
        <w:t>. 3rd edn. New York: McGraw-Hill.</w:t>
      </w:r>
    </w:p>
    <w:p w14:paraId="61CAF62D"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International Energy Agency (IEA) (2023) </w:t>
      </w:r>
      <w:r w:rsidRPr="00844F8F">
        <w:rPr>
          <w:rStyle w:val="Emphasis"/>
          <w:rFonts w:ascii="Arial" w:eastAsiaTheme="majorEastAsia" w:hAnsi="Arial" w:cs="Arial"/>
          <w:sz w:val="22"/>
          <w:szCs w:val="22"/>
        </w:rPr>
        <w:t>Global EV Outlook 2023</w:t>
      </w:r>
      <w:r w:rsidRPr="00844F8F">
        <w:rPr>
          <w:rFonts w:ascii="Arial" w:hAnsi="Arial" w:cs="Arial"/>
          <w:sz w:val="22"/>
          <w:szCs w:val="22"/>
        </w:rPr>
        <w:t>. Paris: International Energy Agency.</w:t>
      </w:r>
    </w:p>
    <w:p w14:paraId="425315E2"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Kingston, J. (2018) </w:t>
      </w:r>
      <w:r w:rsidRPr="00844F8F">
        <w:rPr>
          <w:rStyle w:val="Emphasis"/>
          <w:rFonts w:ascii="Arial" w:eastAsiaTheme="majorEastAsia" w:hAnsi="Arial" w:cs="Arial"/>
          <w:sz w:val="22"/>
          <w:szCs w:val="22"/>
        </w:rPr>
        <w:t>Contemporary Japan: History, Politics, and Social Change since the 1980s</w:t>
      </w:r>
      <w:r w:rsidRPr="00844F8F">
        <w:rPr>
          <w:rFonts w:ascii="Arial" w:hAnsi="Arial" w:cs="Arial"/>
          <w:sz w:val="22"/>
          <w:szCs w:val="22"/>
        </w:rPr>
        <w:t>. 2nd edn. Oxford: Wiley-Blackwell.</w:t>
      </w:r>
    </w:p>
    <w:p w14:paraId="087B4A69"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Liker, J.K. (2021) </w:t>
      </w:r>
      <w:r w:rsidRPr="00844F8F">
        <w:rPr>
          <w:rStyle w:val="Emphasis"/>
          <w:rFonts w:ascii="Arial" w:eastAsiaTheme="majorEastAsia" w:hAnsi="Arial" w:cs="Arial"/>
          <w:sz w:val="22"/>
          <w:szCs w:val="22"/>
        </w:rPr>
        <w:t>The Toyota Way: 14 Management Principles from the World’s Greatest Manufacturer</w:t>
      </w:r>
      <w:r w:rsidRPr="00844F8F">
        <w:rPr>
          <w:rFonts w:ascii="Arial" w:hAnsi="Arial" w:cs="Arial"/>
          <w:sz w:val="22"/>
          <w:szCs w:val="22"/>
        </w:rPr>
        <w:t>. Updated edn. New York: McGraw-Hill.</w:t>
      </w:r>
    </w:p>
    <w:p w14:paraId="7CE2404F"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Liker, J.K. and Convis, G.L. (2020) </w:t>
      </w:r>
      <w:r w:rsidRPr="00844F8F">
        <w:rPr>
          <w:rStyle w:val="Emphasis"/>
          <w:rFonts w:ascii="Arial" w:eastAsiaTheme="majorEastAsia" w:hAnsi="Arial" w:cs="Arial"/>
          <w:sz w:val="22"/>
          <w:szCs w:val="22"/>
        </w:rPr>
        <w:t>The Toyota Way to Lean Leadership</w:t>
      </w:r>
      <w:r w:rsidRPr="00844F8F">
        <w:rPr>
          <w:rFonts w:ascii="Arial" w:hAnsi="Arial" w:cs="Arial"/>
          <w:sz w:val="22"/>
          <w:szCs w:val="22"/>
        </w:rPr>
        <w:t>. New York: McGraw-Hill.</w:t>
      </w:r>
    </w:p>
    <w:p w14:paraId="0ECA1050"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Meyer, E. (2014) </w:t>
      </w:r>
      <w:r w:rsidRPr="00844F8F">
        <w:rPr>
          <w:rStyle w:val="Emphasis"/>
          <w:rFonts w:ascii="Arial" w:eastAsiaTheme="majorEastAsia" w:hAnsi="Arial" w:cs="Arial"/>
          <w:sz w:val="22"/>
          <w:szCs w:val="22"/>
        </w:rPr>
        <w:t>The Culture Map: Breaking Through the Invisible Boundaries of Global Business</w:t>
      </w:r>
      <w:r w:rsidRPr="00844F8F">
        <w:rPr>
          <w:rFonts w:ascii="Arial" w:hAnsi="Arial" w:cs="Arial"/>
          <w:sz w:val="22"/>
          <w:szCs w:val="22"/>
        </w:rPr>
        <w:t>. New York: PublicAffairs.</w:t>
      </w:r>
    </w:p>
    <w:p w14:paraId="244607CB" w14:textId="28599D7A" w:rsidR="00844F8F" w:rsidRPr="00844F8F" w:rsidRDefault="00844F8F" w:rsidP="00844F8F">
      <w:pPr>
        <w:spacing w:after="200" w:line="360" w:lineRule="auto"/>
        <w:jc w:val="both"/>
        <w:rPr>
          <w:rFonts w:ascii="Arial" w:eastAsia="Calibri" w:hAnsi="Arial" w:cs="Arial"/>
          <w:kern w:val="0"/>
          <w14:ligatures w14:val="none"/>
        </w:rPr>
      </w:pPr>
      <w:r w:rsidRPr="00844F8F">
        <w:rPr>
          <w:rFonts w:ascii="Arial" w:eastAsia="Calibri" w:hAnsi="Arial" w:cs="Arial"/>
          <w:kern w:val="0"/>
          <w14:ligatures w14:val="none"/>
        </w:rPr>
        <w:t xml:space="preserve">Mullins, L. and Christy, G. (2016) </w:t>
      </w:r>
      <w:r w:rsidRPr="00844F8F">
        <w:rPr>
          <w:rFonts w:ascii="Arial" w:eastAsia="Calibri" w:hAnsi="Arial" w:cs="Arial"/>
          <w:i/>
          <w:kern w:val="0"/>
          <w14:ligatures w14:val="none"/>
        </w:rPr>
        <w:t>Management and organisational behaviour</w:t>
      </w:r>
      <w:r w:rsidRPr="00844F8F">
        <w:rPr>
          <w:rFonts w:ascii="Arial" w:eastAsia="Calibri" w:hAnsi="Arial" w:cs="Arial"/>
          <w:kern w:val="0"/>
          <w14:ligatures w14:val="none"/>
        </w:rPr>
        <w:t xml:space="preserve">, 11th edn. London: Pearson Education Limited. </w:t>
      </w:r>
    </w:p>
    <w:p w14:paraId="78E0790B"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Netland, T.H. and Powell, D.J. (2022) </w:t>
      </w:r>
      <w:r w:rsidRPr="00844F8F">
        <w:rPr>
          <w:rStyle w:val="Emphasis"/>
          <w:rFonts w:ascii="Arial" w:eastAsiaTheme="majorEastAsia" w:hAnsi="Arial" w:cs="Arial"/>
          <w:sz w:val="22"/>
          <w:szCs w:val="22"/>
        </w:rPr>
        <w:t>The Routledge Companion to Lean Management</w:t>
      </w:r>
      <w:r w:rsidRPr="00844F8F">
        <w:rPr>
          <w:rFonts w:ascii="Arial" w:hAnsi="Arial" w:cs="Arial"/>
          <w:sz w:val="22"/>
          <w:szCs w:val="22"/>
        </w:rPr>
        <w:t>. London: Routledge.</w:t>
      </w:r>
    </w:p>
    <w:p w14:paraId="56908CBC"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Nguyen, T. and Watanabe, T. (2022) ‘The impact of organizational culture on operational performance in manufacturing firms’, </w:t>
      </w:r>
      <w:r w:rsidRPr="00844F8F">
        <w:rPr>
          <w:rStyle w:val="Emphasis"/>
          <w:rFonts w:ascii="Arial" w:eastAsiaTheme="majorEastAsia" w:hAnsi="Arial" w:cs="Arial"/>
          <w:sz w:val="22"/>
          <w:szCs w:val="22"/>
        </w:rPr>
        <w:t>Journal of Manufacturing Technology Management</w:t>
      </w:r>
      <w:r w:rsidRPr="00844F8F">
        <w:rPr>
          <w:rFonts w:ascii="Arial" w:hAnsi="Arial" w:cs="Arial"/>
          <w:sz w:val="22"/>
          <w:szCs w:val="22"/>
        </w:rPr>
        <w:t>, 33(5), pp. 1–18.</w:t>
      </w:r>
    </w:p>
    <w:p w14:paraId="0273FE50"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Ohno, T. (2019) </w:t>
      </w:r>
      <w:r w:rsidRPr="00844F8F">
        <w:rPr>
          <w:rStyle w:val="Emphasis"/>
          <w:rFonts w:ascii="Arial" w:eastAsiaTheme="majorEastAsia" w:hAnsi="Arial" w:cs="Arial"/>
          <w:sz w:val="22"/>
          <w:szCs w:val="22"/>
        </w:rPr>
        <w:t>Toyota Production System: Beyond Large-Scale Production</w:t>
      </w:r>
      <w:r w:rsidRPr="00844F8F">
        <w:rPr>
          <w:rFonts w:ascii="Arial" w:hAnsi="Arial" w:cs="Arial"/>
          <w:sz w:val="22"/>
          <w:szCs w:val="22"/>
        </w:rPr>
        <w:t>. Portland: Productivity Press.</w:t>
      </w:r>
    </w:p>
    <w:p w14:paraId="36EFF9C3"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Schein, E.H. (2017) </w:t>
      </w:r>
      <w:r w:rsidRPr="00844F8F">
        <w:rPr>
          <w:rStyle w:val="Emphasis"/>
          <w:rFonts w:ascii="Arial" w:eastAsiaTheme="majorEastAsia" w:hAnsi="Arial" w:cs="Arial"/>
          <w:sz w:val="22"/>
          <w:szCs w:val="22"/>
        </w:rPr>
        <w:t>Organizational Culture and Leadership</w:t>
      </w:r>
      <w:r w:rsidRPr="00844F8F">
        <w:rPr>
          <w:rFonts w:ascii="Arial" w:hAnsi="Arial" w:cs="Arial"/>
          <w:sz w:val="22"/>
          <w:szCs w:val="22"/>
        </w:rPr>
        <w:t>. 5th edn. Hoboken: Wiley.</w:t>
      </w:r>
    </w:p>
    <w:p w14:paraId="2F4D783F"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Schein, E.H. and Schein, P. (2021) </w:t>
      </w:r>
      <w:r w:rsidRPr="00844F8F">
        <w:rPr>
          <w:rStyle w:val="Emphasis"/>
          <w:rFonts w:ascii="Arial" w:eastAsiaTheme="majorEastAsia" w:hAnsi="Arial" w:cs="Arial"/>
          <w:sz w:val="22"/>
          <w:szCs w:val="22"/>
        </w:rPr>
        <w:t>Organizational Culture and Leadership</w:t>
      </w:r>
      <w:r w:rsidRPr="00844F8F">
        <w:rPr>
          <w:rFonts w:ascii="Arial" w:hAnsi="Arial" w:cs="Arial"/>
          <w:sz w:val="22"/>
          <w:szCs w:val="22"/>
        </w:rPr>
        <w:t>. 5th edn. Hoboken: Wiley.</w:t>
      </w:r>
    </w:p>
    <w:p w14:paraId="4A0AE187"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Smith, J. and Brown, A. (2023) ‘Glocalization strategies in multinational corporations’, </w:t>
      </w:r>
      <w:r w:rsidRPr="00844F8F">
        <w:rPr>
          <w:rStyle w:val="Emphasis"/>
          <w:rFonts w:ascii="Arial" w:eastAsiaTheme="majorEastAsia" w:hAnsi="Arial" w:cs="Arial"/>
          <w:sz w:val="22"/>
          <w:szCs w:val="22"/>
        </w:rPr>
        <w:t>Journal of International Business Studies</w:t>
      </w:r>
      <w:r w:rsidRPr="00844F8F">
        <w:rPr>
          <w:rFonts w:ascii="Arial" w:hAnsi="Arial" w:cs="Arial"/>
          <w:sz w:val="22"/>
          <w:szCs w:val="22"/>
        </w:rPr>
        <w:t>, 54(2), pp. 1–15.</w:t>
      </w:r>
    </w:p>
    <w:p w14:paraId="1E7ACD50" w14:textId="77777777" w:rsidR="00526C98" w:rsidRPr="00844F8F" w:rsidRDefault="00526C98" w:rsidP="00844F8F">
      <w:pPr>
        <w:pStyle w:val="NormalWeb"/>
        <w:spacing w:line="360" w:lineRule="auto"/>
        <w:jc w:val="both"/>
        <w:rPr>
          <w:rFonts w:ascii="Arial" w:hAnsi="Arial" w:cs="Arial"/>
          <w:sz w:val="22"/>
          <w:szCs w:val="22"/>
        </w:rPr>
      </w:pPr>
      <w:r w:rsidRPr="00844F8F">
        <w:rPr>
          <w:rFonts w:ascii="Arial" w:hAnsi="Arial" w:cs="Arial"/>
          <w:sz w:val="22"/>
          <w:szCs w:val="22"/>
        </w:rPr>
        <w:t xml:space="preserve">Zhang, L., Chen, H. and Park, Y. (2024) ‘Organizational resilience and culture in global supply chains’, </w:t>
      </w:r>
      <w:r w:rsidRPr="00844F8F">
        <w:rPr>
          <w:rStyle w:val="Emphasis"/>
          <w:rFonts w:ascii="Arial" w:eastAsiaTheme="majorEastAsia" w:hAnsi="Arial" w:cs="Arial"/>
          <w:sz w:val="22"/>
          <w:szCs w:val="22"/>
        </w:rPr>
        <w:t>Supply Chain Management Review</w:t>
      </w:r>
      <w:r w:rsidRPr="00844F8F">
        <w:rPr>
          <w:rFonts w:ascii="Arial" w:hAnsi="Arial" w:cs="Arial"/>
          <w:sz w:val="22"/>
          <w:szCs w:val="22"/>
        </w:rPr>
        <w:t>, 29(1), pp. 1–12.</w:t>
      </w:r>
    </w:p>
    <w:p w14:paraId="7AF2E94F" w14:textId="77777777" w:rsidR="003965CF" w:rsidRPr="00790FEC" w:rsidRDefault="003965CF" w:rsidP="00526C98">
      <w:pPr>
        <w:spacing w:before="100" w:beforeAutospacing="1" w:after="100" w:afterAutospacing="1" w:line="360" w:lineRule="auto"/>
        <w:jc w:val="both"/>
        <w:rPr>
          <w:rFonts w:ascii="Arial" w:hAnsi="Arial" w:cs="Arial"/>
          <w:sz w:val="24"/>
          <w:szCs w:val="24"/>
        </w:rPr>
      </w:pPr>
    </w:p>
    <w:sectPr w:rsidR="003965CF" w:rsidRPr="00790FEC" w:rsidSect="00722211">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1D28D" w14:textId="77777777" w:rsidR="008B4448" w:rsidRDefault="008B4448" w:rsidP="005E4107">
      <w:pPr>
        <w:spacing w:after="0" w:line="240" w:lineRule="auto"/>
      </w:pPr>
      <w:r>
        <w:separator/>
      </w:r>
    </w:p>
  </w:endnote>
  <w:endnote w:type="continuationSeparator" w:id="0">
    <w:p w14:paraId="5B1B7E57" w14:textId="77777777" w:rsidR="008B4448" w:rsidRDefault="008B4448" w:rsidP="005E41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399729"/>
      <w:docPartObj>
        <w:docPartGallery w:val="Page Numbers (Bottom of Page)"/>
        <w:docPartUnique/>
      </w:docPartObj>
    </w:sdtPr>
    <w:sdtContent>
      <w:p w14:paraId="11C73F42" w14:textId="493946C0" w:rsidR="005E4107" w:rsidRDefault="005E4107">
        <w:pPr>
          <w:pStyle w:val="Footer"/>
          <w:jc w:val="right"/>
        </w:pPr>
        <w:r>
          <w:fldChar w:fldCharType="begin"/>
        </w:r>
        <w:r>
          <w:instrText>PAGE   \* MERGEFORMAT</w:instrText>
        </w:r>
        <w:r>
          <w:fldChar w:fldCharType="separate"/>
        </w:r>
        <w:r>
          <w:t>2</w:t>
        </w:r>
        <w:r>
          <w:fldChar w:fldCharType="end"/>
        </w:r>
      </w:p>
    </w:sdtContent>
  </w:sdt>
  <w:p w14:paraId="0B539B6A" w14:textId="77777777" w:rsidR="005E4107" w:rsidRDefault="005E4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645143" w14:textId="77777777" w:rsidR="008B4448" w:rsidRDefault="008B4448" w:rsidP="005E4107">
      <w:pPr>
        <w:spacing w:after="0" w:line="240" w:lineRule="auto"/>
      </w:pPr>
      <w:r>
        <w:separator/>
      </w:r>
    </w:p>
  </w:footnote>
  <w:footnote w:type="continuationSeparator" w:id="0">
    <w:p w14:paraId="52A1AE4D" w14:textId="77777777" w:rsidR="008B4448" w:rsidRDefault="008B4448" w:rsidP="005E41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660CF"/>
    <w:multiLevelType w:val="hybridMultilevel"/>
    <w:tmpl w:val="D2D0F7E6"/>
    <w:lvl w:ilvl="0" w:tplc="5EF69C3A">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8C3AB2"/>
    <w:multiLevelType w:val="hybridMultilevel"/>
    <w:tmpl w:val="B0E27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F50FD5"/>
    <w:multiLevelType w:val="hybridMultilevel"/>
    <w:tmpl w:val="0EFAE6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453F92"/>
    <w:multiLevelType w:val="hybridMultilevel"/>
    <w:tmpl w:val="06A40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C556DE"/>
    <w:multiLevelType w:val="multilevel"/>
    <w:tmpl w:val="F07C64E4"/>
    <w:lvl w:ilvl="0">
      <w:start w:val="1"/>
      <w:numFmt w:val="decimal"/>
      <w:lvlText w:val="%1."/>
      <w:lvlJc w:val="left"/>
      <w:pPr>
        <w:ind w:left="720" w:hanging="360"/>
      </w:pPr>
    </w:lvl>
    <w:lvl w:ilvl="1">
      <w:start w:val="1"/>
      <w:numFmt w:val="decimal"/>
      <w:isLgl/>
      <w:lvlText w:val="%1.%2"/>
      <w:lvlJc w:val="left"/>
      <w:pPr>
        <w:ind w:left="1080" w:hanging="360"/>
      </w:pPr>
      <w:rPr>
        <w:rFonts w:ascii="Arial" w:hAnsi="Arial" w:cs="Arial" w:hint="default"/>
        <w:b/>
      </w:rPr>
    </w:lvl>
    <w:lvl w:ilvl="2">
      <w:start w:val="1"/>
      <w:numFmt w:val="decimal"/>
      <w:isLgl/>
      <w:lvlText w:val="%1.%2.%3"/>
      <w:lvlJc w:val="left"/>
      <w:pPr>
        <w:ind w:left="1800" w:hanging="720"/>
      </w:pPr>
      <w:rPr>
        <w:rFonts w:ascii="Arial" w:hAnsi="Arial" w:cs="Arial" w:hint="default"/>
        <w:b/>
      </w:rPr>
    </w:lvl>
    <w:lvl w:ilvl="3">
      <w:start w:val="1"/>
      <w:numFmt w:val="decimal"/>
      <w:isLgl/>
      <w:lvlText w:val="%1.%2.%3.%4"/>
      <w:lvlJc w:val="left"/>
      <w:pPr>
        <w:ind w:left="2160" w:hanging="720"/>
      </w:pPr>
      <w:rPr>
        <w:rFonts w:ascii="Arial" w:hAnsi="Arial" w:cs="Arial" w:hint="default"/>
        <w:b/>
      </w:rPr>
    </w:lvl>
    <w:lvl w:ilvl="4">
      <w:start w:val="1"/>
      <w:numFmt w:val="decimal"/>
      <w:isLgl/>
      <w:lvlText w:val="%1.%2.%3.%4.%5"/>
      <w:lvlJc w:val="left"/>
      <w:pPr>
        <w:ind w:left="2880" w:hanging="1080"/>
      </w:pPr>
      <w:rPr>
        <w:rFonts w:ascii="Arial" w:hAnsi="Arial" w:cs="Arial" w:hint="default"/>
        <w:b/>
      </w:rPr>
    </w:lvl>
    <w:lvl w:ilvl="5">
      <w:start w:val="1"/>
      <w:numFmt w:val="decimal"/>
      <w:isLgl/>
      <w:lvlText w:val="%1.%2.%3.%4.%5.%6"/>
      <w:lvlJc w:val="left"/>
      <w:pPr>
        <w:ind w:left="3240" w:hanging="1080"/>
      </w:pPr>
      <w:rPr>
        <w:rFonts w:ascii="Arial" w:hAnsi="Arial" w:cs="Arial" w:hint="default"/>
        <w:b/>
      </w:rPr>
    </w:lvl>
    <w:lvl w:ilvl="6">
      <w:start w:val="1"/>
      <w:numFmt w:val="decimal"/>
      <w:isLgl/>
      <w:lvlText w:val="%1.%2.%3.%4.%5.%6.%7"/>
      <w:lvlJc w:val="left"/>
      <w:pPr>
        <w:ind w:left="3960" w:hanging="1440"/>
      </w:pPr>
      <w:rPr>
        <w:rFonts w:ascii="Arial" w:hAnsi="Arial" w:cs="Arial" w:hint="default"/>
        <w:b/>
      </w:rPr>
    </w:lvl>
    <w:lvl w:ilvl="7">
      <w:start w:val="1"/>
      <w:numFmt w:val="decimal"/>
      <w:isLgl/>
      <w:lvlText w:val="%1.%2.%3.%4.%5.%6.%7.%8"/>
      <w:lvlJc w:val="left"/>
      <w:pPr>
        <w:ind w:left="4320" w:hanging="1440"/>
      </w:pPr>
      <w:rPr>
        <w:rFonts w:ascii="Arial" w:hAnsi="Arial" w:cs="Arial" w:hint="default"/>
        <w:b/>
      </w:rPr>
    </w:lvl>
    <w:lvl w:ilvl="8">
      <w:start w:val="1"/>
      <w:numFmt w:val="decimal"/>
      <w:isLgl/>
      <w:lvlText w:val="%1.%2.%3.%4.%5.%6.%7.%8.%9"/>
      <w:lvlJc w:val="left"/>
      <w:pPr>
        <w:ind w:left="5040" w:hanging="1800"/>
      </w:pPr>
      <w:rPr>
        <w:rFonts w:ascii="Arial" w:hAnsi="Arial" w:cs="Arial" w:hint="default"/>
        <w:b/>
      </w:rPr>
    </w:lvl>
  </w:abstractNum>
  <w:abstractNum w:abstractNumId="5" w15:restartNumberingAfterBreak="0">
    <w:nsid w:val="332A1D8A"/>
    <w:multiLevelType w:val="hybridMultilevel"/>
    <w:tmpl w:val="CDF4914C"/>
    <w:lvl w:ilvl="0" w:tplc="5EF69C3A">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697BD5"/>
    <w:multiLevelType w:val="hybridMultilevel"/>
    <w:tmpl w:val="481813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FB29DD"/>
    <w:multiLevelType w:val="hybridMultilevel"/>
    <w:tmpl w:val="2848C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CA145D"/>
    <w:multiLevelType w:val="hybridMultilevel"/>
    <w:tmpl w:val="27241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0D4026"/>
    <w:multiLevelType w:val="hybridMultilevel"/>
    <w:tmpl w:val="552E2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FE4F06"/>
    <w:multiLevelType w:val="hybridMultilevel"/>
    <w:tmpl w:val="9524F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DB21DA"/>
    <w:multiLevelType w:val="hybridMultilevel"/>
    <w:tmpl w:val="CCE62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681EBD"/>
    <w:multiLevelType w:val="hybridMultilevel"/>
    <w:tmpl w:val="05A4BC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9731810">
    <w:abstractNumId w:val="4"/>
  </w:num>
  <w:num w:numId="2" w16cid:durableId="941766763">
    <w:abstractNumId w:val="5"/>
  </w:num>
  <w:num w:numId="3" w16cid:durableId="508832070">
    <w:abstractNumId w:val="0"/>
  </w:num>
  <w:num w:numId="4" w16cid:durableId="1963228092">
    <w:abstractNumId w:val="2"/>
  </w:num>
  <w:num w:numId="5" w16cid:durableId="635180698">
    <w:abstractNumId w:val="9"/>
  </w:num>
  <w:num w:numId="6" w16cid:durableId="1141076919">
    <w:abstractNumId w:val="11"/>
  </w:num>
  <w:num w:numId="7" w16cid:durableId="456415379">
    <w:abstractNumId w:val="7"/>
  </w:num>
  <w:num w:numId="8" w16cid:durableId="1112289391">
    <w:abstractNumId w:val="10"/>
  </w:num>
  <w:num w:numId="9" w16cid:durableId="1576547272">
    <w:abstractNumId w:val="6"/>
  </w:num>
  <w:num w:numId="10" w16cid:durableId="473722404">
    <w:abstractNumId w:val="3"/>
  </w:num>
  <w:num w:numId="11" w16cid:durableId="307366809">
    <w:abstractNumId w:val="1"/>
  </w:num>
  <w:num w:numId="12" w16cid:durableId="1254315376">
    <w:abstractNumId w:val="12"/>
  </w:num>
  <w:num w:numId="13" w16cid:durableId="14284544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B4F"/>
    <w:rsid w:val="00002B26"/>
    <w:rsid w:val="00033293"/>
    <w:rsid w:val="000555FE"/>
    <w:rsid w:val="000A3720"/>
    <w:rsid w:val="000A551B"/>
    <w:rsid w:val="000D546C"/>
    <w:rsid w:val="000E4556"/>
    <w:rsid w:val="0013494C"/>
    <w:rsid w:val="00141A49"/>
    <w:rsid w:val="001463C9"/>
    <w:rsid w:val="00180657"/>
    <w:rsid w:val="001E1100"/>
    <w:rsid w:val="001F0CA3"/>
    <w:rsid w:val="001F1666"/>
    <w:rsid w:val="00207FE3"/>
    <w:rsid w:val="00216B31"/>
    <w:rsid w:val="00227ED1"/>
    <w:rsid w:val="00285750"/>
    <w:rsid w:val="00296F85"/>
    <w:rsid w:val="002B23B6"/>
    <w:rsid w:val="002F43EC"/>
    <w:rsid w:val="0032629E"/>
    <w:rsid w:val="003965CF"/>
    <w:rsid w:val="003E0FEC"/>
    <w:rsid w:val="00421341"/>
    <w:rsid w:val="0042290B"/>
    <w:rsid w:val="00476AA6"/>
    <w:rsid w:val="004C06C0"/>
    <w:rsid w:val="004F40ED"/>
    <w:rsid w:val="00526C98"/>
    <w:rsid w:val="005E4107"/>
    <w:rsid w:val="00612541"/>
    <w:rsid w:val="006B70D7"/>
    <w:rsid w:val="00700B4F"/>
    <w:rsid w:val="00707D88"/>
    <w:rsid w:val="00722211"/>
    <w:rsid w:val="00790FEC"/>
    <w:rsid w:val="007931F2"/>
    <w:rsid w:val="007E6BE1"/>
    <w:rsid w:val="00844F8F"/>
    <w:rsid w:val="00877CD7"/>
    <w:rsid w:val="00887F3D"/>
    <w:rsid w:val="008A24E1"/>
    <w:rsid w:val="008B4448"/>
    <w:rsid w:val="008B6CD3"/>
    <w:rsid w:val="008F70A3"/>
    <w:rsid w:val="00995958"/>
    <w:rsid w:val="00A0754B"/>
    <w:rsid w:val="00A431A6"/>
    <w:rsid w:val="00A4384C"/>
    <w:rsid w:val="00AB0A37"/>
    <w:rsid w:val="00B836BC"/>
    <w:rsid w:val="00B904BD"/>
    <w:rsid w:val="00BA0881"/>
    <w:rsid w:val="00C66BCF"/>
    <w:rsid w:val="00CB09C3"/>
    <w:rsid w:val="00CE01C9"/>
    <w:rsid w:val="00D37354"/>
    <w:rsid w:val="00D810C1"/>
    <w:rsid w:val="00D82B0A"/>
    <w:rsid w:val="00D93BFC"/>
    <w:rsid w:val="00DB7BC3"/>
    <w:rsid w:val="00E10F80"/>
    <w:rsid w:val="00E2751C"/>
    <w:rsid w:val="00E70C09"/>
    <w:rsid w:val="00E74F79"/>
    <w:rsid w:val="00E92CD3"/>
    <w:rsid w:val="00EB25EC"/>
    <w:rsid w:val="00ED4BBF"/>
    <w:rsid w:val="00F4036E"/>
    <w:rsid w:val="00F82B65"/>
    <w:rsid w:val="00FC2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839E1"/>
  <w15:chartTrackingRefBased/>
  <w15:docId w15:val="{610BFBB6-0FCA-44F8-8ECE-6182579C3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293"/>
    <w:pPr>
      <w:keepNext/>
      <w:keepLines/>
      <w:spacing w:before="360" w:after="80"/>
      <w:outlineLvl w:val="0"/>
    </w:pPr>
    <w:rPr>
      <w:rFonts w:ascii="Arial" w:eastAsiaTheme="majorEastAsia" w:hAnsi="Arial" w:cstheme="majorBidi"/>
      <w:color w:val="000000" w:themeColor="text1"/>
      <w:sz w:val="24"/>
      <w:szCs w:val="40"/>
    </w:rPr>
  </w:style>
  <w:style w:type="paragraph" w:styleId="Heading2">
    <w:name w:val="heading 2"/>
    <w:basedOn w:val="Normal"/>
    <w:next w:val="Normal"/>
    <w:link w:val="Heading2Char"/>
    <w:uiPriority w:val="9"/>
    <w:unhideWhenUsed/>
    <w:qFormat/>
    <w:rsid w:val="00E74F79"/>
    <w:pPr>
      <w:keepNext/>
      <w:keepLines/>
      <w:spacing w:before="160" w:after="80"/>
      <w:outlineLvl w:val="1"/>
    </w:pPr>
    <w:rPr>
      <w:rFonts w:asciiTheme="majorHAnsi" w:eastAsiaTheme="majorEastAsia" w:hAnsiTheme="majorHAnsi" w:cstheme="majorBidi"/>
      <w:color w:val="000000" w:themeColor="text1"/>
      <w:sz w:val="24"/>
      <w:szCs w:val="32"/>
    </w:rPr>
  </w:style>
  <w:style w:type="paragraph" w:styleId="Heading3">
    <w:name w:val="heading 3"/>
    <w:basedOn w:val="Normal"/>
    <w:next w:val="Normal"/>
    <w:link w:val="Heading3Char"/>
    <w:uiPriority w:val="9"/>
    <w:semiHidden/>
    <w:unhideWhenUsed/>
    <w:qFormat/>
    <w:rsid w:val="00700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293"/>
    <w:rPr>
      <w:rFonts w:ascii="Arial" w:eastAsiaTheme="majorEastAsia" w:hAnsi="Arial" w:cstheme="majorBidi"/>
      <w:color w:val="000000" w:themeColor="text1"/>
      <w:sz w:val="24"/>
      <w:szCs w:val="40"/>
    </w:rPr>
  </w:style>
  <w:style w:type="character" w:customStyle="1" w:styleId="Heading2Char">
    <w:name w:val="Heading 2 Char"/>
    <w:basedOn w:val="DefaultParagraphFont"/>
    <w:link w:val="Heading2"/>
    <w:uiPriority w:val="9"/>
    <w:rsid w:val="00E74F79"/>
    <w:rPr>
      <w:rFonts w:asciiTheme="majorHAnsi" w:eastAsiaTheme="majorEastAsia" w:hAnsiTheme="majorHAnsi" w:cstheme="majorBidi"/>
      <w:color w:val="000000" w:themeColor="text1"/>
      <w:sz w:val="24"/>
      <w:szCs w:val="32"/>
    </w:rPr>
  </w:style>
  <w:style w:type="character" w:customStyle="1" w:styleId="Heading3Char">
    <w:name w:val="Heading 3 Char"/>
    <w:basedOn w:val="DefaultParagraphFont"/>
    <w:link w:val="Heading3"/>
    <w:uiPriority w:val="9"/>
    <w:semiHidden/>
    <w:rsid w:val="00700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B4F"/>
    <w:rPr>
      <w:rFonts w:eastAsiaTheme="majorEastAsia" w:cstheme="majorBidi"/>
      <w:color w:val="272727" w:themeColor="text1" w:themeTint="D8"/>
    </w:rPr>
  </w:style>
  <w:style w:type="paragraph" w:styleId="Title">
    <w:name w:val="Title"/>
    <w:basedOn w:val="Normal"/>
    <w:next w:val="Normal"/>
    <w:link w:val="TitleChar"/>
    <w:uiPriority w:val="10"/>
    <w:qFormat/>
    <w:rsid w:val="00700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B4F"/>
    <w:pPr>
      <w:spacing w:before="160"/>
      <w:jc w:val="center"/>
    </w:pPr>
    <w:rPr>
      <w:i/>
      <w:iCs/>
      <w:color w:val="404040" w:themeColor="text1" w:themeTint="BF"/>
    </w:rPr>
  </w:style>
  <w:style w:type="character" w:customStyle="1" w:styleId="QuoteChar">
    <w:name w:val="Quote Char"/>
    <w:basedOn w:val="DefaultParagraphFont"/>
    <w:link w:val="Quote"/>
    <w:uiPriority w:val="29"/>
    <w:rsid w:val="00700B4F"/>
    <w:rPr>
      <w:i/>
      <w:iCs/>
      <w:color w:val="404040" w:themeColor="text1" w:themeTint="BF"/>
    </w:rPr>
  </w:style>
  <w:style w:type="paragraph" w:styleId="ListParagraph">
    <w:name w:val="List Paragraph"/>
    <w:basedOn w:val="Normal"/>
    <w:uiPriority w:val="34"/>
    <w:qFormat/>
    <w:rsid w:val="00700B4F"/>
    <w:pPr>
      <w:ind w:left="720"/>
      <w:contextualSpacing/>
    </w:pPr>
  </w:style>
  <w:style w:type="character" w:styleId="IntenseEmphasis">
    <w:name w:val="Intense Emphasis"/>
    <w:basedOn w:val="DefaultParagraphFont"/>
    <w:uiPriority w:val="21"/>
    <w:qFormat/>
    <w:rsid w:val="00700B4F"/>
    <w:rPr>
      <w:i/>
      <w:iCs/>
      <w:color w:val="0F4761" w:themeColor="accent1" w:themeShade="BF"/>
    </w:rPr>
  </w:style>
  <w:style w:type="paragraph" w:styleId="IntenseQuote">
    <w:name w:val="Intense Quote"/>
    <w:basedOn w:val="Normal"/>
    <w:next w:val="Normal"/>
    <w:link w:val="IntenseQuoteChar"/>
    <w:uiPriority w:val="30"/>
    <w:qFormat/>
    <w:rsid w:val="00700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B4F"/>
    <w:rPr>
      <w:i/>
      <w:iCs/>
      <w:color w:val="0F4761" w:themeColor="accent1" w:themeShade="BF"/>
    </w:rPr>
  </w:style>
  <w:style w:type="character" w:styleId="IntenseReference">
    <w:name w:val="Intense Reference"/>
    <w:basedOn w:val="DefaultParagraphFont"/>
    <w:uiPriority w:val="32"/>
    <w:qFormat/>
    <w:rsid w:val="00700B4F"/>
    <w:rPr>
      <w:b/>
      <w:bCs/>
      <w:smallCaps/>
      <w:color w:val="0F4761" w:themeColor="accent1" w:themeShade="BF"/>
      <w:spacing w:val="5"/>
    </w:rPr>
  </w:style>
  <w:style w:type="paragraph" w:styleId="NormalWeb">
    <w:name w:val="Normal (Web)"/>
    <w:basedOn w:val="Normal"/>
    <w:uiPriority w:val="99"/>
    <w:unhideWhenUsed/>
    <w:rsid w:val="00700B4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21341"/>
    <w:rPr>
      <w:i/>
      <w:iCs/>
    </w:rPr>
  </w:style>
  <w:style w:type="character" w:styleId="Strong">
    <w:name w:val="Strong"/>
    <w:basedOn w:val="DefaultParagraphFont"/>
    <w:uiPriority w:val="22"/>
    <w:qFormat/>
    <w:rsid w:val="00421341"/>
    <w:rPr>
      <w:b/>
      <w:bCs/>
    </w:rPr>
  </w:style>
  <w:style w:type="paragraph" w:styleId="NoSpacing">
    <w:name w:val="No Spacing"/>
    <w:link w:val="NoSpacingChar"/>
    <w:uiPriority w:val="1"/>
    <w:qFormat/>
    <w:rsid w:val="000555F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555FE"/>
    <w:rPr>
      <w:rFonts w:eastAsiaTheme="minorEastAsia"/>
      <w:kern w:val="0"/>
      <w:lang w:eastAsia="en-GB"/>
      <w14:ligatures w14:val="none"/>
    </w:rPr>
  </w:style>
  <w:style w:type="paragraph" w:styleId="TOCHeading">
    <w:name w:val="TOC Heading"/>
    <w:basedOn w:val="Heading1"/>
    <w:next w:val="Normal"/>
    <w:uiPriority w:val="39"/>
    <w:unhideWhenUsed/>
    <w:qFormat/>
    <w:rsid w:val="00722211"/>
    <w:pPr>
      <w:spacing w:before="240" w:after="0"/>
      <w:outlineLvl w:val="9"/>
    </w:pPr>
    <w:rPr>
      <w:rFonts w:asciiTheme="majorHAnsi" w:hAnsiTheme="majorHAnsi"/>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722211"/>
    <w:pPr>
      <w:spacing w:after="100"/>
    </w:pPr>
  </w:style>
  <w:style w:type="paragraph" w:styleId="TOC2">
    <w:name w:val="toc 2"/>
    <w:basedOn w:val="Normal"/>
    <w:next w:val="Normal"/>
    <w:autoRedefine/>
    <w:uiPriority w:val="39"/>
    <w:unhideWhenUsed/>
    <w:rsid w:val="00722211"/>
    <w:pPr>
      <w:spacing w:after="100"/>
      <w:ind w:left="220"/>
    </w:pPr>
  </w:style>
  <w:style w:type="character" w:styleId="Hyperlink">
    <w:name w:val="Hyperlink"/>
    <w:basedOn w:val="DefaultParagraphFont"/>
    <w:uiPriority w:val="99"/>
    <w:unhideWhenUsed/>
    <w:rsid w:val="00722211"/>
    <w:rPr>
      <w:color w:val="467886" w:themeColor="hyperlink"/>
      <w:u w:val="single"/>
    </w:rPr>
  </w:style>
  <w:style w:type="paragraph" w:styleId="TOC3">
    <w:name w:val="toc 3"/>
    <w:basedOn w:val="Normal"/>
    <w:next w:val="Normal"/>
    <w:autoRedefine/>
    <w:uiPriority w:val="39"/>
    <w:unhideWhenUsed/>
    <w:rsid w:val="005E4107"/>
    <w:pPr>
      <w:spacing w:after="100"/>
      <w:ind w:left="440"/>
    </w:pPr>
    <w:rPr>
      <w:rFonts w:eastAsiaTheme="minorEastAsia" w:cs="Times New Roman"/>
      <w:kern w:val="0"/>
      <w:lang w:eastAsia="en-GB"/>
      <w14:ligatures w14:val="none"/>
    </w:rPr>
  </w:style>
  <w:style w:type="paragraph" w:styleId="Header">
    <w:name w:val="header"/>
    <w:basedOn w:val="Normal"/>
    <w:link w:val="HeaderChar"/>
    <w:uiPriority w:val="99"/>
    <w:unhideWhenUsed/>
    <w:rsid w:val="005E4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107"/>
  </w:style>
  <w:style w:type="paragraph" w:styleId="Footer">
    <w:name w:val="footer"/>
    <w:basedOn w:val="Normal"/>
    <w:link w:val="FooterChar"/>
    <w:uiPriority w:val="99"/>
    <w:unhideWhenUsed/>
    <w:rsid w:val="005E4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107"/>
  </w:style>
  <w:style w:type="character" w:customStyle="1" w:styleId="whitespace-normal">
    <w:name w:val="whitespace-normal"/>
    <w:basedOn w:val="DefaultParagraphFont"/>
    <w:rsid w:val="00E27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820226">
      <w:bodyDiv w:val="1"/>
      <w:marLeft w:val="0"/>
      <w:marRight w:val="0"/>
      <w:marTop w:val="0"/>
      <w:marBottom w:val="0"/>
      <w:divBdr>
        <w:top w:val="none" w:sz="0" w:space="0" w:color="auto"/>
        <w:left w:val="none" w:sz="0" w:space="0" w:color="auto"/>
        <w:bottom w:val="none" w:sz="0" w:space="0" w:color="auto"/>
        <w:right w:val="none" w:sz="0" w:space="0" w:color="auto"/>
      </w:divBdr>
    </w:div>
    <w:div w:id="56055153">
      <w:bodyDiv w:val="1"/>
      <w:marLeft w:val="0"/>
      <w:marRight w:val="0"/>
      <w:marTop w:val="0"/>
      <w:marBottom w:val="0"/>
      <w:divBdr>
        <w:top w:val="none" w:sz="0" w:space="0" w:color="auto"/>
        <w:left w:val="none" w:sz="0" w:space="0" w:color="auto"/>
        <w:bottom w:val="none" w:sz="0" w:space="0" w:color="auto"/>
        <w:right w:val="none" w:sz="0" w:space="0" w:color="auto"/>
      </w:divBdr>
    </w:div>
    <w:div w:id="224150101">
      <w:bodyDiv w:val="1"/>
      <w:marLeft w:val="0"/>
      <w:marRight w:val="0"/>
      <w:marTop w:val="0"/>
      <w:marBottom w:val="0"/>
      <w:divBdr>
        <w:top w:val="none" w:sz="0" w:space="0" w:color="auto"/>
        <w:left w:val="none" w:sz="0" w:space="0" w:color="auto"/>
        <w:bottom w:val="none" w:sz="0" w:space="0" w:color="auto"/>
        <w:right w:val="none" w:sz="0" w:space="0" w:color="auto"/>
      </w:divBdr>
    </w:div>
    <w:div w:id="229772796">
      <w:bodyDiv w:val="1"/>
      <w:marLeft w:val="0"/>
      <w:marRight w:val="0"/>
      <w:marTop w:val="0"/>
      <w:marBottom w:val="0"/>
      <w:divBdr>
        <w:top w:val="none" w:sz="0" w:space="0" w:color="auto"/>
        <w:left w:val="none" w:sz="0" w:space="0" w:color="auto"/>
        <w:bottom w:val="none" w:sz="0" w:space="0" w:color="auto"/>
        <w:right w:val="none" w:sz="0" w:space="0" w:color="auto"/>
      </w:divBdr>
    </w:div>
    <w:div w:id="247614107">
      <w:bodyDiv w:val="1"/>
      <w:marLeft w:val="0"/>
      <w:marRight w:val="0"/>
      <w:marTop w:val="0"/>
      <w:marBottom w:val="0"/>
      <w:divBdr>
        <w:top w:val="none" w:sz="0" w:space="0" w:color="auto"/>
        <w:left w:val="none" w:sz="0" w:space="0" w:color="auto"/>
        <w:bottom w:val="none" w:sz="0" w:space="0" w:color="auto"/>
        <w:right w:val="none" w:sz="0" w:space="0" w:color="auto"/>
      </w:divBdr>
    </w:div>
    <w:div w:id="266426701">
      <w:bodyDiv w:val="1"/>
      <w:marLeft w:val="0"/>
      <w:marRight w:val="0"/>
      <w:marTop w:val="0"/>
      <w:marBottom w:val="0"/>
      <w:divBdr>
        <w:top w:val="none" w:sz="0" w:space="0" w:color="auto"/>
        <w:left w:val="none" w:sz="0" w:space="0" w:color="auto"/>
        <w:bottom w:val="none" w:sz="0" w:space="0" w:color="auto"/>
        <w:right w:val="none" w:sz="0" w:space="0" w:color="auto"/>
      </w:divBdr>
    </w:div>
    <w:div w:id="564149859">
      <w:bodyDiv w:val="1"/>
      <w:marLeft w:val="0"/>
      <w:marRight w:val="0"/>
      <w:marTop w:val="0"/>
      <w:marBottom w:val="0"/>
      <w:divBdr>
        <w:top w:val="none" w:sz="0" w:space="0" w:color="auto"/>
        <w:left w:val="none" w:sz="0" w:space="0" w:color="auto"/>
        <w:bottom w:val="none" w:sz="0" w:space="0" w:color="auto"/>
        <w:right w:val="none" w:sz="0" w:space="0" w:color="auto"/>
      </w:divBdr>
    </w:div>
    <w:div w:id="720714291">
      <w:bodyDiv w:val="1"/>
      <w:marLeft w:val="0"/>
      <w:marRight w:val="0"/>
      <w:marTop w:val="0"/>
      <w:marBottom w:val="0"/>
      <w:divBdr>
        <w:top w:val="none" w:sz="0" w:space="0" w:color="auto"/>
        <w:left w:val="none" w:sz="0" w:space="0" w:color="auto"/>
        <w:bottom w:val="none" w:sz="0" w:space="0" w:color="auto"/>
        <w:right w:val="none" w:sz="0" w:space="0" w:color="auto"/>
      </w:divBdr>
    </w:div>
    <w:div w:id="761529160">
      <w:bodyDiv w:val="1"/>
      <w:marLeft w:val="0"/>
      <w:marRight w:val="0"/>
      <w:marTop w:val="0"/>
      <w:marBottom w:val="0"/>
      <w:divBdr>
        <w:top w:val="none" w:sz="0" w:space="0" w:color="auto"/>
        <w:left w:val="none" w:sz="0" w:space="0" w:color="auto"/>
        <w:bottom w:val="none" w:sz="0" w:space="0" w:color="auto"/>
        <w:right w:val="none" w:sz="0" w:space="0" w:color="auto"/>
      </w:divBdr>
    </w:div>
    <w:div w:id="939290551">
      <w:bodyDiv w:val="1"/>
      <w:marLeft w:val="0"/>
      <w:marRight w:val="0"/>
      <w:marTop w:val="0"/>
      <w:marBottom w:val="0"/>
      <w:divBdr>
        <w:top w:val="none" w:sz="0" w:space="0" w:color="auto"/>
        <w:left w:val="none" w:sz="0" w:space="0" w:color="auto"/>
        <w:bottom w:val="none" w:sz="0" w:space="0" w:color="auto"/>
        <w:right w:val="none" w:sz="0" w:space="0" w:color="auto"/>
      </w:divBdr>
    </w:div>
    <w:div w:id="1029375242">
      <w:bodyDiv w:val="1"/>
      <w:marLeft w:val="0"/>
      <w:marRight w:val="0"/>
      <w:marTop w:val="0"/>
      <w:marBottom w:val="0"/>
      <w:divBdr>
        <w:top w:val="none" w:sz="0" w:space="0" w:color="auto"/>
        <w:left w:val="none" w:sz="0" w:space="0" w:color="auto"/>
        <w:bottom w:val="none" w:sz="0" w:space="0" w:color="auto"/>
        <w:right w:val="none" w:sz="0" w:space="0" w:color="auto"/>
      </w:divBdr>
    </w:div>
    <w:div w:id="1088504273">
      <w:bodyDiv w:val="1"/>
      <w:marLeft w:val="0"/>
      <w:marRight w:val="0"/>
      <w:marTop w:val="0"/>
      <w:marBottom w:val="0"/>
      <w:divBdr>
        <w:top w:val="none" w:sz="0" w:space="0" w:color="auto"/>
        <w:left w:val="none" w:sz="0" w:space="0" w:color="auto"/>
        <w:bottom w:val="none" w:sz="0" w:space="0" w:color="auto"/>
        <w:right w:val="none" w:sz="0" w:space="0" w:color="auto"/>
      </w:divBdr>
    </w:div>
    <w:div w:id="1224213985">
      <w:bodyDiv w:val="1"/>
      <w:marLeft w:val="0"/>
      <w:marRight w:val="0"/>
      <w:marTop w:val="0"/>
      <w:marBottom w:val="0"/>
      <w:divBdr>
        <w:top w:val="none" w:sz="0" w:space="0" w:color="auto"/>
        <w:left w:val="none" w:sz="0" w:space="0" w:color="auto"/>
        <w:bottom w:val="none" w:sz="0" w:space="0" w:color="auto"/>
        <w:right w:val="none" w:sz="0" w:space="0" w:color="auto"/>
      </w:divBdr>
    </w:div>
    <w:div w:id="1283345503">
      <w:bodyDiv w:val="1"/>
      <w:marLeft w:val="0"/>
      <w:marRight w:val="0"/>
      <w:marTop w:val="0"/>
      <w:marBottom w:val="0"/>
      <w:divBdr>
        <w:top w:val="none" w:sz="0" w:space="0" w:color="auto"/>
        <w:left w:val="none" w:sz="0" w:space="0" w:color="auto"/>
        <w:bottom w:val="none" w:sz="0" w:space="0" w:color="auto"/>
        <w:right w:val="none" w:sz="0" w:space="0" w:color="auto"/>
      </w:divBdr>
    </w:div>
    <w:div w:id="1321235346">
      <w:bodyDiv w:val="1"/>
      <w:marLeft w:val="0"/>
      <w:marRight w:val="0"/>
      <w:marTop w:val="0"/>
      <w:marBottom w:val="0"/>
      <w:divBdr>
        <w:top w:val="none" w:sz="0" w:space="0" w:color="auto"/>
        <w:left w:val="none" w:sz="0" w:space="0" w:color="auto"/>
        <w:bottom w:val="none" w:sz="0" w:space="0" w:color="auto"/>
        <w:right w:val="none" w:sz="0" w:space="0" w:color="auto"/>
      </w:divBdr>
    </w:div>
    <w:div w:id="1377969177">
      <w:bodyDiv w:val="1"/>
      <w:marLeft w:val="0"/>
      <w:marRight w:val="0"/>
      <w:marTop w:val="0"/>
      <w:marBottom w:val="0"/>
      <w:divBdr>
        <w:top w:val="none" w:sz="0" w:space="0" w:color="auto"/>
        <w:left w:val="none" w:sz="0" w:space="0" w:color="auto"/>
        <w:bottom w:val="none" w:sz="0" w:space="0" w:color="auto"/>
        <w:right w:val="none" w:sz="0" w:space="0" w:color="auto"/>
      </w:divBdr>
    </w:div>
    <w:div w:id="1388719337">
      <w:bodyDiv w:val="1"/>
      <w:marLeft w:val="0"/>
      <w:marRight w:val="0"/>
      <w:marTop w:val="0"/>
      <w:marBottom w:val="0"/>
      <w:divBdr>
        <w:top w:val="none" w:sz="0" w:space="0" w:color="auto"/>
        <w:left w:val="none" w:sz="0" w:space="0" w:color="auto"/>
        <w:bottom w:val="none" w:sz="0" w:space="0" w:color="auto"/>
        <w:right w:val="none" w:sz="0" w:space="0" w:color="auto"/>
      </w:divBdr>
    </w:div>
    <w:div w:id="1491407836">
      <w:bodyDiv w:val="1"/>
      <w:marLeft w:val="0"/>
      <w:marRight w:val="0"/>
      <w:marTop w:val="0"/>
      <w:marBottom w:val="0"/>
      <w:divBdr>
        <w:top w:val="none" w:sz="0" w:space="0" w:color="auto"/>
        <w:left w:val="none" w:sz="0" w:space="0" w:color="auto"/>
        <w:bottom w:val="none" w:sz="0" w:space="0" w:color="auto"/>
        <w:right w:val="none" w:sz="0" w:space="0" w:color="auto"/>
      </w:divBdr>
    </w:div>
    <w:div w:id="1684742531">
      <w:bodyDiv w:val="1"/>
      <w:marLeft w:val="0"/>
      <w:marRight w:val="0"/>
      <w:marTop w:val="0"/>
      <w:marBottom w:val="0"/>
      <w:divBdr>
        <w:top w:val="none" w:sz="0" w:space="0" w:color="auto"/>
        <w:left w:val="none" w:sz="0" w:space="0" w:color="auto"/>
        <w:bottom w:val="none" w:sz="0" w:space="0" w:color="auto"/>
        <w:right w:val="none" w:sz="0" w:space="0" w:color="auto"/>
      </w:divBdr>
    </w:div>
    <w:div w:id="1739816271">
      <w:bodyDiv w:val="1"/>
      <w:marLeft w:val="0"/>
      <w:marRight w:val="0"/>
      <w:marTop w:val="0"/>
      <w:marBottom w:val="0"/>
      <w:divBdr>
        <w:top w:val="none" w:sz="0" w:space="0" w:color="auto"/>
        <w:left w:val="none" w:sz="0" w:space="0" w:color="auto"/>
        <w:bottom w:val="none" w:sz="0" w:space="0" w:color="auto"/>
        <w:right w:val="none" w:sz="0" w:space="0" w:color="auto"/>
      </w:divBdr>
    </w:div>
    <w:div w:id="1844590377">
      <w:bodyDiv w:val="1"/>
      <w:marLeft w:val="0"/>
      <w:marRight w:val="0"/>
      <w:marTop w:val="0"/>
      <w:marBottom w:val="0"/>
      <w:divBdr>
        <w:top w:val="none" w:sz="0" w:space="0" w:color="auto"/>
        <w:left w:val="none" w:sz="0" w:space="0" w:color="auto"/>
        <w:bottom w:val="none" w:sz="0" w:space="0" w:color="auto"/>
        <w:right w:val="none" w:sz="0" w:space="0" w:color="auto"/>
      </w:divBdr>
      <w:divsChild>
        <w:div w:id="265576099">
          <w:marLeft w:val="0"/>
          <w:marRight w:val="0"/>
          <w:marTop w:val="0"/>
          <w:marBottom w:val="0"/>
          <w:divBdr>
            <w:top w:val="none" w:sz="0" w:space="0" w:color="auto"/>
            <w:left w:val="none" w:sz="0" w:space="0" w:color="auto"/>
            <w:bottom w:val="none" w:sz="0" w:space="0" w:color="auto"/>
            <w:right w:val="none" w:sz="0" w:space="0" w:color="auto"/>
          </w:divBdr>
          <w:divsChild>
            <w:div w:id="1155340670">
              <w:marLeft w:val="0"/>
              <w:marRight w:val="0"/>
              <w:marTop w:val="0"/>
              <w:marBottom w:val="0"/>
              <w:divBdr>
                <w:top w:val="none" w:sz="0" w:space="0" w:color="auto"/>
                <w:left w:val="none" w:sz="0" w:space="0" w:color="auto"/>
                <w:bottom w:val="none" w:sz="0" w:space="0" w:color="auto"/>
                <w:right w:val="none" w:sz="0" w:space="0" w:color="auto"/>
              </w:divBdr>
              <w:divsChild>
                <w:div w:id="447356768">
                  <w:marLeft w:val="0"/>
                  <w:marRight w:val="0"/>
                  <w:marTop w:val="0"/>
                  <w:marBottom w:val="0"/>
                  <w:divBdr>
                    <w:top w:val="none" w:sz="0" w:space="0" w:color="auto"/>
                    <w:left w:val="none" w:sz="0" w:space="0" w:color="auto"/>
                    <w:bottom w:val="none" w:sz="0" w:space="0" w:color="auto"/>
                    <w:right w:val="none" w:sz="0" w:space="0" w:color="auto"/>
                  </w:divBdr>
                  <w:divsChild>
                    <w:div w:id="416902686">
                      <w:marLeft w:val="0"/>
                      <w:marRight w:val="0"/>
                      <w:marTop w:val="0"/>
                      <w:marBottom w:val="0"/>
                      <w:divBdr>
                        <w:top w:val="none" w:sz="0" w:space="0" w:color="auto"/>
                        <w:left w:val="none" w:sz="0" w:space="0" w:color="auto"/>
                        <w:bottom w:val="none" w:sz="0" w:space="0" w:color="auto"/>
                        <w:right w:val="none" w:sz="0" w:space="0" w:color="auto"/>
                      </w:divBdr>
                      <w:divsChild>
                        <w:div w:id="1594705422">
                          <w:marLeft w:val="0"/>
                          <w:marRight w:val="0"/>
                          <w:marTop w:val="0"/>
                          <w:marBottom w:val="0"/>
                          <w:divBdr>
                            <w:top w:val="none" w:sz="0" w:space="0" w:color="auto"/>
                            <w:left w:val="none" w:sz="0" w:space="0" w:color="auto"/>
                            <w:bottom w:val="none" w:sz="0" w:space="0" w:color="auto"/>
                            <w:right w:val="none" w:sz="0" w:space="0" w:color="auto"/>
                          </w:divBdr>
                          <w:divsChild>
                            <w:div w:id="701587752">
                              <w:marLeft w:val="0"/>
                              <w:marRight w:val="0"/>
                              <w:marTop w:val="0"/>
                              <w:marBottom w:val="0"/>
                              <w:divBdr>
                                <w:top w:val="none" w:sz="0" w:space="0" w:color="auto"/>
                                <w:left w:val="none" w:sz="0" w:space="0" w:color="auto"/>
                                <w:bottom w:val="none" w:sz="0" w:space="0" w:color="auto"/>
                                <w:right w:val="none" w:sz="0" w:space="0" w:color="auto"/>
                              </w:divBdr>
                              <w:divsChild>
                                <w:div w:id="90368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0201602">
          <w:marLeft w:val="0"/>
          <w:marRight w:val="0"/>
          <w:marTop w:val="0"/>
          <w:marBottom w:val="0"/>
          <w:divBdr>
            <w:top w:val="none" w:sz="0" w:space="0" w:color="auto"/>
            <w:left w:val="none" w:sz="0" w:space="0" w:color="auto"/>
            <w:bottom w:val="none" w:sz="0" w:space="0" w:color="auto"/>
            <w:right w:val="none" w:sz="0" w:space="0" w:color="auto"/>
          </w:divBdr>
          <w:divsChild>
            <w:div w:id="1705904781">
              <w:marLeft w:val="0"/>
              <w:marRight w:val="0"/>
              <w:marTop w:val="0"/>
              <w:marBottom w:val="0"/>
              <w:divBdr>
                <w:top w:val="none" w:sz="0" w:space="0" w:color="auto"/>
                <w:left w:val="none" w:sz="0" w:space="0" w:color="auto"/>
                <w:bottom w:val="none" w:sz="0" w:space="0" w:color="auto"/>
                <w:right w:val="none" w:sz="0" w:space="0" w:color="auto"/>
              </w:divBdr>
              <w:divsChild>
                <w:div w:id="176161164">
                  <w:marLeft w:val="0"/>
                  <w:marRight w:val="0"/>
                  <w:marTop w:val="0"/>
                  <w:marBottom w:val="0"/>
                  <w:divBdr>
                    <w:top w:val="none" w:sz="0" w:space="0" w:color="auto"/>
                    <w:left w:val="none" w:sz="0" w:space="0" w:color="auto"/>
                    <w:bottom w:val="none" w:sz="0" w:space="0" w:color="auto"/>
                    <w:right w:val="none" w:sz="0" w:space="0" w:color="auto"/>
                  </w:divBdr>
                  <w:divsChild>
                    <w:div w:id="517080255">
                      <w:marLeft w:val="0"/>
                      <w:marRight w:val="0"/>
                      <w:marTop w:val="0"/>
                      <w:marBottom w:val="0"/>
                      <w:divBdr>
                        <w:top w:val="none" w:sz="0" w:space="0" w:color="auto"/>
                        <w:left w:val="none" w:sz="0" w:space="0" w:color="auto"/>
                        <w:bottom w:val="none" w:sz="0" w:space="0" w:color="auto"/>
                        <w:right w:val="none" w:sz="0" w:space="0" w:color="auto"/>
                      </w:divBdr>
                      <w:divsChild>
                        <w:div w:id="1018891312">
                          <w:marLeft w:val="0"/>
                          <w:marRight w:val="0"/>
                          <w:marTop w:val="0"/>
                          <w:marBottom w:val="0"/>
                          <w:divBdr>
                            <w:top w:val="none" w:sz="0" w:space="0" w:color="auto"/>
                            <w:left w:val="none" w:sz="0" w:space="0" w:color="auto"/>
                            <w:bottom w:val="none" w:sz="0" w:space="0" w:color="auto"/>
                            <w:right w:val="none" w:sz="0" w:space="0" w:color="auto"/>
                          </w:divBdr>
                          <w:divsChild>
                            <w:div w:id="74457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2026-04-21T00:00:00</PublishDate>
  <Abstract/>
  <CompanyAddress>Dr Rameses Manalang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128319-9D91-403F-A655-E281805B6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3816</Words>
  <Characters>21757</Characters>
  <Application>Microsoft Office Word</Application>
  <DocSecurity>0</DocSecurity>
  <Lines>181</Lines>
  <Paragraphs>51</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Organisational Culture</vt:lpstr>
      <vt:lpstr/>
      <vt:lpstr>Introduction </vt:lpstr>
      <vt:lpstr>Organisational Culture of Toyota </vt:lpstr>
      <vt:lpstr>How Organisational Culture Shapes Structure and Decision-Making </vt:lpstr>
      <vt:lpstr>Even with a clear hierarchy, Toyota gives employees a high level of responsibili</vt:lpstr>
      <vt:lpstr>Toyota’s culture strongly shapes its structure and decision making. It promotes </vt:lpstr>
      <vt:lpstr>Relevant Frameworks and Model</vt:lpstr>
      <vt:lpstr>Organisational Culture and Adaptation to the External Environment </vt:lpstr>
      <vt:lpstr>Impact of Organisational Culture on Performance</vt:lpstr>
      <vt:lpstr>Conclusion </vt:lpstr>
      <vt:lpstr>References</vt:lpstr>
    </vt:vector>
  </TitlesOfParts>
  <Company>Student ID: 2335147</Company>
  <LinksUpToDate>false</LinksUpToDate>
  <CharactersWithSpaces>25522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dc:title>
  <dc:subject>Individual Report on Toyota</dc:subject>
  <dc:creator>Jordao, Rosemary</dc:creator>
  <cp:keywords/>
  <dc:description/>
  <cp:lastModifiedBy>Jordao, Rosemary</cp:lastModifiedBy>
  <cp:revision>2</cp:revision>
  <dcterms:created xsi:type="dcterms:W3CDTF">2026-04-19T18:32:00Z</dcterms:created>
  <dcterms:modified xsi:type="dcterms:W3CDTF">2026-04-19T18:32:00Z</dcterms:modified>
</cp:coreProperties>
</file>