
<file path=[Content_Types].xml><?xml version="1.0" encoding="utf-8"?>
<Types xmlns="http://schemas.openxmlformats.org/package/2006/content-types">
  <Default Extension="bin" ContentType="application/vnd.ms-word.mac.AppleAddrBookGroup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1C856" w14:textId="62E5F562" w:rsidR="00530674" w:rsidRPr="00BF42BC" w:rsidRDefault="00530674" w:rsidP="00BF42BC">
      <w:pPr>
        <w:spacing w:line="360" w:lineRule="auto"/>
        <w:jc w:val="left"/>
        <w:rPr>
          <w:rFonts w:ascii="Arial" w:hAnsi="Arial" w:cs="Arial"/>
          <w:b/>
          <w:bCs/>
        </w:rPr>
      </w:pPr>
    </w:p>
    <w:p w14:paraId="0D788183" w14:textId="77777777" w:rsidR="00530674" w:rsidRPr="00BF42BC" w:rsidRDefault="00530674" w:rsidP="00BF42BC">
      <w:pPr>
        <w:spacing w:line="360" w:lineRule="auto"/>
        <w:jc w:val="left"/>
        <w:rPr>
          <w:rFonts w:ascii="Arial" w:hAnsi="Arial" w:cs="Arial"/>
          <w:b/>
          <w:bCs/>
        </w:rPr>
      </w:pPr>
      <w:r w:rsidRPr="00BF42BC">
        <w:rPr>
          <w:rFonts w:ascii="Arial" w:hAnsi="Arial" w:cs="Arial"/>
          <w:b/>
          <w:bCs/>
        </w:rPr>
        <w:t xml:space="preserve"> </w:t>
      </w:r>
    </w:p>
    <w:p w14:paraId="7BFE5596" w14:textId="77777777" w:rsidR="007F30C2" w:rsidRPr="00BF42BC" w:rsidRDefault="007F30C2" w:rsidP="00BF42BC">
      <w:pPr>
        <w:spacing w:line="360" w:lineRule="auto"/>
        <w:jc w:val="center"/>
        <w:rPr>
          <w:rFonts w:ascii="Arial" w:eastAsiaTheme="majorEastAsia" w:hAnsi="Arial" w:cs="Arial"/>
          <w:b/>
          <w:spacing w:val="-10"/>
          <w:kern w:val="28"/>
          <w:sz w:val="56"/>
          <w:szCs w:val="56"/>
        </w:rPr>
      </w:pPr>
      <w:r w:rsidRPr="00BF42BC">
        <w:rPr>
          <w:rFonts w:ascii="Arial" w:eastAsiaTheme="majorEastAsia" w:hAnsi="Arial" w:cs="Arial"/>
          <w:b/>
          <w:spacing w:val="-10"/>
          <w:kern w:val="28"/>
          <w:sz w:val="56"/>
          <w:szCs w:val="56"/>
        </w:rPr>
        <w:t>LCHS4001: Academic and Employability Skills</w:t>
      </w:r>
    </w:p>
    <w:p w14:paraId="67264FB4" w14:textId="284D3623" w:rsidR="007F30C2" w:rsidRPr="00BF42BC" w:rsidRDefault="007F30C2" w:rsidP="00BF42BC">
      <w:pPr>
        <w:spacing w:line="360" w:lineRule="auto"/>
        <w:jc w:val="center"/>
        <w:rPr>
          <w:rFonts w:ascii="Arial" w:eastAsiaTheme="majorEastAsia" w:hAnsi="Arial" w:cs="Arial"/>
          <w:b/>
          <w:bCs/>
          <w:spacing w:val="-10"/>
          <w:kern w:val="28"/>
          <w:sz w:val="56"/>
          <w:szCs w:val="56"/>
        </w:rPr>
      </w:pPr>
    </w:p>
    <w:p w14:paraId="43CCA21A" w14:textId="08810D52" w:rsidR="007F30C2" w:rsidRPr="00BF42BC" w:rsidRDefault="007F30C2" w:rsidP="00BF42BC">
      <w:pPr>
        <w:spacing w:line="360" w:lineRule="auto"/>
        <w:jc w:val="center"/>
        <w:rPr>
          <w:rFonts w:ascii="Arial" w:eastAsiaTheme="majorEastAsia" w:hAnsi="Arial" w:cs="Arial"/>
          <w:b/>
          <w:bCs/>
          <w:spacing w:val="-10"/>
          <w:kern w:val="28"/>
          <w:sz w:val="48"/>
          <w:szCs w:val="48"/>
        </w:rPr>
      </w:pPr>
      <w:r w:rsidRPr="00BF42BC">
        <w:rPr>
          <w:rFonts w:ascii="Arial" w:eastAsiaTheme="majorEastAsia" w:hAnsi="Arial" w:cs="Arial"/>
          <w:b/>
          <w:bCs/>
          <w:spacing w:val="-10"/>
          <w:kern w:val="28"/>
          <w:sz w:val="48"/>
          <w:szCs w:val="48"/>
        </w:rPr>
        <w:t>Task 3: individual report</w:t>
      </w:r>
    </w:p>
    <w:p w14:paraId="1C73A700" w14:textId="77777777" w:rsidR="007F30C2" w:rsidRPr="00BF42BC" w:rsidRDefault="007F30C2" w:rsidP="00BF42BC">
      <w:pPr>
        <w:spacing w:line="360" w:lineRule="auto"/>
        <w:jc w:val="center"/>
        <w:rPr>
          <w:rFonts w:ascii="Arial" w:eastAsiaTheme="majorEastAsia" w:hAnsi="Arial" w:cs="Arial"/>
          <w:b/>
          <w:bCs/>
          <w:spacing w:val="-10"/>
          <w:kern w:val="28"/>
          <w:sz w:val="56"/>
          <w:szCs w:val="56"/>
        </w:rPr>
      </w:pPr>
    </w:p>
    <w:p w14:paraId="1BDA5F87" w14:textId="44898BE2" w:rsidR="007F30C2" w:rsidRPr="00BF42BC" w:rsidRDefault="007F30C2" w:rsidP="00BF42BC">
      <w:pPr>
        <w:spacing w:line="360" w:lineRule="auto"/>
        <w:jc w:val="center"/>
        <w:rPr>
          <w:rFonts w:ascii="Arial" w:hAnsi="Arial" w:cs="Arial"/>
          <w:b/>
          <w:bCs/>
        </w:rPr>
      </w:pPr>
      <w:r w:rsidRPr="00BF42BC">
        <w:rPr>
          <w:rFonts w:ascii="Arial" w:hAnsi="Arial" w:cs="Arial"/>
          <w:b/>
          <w:bCs/>
        </w:rPr>
        <w:t>Name:</w:t>
      </w:r>
      <w:r w:rsidR="00153B4C">
        <w:rPr>
          <w:rFonts w:ascii="Arial" w:hAnsi="Arial" w:cs="Arial"/>
          <w:b/>
          <w:bCs/>
        </w:rPr>
        <w:t xml:space="preserve"> Osazee Iyamu</w:t>
      </w:r>
    </w:p>
    <w:p w14:paraId="238F7E2F" w14:textId="2704B7DE" w:rsidR="007F30C2" w:rsidRPr="00BF42BC" w:rsidRDefault="007F30C2" w:rsidP="00BF42BC">
      <w:pPr>
        <w:spacing w:line="360" w:lineRule="auto"/>
        <w:jc w:val="center"/>
        <w:rPr>
          <w:rFonts w:ascii="Arial" w:hAnsi="Arial" w:cs="Arial"/>
          <w:b/>
          <w:bCs/>
        </w:rPr>
      </w:pPr>
      <w:r w:rsidRPr="00BF42BC">
        <w:rPr>
          <w:rFonts w:ascii="Arial" w:hAnsi="Arial" w:cs="Arial"/>
          <w:b/>
          <w:bCs/>
        </w:rPr>
        <w:t>Student number:</w:t>
      </w:r>
      <w:r w:rsidR="00153B4C">
        <w:rPr>
          <w:rFonts w:ascii="Arial" w:hAnsi="Arial" w:cs="Arial"/>
          <w:b/>
          <w:bCs/>
        </w:rPr>
        <w:t xml:space="preserve"> 2438257</w:t>
      </w:r>
    </w:p>
    <w:p w14:paraId="52E89722" w14:textId="103260B0" w:rsidR="007F30C2" w:rsidRPr="00BF42BC" w:rsidRDefault="007F30C2" w:rsidP="00BF42BC">
      <w:pPr>
        <w:spacing w:line="360" w:lineRule="auto"/>
        <w:jc w:val="center"/>
        <w:rPr>
          <w:rFonts w:ascii="Arial" w:hAnsi="Arial" w:cs="Arial"/>
          <w:b/>
          <w:bCs/>
        </w:rPr>
      </w:pPr>
      <w:r w:rsidRPr="00BF42BC">
        <w:rPr>
          <w:rFonts w:ascii="Arial" w:hAnsi="Arial" w:cs="Arial"/>
          <w:b/>
          <w:bCs/>
        </w:rPr>
        <w:t xml:space="preserve">Lecturer’s name: </w:t>
      </w:r>
      <w:r w:rsidR="00153B4C">
        <w:rPr>
          <w:rFonts w:ascii="Arial" w:hAnsi="Arial" w:cs="Arial"/>
          <w:b/>
          <w:bCs/>
        </w:rPr>
        <w:t>Brian Mashumba</w:t>
      </w:r>
    </w:p>
    <w:p w14:paraId="3FFAC6D2" w14:textId="0CBFD9EC" w:rsidR="007F30C2" w:rsidRPr="00BF42BC" w:rsidRDefault="007F30C2" w:rsidP="00BF42BC">
      <w:pPr>
        <w:spacing w:line="360" w:lineRule="auto"/>
        <w:jc w:val="center"/>
        <w:rPr>
          <w:rFonts w:ascii="Arial" w:hAnsi="Arial" w:cs="Arial"/>
          <w:b/>
          <w:bCs/>
        </w:rPr>
      </w:pPr>
      <w:r w:rsidRPr="00BF42BC">
        <w:rPr>
          <w:rFonts w:ascii="Arial" w:hAnsi="Arial" w:cs="Arial"/>
          <w:b/>
          <w:bCs/>
        </w:rPr>
        <w:t>Assignment title:  Practical portfolio</w:t>
      </w:r>
    </w:p>
    <w:p w14:paraId="2A2819ED" w14:textId="77777777" w:rsidR="009176FB" w:rsidRPr="00BF42BC" w:rsidRDefault="009176FB" w:rsidP="00BF42BC">
      <w:pPr>
        <w:spacing w:line="360" w:lineRule="auto"/>
        <w:jc w:val="center"/>
        <w:rPr>
          <w:rFonts w:ascii="Arial" w:hAnsi="Arial" w:cs="Arial"/>
          <w:b/>
          <w:bCs/>
        </w:rPr>
      </w:pPr>
      <w:r w:rsidRPr="00BF42BC">
        <w:rPr>
          <w:rFonts w:ascii="Arial" w:hAnsi="Arial" w:cs="Arial"/>
          <w:b/>
          <w:bCs/>
        </w:rPr>
        <w:br w:type="page"/>
      </w:r>
    </w:p>
    <w:sdt>
      <w:sdtPr>
        <w:rPr>
          <w:rFonts w:ascii="Arial" w:eastAsiaTheme="minorHAnsi" w:hAnsi="Arial" w:cs="Arial"/>
          <w:color w:val="000000" w:themeColor="text1"/>
          <w:kern w:val="2"/>
          <w:sz w:val="24"/>
          <w:szCs w:val="24"/>
          <w:lang w:val="en-GB"/>
          <w14:ligatures w14:val="standardContextual"/>
        </w:rPr>
        <w:id w:val="2006167370"/>
        <w:docPartObj>
          <w:docPartGallery w:val="Table of Contents"/>
          <w:docPartUnique/>
        </w:docPartObj>
      </w:sdtPr>
      <w:sdtEndPr>
        <w:rPr>
          <w:b/>
          <w:bCs/>
        </w:rPr>
      </w:sdtEndPr>
      <w:sdtContent>
        <w:p w14:paraId="6EE318EC" w14:textId="106CDF96" w:rsidR="004641F8" w:rsidRPr="00BF42BC" w:rsidRDefault="004641F8" w:rsidP="00BF42BC">
          <w:pPr>
            <w:pStyle w:val="TOCHeading"/>
            <w:spacing w:line="360" w:lineRule="auto"/>
            <w:rPr>
              <w:rFonts w:ascii="Arial" w:hAnsi="Arial" w:cs="Arial"/>
              <w:b/>
              <w:bCs/>
              <w:color w:val="000000" w:themeColor="text1"/>
              <w:lang w:val="en-GB"/>
            </w:rPr>
          </w:pPr>
          <w:r w:rsidRPr="00BF42BC">
            <w:rPr>
              <w:rFonts w:ascii="Arial" w:hAnsi="Arial" w:cs="Arial"/>
              <w:b/>
              <w:bCs/>
              <w:color w:val="000000" w:themeColor="text1"/>
              <w:lang w:val="en-GB"/>
            </w:rPr>
            <w:t>Table of Contents</w:t>
          </w:r>
        </w:p>
        <w:p w14:paraId="6AACE14C" w14:textId="471B6FCD" w:rsidR="004641F8" w:rsidRPr="00BF42BC" w:rsidRDefault="004641F8" w:rsidP="00BF42BC">
          <w:pPr>
            <w:pStyle w:val="TOC1"/>
            <w:tabs>
              <w:tab w:val="right" w:leader="dot" w:pos="9350"/>
            </w:tabs>
            <w:spacing w:line="360" w:lineRule="auto"/>
            <w:rPr>
              <w:rFonts w:ascii="Arial" w:eastAsiaTheme="minorEastAsia" w:hAnsi="Arial" w:cs="Arial"/>
              <w:color w:val="auto"/>
            </w:rPr>
          </w:pPr>
          <w:r w:rsidRPr="00BF42BC">
            <w:rPr>
              <w:rFonts w:ascii="Arial" w:hAnsi="Arial" w:cs="Arial"/>
            </w:rPr>
            <w:fldChar w:fldCharType="begin"/>
          </w:r>
          <w:r w:rsidRPr="00BF42BC">
            <w:rPr>
              <w:rFonts w:ascii="Arial" w:hAnsi="Arial" w:cs="Arial"/>
            </w:rPr>
            <w:instrText xml:space="preserve"> TOC \o "1-3" \h \z \u </w:instrText>
          </w:r>
          <w:r w:rsidRPr="00BF42BC">
            <w:rPr>
              <w:rFonts w:ascii="Arial" w:hAnsi="Arial" w:cs="Arial"/>
            </w:rPr>
            <w:fldChar w:fldCharType="separate"/>
          </w:r>
          <w:hyperlink w:anchor="_Toc228185013" w:history="1">
            <w:r w:rsidRPr="00BF42BC">
              <w:rPr>
                <w:rStyle w:val="Hyperlink"/>
                <w:rFonts w:ascii="Arial" w:hAnsi="Arial" w:cs="Arial"/>
              </w:rPr>
              <w:t>1. Introduction</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_Toc228185013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3</w:t>
            </w:r>
            <w:r w:rsidRPr="00BF42BC">
              <w:rPr>
                <w:rFonts w:ascii="Arial" w:hAnsi="Arial" w:cs="Arial"/>
                <w:webHidden/>
              </w:rPr>
              <w:fldChar w:fldCharType="end"/>
            </w:r>
          </w:hyperlink>
        </w:p>
        <w:p w14:paraId="054C0FF5" w14:textId="5AFB9E5E" w:rsidR="004641F8" w:rsidRPr="00BF42BC" w:rsidRDefault="004641F8" w:rsidP="00BF42BC">
          <w:pPr>
            <w:pStyle w:val="TOC1"/>
            <w:tabs>
              <w:tab w:val="right" w:leader="dot" w:pos="9350"/>
            </w:tabs>
            <w:spacing w:line="360" w:lineRule="auto"/>
            <w:rPr>
              <w:rFonts w:ascii="Arial" w:eastAsiaTheme="minorEastAsia" w:hAnsi="Arial" w:cs="Arial"/>
              <w:color w:val="auto"/>
            </w:rPr>
          </w:pPr>
          <w:hyperlink w:anchor="_Toc228185014" w:history="1">
            <w:r w:rsidRPr="00BF42BC">
              <w:rPr>
                <w:rStyle w:val="Hyperlink"/>
                <w:rFonts w:ascii="Arial" w:hAnsi="Arial" w:cs="Arial"/>
              </w:rPr>
              <w:t>2. Paediatric Nurse's Role and Responsibilities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_Toc228185014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4</w:t>
            </w:r>
            <w:r w:rsidRPr="00BF42BC">
              <w:rPr>
                <w:rFonts w:ascii="Arial" w:hAnsi="Arial" w:cs="Arial"/>
                <w:webHidden/>
              </w:rPr>
              <w:fldChar w:fldCharType="end"/>
            </w:r>
          </w:hyperlink>
        </w:p>
        <w:p w14:paraId="520CDA55" w14:textId="0A3D217C" w:rsidR="004641F8" w:rsidRPr="00BF42BC" w:rsidRDefault="004641F8" w:rsidP="00BF42BC">
          <w:pPr>
            <w:pStyle w:val="TOC1"/>
            <w:tabs>
              <w:tab w:val="right" w:leader="dot" w:pos="9350"/>
            </w:tabs>
            <w:spacing w:line="360" w:lineRule="auto"/>
            <w:rPr>
              <w:rFonts w:ascii="Arial" w:eastAsiaTheme="minorEastAsia" w:hAnsi="Arial" w:cs="Arial"/>
              <w:color w:val="auto"/>
            </w:rPr>
          </w:pPr>
          <w:hyperlink w:anchor="_Toc228185015" w:history="1">
            <w:r w:rsidRPr="00BF42BC">
              <w:rPr>
                <w:rStyle w:val="Hyperlink"/>
                <w:rFonts w:ascii="Arial" w:hAnsi="Arial" w:cs="Arial"/>
              </w:rPr>
              <w:t>3 Critical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_Toc228185015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5</w:t>
            </w:r>
            <w:r w:rsidRPr="00BF42BC">
              <w:rPr>
                <w:rFonts w:ascii="Arial" w:hAnsi="Arial" w:cs="Arial"/>
                <w:webHidden/>
              </w:rPr>
              <w:fldChar w:fldCharType="end"/>
            </w:r>
          </w:hyperlink>
        </w:p>
        <w:p w14:paraId="5220CEC9" w14:textId="62E3815B"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16" w:history="1">
            <w:r w:rsidRPr="00BF42BC">
              <w:rPr>
                <w:rStyle w:val="Hyperlink"/>
                <w:rFonts w:ascii="Arial" w:hAnsi="Arial" w:cs="Arial"/>
              </w:rPr>
              <w:t>3.1 Communication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_Toc228185016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5</w:t>
            </w:r>
            <w:r w:rsidRPr="00BF42BC">
              <w:rPr>
                <w:rFonts w:ascii="Arial" w:hAnsi="Arial" w:cs="Arial"/>
                <w:webHidden/>
              </w:rPr>
              <w:fldChar w:fldCharType="end"/>
            </w:r>
          </w:hyperlink>
        </w:p>
        <w:p w14:paraId="4FA9E20A" w14:textId="3CE854A8"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17" w:history="1">
            <w:r w:rsidRPr="00BF42BC">
              <w:rPr>
                <w:rStyle w:val="Hyperlink"/>
                <w:rFonts w:ascii="Arial" w:hAnsi="Arial" w:cs="Arial"/>
              </w:rPr>
              <w:t>3.2 Compassion and Empathy</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_Toc228185017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5</w:t>
            </w:r>
            <w:r w:rsidRPr="00BF42BC">
              <w:rPr>
                <w:rFonts w:ascii="Arial" w:hAnsi="Arial" w:cs="Arial"/>
                <w:webHidden/>
              </w:rPr>
              <w:fldChar w:fldCharType="end"/>
            </w:r>
          </w:hyperlink>
        </w:p>
        <w:p w14:paraId="43517E7D" w14:textId="2189DC19"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18" w:history="1">
            <w:r w:rsidRPr="00BF42BC">
              <w:rPr>
                <w:rStyle w:val="Hyperlink"/>
                <w:rFonts w:ascii="Arial" w:hAnsi="Arial" w:cs="Arial"/>
              </w:rPr>
              <w:t>3.3 Observation and Assessment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_Toc228185018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5</w:t>
            </w:r>
            <w:r w:rsidRPr="00BF42BC">
              <w:rPr>
                <w:rFonts w:ascii="Arial" w:hAnsi="Arial" w:cs="Arial"/>
                <w:webHidden/>
              </w:rPr>
              <w:fldChar w:fldCharType="end"/>
            </w:r>
          </w:hyperlink>
        </w:p>
        <w:p w14:paraId="286E479F" w14:textId="26856E03" w:rsidR="004641F8" w:rsidRPr="00BF42BC" w:rsidRDefault="004641F8" w:rsidP="00BF42BC">
          <w:pPr>
            <w:pStyle w:val="TOC1"/>
            <w:tabs>
              <w:tab w:val="right" w:leader="dot" w:pos="9350"/>
            </w:tabs>
            <w:spacing w:line="360" w:lineRule="auto"/>
            <w:rPr>
              <w:rFonts w:ascii="Arial" w:eastAsiaTheme="minorEastAsia" w:hAnsi="Arial" w:cs="Arial"/>
              <w:color w:val="auto"/>
            </w:rPr>
          </w:pPr>
          <w:hyperlink w:anchor="_Toc228185019" w:history="1">
            <w:r w:rsidRPr="00BF42BC">
              <w:rPr>
                <w:rStyle w:val="Hyperlink"/>
                <w:rFonts w:ascii="Arial" w:hAnsi="Arial" w:cs="Arial"/>
              </w:rPr>
              <w:t>4. How to improve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_Toc228185019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7</w:t>
            </w:r>
            <w:r w:rsidRPr="00BF42BC">
              <w:rPr>
                <w:rFonts w:ascii="Arial" w:hAnsi="Arial" w:cs="Arial"/>
                <w:webHidden/>
              </w:rPr>
              <w:fldChar w:fldCharType="end"/>
            </w:r>
          </w:hyperlink>
        </w:p>
        <w:p w14:paraId="29BE59CF" w14:textId="3A1B8395"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20" w:history="1">
            <w:r w:rsidRPr="00BF42BC">
              <w:rPr>
                <w:rStyle w:val="Hyperlink"/>
                <w:rFonts w:ascii="Arial" w:hAnsi="Arial" w:cs="Arial"/>
              </w:rPr>
              <w:t>4.1 Developing Communication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_Toc228185020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7</w:t>
            </w:r>
            <w:r w:rsidRPr="00BF42BC">
              <w:rPr>
                <w:rFonts w:ascii="Arial" w:hAnsi="Arial" w:cs="Arial"/>
                <w:webHidden/>
              </w:rPr>
              <w:fldChar w:fldCharType="end"/>
            </w:r>
          </w:hyperlink>
        </w:p>
        <w:p w14:paraId="068812C6" w14:textId="5CE3E529"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21" w:history="1">
            <w:r w:rsidRPr="00BF42BC">
              <w:rPr>
                <w:rStyle w:val="Hyperlink"/>
                <w:rFonts w:ascii="Arial" w:hAnsi="Arial" w:cs="Arial"/>
              </w:rPr>
              <w:t>4.2 Building Compassion and Empathy</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_Toc228185021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7</w:t>
            </w:r>
            <w:r w:rsidRPr="00BF42BC">
              <w:rPr>
                <w:rFonts w:ascii="Arial" w:hAnsi="Arial" w:cs="Arial"/>
                <w:webHidden/>
              </w:rPr>
              <w:fldChar w:fldCharType="end"/>
            </w:r>
          </w:hyperlink>
        </w:p>
        <w:p w14:paraId="2D44EEBA" w14:textId="4DCB8512" w:rsidR="004641F8" w:rsidRPr="00BF42BC" w:rsidRDefault="004641F8" w:rsidP="00BF42BC">
          <w:pPr>
            <w:pStyle w:val="TOC2"/>
            <w:tabs>
              <w:tab w:val="right" w:leader="dot" w:pos="9350"/>
            </w:tabs>
            <w:spacing w:line="360" w:lineRule="auto"/>
            <w:rPr>
              <w:rFonts w:ascii="Arial" w:eastAsiaTheme="minorEastAsia" w:hAnsi="Arial" w:cs="Arial"/>
              <w:color w:val="auto"/>
            </w:rPr>
          </w:pPr>
          <w:hyperlink w:anchor="_Toc228185022" w:history="1">
            <w:r w:rsidRPr="00BF42BC">
              <w:rPr>
                <w:rStyle w:val="Hyperlink"/>
                <w:rFonts w:ascii="Arial" w:hAnsi="Arial" w:cs="Arial"/>
              </w:rPr>
              <w:t>4.3 Practice of Clinical and Observation Skills</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_Toc228185022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7</w:t>
            </w:r>
            <w:r w:rsidRPr="00BF42BC">
              <w:rPr>
                <w:rFonts w:ascii="Arial" w:hAnsi="Arial" w:cs="Arial"/>
                <w:webHidden/>
              </w:rPr>
              <w:fldChar w:fldCharType="end"/>
            </w:r>
          </w:hyperlink>
        </w:p>
        <w:p w14:paraId="48872345" w14:textId="5020DCED" w:rsidR="004641F8" w:rsidRPr="00BF42BC" w:rsidRDefault="004641F8" w:rsidP="00BF42BC">
          <w:pPr>
            <w:pStyle w:val="TOC1"/>
            <w:tabs>
              <w:tab w:val="right" w:leader="dot" w:pos="9350"/>
            </w:tabs>
            <w:spacing w:line="360" w:lineRule="auto"/>
            <w:rPr>
              <w:rFonts w:ascii="Arial" w:eastAsiaTheme="minorEastAsia" w:hAnsi="Arial" w:cs="Arial"/>
              <w:color w:val="auto"/>
            </w:rPr>
          </w:pPr>
          <w:hyperlink w:anchor="_Toc228185023" w:history="1">
            <w:r w:rsidRPr="00BF42BC">
              <w:rPr>
                <w:rStyle w:val="Hyperlink"/>
                <w:rFonts w:ascii="Arial" w:hAnsi="Arial" w:cs="Arial"/>
              </w:rPr>
              <w:t>5. Conclusion</w:t>
            </w:r>
            <w:r w:rsidRPr="00BF42BC">
              <w:rPr>
                <w:rFonts w:ascii="Arial" w:hAnsi="Arial" w:cs="Arial"/>
                <w:webHidden/>
              </w:rPr>
              <w:tab/>
            </w:r>
            <w:r w:rsidRPr="00BF42BC">
              <w:rPr>
                <w:rFonts w:ascii="Arial" w:hAnsi="Arial" w:cs="Arial"/>
                <w:webHidden/>
              </w:rPr>
              <w:fldChar w:fldCharType="begin"/>
            </w:r>
            <w:r w:rsidRPr="00BF42BC">
              <w:rPr>
                <w:rFonts w:ascii="Arial" w:hAnsi="Arial" w:cs="Arial"/>
                <w:webHidden/>
              </w:rPr>
              <w:instrText xml:space="preserve"> PAGEREF _Toc228185023 \h </w:instrText>
            </w:r>
            <w:r w:rsidRPr="00BF42BC">
              <w:rPr>
                <w:rFonts w:ascii="Arial" w:hAnsi="Arial" w:cs="Arial"/>
                <w:webHidden/>
              </w:rPr>
            </w:r>
            <w:r w:rsidRPr="00BF42BC">
              <w:rPr>
                <w:rFonts w:ascii="Arial" w:hAnsi="Arial" w:cs="Arial"/>
                <w:webHidden/>
              </w:rPr>
              <w:fldChar w:fldCharType="separate"/>
            </w:r>
            <w:r w:rsidRPr="00BF42BC">
              <w:rPr>
                <w:rFonts w:ascii="Arial" w:hAnsi="Arial" w:cs="Arial"/>
                <w:webHidden/>
              </w:rPr>
              <w:t>8</w:t>
            </w:r>
            <w:r w:rsidRPr="00BF42BC">
              <w:rPr>
                <w:rFonts w:ascii="Arial" w:hAnsi="Arial" w:cs="Arial"/>
                <w:webHidden/>
              </w:rPr>
              <w:fldChar w:fldCharType="end"/>
            </w:r>
          </w:hyperlink>
        </w:p>
        <w:p w14:paraId="19401291" w14:textId="0360F5C5" w:rsidR="004641F8" w:rsidRPr="00BF42BC" w:rsidRDefault="004641F8" w:rsidP="00BF42BC">
          <w:pPr>
            <w:spacing w:line="360" w:lineRule="auto"/>
            <w:rPr>
              <w:rFonts w:ascii="Arial" w:hAnsi="Arial" w:cs="Arial"/>
            </w:rPr>
          </w:pPr>
          <w:r w:rsidRPr="00BF42BC">
            <w:rPr>
              <w:rFonts w:ascii="Arial" w:hAnsi="Arial" w:cs="Arial"/>
              <w:b/>
              <w:bCs/>
            </w:rPr>
            <w:fldChar w:fldCharType="end"/>
          </w:r>
        </w:p>
      </w:sdtContent>
    </w:sdt>
    <w:p w14:paraId="071A8B5B" w14:textId="77777777" w:rsidR="0095113C" w:rsidRPr="00BF42BC" w:rsidRDefault="0095113C" w:rsidP="00BF42BC">
      <w:pPr>
        <w:spacing w:line="360" w:lineRule="auto"/>
        <w:jc w:val="left"/>
        <w:rPr>
          <w:rFonts w:ascii="Arial" w:hAnsi="Arial" w:cs="Arial"/>
          <w:b/>
          <w:bCs/>
        </w:rPr>
      </w:pPr>
      <w:r w:rsidRPr="00BF42BC">
        <w:rPr>
          <w:rFonts w:ascii="Arial" w:hAnsi="Arial" w:cs="Arial"/>
          <w:b/>
          <w:bCs/>
        </w:rPr>
        <w:br w:type="page"/>
      </w:r>
    </w:p>
    <w:p w14:paraId="25BAE488" w14:textId="577D906D" w:rsidR="009176FB" w:rsidRPr="00BF42BC" w:rsidRDefault="009176FB" w:rsidP="00BF42BC">
      <w:pPr>
        <w:pStyle w:val="Heading1"/>
        <w:spacing w:line="360" w:lineRule="auto"/>
        <w:rPr>
          <w:rFonts w:ascii="Arial" w:hAnsi="Arial" w:cs="Arial"/>
        </w:rPr>
      </w:pPr>
      <w:bookmarkStart w:id="0" w:name="_Toc228185013"/>
      <w:r w:rsidRPr="00BF42BC">
        <w:rPr>
          <w:rFonts w:ascii="Arial" w:hAnsi="Arial" w:cs="Arial"/>
        </w:rPr>
        <w:t>1. Introduction</w:t>
      </w:r>
      <w:bookmarkEnd w:id="0"/>
    </w:p>
    <w:p w14:paraId="164DB742" w14:textId="557A840F"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 xml:space="preserve">The health and social care workforce </w:t>
      </w:r>
      <w:r w:rsidR="00153B4C" w:rsidRPr="00BF42BC">
        <w:rPr>
          <w:rFonts w:ascii="Arial" w:hAnsi="Arial" w:cs="Arial"/>
          <w:sz w:val="22"/>
          <w:szCs w:val="22"/>
        </w:rPr>
        <w:t>need</w:t>
      </w:r>
      <w:r w:rsidR="00153B4C">
        <w:rPr>
          <w:rFonts w:ascii="Arial" w:hAnsi="Arial" w:cs="Arial"/>
          <w:sz w:val="22"/>
          <w:szCs w:val="22"/>
        </w:rPr>
        <w:t xml:space="preserve"> </w:t>
      </w:r>
      <w:r w:rsidRPr="00BF42BC">
        <w:rPr>
          <w:rFonts w:ascii="Arial" w:hAnsi="Arial" w:cs="Arial"/>
          <w:sz w:val="22"/>
          <w:szCs w:val="22"/>
        </w:rPr>
        <w:t>skilled individuals who can utilise clinical and interpersonal skills to provide safe and effective health care. Paediatric nurses play a critical role in promoting the physical, psychological and emotional health of children and their families. Yet, the challenges in this role go beyond technical competency, and necessitate communication, compassion and clinical observation skills. This report examines the role and responsibilities of a paediatric nurse</w:t>
      </w:r>
      <w:r w:rsidR="005C4A7D" w:rsidRPr="00BF42BC">
        <w:rPr>
          <w:rFonts w:ascii="Arial" w:hAnsi="Arial" w:cs="Arial"/>
          <w:sz w:val="22"/>
          <w:szCs w:val="22"/>
        </w:rPr>
        <w:t xml:space="preserve"> critically</w:t>
      </w:r>
      <w:r w:rsidRPr="00BF42BC">
        <w:rPr>
          <w:rFonts w:ascii="Arial" w:hAnsi="Arial" w:cs="Arial"/>
          <w:sz w:val="22"/>
          <w:szCs w:val="22"/>
        </w:rPr>
        <w:t>, and assesses three key skills</w:t>
      </w:r>
      <w:r w:rsidR="00191CC0" w:rsidRPr="00BF42BC">
        <w:rPr>
          <w:rFonts w:ascii="Arial" w:hAnsi="Arial" w:cs="Arial"/>
          <w:sz w:val="22"/>
          <w:szCs w:val="22"/>
        </w:rPr>
        <w:t>:</w:t>
      </w:r>
      <w:r w:rsidRPr="00BF42BC">
        <w:rPr>
          <w:rFonts w:ascii="Arial" w:hAnsi="Arial" w:cs="Arial"/>
          <w:sz w:val="22"/>
          <w:szCs w:val="22"/>
        </w:rPr>
        <w:t xml:space="preserve"> communication, compassion and clinical observation. It also explores supported learning strategies to nurture the skills and knowledge, with links to identified learning needs from previous </w:t>
      </w:r>
      <w:r w:rsidR="005C4A7D" w:rsidRPr="00BF42BC">
        <w:rPr>
          <w:rFonts w:ascii="Arial" w:hAnsi="Arial" w:cs="Arial"/>
          <w:sz w:val="22"/>
          <w:szCs w:val="22"/>
        </w:rPr>
        <w:t>learning</w:t>
      </w:r>
      <w:r w:rsidR="00DE56F3" w:rsidRPr="00BF42BC">
        <w:rPr>
          <w:rFonts w:ascii="Arial" w:hAnsi="Arial" w:cs="Arial"/>
          <w:sz w:val="22"/>
          <w:szCs w:val="22"/>
        </w:rPr>
        <w:t>.</w:t>
      </w:r>
    </w:p>
    <w:p w14:paraId="54CCAE9F" w14:textId="4A7A1153" w:rsidR="003B2490" w:rsidRPr="00BF42BC" w:rsidRDefault="00175340" w:rsidP="00BF42BC">
      <w:pPr>
        <w:spacing w:line="360" w:lineRule="auto"/>
        <w:jc w:val="left"/>
        <w:rPr>
          <w:rFonts w:ascii="Arial" w:eastAsiaTheme="majorEastAsia" w:hAnsi="Arial" w:cs="Arial"/>
          <w:sz w:val="22"/>
          <w:szCs w:val="22"/>
        </w:rPr>
      </w:pPr>
      <w:r w:rsidRPr="00BF42BC">
        <w:rPr>
          <w:rFonts w:ascii="Arial" w:hAnsi="Arial" w:cs="Arial"/>
          <w:sz w:val="22"/>
          <w:szCs w:val="22"/>
        </w:rPr>
        <w:t xml:space="preserve">The paper is an extension of the preliminary work undertaken in Task 1, which includes the application of the CRAAP test to establish the credibility of scholarly resources </w:t>
      </w:r>
      <w:r w:rsidR="005311A3" w:rsidRPr="00BF42BC">
        <w:rPr>
          <w:rFonts w:ascii="Arial" w:hAnsi="Arial" w:cs="Arial"/>
          <w:sz w:val="22"/>
          <w:szCs w:val="22"/>
        </w:rPr>
        <w:t>(</w:t>
      </w:r>
      <w:r w:rsidR="005311A3" w:rsidRPr="00BF42BC">
        <w:rPr>
          <w:rFonts w:ascii="Arial" w:hAnsi="Arial" w:cs="Arial"/>
          <w:sz w:val="22"/>
          <w:szCs w:val="22"/>
          <w:lang w:val="en-US"/>
        </w:rPr>
        <w:t>Sheehan, Ryder and Brenner,</w:t>
      </w:r>
      <w:r w:rsidR="005311A3" w:rsidRPr="00BF42BC">
        <w:rPr>
          <w:rFonts w:ascii="Arial" w:hAnsi="Arial" w:cs="Arial"/>
          <w:sz w:val="22"/>
          <w:szCs w:val="22"/>
        </w:rPr>
        <w:t xml:space="preserve"> 2025).</w:t>
      </w:r>
      <w:r w:rsidR="003B2490" w:rsidRPr="00BF42BC">
        <w:rPr>
          <w:rFonts w:ascii="Arial" w:hAnsi="Arial" w:cs="Arial"/>
          <w:sz w:val="22"/>
          <w:szCs w:val="22"/>
        </w:rPr>
        <w:br w:type="page"/>
      </w:r>
    </w:p>
    <w:p w14:paraId="3E7C09B0" w14:textId="54301CC6" w:rsidR="00503399" w:rsidRPr="00BF42BC" w:rsidRDefault="00503399" w:rsidP="00BF42BC">
      <w:pPr>
        <w:pStyle w:val="Heading1"/>
        <w:spacing w:line="360" w:lineRule="auto"/>
        <w:rPr>
          <w:rFonts w:ascii="Arial" w:hAnsi="Arial" w:cs="Arial"/>
        </w:rPr>
      </w:pPr>
      <w:bookmarkStart w:id="1" w:name="_Toc228185014"/>
      <w:r w:rsidRPr="00BF42BC">
        <w:rPr>
          <w:rFonts w:ascii="Arial" w:hAnsi="Arial" w:cs="Arial"/>
        </w:rPr>
        <w:t>2. Paediatric Nurse's Role and Responsibilities</w:t>
      </w:r>
      <w:bookmarkEnd w:id="1"/>
    </w:p>
    <w:p w14:paraId="378C6CF2" w14:textId="2B5CA7B0"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 xml:space="preserve">Paediatric nurses provide quality health care for children in a variety of settings. These settings include hospitals, community health centres and clinics. The work is challenging due to differences in child development and </w:t>
      </w:r>
      <w:r w:rsidR="00191CC0" w:rsidRPr="00BF42BC">
        <w:rPr>
          <w:rFonts w:ascii="Arial" w:hAnsi="Arial" w:cs="Arial"/>
          <w:sz w:val="22"/>
          <w:szCs w:val="22"/>
        </w:rPr>
        <w:t>requires</w:t>
      </w:r>
      <w:r w:rsidRPr="00BF42BC">
        <w:rPr>
          <w:rFonts w:ascii="Arial" w:hAnsi="Arial" w:cs="Arial"/>
          <w:sz w:val="22"/>
          <w:szCs w:val="22"/>
        </w:rPr>
        <w:t xml:space="preserve"> a family-focused approach to care.</w:t>
      </w:r>
    </w:p>
    <w:p w14:paraId="213C48BF" w14:textId="741D63ED"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Essentially, nurses work to monitor health status, administer medicines, provide symptom relief and work with multiple health-care professionals. But beyond these technical skills, paediatric nursing is also a challenging process of decision-making in the face of uncertainty. For instance, children may express symptoms in different ways to adults, creating a need for nurses to interpret and form judgements about the child's condition</w:t>
      </w:r>
      <w:r w:rsidR="009C1BC5" w:rsidRPr="00BF42BC">
        <w:rPr>
          <w:rFonts w:ascii="Arial" w:hAnsi="Arial" w:cs="Arial"/>
          <w:sz w:val="22"/>
          <w:szCs w:val="22"/>
        </w:rPr>
        <w:t xml:space="preserve"> (Hopewell-Kelly et al., 2026)</w:t>
      </w:r>
      <w:r w:rsidRPr="00BF42BC">
        <w:rPr>
          <w:rFonts w:ascii="Arial" w:hAnsi="Arial" w:cs="Arial"/>
          <w:sz w:val="22"/>
          <w:szCs w:val="22"/>
        </w:rPr>
        <w:t>.</w:t>
      </w:r>
    </w:p>
    <w:p w14:paraId="0ED1E868" w14:textId="2D10B40F" w:rsidR="00175340" w:rsidRPr="00BF42BC" w:rsidRDefault="00175340" w:rsidP="00BF42BC">
      <w:pPr>
        <w:spacing w:line="360" w:lineRule="auto"/>
        <w:rPr>
          <w:rFonts w:ascii="Arial" w:hAnsi="Arial" w:cs="Arial"/>
          <w:sz w:val="22"/>
          <w:szCs w:val="22"/>
        </w:rPr>
      </w:pPr>
      <w:r w:rsidRPr="00BF42BC">
        <w:rPr>
          <w:rFonts w:ascii="Arial" w:hAnsi="Arial" w:cs="Arial"/>
          <w:sz w:val="22"/>
          <w:szCs w:val="22"/>
        </w:rPr>
        <w:t xml:space="preserve">This is evident from the preliminary research carried out using reliable sources that indicate the key roles of </w:t>
      </w:r>
      <w:r w:rsidR="00153B4C" w:rsidRPr="00BF42BC">
        <w:rPr>
          <w:rFonts w:ascii="Arial" w:hAnsi="Arial" w:cs="Arial"/>
          <w:sz w:val="22"/>
          <w:szCs w:val="22"/>
        </w:rPr>
        <w:t>paediatric</w:t>
      </w:r>
      <w:r w:rsidRPr="00BF42BC">
        <w:rPr>
          <w:rFonts w:ascii="Arial" w:hAnsi="Arial" w:cs="Arial"/>
          <w:sz w:val="22"/>
          <w:szCs w:val="22"/>
        </w:rPr>
        <w:t xml:space="preserve"> nurses are patient monitoring, drug administration, and communication with families (</w:t>
      </w:r>
      <w:r w:rsidR="005311A3" w:rsidRPr="00BF42BC">
        <w:rPr>
          <w:rFonts w:ascii="Arial" w:hAnsi="Arial" w:cs="Arial"/>
          <w:sz w:val="22"/>
          <w:szCs w:val="22"/>
          <w:lang w:val="en-US"/>
        </w:rPr>
        <w:t>Sheehan, Ryder and Brenner,</w:t>
      </w:r>
      <w:r w:rsidRPr="00BF42BC">
        <w:rPr>
          <w:rFonts w:ascii="Arial" w:hAnsi="Arial" w:cs="Arial"/>
          <w:sz w:val="22"/>
          <w:szCs w:val="22"/>
        </w:rPr>
        <w:t xml:space="preserve"> 2025).</w:t>
      </w:r>
    </w:p>
    <w:p w14:paraId="56C09A9F" w14:textId="77777777" w:rsidR="00175340" w:rsidRPr="00BF42BC" w:rsidRDefault="00175340" w:rsidP="00BF42BC">
      <w:pPr>
        <w:spacing w:line="360" w:lineRule="auto"/>
        <w:rPr>
          <w:rFonts w:ascii="Arial" w:hAnsi="Arial" w:cs="Arial"/>
          <w:sz w:val="22"/>
          <w:szCs w:val="22"/>
        </w:rPr>
      </w:pPr>
      <w:r w:rsidRPr="00BF42BC">
        <w:rPr>
          <w:rFonts w:ascii="Arial" w:hAnsi="Arial" w:cs="Arial"/>
          <w:sz w:val="22"/>
          <w:szCs w:val="22"/>
        </w:rPr>
        <w:t>“Some of the main tasks include monitoring the patient’s condition, administering medication, facilitating recovery, and working within multidisciplinary teams.”</w:t>
      </w:r>
    </w:p>
    <w:p w14:paraId="20BF9025" w14:textId="5CA8E75C"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Evidence suggests paediatric nursing is relational, with partnership care established between nurses, children and their families (</w:t>
      </w:r>
      <w:r w:rsidR="00194B85" w:rsidRPr="00BF42BC">
        <w:rPr>
          <w:rFonts w:ascii="Arial" w:hAnsi="Arial" w:cs="Arial"/>
          <w:sz w:val="22"/>
          <w:szCs w:val="22"/>
        </w:rPr>
        <w:t>Barratt et al., 2024</w:t>
      </w:r>
      <w:r w:rsidRPr="00BF42BC">
        <w:rPr>
          <w:rFonts w:ascii="Arial" w:hAnsi="Arial" w:cs="Arial"/>
          <w:sz w:val="22"/>
          <w:szCs w:val="22"/>
        </w:rPr>
        <w:t xml:space="preserve">). This indicates care is not just focused on clinical care but also </w:t>
      </w:r>
      <w:r w:rsidR="00191CC0" w:rsidRPr="00BF42BC">
        <w:rPr>
          <w:rFonts w:ascii="Arial" w:hAnsi="Arial" w:cs="Arial"/>
          <w:sz w:val="22"/>
          <w:szCs w:val="22"/>
        </w:rPr>
        <w:t xml:space="preserve">on </w:t>
      </w:r>
      <w:r w:rsidRPr="00BF42BC">
        <w:rPr>
          <w:rFonts w:ascii="Arial" w:hAnsi="Arial" w:cs="Arial"/>
          <w:sz w:val="22"/>
          <w:szCs w:val="22"/>
        </w:rPr>
        <w:t>establishing trusting relationships and effective communication. The inability to foster this relationship can lead to heightened anxiety, non-cooperation and adverse health outcomes.</w:t>
      </w:r>
    </w:p>
    <w:p w14:paraId="70099D3A" w14:textId="23FDA2F8"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Thus</w:t>
      </w:r>
      <w:r w:rsidR="00191CC0" w:rsidRPr="00BF42BC">
        <w:rPr>
          <w:rFonts w:ascii="Arial" w:hAnsi="Arial" w:cs="Arial"/>
          <w:sz w:val="22"/>
          <w:szCs w:val="22"/>
        </w:rPr>
        <w:t>,</w:t>
      </w:r>
      <w:r w:rsidRPr="00BF42BC">
        <w:rPr>
          <w:rFonts w:ascii="Arial" w:hAnsi="Arial" w:cs="Arial"/>
          <w:sz w:val="22"/>
          <w:szCs w:val="22"/>
        </w:rPr>
        <w:t xml:space="preserve"> the work requires a combination of clinical and interpersonal skills, which is extremely challenging and demands ongoing training.</w:t>
      </w:r>
    </w:p>
    <w:p w14:paraId="6D383224" w14:textId="77777777" w:rsidR="003B2490" w:rsidRPr="00BF42BC" w:rsidRDefault="003B2490" w:rsidP="00BF42BC">
      <w:pPr>
        <w:spacing w:line="360" w:lineRule="auto"/>
        <w:jc w:val="left"/>
        <w:rPr>
          <w:rFonts w:ascii="Arial" w:eastAsiaTheme="majorEastAsia" w:hAnsi="Arial" w:cs="Arial"/>
          <w:b/>
          <w:sz w:val="22"/>
          <w:szCs w:val="22"/>
        </w:rPr>
      </w:pPr>
      <w:r w:rsidRPr="00BF42BC">
        <w:rPr>
          <w:rFonts w:ascii="Arial" w:hAnsi="Arial" w:cs="Arial"/>
          <w:sz w:val="22"/>
          <w:szCs w:val="22"/>
        </w:rPr>
        <w:br w:type="page"/>
      </w:r>
    </w:p>
    <w:p w14:paraId="3BE1A658" w14:textId="709F1A84" w:rsidR="00503399" w:rsidRPr="00BF42BC" w:rsidRDefault="00503399" w:rsidP="00BF42BC">
      <w:pPr>
        <w:pStyle w:val="Heading1"/>
        <w:spacing w:line="360" w:lineRule="auto"/>
        <w:rPr>
          <w:rFonts w:ascii="Arial" w:hAnsi="Arial" w:cs="Arial"/>
        </w:rPr>
      </w:pPr>
      <w:bookmarkStart w:id="2" w:name="_Toc228185015"/>
      <w:r w:rsidRPr="00BF42BC">
        <w:rPr>
          <w:rFonts w:ascii="Arial" w:hAnsi="Arial" w:cs="Arial"/>
        </w:rPr>
        <w:t>3</w:t>
      </w:r>
      <w:r w:rsidR="004641F8" w:rsidRPr="00BF42BC">
        <w:rPr>
          <w:rFonts w:ascii="Arial" w:hAnsi="Arial" w:cs="Arial"/>
        </w:rPr>
        <w:t xml:space="preserve"> </w:t>
      </w:r>
      <w:r w:rsidRPr="00BF42BC">
        <w:rPr>
          <w:rFonts w:ascii="Arial" w:hAnsi="Arial" w:cs="Arial"/>
        </w:rPr>
        <w:t>Critical Skills</w:t>
      </w:r>
      <w:bookmarkEnd w:id="2"/>
    </w:p>
    <w:p w14:paraId="5AB74393" w14:textId="77777777" w:rsidR="00503399" w:rsidRPr="00BF42BC" w:rsidRDefault="00503399" w:rsidP="00BF42BC">
      <w:pPr>
        <w:pStyle w:val="Heading2"/>
        <w:spacing w:line="360" w:lineRule="auto"/>
        <w:rPr>
          <w:rFonts w:ascii="Arial" w:hAnsi="Arial" w:cs="Arial"/>
          <w:sz w:val="22"/>
          <w:szCs w:val="22"/>
        </w:rPr>
      </w:pPr>
      <w:bookmarkStart w:id="3" w:name="_Toc228185016"/>
      <w:r w:rsidRPr="00BF42BC">
        <w:rPr>
          <w:rFonts w:ascii="Arial" w:hAnsi="Arial" w:cs="Arial"/>
          <w:sz w:val="22"/>
          <w:szCs w:val="22"/>
        </w:rPr>
        <w:t>3.1 Communication Skills</w:t>
      </w:r>
      <w:bookmarkEnd w:id="3"/>
    </w:p>
    <w:p w14:paraId="43A854CA" w14:textId="263B64BA"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 xml:space="preserve">This is an important skill in paediatric nursing as children have the capacity to communicate their symptoms and feelings. The nurse must rely on verbal and non-verbal signs to interpret what the child is trying to communicate and tailor their communication to </w:t>
      </w:r>
      <w:r w:rsidR="00191CC0" w:rsidRPr="00BF42BC">
        <w:rPr>
          <w:rFonts w:ascii="Arial" w:hAnsi="Arial" w:cs="Arial"/>
          <w:sz w:val="22"/>
          <w:szCs w:val="22"/>
        </w:rPr>
        <w:t>the child's</w:t>
      </w:r>
      <w:r w:rsidRPr="00BF42BC">
        <w:rPr>
          <w:rFonts w:ascii="Arial" w:hAnsi="Arial" w:cs="Arial"/>
          <w:sz w:val="22"/>
          <w:szCs w:val="22"/>
        </w:rPr>
        <w:t xml:space="preserve"> level of understanding.</w:t>
      </w:r>
    </w:p>
    <w:p w14:paraId="2BC9A2EC" w14:textId="37DD81B8"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In fact, recent studies describe communication as a procedural clinical skill and a factor in patient outcomes (</w:t>
      </w:r>
      <w:proofErr w:type="spellStart"/>
      <w:r w:rsidR="002D7397" w:rsidRPr="00BF42BC">
        <w:rPr>
          <w:rFonts w:ascii="Arial" w:hAnsi="Arial" w:cs="Arial"/>
          <w:sz w:val="22"/>
          <w:szCs w:val="22"/>
        </w:rPr>
        <w:t>Leiphrakpam</w:t>
      </w:r>
      <w:proofErr w:type="spellEnd"/>
      <w:r w:rsidR="002D7397" w:rsidRPr="00BF42BC">
        <w:rPr>
          <w:rFonts w:ascii="Arial" w:hAnsi="Arial" w:cs="Arial"/>
          <w:sz w:val="22"/>
          <w:szCs w:val="22"/>
        </w:rPr>
        <w:t>, Armijo and Are, 2024)</w:t>
      </w:r>
      <w:r w:rsidRPr="00BF42BC">
        <w:rPr>
          <w:rFonts w:ascii="Arial" w:hAnsi="Arial" w:cs="Arial"/>
          <w:sz w:val="22"/>
          <w:szCs w:val="22"/>
        </w:rPr>
        <w:t xml:space="preserve">. Good communication helps alleviate anxiety, increases compliance, and improves diagnosis. Magical storytelling, for instance, dramatically decreases </w:t>
      </w:r>
      <w:r w:rsidR="00191CC0" w:rsidRPr="00BF42BC">
        <w:rPr>
          <w:rFonts w:ascii="Arial" w:hAnsi="Arial" w:cs="Arial"/>
          <w:sz w:val="22"/>
          <w:szCs w:val="22"/>
        </w:rPr>
        <w:t xml:space="preserve">the </w:t>
      </w:r>
      <w:r w:rsidRPr="00BF42BC">
        <w:rPr>
          <w:rFonts w:ascii="Arial" w:hAnsi="Arial" w:cs="Arial"/>
          <w:sz w:val="22"/>
          <w:szCs w:val="22"/>
        </w:rPr>
        <w:t xml:space="preserve">anxiety of children in </w:t>
      </w:r>
      <w:r w:rsidR="00191CC0" w:rsidRPr="00BF42BC">
        <w:rPr>
          <w:rFonts w:ascii="Arial" w:hAnsi="Arial" w:cs="Arial"/>
          <w:sz w:val="22"/>
          <w:szCs w:val="22"/>
        </w:rPr>
        <w:t xml:space="preserve">the </w:t>
      </w:r>
      <w:r w:rsidRPr="00BF42BC">
        <w:rPr>
          <w:rFonts w:ascii="Arial" w:hAnsi="Arial" w:cs="Arial"/>
          <w:sz w:val="22"/>
          <w:szCs w:val="22"/>
        </w:rPr>
        <w:t>hospital by making medical procedures more relatable (</w:t>
      </w:r>
      <w:r w:rsidR="00987C6B" w:rsidRPr="00BF42BC">
        <w:rPr>
          <w:rFonts w:ascii="Arial" w:hAnsi="Arial" w:cs="Arial"/>
          <w:sz w:val="22"/>
          <w:szCs w:val="22"/>
        </w:rPr>
        <w:t>Al-</w:t>
      </w:r>
      <w:proofErr w:type="spellStart"/>
      <w:r w:rsidR="00987C6B" w:rsidRPr="00BF42BC">
        <w:rPr>
          <w:rFonts w:ascii="Arial" w:hAnsi="Arial" w:cs="Arial"/>
          <w:sz w:val="22"/>
          <w:szCs w:val="22"/>
        </w:rPr>
        <w:t>Beltagi</w:t>
      </w:r>
      <w:proofErr w:type="spellEnd"/>
      <w:r w:rsidR="00987C6B" w:rsidRPr="00BF42BC">
        <w:rPr>
          <w:rFonts w:ascii="Arial" w:hAnsi="Arial" w:cs="Arial"/>
          <w:sz w:val="22"/>
          <w:szCs w:val="22"/>
        </w:rPr>
        <w:t>, 2025</w:t>
      </w:r>
      <w:r w:rsidRPr="00BF42BC">
        <w:rPr>
          <w:rFonts w:ascii="Arial" w:hAnsi="Arial" w:cs="Arial"/>
          <w:sz w:val="22"/>
          <w:szCs w:val="22"/>
        </w:rPr>
        <w:t>).</w:t>
      </w:r>
    </w:p>
    <w:p w14:paraId="717C13E5" w14:textId="1E0097B5"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More importantly, poor communication can have dire consequences, such as diagnostic errors, anxiety and mistrust between patients and health-care professionals. This highlights that communication is not only a soft skill, but a technical skill</w:t>
      </w:r>
      <w:r w:rsidR="00191CC0" w:rsidRPr="00BF42BC">
        <w:rPr>
          <w:rFonts w:ascii="Arial" w:hAnsi="Arial" w:cs="Arial"/>
          <w:sz w:val="22"/>
          <w:szCs w:val="22"/>
        </w:rPr>
        <w:t>,</w:t>
      </w:r>
      <w:r w:rsidRPr="00BF42BC">
        <w:rPr>
          <w:rFonts w:ascii="Arial" w:hAnsi="Arial" w:cs="Arial"/>
          <w:sz w:val="22"/>
          <w:szCs w:val="22"/>
        </w:rPr>
        <w:t xml:space="preserve"> such as those defined as "hard".</w:t>
      </w:r>
    </w:p>
    <w:p w14:paraId="40142211"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Thus, communication is an interpersonal and technical skill which is not fixed and needs to be learned over time and in context.</w:t>
      </w:r>
    </w:p>
    <w:p w14:paraId="5F6BB2FA" w14:textId="77777777" w:rsidR="00503399" w:rsidRPr="00BF42BC" w:rsidRDefault="00503399" w:rsidP="00BF42BC">
      <w:pPr>
        <w:pStyle w:val="Heading2"/>
        <w:spacing w:line="360" w:lineRule="auto"/>
        <w:rPr>
          <w:rFonts w:ascii="Arial" w:hAnsi="Arial" w:cs="Arial"/>
          <w:sz w:val="22"/>
          <w:szCs w:val="22"/>
        </w:rPr>
      </w:pPr>
      <w:bookmarkStart w:id="4" w:name="_Toc228185017"/>
      <w:r w:rsidRPr="00BF42BC">
        <w:rPr>
          <w:rFonts w:ascii="Arial" w:hAnsi="Arial" w:cs="Arial"/>
          <w:sz w:val="22"/>
          <w:szCs w:val="22"/>
        </w:rPr>
        <w:t>3.2 Compassion and Empathy</w:t>
      </w:r>
      <w:bookmarkEnd w:id="4"/>
    </w:p>
    <w:p w14:paraId="41BE01A1"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The patients and their families' emotional states require compassion and empathy to be displayed. Nurses need to offer emotional support when dealing with clinical scenarios.</w:t>
      </w:r>
    </w:p>
    <w:p w14:paraId="31514B0A" w14:textId="5EBAD608"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Research indicates that empathy is crucial for enhancing patient satisfaction and satisfaction with care (</w:t>
      </w:r>
      <w:r w:rsidR="004963E7" w:rsidRPr="00BF42BC">
        <w:rPr>
          <w:rFonts w:ascii="Arial" w:hAnsi="Arial" w:cs="Arial"/>
          <w:sz w:val="22"/>
          <w:szCs w:val="22"/>
        </w:rPr>
        <w:t>Nembhard et al., 2023</w:t>
      </w:r>
      <w:r w:rsidRPr="00BF42BC">
        <w:rPr>
          <w:rFonts w:ascii="Arial" w:hAnsi="Arial" w:cs="Arial"/>
          <w:sz w:val="22"/>
          <w:szCs w:val="22"/>
        </w:rPr>
        <w:t>). Additionally, emotional skills during care strengthen patient-nurse relationships, promoting patient engagement and successful outcomes.</w:t>
      </w:r>
    </w:p>
    <w:p w14:paraId="16B89866" w14:textId="7283D5C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 xml:space="preserve">But sustaining empathy in stressful situations is difficult. Research has emphasised that excessive exposure to emotional events can reduce its quality </w:t>
      </w:r>
      <w:proofErr w:type="gramStart"/>
      <w:r w:rsidRPr="00BF42BC">
        <w:rPr>
          <w:rFonts w:ascii="Arial" w:hAnsi="Arial" w:cs="Arial"/>
          <w:sz w:val="22"/>
          <w:szCs w:val="22"/>
        </w:rPr>
        <w:t>as a result of</w:t>
      </w:r>
      <w:proofErr w:type="gramEnd"/>
      <w:r w:rsidRPr="00BF42BC">
        <w:rPr>
          <w:rFonts w:ascii="Arial" w:hAnsi="Arial" w:cs="Arial"/>
          <w:sz w:val="22"/>
          <w:szCs w:val="22"/>
        </w:rPr>
        <w:t xml:space="preserve"> burnout (</w:t>
      </w:r>
      <w:proofErr w:type="spellStart"/>
      <w:r w:rsidR="00254DF1" w:rsidRPr="00BF42BC">
        <w:rPr>
          <w:rFonts w:ascii="Arial" w:hAnsi="Arial" w:cs="Arial"/>
          <w:sz w:val="22"/>
          <w:szCs w:val="22"/>
        </w:rPr>
        <w:t>Edú-Valsania</w:t>
      </w:r>
      <w:proofErr w:type="spellEnd"/>
      <w:r w:rsidR="00064840" w:rsidRPr="00BF42BC">
        <w:rPr>
          <w:rFonts w:ascii="Arial" w:hAnsi="Arial" w:cs="Arial"/>
          <w:sz w:val="22"/>
          <w:szCs w:val="22"/>
        </w:rPr>
        <w:t>,</w:t>
      </w:r>
      <w:r w:rsidR="00254DF1" w:rsidRPr="00BF42BC">
        <w:rPr>
          <w:rFonts w:ascii="Arial" w:hAnsi="Arial" w:cs="Arial"/>
          <w:sz w:val="22"/>
          <w:szCs w:val="22"/>
        </w:rPr>
        <w:t xml:space="preserve"> </w:t>
      </w:r>
      <w:proofErr w:type="spellStart"/>
      <w:r w:rsidR="00254DF1" w:rsidRPr="00BF42BC">
        <w:rPr>
          <w:rFonts w:ascii="Arial" w:hAnsi="Arial" w:cs="Arial"/>
          <w:sz w:val="22"/>
          <w:szCs w:val="22"/>
        </w:rPr>
        <w:t>Laguía</w:t>
      </w:r>
      <w:proofErr w:type="spellEnd"/>
      <w:r w:rsidR="00254DF1" w:rsidRPr="00BF42BC">
        <w:rPr>
          <w:rFonts w:ascii="Arial" w:hAnsi="Arial" w:cs="Arial"/>
          <w:sz w:val="22"/>
          <w:szCs w:val="22"/>
        </w:rPr>
        <w:t xml:space="preserve"> and </w:t>
      </w:r>
      <w:proofErr w:type="spellStart"/>
      <w:r w:rsidR="00254DF1" w:rsidRPr="00BF42BC">
        <w:rPr>
          <w:rFonts w:ascii="Arial" w:hAnsi="Arial" w:cs="Arial"/>
          <w:sz w:val="22"/>
          <w:szCs w:val="22"/>
        </w:rPr>
        <w:t>Moriano</w:t>
      </w:r>
      <w:proofErr w:type="spellEnd"/>
      <w:r w:rsidR="00254DF1" w:rsidRPr="00BF42BC">
        <w:rPr>
          <w:rFonts w:ascii="Arial" w:hAnsi="Arial" w:cs="Arial"/>
          <w:sz w:val="22"/>
          <w:szCs w:val="22"/>
        </w:rPr>
        <w:t>, 2022</w:t>
      </w:r>
      <w:r w:rsidRPr="00BF42BC">
        <w:rPr>
          <w:rFonts w:ascii="Arial" w:hAnsi="Arial" w:cs="Arial"/>
          <w:sz w:val="22"/>
          <w:szCs w:val="22"/>
        </w:rPr>
        <w:t xml:space="preserve">). </w:t>
      </w:r>
      <w:r w:rsidR="00064840" w:rsidRPr="00BF42BC">
        <w:rPr>
          <w:rFonts w:ascii="Arial" w:hAnsi="Arial" w:cs="Arial"/>
          <w:sz w:val="22"/>
          <w:szCs w:val="22"/>
        </w:rPr>
        <w:t>So,</w:t>
      </w:r>
      <w:r w:rsidRPr="00BF42BC">
        <w:rPr>
          <w:rFonts w:ascii="Arial" w:hAnsi="Arial" w:cs="Arial"/>
          <w:sz w:val="22"/>
          <w:szCs w:val="22"/>
        </w:rPr>
        <w:t xml:space="preserve"> here's a key paradox: empathy is vitally important but needs to be well-managed to ensure long-term effectiveness.</w:t>
      </w:r>
    </w:p>
    <w:p w14:paraId="42BB4BC2"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Thus, compassion is a professional skill which needs to be developed with training and emotional regulation, rather than an intuitive character trait.</w:t>
      </w:r>
    </w:p>
    <w:p w14:paraId="26562EFD" w14:textId="77777777" w:rsidR="00503399" w:rsidRPr="00BF42BC" w:rsidRDefault="00503399" w:rsidP="00BF42BC">
      <w:pPr>
        <w:pStyle w:val="Heading2"/>
        <w:spacing w:line="360" w:lineRule="auto"/>
        <w:rPr>
          <w:rFonts w:ascii="Arial" w:hAnsi="Arial" w:cs="Arial"/>
          <w:sz w:val="22"/>
          <w:szCs w:val="22"/>
        </w:rPr>
      </w:pPr>
      <w:bookmarkStart w:id="5" w:name="_Toc228185018"/>
      <w:r w:rsidRPr="00BF42BC">
        <w:rPr>
          <w:rFonts w:ascii="Arial" w:hAnsi="Arial" w:cs="Arial"/>
          <w:sz w:val="22"/>
          <w:szCs w:val="22"/>
        </w:rPr>
        <w:t>3.3 Observation and Assessment Skills</w:t>
      </w:r>
      <w:bookmarkEnd w:id="5"/>
    </w:p>
    <w:p w14:paraId="53556DC3"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Observation and clinical skills are crucial skills required for patient safety and decision-making. Children may not be able to communicate changes in their condition, so paediatric nurses need to detect subtle changes.</w:t>
      </w:r>
    </w:p>
    <w:p w14:paraId="0F60A11E" w14:textId="51904A60"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Early identification of changes in patient conditions has been shown to improve patient safety and outcomes (</w:t>
      </w:r>
      <w:r w:rsidR="005E72E8" w:rsidRPr="00BF42BC">
        <w:rPr>
          <w:rFonts w:ascii="Arial" w:hAnsi="Arial" w:cs="Arial"/>
          <w:sz w:val="22"/>
          <w:szCs w:val="22"/>
        </w:rPr>
        <w:t>Adeniyi et al., 2024</w:t>
      </w:r>
      <w:r w:rsidRPr="00BF42BC">
        <w:rPr>
          <w:rFonts w:ascii="Arial" w:hAnsi="Arial" w:cs="Arial"/>
          <w:sz w:val="22"/>
          <w:szCs w:val="22"/>
        </w:rPr>
        <w:t>). This involves the blending of clinical understanding, observation and analysis.</w:t>
      </w:r>
    </w:p>
    <w:p w14:paraId="0911B61F"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Poor observation skills can lead to missing opportunities to act and delaying treatment, which can increase risk. As such, they are crucial for patient safety and quality of care.</w:t>
      </w:r>
    </w:p>
    <w:p w14:paraId="07847BE9" w14:textId="12326F53"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 xml:space="preserve">This demonstrates </w:t>
      </w:r>
      <w:r w:rsidR="00191CC0" w:rsidRPr="00BF42BC">
        <w:rPr>
          <w:rFonts w:ascii="Arial" w:hAnsi="Arial" w:cs="Arial"/>
          <w:sz w:val="22"/>
          <w:szCs w:val="22"/>
        </w:rPr>
        <w:t xml:space="preserve">that </w:t>
      </w:r>
      <w:r w:rsidRPr="00BF42BC">
        <w:rPr>
          <w:rFonts w:ascii="Arial" w:hAnsi="Arial" w:cs="Arial"/>
          <w:sz w:val="22"/>
          <w:szCs w:val="22"/>
        </w:rPr>
        <w:t>clinical competence is about both knowledge and skills for applying it in uncertain, even ambiguous, contexts.</w:t>
      </w:r>
    </w:p>
    <w:p w14:paraId="2F45C48D" w14:textId="70BB2F72" w:rsidR="003B2490" w:rsidRPr="00BF42BC" w:rsidRDefault="00043C00" w:rsidP="00BF42BC">
      <w:pPr>
        <w:spacing w:line="360" w:lineRule="auto"/>
        <w:jc w:val="left"/>
        <w:rPr>
          <w:rFonts w:ascii="Arial" w:hAnsi="Arial" w:cs="Arial"/>
        </w:rPr>
      </w:pPr>
      <w:r w:rsidRPr="00BF42BC">
        <w:rPr>
          <w:rFonts w:ascii="Arial" w:hAnsi="Arial" w:cs="Arial"/>
        </w:rPr>
        <w:br w:type="page"/>
      </w:r>
    </w:p>
    <w:p w14:paraId="0092596A" w14:textId="1F1CCF34" w:rsidR="00503399" w:rsidRPr="00BF42BC" w:rsidRDefault="00503399" w:rsidP="00BF42BC">
      <w:pPr>
        <w:pStyle w:val="Heading1"/>
        <w:spacing w:line="360" w:lineRule="auto"/>
        <w:rPr>
          <w:rFonts w:ascii="Arial" w:hAnsi="Arial" w:cs="Arial"/>
        </w:rPr>
      </w:pPr>
      <w:bookmarkStart w:id="6" w:name="_Toc228185019"/>
      <w:r w:rsidRPr="00BF42BC">
        <w:rPr>
          <w:rFonts w:ascii="Arial" w:hAnsi="Arial" w:cs="Arial"/>
        </w:rPr>
        <w:t>4. How to improve skills</w:t>
      </w:r>
      <w:bookmarkEnd w:id="6"/>
    </w:p>
    <w:p w14:paraId="097CDABA" w14:textId="77777777" w:rsidR="00503399" w:rsidRPr="00BF42BC" w:rsidRDefault="00503399" w:rsidP="00BF42BC">
      <w:pPr>
        <w:pStyle w:val="Heading2"/>
        <w:spacing w:line="360" w:lineRule="auto"/>
        <w:rPr>
          <w:rFonts w:ascii="Arial" w:hAnsi="Arial" w:cs="Arial"/>
          <w:sz w:val="22"/>
          <w:szCs w:val="22"/>
        </w:rPr>
      </w:pPr>
      <w:bookmarkStart w:id="7" w:name="_Toc228185020"/>
      <w:r w:rsidRPr="00BF42BC">
        <w:rPr>
          <w:rFonts w:ascii="Arial" w:hAnsi="Arial" w:cs="Arial"/>
          <w:sz w:val="22"/>
          <w:szCs w:val="22"/>
        </w:rPr>
        <w:t>4.1 Developing Communication Skills</w:t>
      </w:r>
      <w:bookmarkEnd w:id="7"/>
    </w:p>
    <w:p w14:paraId="15DFD349"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Firstly, nursing simulation in children's scenarios provides an opportunity for nurses to practise their communication skills with children. This enhances flexibility and confidence in challenging scenarios.</w:t>
      </w:r>
    </w:p>
    <w:p w14:paraId="46B961F6" w14:textId="4E41AC4E"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Secondly, techniques such as storytelling and visual supports improve information retention and lessen fear</w:t>
      </w:r>
      <w:r w:rsidR="00570E19" w:rsidRPr="00BF42BC">
        <w:rPr>
          <w:rFonts w:ascii="Arial" w:hAnsi="Arial" w:cs="Arial"/>
          <w:sz w:val="22"/>
          <w:szCs w:val="22"/>
        </w:rPr>
        <w:t xml:space="preserve"> (Al-</w:t>
      </w:r>
      <w:proofErr w:type="spellStart"/>
      <w:r w:rsidR="00570E19" w:rsidRPr="00BF42BC">
        <w:rPr>
          <w:rFonts w:ascii="Arial" w:hAnsi="Arial" w:cs="Arial"/>
          <w:sz w:val="22"/>
          <w:szCs w:val="22"/>
        </w:rPr>
        <w:t>Beltagi</w:t>
      </w:r>
      <w:proofErr w:type="spellEnd"/>
      <w:r w:rsidR="00570E19" w:rsidRPr="00BF42BC">
        <w:rPr>
          <w:rFonts w:ascii="Arial" w:hAnsi="Arial" w:cs="Arial"/>
          <w:sz w:val="22"/>
          <w:szCs w:val="22"/>
        </w:rPr>
        <w:t>, 2025)</w:t>
      </w:r>
      <w:r w:rsidRPr="00BF42BC">
        <w:rPr>
          <w:rFonts w:ascii="Arial" w:hAnsi="Arial" w:cs="Arial"/>
          <w:sz w:val="22"/>
          <w:szCs w:val="22"/>
        </w:rPr>
        <w:t xml:space="preserve">. This enhances co-operation and </w:t>
      </w:r>
      <w:r w:rsidR="00191CC0" w:rsidRPr="00BF42BC">
        <w:rPr>
          <w:rFonts w:ascii="Arial" w:hAnsi="Arial" w:cs="Arial"/>
          <w:sz w:val="22"/>
          <w:szCs w:val="22"/>
        </w:rPr>
        <w:t>well-being</w:t>
      </w:r>
      <w:r w:rsidRPr="00BF42BC">
        <w:rPr>
          <w:rFonts w:ascii="Arial" w:hAnsi="Arial" w:cs="Arial"/>
          <w:sz w:val="22"/>
          <w:szCs w:val="22"/>
        </w:rPr>
        <w:t>.</w:t>
      </w:r>
    </w:p>
    <w:p w14:paraId="50EFF2AB" w14:textId="77777777"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Thirdly, feedback from experienced practitioners allows nurses to practice good communication skills via clinical interactions.</w:t>
      </w:r>
    </w:p>
    <w:p w14:paraId="203D799E" w14:textId="36356CEB"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These approaches highlight the previously mentioned difficulty in clearly explaining complex information and demonstrate skill development.</w:t>
      </w:r>
    </w:p>
    <w:p w14:paraId="716F60A9" w14:textId="77777777" w:rsidR="00503399" w:rsidRPr="00BF42BC" w:rsidRDefault="00503399" w:rsidP="00BF42BC">
      <w:pPr>
        <w:pStyle w:val="Heading2"/>
        <w:spacing w:line="360" w:lineRule="auto"/>
        <w:rPr>
          <w:rFonts w:ascii="Arial" w:hAnsi="Arial" w:cs="Arial"/>
          <w:sz w:val="22"/>
          <w:szCs w:val="22"/>
        </w:rPr>
      </w:pPr>
      <w:bookmarkStart w:id="8" w:name="_Toc228185021"/>
      <w:r w:rsidRPr="00BF42BC">
        <w:rPr>
          <w:rFonts w:ascii="Arial" w:hAnsi="Arial" w:cs="Arial"/>
          <w:sz w:val="22"/>
          <w:szCs w:val="22"/>
        </w:rPr>
        <w:t>4.2 Building Compassion and Empathy</w:t>
      </w:r>
      <w:bookmarkEnd w:id="8"/>
    </w:p>
    <w:p w14:paraId="4ACC837D" w14:textId="74963DF9"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Reflection helps nurses reflect on and change their emotional responses and communication with patients. This aids ongoing learning and development.</w:t>
      </w:r>
      <w:r w:rsidR="00570E19" w:rsidRPr="00BF42BC">
        <w:rPr>
          <w:rFonts w:ascii="Arial" w:hAnsi="Arial" w:cs="Arial"/>
          <w:sz w:val="22"/>
          <w:szCs w:val="22"/>
        </w:rPr>
        <w:t xml:space="preserve"> </w:t>
      </w:r>
      <w:r w:rsidRPr="00BF42BC">
        <w:rPr>
          <w:rFonts w:ascii="Arial" w:hAnsi="Arial" w:cs="Arial"/>
          <w:sz w:val="22"/>
          <w:szCs w:val="22"/>
        </w:rPr>
        <w:t>Secondly, practising emotional intelligence promotes awareness and control of emotional responses, enabling nurses to appropriately respond to vulnerable situations.</w:t>
      </w:r>
      <w:r w:rsidR="00570E19" w:rsidRPr="00BF42BC">
        <w:rPr>
          <w:rFonts w:ascii="Arial" w:hAnsi="Arial" w:cs="Arial"/>
          <w:sz w:val="22"/>
          <w:szCs w:val="22"/>
        </w:rPr>
        <w:t xml:space="preserve"> </w:t>
      </w:r>
      <w:r w:rsidRPr="00BF42BC">
        <w:rPr>
          <w:rFonts w:ascii="Arial" w:hAnsi="Arial" w:cs="Arial"/>
          <w:sz w:val="22"/>
          <w:szCs w:val="22"/>
        </w:rPr>
        <w:t xml:space="preserve">Thirdly, emotional </w:t>
      </w:r>
      <w:r w:rsidR="00191CC0" w:rsidRPr="00BF42BC">
        <w:rPr>
          <w:rFonts w:ascii="Arial" w:hAnsi="Arial" w:cs="Arial"/>
          <w:sz w:val="22"/>
          <w:szCs w:val="22"/>
        </w:rPr>
        <w:t>well-being</w:t>
      </w:r>
      <w:r w:rsidRPr="00BF42BC">
        <w:rPr>
          <w:rFonts w:ascii="Arial" w:hAnsi="Arial" w:cs="Arial"/>
          <w:sz w:val="22"/>
          <w:szCs w:val="22"/>
        </w:rPr>
        <w:t xml:space="preserve"> strategies, including stress and </w:t>
      </w:r>
      <w:r w:rsidR="00191CC0" w:rsidRPr="00BF42BC">
        <w:rPr>
          <w:rFonts w:ascii="Arial" w:hAnsi="Arial" w:cs="Arial"/>
          <w:sz w:val="22"/>
          <w:szCs w:val="22"/>
        </w:rPr>
        <w:t>well-being</w:t>
      </w:r>
      <w:r w:rsidRPr="00BF42BC">
        <w:rPr>
          <w:rFonts w:ascii="Arial" w:hAnsi="Arial" w:cs="Arial"/>
          <w:sz w:val="22"/>
          <w:szCs w:val="22"/>
        </w:rPr>
        <w:t xml:space="preserve"> programs, promote emotional resilience and prevent burnout.</w:t>
      </w:r>
      <w:r w:rsidR="00570E19" w:rsidRPr="00BF42BC">
        <w:rPr>
          <w:rFonts w:ascii="Arial" w:hAnsi="Arial" w:cs="Arial"/>
          <w:sz w:val="22"/>
          <w:szCs w:val="22"/>
        </w:rPr>
        <w:t xml:space="preserve"> </w:t>
      </w:r>
      <w:r w:rsidRPr="00BF42BC">
        <w:rPr>
          <w:rFonts w:ascii="Arial" w:hAnsi="Arial" w:cs="Arial"/>
          <w:sz w:val="22"/>
          <w:szCs w:val="22"/>
        </w:rPr>
        <w:t xml:space="preserve">This helps </w:t>
      </w:r>
      <w:r w:rsidR="00191CC0" w:rsidRPr="00BF42BC">
        <w:rPr>
          <w:rFonts w:ascii="Arial" w:hAnsi="Arial" w:cs="Arial"/>
          <w:sz w:val="22"/>
          <w:szCs w:val="22"/>
        </w:rPr>
        <w:t xml:space="preserve">the </w:t>
      </w:r>
      <w:r w:rsidRPr="00BF42BC">
        <w:rPr>
          <w:rFonts w:ascii="Arial" w:hAnsi="Arial" w:cs="Arial"/>
          <w:sz w:val="22"/>
          <w:szCs w:val="22"/>
        </w:rPr>
        <w:t>sustainability of empathy, overcoming the risk of empathy fatigue.</w:t>
      </w:r>
    </w:p>
    <w:p w14:paraId="22DD3851" w14:textId="77777777" w:rsidR="00503399" w:rsidRPr="00BF42BC" w:rsidRDefault="00503399" w:rsidP="00BF42BC">
      <w:pPr>
        <w:pStyle w:val="Heading2"/>
        <w:spacing w:line="360" w:lineRule="auto"/>
        <w:rPr>
          <w:rFonts w:ascii="Arial" w:hAnsi="Arial" w:cs="Arial"/>
          <w:sz w:val="22"/>
          <w:szCs w:val="22"/>
        </w:rPr>
      </w:pPr>
      <w:bookmarkStart w:id="9" w:name="_Toc228185022"/>
      <w:r w:rsidRPr="00BF42BC">
        <w:rPr>
          <w:rFonts w:ascii="Arial" w:hAnsi="Arial" w:cs="Arial"/>
          <w:sz w:val="22"/>
          <w:szCs w:val="22"/>
        </w:rPr>
        <w:t>4.3 Practice of Clinical and Observation Skills</w:t>
      </w:r>
      <w:bookmarkEnd w:id="9"/>
    </w:p>
    <w:p w14:paraId="41079A17" w14:textId="7D72E772" w:rsidR="00503399" w:rsidRPr="00BF42BC" w:rsidRDefault="00503399" w:rsidP="00BF42BC">
      <w:pPr>
        <w:spacing w:line="360" w:lineRule="auto"/>
        <w:rPr>
          <w:rFonts w:ascii="Arial" w:hAnsi="Arial" w:cs="Arial"/>
          <w:sz w:val="22"/>
          <w:szCs w:val="22"/>
        </w:rPr>
      </w:pPr>
      <w:r w:rsidRPr="00BF42BC">
        <w:rPr>
          <w:rFonts w:ascii="Arial" w:hAnsi="Arial" w:cs="Arial"/>
          <w:sz w:val="22"/>
          <w:szCs w:val="22"/>
        </w:rPr>
        <w:t>Clinical simulation experiences help nurses to identify patient and family responses to deterioration and to learn how to respond. This boosts their ability to make decisions when under stress.</w:t>
      </w:r>
      <w:r w:rsidR="00570E19" w:rsidRPr="00BF42BC">
        <w:rPr>
          <w:rFonts w:ascii="Arial" w:hAnsi="Arial" w:cs="Arial"/>
          <w:sz w:val="22"/>
          <w:szCs w:val="22"/>
        </w:rPr>
        <w:t xml:space="preserve"> </w:t>
      </w:r>
      <w:r w:rsidRPr="00BF42BC">
        <w:rPr>
          <w:rFonts w:ascii="Arial" w:hAnsi="Arial" w:cs="Arial"/>
          <w:sz w:val="22"/>
          <w:szCs w:val="22"/>
        </w:rPr>
        <w:t>Secondly, ongoing education means clinicians stay informed of best practice and clinical practice guidelines</w:t>
      </w:r>
      <w:r w:rsidR="00AE6B23" w:rsidRPr="00BF42BC">
        <w:rPr>
          <w:rFonts w:ascii="Arial" w:hAnsi="Arial" w:cs="Arial"/>
          <w:sz w:val="22"/>
          <w:szCs w:val="22"/>
        </w:rPr>
        <w:t>.</w:t>
      </w:r>
      <w:r w:rsidR="00570E19" w:rsidRPr="00BF42BC">
        <w:rPr>
          <w:rFonts w:ascii="Arial" w:hAnsi="Arial" w:cs="Arial"/>
          <w:sz w:val="22"/>
          <w:szCs w:val="22"/>
        </w:rPr>
        <w:t xml:space="preserve"> </w:t>
      </w:r>
      <w:r w:rsidRPr="00BF42BC">
        <w:rPr>
          <w:rFonts w:ascii="Arial" w:hAnsi="Arial" w:cs="Arial"/>
          <w:sz w:val="22"/>
          <w:szCs w:val="22"/>
        </w:rPr>
        <w:t>Thirdly, peer-to-peer observation facilitates improved understanding of skills and practice.</w:t>
      </w:r>
      <w:r w:rsidR="00570E19" w:rsidRPr="00BF42BC">
        <w:rPr>
          <w:rFonts w:ascii="Arial" w:hAnsi="Arial" w:cs="Arial"/>
          <w:sz w:val="22"/>
          <w:szCs w:val="22"/>
        </w:rPr>
        <w:t xml:space="preserve"> </w:t>
      </w:r>
      <w:r w:rsidRPr="00BF42BC">
        <w:rPr>
          <w:rFonts w:ascii="Arial" w:hAnsi="Arial" w:cs="Arial"/>
          <w:sz w:val="22"/>
          <w:szCs w:val="22"/>
        </w:rPr>
        <w:t>This enhances patient safety by enhancing skills in recognising and responding to change.</w:t>
      </w:r>
    </w:p>
    <w:p w14:paraId="590B19B0" w14:textId="77777777" w:rsidR="003B2490" w:rsidRPr="00BF42BC" w:rsidRDefault="003B2490" w:rsidP="00BF42BC">
      <w:pPr>
        <w:spacing w:line="360" w:lineRule="auto"/>
        <w:jc w:val="left"/>
        <w:rPr>
          <w:rFonts w:ascii="Arial" w:hAnsi="Arial" w:cs="Arial"/>
          <w:b/>
          <w:bCs/>
          <w:sz w:val="22"/>
          <w:szCs w:val="22"/>
        </w:rPr>
      </w:pPr>
      <w:r w:rsidRPr="00BF42BC">
        <w:rPr>
          <w:rFonts w:ascii="Arial" w:hAnsi="Arial" w:cs="Arial"/>
          <w:b/>
          <w:bCs/>
          <w:sz w:val="22"/>
          <w:szCs w:val="22"/>
        </w:rPr>
        <w:br w:type="page"/>
      </w:r>
    </w:p>
    <w:p w14:paraId="76F2AC55" w14:textId="229213B7" w:rsidR="009176FB" w:rsidRPr="00BF42BC" w:rsidRDefault="009176FB" w:rsidP="00BF42BC">
      <w:pPr>
        <w:pStyle w:val="Heading1"/>
        <w:spacing w:line="360" w:lineRule="auto"/>
        <w:rPr>
          <w:rFonts w:ascii="Arial" w:hAnsi="Arial" w:cs="Arial"/>
        </w:rPr>
      </w:pPr>
      <w:bookmarkStart w:id="10" w:name="_Toc228185023"/>
      <w:r w:rsidRPr="00BF42BC">
        <w:rPr>
          <w:rFonts w:ascii="Arial" w:hAnsi="Arial" w:cs="Arial"/>
        </w:rPr>
        <w:t>5. Conclusion</w:t>
      </w:r>
      <w:bookmarkEnd w:id="10"/>
    </w:p>
    <w:p w14:paraId="4F8649B5" w14:textId="77777777" w:rsidR="0071745D" w:rsidRPr="00BF42BC" w:rsidRDefault="0071745D" w:rsidP="00BF42BC">
      <w:pPr>
        <w:spacing w:line="360" w:lineRule="auto"/>
        <w:rPr>
          <w:rFonts w:ascii="Arial" w:hAnsi="Arial" w:cs="Arial"/>
          <w:sz w:val="22"/>
          <w:szCs w:val="22"/>
        </w:rPr>
      </w:pPr>
      <w:r w:rsidRPr="00BF42BC">
        <w:rPr>
          <w:rFonts w:ascii="Arial" w:hAnsi="Arial" w:cs="Arial"/>
          <w:sz w:val="22"/>
          <w:szCs w:val="22"/>
        </w:rPr>
        <w:t>Overall, paediatric nursing is a complex practice which combines clinical and interpersonal skills. This report has critically shown that these skills (communication, compassion and clinical observation) are vital practice skills. These skills have been demonstrated to impact on patient outcomes, safety and quality of care.</w:t>
      </w:r>
    </w:p>
    <w:p w14:paraId="6DC683B0" w14:textId="0C5D0AAA" w:rsidR="0071745D" w:rsidRPr="00BF42BC" w:rsidRDefault="0071745D" w:rsidP="00BF42BC">
      <w:pPr>
        <w:spacing w:line="360" w:lineRule="auto"/>
        <w:rPr>
          <w:rFonts w:ascii="Arial" w:hAnsi="Arial" w:cs="Arial"/>
          <w:sz w:val="22"/>
          <w:szCs w:val="22"/>
        </w:rPr>
      </w:pPr>
      <w:r w:rsidRPr="00BF42BC">
        <w:rPr>
          <w:rFonts w:ascii="Arial" w:hAnsi="Arial" w:cs="Arial"/>
          <w:sz w:val="22"/>
          <w:szCs w:val="22"/>
        </w:rPr>
        <w:t xml:space="preserve">In addition, the recommended strategies offer practical strategies for skill development which align </w:t>
      </w:r>
      <w:r w:rsidR="00191CC0" w:rsidRPr="00BF42BC">
        <w:rPr>
          <w:rFonts w:ascii="Arial" w:hAnsi="Arial" w:cs="Arial"/>
          <w:sz w:val="22"/>
          <w:szCs w:val="22"/>
        </w:rPr>
        <w:t>with</w:t>
      </w:r>
      <w:r w:rsidRPr="00BF42BC">
        <w:rPr>
          <w:rFonts w:ascii="Arial" w:hAnsi="Arial" w:cs="Arial"/>
          <w:sz w:val="22"/>
          <w:szCs w:val="22"/>
        </w:rPr>
        <w:t xml:space="preserve"> both professional needs and individual learning needs. These strategies aimed at paediatric nurses will improve their practice and provide high-quality patient care.</w:t>
      </w:r>
    </w:p>
    <w:p w14:paraId="2585EECC" w14:textId="2EB7B773" w:rsidR="00BF09AD" w:rsidRPr="00BF42BC" w:rsidRDefault="0071745D" w:rsidP="00BF42BC">
      <w:pPr>
        <w:spacing w:line="360" w:lineRule="auto"/>
        <w:rPr>
          <w:rFonts w:ascii="Arial" w:hAnsi="Arial" w:cs="Arial"/>
          <w:sz w:val="22"/>
          <w:szCs w:val="22"/>
        </w:rPr>
      </w:pPr>
      <w:r w:rsidRPr="00BF42BC">
        <w:rPr>
          <w:rFonts w:ascii="Arial" w:hAnsi="Arial" w:cs="Arial"/>
          <w:sz w:val="22"/>
          <w:szCs w:val="22"/>
        </w:rPr>
        <w:t>Overall, this study recognises that the best way to excel in the field of paediatric nursing is through skill development, reflection and evidence-based practice.</w:t>
      </w:r>
    </w:p>
    <w:p w14:paraId="59057C3C" w14:textId="77777777" w:rsidR="00BF09AD" w:rsidRPr="00BF42BC" w:rsidRDefault="00BF09AD" w:rsidP="00BF42BC">
      <w:pPr>
        <w:spacing w:line="360" w:lineRule="auto"/>
        <w:jc w:val="left"/>
        <w:rPr>
          <w:rFonts w:ascii="Arial" w:hAnsi="Arial" w:cs="Arial"/>
        </w:rPr>
      </w:pPr>
      <w:r w:rsidRPr="00BF42BC">
        <w:rPr>
          <w:rFonts w:ascii="Arial" w:hAnsi="Arial" w:cs="Arial"/>
        </w:rPr>
        <w:br w:type="page"/>
      </w:r>
    </w:p>
    <w:p w14:paraId="1833A4DB" w14:textId="77072B7A" w:rsidR="00BF42BC" w:rsidRPr="00BF42BC" w:rsidRDefault="00BF09AD" w:rsidP="00BF42BC">
      <w:pPr>
        <w:pStyle w:val="Heading1"/>
        <w:spacing w:line="360" w:lineRule="auto"/>
        <w:rPr>
          <w:rFonts w:ascii="Arial" w:hAnsi="Arial" w:cs="Arial"/>
        </w:rPr>
      </w:pPr>
      <w:r w:rsidRPr="00BF42BC">
        <w:rPr>
          <w:rFonts w:ascii="Arial" w:hAnsi="Arial" w:cs="Arial"/>
        </w:rPr>
        <w:t xml:space="preserve">References </w:t>
      </w:r>
    </w:p>
    <w:p w14:paraId="10481C8F"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 xml:space="preserve">Adeniyi, A.O., </w:t>
      </w:r>
      <w:proofErr w:type="spellStart"/>
      <w:r w:rsidRPr="00BF42BC">
        <w:rPr>
          <w:rFonts w:ascii="Arial" w:hAnsi="Arial" w:cs="Arial"/>
          <w:sz w:val="22"/>
          <w:szCs w:val="22"/>
          <w:lang w:val="en-US"/>
        </w:rPr>
        <w:t>Arowoogun</w:t>
      </w:r>
      <w:proofErr w:type="spellEnd"/>
      <w:r w:rsidRPr="00BF42BC">
        <w:rPr>
          <w:rFonts w:ascii="Arial" w:hAnsi="Arial" w:cs="Arial"/>
          <w:sz w:val="22"/>
          <w:szCs w:val="22"/>
          <w:lang w:val="en-US"/>
        </w:rPr>
        <w:t xml:space="preserve">, J.O., Chidi, R., Okolo, C.A. and </w:t>
      </w:r>
      <w:proofErr w:type="spellStart"/>
      <w:r w:rsidRPr="00BF42BC">
        <w:rPr>
          <w:rFonts w:ascii="Arial" w:hAnsi="Arial" w:cs="Arial"/>
          <w:sz w:val="22"/>
          <w:szCs w:val="22"/>
          <w:lang w:val="en-US"/>
        </w:rPr>
        <w:t>Babawarun</w:t>
      </w:r>
      <w:proofErr w:type="spellEnd"/>
      <w:r w:rsidRPr="00BF42BC">
        <w:rPr>
          <w:rFonts w:ascii="Arial" w:hAnsi="Arial" w:cs="Arial"/>
          <w:sz w:val="22"/>
          <w:szCs w:val="22"/>
          <w:lang w:val="en-US"/>
        </w:rPr>
        <w:t xml:space="preserve">, O. (2024) ‘The impact of electronic health records on patient care and outcomes: A comprehensive review’, </w:t>
      </w:r>
      <w:r w:rsidRPr="00BF42BC">
        <w:rPr>
          <w:rFonts w:ascii="Arial" w:hAnsi="Arial" w:cs="Arial"/>
          <w:i/>
          <w:iCs/>
          <w:sz w:val="22"/>
          <w:szCs w:val="22"/>
          <w:lang w:val="en-US"/>
        </w:rPr>
        <w:t>World Journal of Advanced Research and Reviews</w:t>
      </w:r>
      <w:r w:rsidRPr="00BF42BC">
        <w:rPr>
          <w:rFonts w:ascii="Arial" w:hAnsi="Arial" w:cs="Arial"/>
          <w:sz w:val="22"/>
          <w:szCs w:val="22"/>
          <w:lang w:val="en-US"/>
        </w:rPr>
        <w:t xml:space="preserve">, 21(2), pp. 1446–1455. Available at: </w:t>
      </w:r>
      <w:hyperlink r:id="rId9" w:tgtFrame="_new" w:history="1">
        <w:r w:rsidRPr="00BF42BC">
          <w:rPr>
            <w:rStyle w:val="Hyperlink"/>
            <w:rFonts w:ascii="Arial" w:hAnsi="Arial" w:cs="Arial"/>
            <w:sz w:val="22"/>
            <w:szCs w:val="22"/>
            <w:lang w:val="en-US"/>
          </w:rPr>
          <w:t>https://pdfs.semanticscholar.org/0756/c5c036d2c60de383189f7b3d5aab7098ac23.pdf</w:t>
        </w:r>
      </w:hyperlink>
      <w:r w:rsidRPr="00BF42BC">
        <w:rPr>
          <w:rFonts w:ascii="Arial" w:hAnsi="Arial" w:cs="Arial"/>
          <w:sz w:val="22"/>
          <w:szCs w:val="22"/>
          <w:lang w:val="en-US"/>
        </w:rPr>
        <w:t xml:space="preserve"> (Accessed: 27 April 2026).</w:t>
      </w:r>
    </w:p>
    <w:p w14:paraId="397C59DD"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Al-</w:t>
      </w:r>
      <w:proofErr w:type="spellStart"/>
      <w:r w:rsidRPr="00BF42BC">
        <w:rPr>
          <w:rFonts w:ascii="Arial" w:hAnsi="Arial" w:cs="Arial"/>
          <w:sz w:val="22"/>
          <w:szCs w:val="22"/>
          <w:lang w:val="en-US"/>
        </w:rPr>
        <w:t>Beltagi</w:t>
      </w:r>
      <w:proofErr w:type="spellEnd"/>
      <w:r w:rsidRPr="00BF42BC">
        <w:rPr>
          <w:rFonts w:ascii="Arial" w:hAnsi="Arial" w:cs="Arial"/>
          <w:sz w:val="22"/>
          <w:szCs w:val="22"/>
          <w:lang w:val="en-US"/>
        </w:rPr>
        <w:t xml:space="preserve">, M. (2025) ‘Clinical hypnosis in pediatric care: An adjunctive tool or therapeutic illusion’, </w:t>
      </w:r>
      <w:r w:rsidRPr="00BF42BC">
        <w:rPr>
          <w:rFonts w:ascii="Arial" w:hAnsi="Arial" w:cs="Arial"/>
          <w:i/>
          <w:iCs/>
          <w:sz w:val="22"/>
          <w:szCs w:val="22"/>
          <w:lang w:val="en-US"/>
        </w:rPr>
        <w:t>World Journal of Experimental Medicine</w:t>
      </w:r>
      <w:r w:rsidRPr="00BF42BC">
        <w:rPr>
          <w:rFonts w:ascii="Arial" w:hAnsi="Arial" w:cs="Arial"/>
          <w:sz w:val="22"/>
          <w:szCs w:val="22"/>
          <w:lang w:val="en-US"/>
        </w:rPr>
        <w:t xml:space="preserve">, 15(4), p. 114554. Available at: </w:t>
      </w:r>
      <w:hyperlink r:id="rId10" w:tgtFrame="_new" w:history="1">
        <w:r w:rsidRPr="00BF42BC">
          <w:rPr>
            <w:rStyle w:val="Hyperlink"/>
            <w:rFonts w:ascii="Arial" w:hAnsi="Arial" w:cs="Arial"/>
            <w:sz w:val="22"/>
            <w:szCs w:val="22"/>
            <w:lang w:val="en-US"/>
          </w:rPr>
          <w:t>https://pmc.ncbi.nlm.nih.gov/articles/PMC12767259/</w:t>
        </w:r>
      </w:hyperlink>
      <w:r w:rsidRPr="00BF42BC">
        <w:rPr>
          <w:rFonts w:ascii="Arial" w:hAnsi="Arial" w:cs="Arial"/>
          <w:sz w:val="22"/>
          <w:szCs w:val="22"/>
          <w:lang w:val="en-US"/>
        </w:rPr>
        <w:t xml:space="preserve"> (Accessed: 27 April 2026).</w:t>
      </w:r>
    </w:p>
    <w:p w14:paraId="72904ACC"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 xml:space="preserve">Barratt, M., Bail, K., Lewis, P. and Paterson, C. (2024) ‘Nurse experiences of partnership nursing when caring for children with long-term conditions and their families: A qualitative systematic review’, </w:t>
      </w:r>
      <w:r w:rsidRPr="00BF42BC">
        <w:rPr>
          <w:rFonts w:ascii="Arial" w:hAnsi="Arial" w:cs="Arial"/>
          <w:i/>
          <w:iCs/>
          <w:sz w:val="22"/>
          <w:szCs w:val="22"/>
          <w:lang w:val="en-US"/>
        </w:rPr>
        <w:t>Journal of Clinical Nursing</w:t>
      </w:r>
      <w:r w:rsidRPr="00BF42BC">
        <w:rPr>
          <w:rFonts w:ascii="Arial" w:hAnsi="Arial" w:cs="Arial"/>
          <w:sz w:val="22"/>
          <w:szCs w:val="22"/>
          <w:lang w:val="en-US"/>
        </w:rPr>
        <w:t xml:space="preserve">, 33(3), pp. 932–950. Available at: </w:t>
      </w:r>
      <w:hyperlink r:id="rId11" w:tgtFrame="_new" w:history="1">
        <w:r w:rsidRPr="00BF42BC">
          <w:rPr>
            <w:rStyle w:val="Hyperlink"/>
            <w:rFonts w:ascii="Arial" w:hAnsi="Arial" w:cs="Arial"/>
            <w:sz w:val="22"/>
            <w:szCs w:val="22"/>
            <w:lang w:val="en-US"/>
          </w:rPr>
          <w:t>https://onlinelibrary.wiley.com/doi/abs/10.1111/jocn.16924</w:t>
        </w:r>
      </w:hyperlink>
      <w:r w:rsidRPr="00BF42BC">
        <w:rPr>
          <w:rFonts w:ascii="Arial" w:hAnsi="Arial" w:cs="Arial"/>
          <w:sz w:val="22"/>
          <w:szCs w:val="22"/>
          <w:lang w:val="en-US"/>
        </w:rPr>
        <w:t xml:space="preserve"> (Accessed: 27 April 2026).</w:t>
      </w:r>
    </w:p>
    <w:p w14:paraId="24927A4F" w14:textId="77777777" w:rsidR="00BF42BC" w:rsidRPr="00BF42BC" w:rsidRDefault="00BF42BC" w:rsidP="00BF42BC">
      <w:pPr>
        <w:spacing w:line="360" w:lineRule="auto"/>
        <w:jc w:val="left"/>
        <w:rPr>
          <w:rFonts w:ascii="Arial" w:hAnsi="Arial" w:cs="Arial"/>
          <w:sz w:val="22"/>
          <w:szCs w:val="22"/>
          <w:lang w:val="en-US"/>
        </w:rPr>
      </w:pPr>
      <w:proofErr w:type="spellStart"/>
      <w:r w:rsidRPr="00BF42BC">
        <w:rPr>
          <w:rFonts w:ascii="Arial" w:hAnsi="Arial" w:cs="Arial"/>
          <w:sz w:val="22"/>
          <w:szCs w:val="22"/>
          <w:lang w:val="en-US"/>
        </w:rPr>
        <w:t>Edú-Valsania</w:t>
      </w:r>
      <w:proofErr w:type="spellEnd"/>
      <w:r w:rsidRPr="00BF42BC">
        <w:rPr>
          <w:rFonts w:ascii="Arial" w:hAnsi="Arial" w:cs="Arial"/>
          <w:sz w:val="22"/>
          <w:szCs w:val="22"/>
          <w:lang w:val="en-US"/>
        </w:rPr>
        <w:t xml:space="preserve">, S., </w:t>
      </w:r>
      <w:proofErr w:type="spellStart"/>
      <w:r w:rsidRPr="00BF42BC">
        <w:rPr>
          <w:rFonts w:ascii="Arial" w:hAnsi="Arial" w:cs="Arial"/>
          <w:sz w:val="22"/>
          <w:szCs w:val="22"/>
          <w:lang w:val="en-US"/>
        </w:rPr>
        <w:t>Laguía</w:t>
      </w:r>
      <w:proofErr w:type="spellEnd"/>
      <w:r w:rsidRPr="00BF42BC">
        <w:rPr>
          <w:rFonts w:ascii="Arial" w:hAnsi="Arial" w:cs="Arial"/>
          <w:sz w:val="22"/>
          <w:szCs w:val="22"/>
          <w:lang w:val="en-US"/>
        </w:rPr>
        <w:t xml:space="preserve">, A. and </w:t>
      </w:r>
      <w:proofErr w:type="spellStart"/>
      <w:r w:rsidRPr="00BF42BC">
        <w:rPr>
          <w:rFonts w:ascii="Arial" w:hAnsi="Arial" w:cs="Arial"/>
          <w:sz w:val="22"/>
          <w:szCs w:val="22"/>
          <w:lang w:val="en-US"/>
        </w:rPr>
        <w:t>Moriano</w:t>
      </w:r>
      <w:proofErr w:type="spellEnd"/>
      <w:r w:rsidRPr="00BF42BC">
        <w:rPr>
          <w:rFonts w:ascii="Arial" w:hAnsi="Arial" w:cs="Arial"/>
          <w:sz w:val="22"/>
          <w:szCs w:val="22"/>
          <w:lang w:val="en-US"/>
        </w:rPr>
        <w:t xml:space="preserve">, J.A. (2022) ‘Burnout: A review of theory and measurement’, </w:t>
      </w:r>
      <w:r w:rsidRPr="00BF42BC">
        <w:rPr>
          <w:rFonts w:ascii="Arial" w:hAnsi="Arial" w:cs="Arial"/>
          <w:i/>
          <w:iCs/>
          <w:sz w:val="22"/>
          <w:szCs w:val="22"/>
          <w:lang w:val="en-US"/>
        </w:rPr>
        <w:t>International Journal of Environmental Research and Public Health</w:t>
      </w:r>
      <w:r w:rsidRPr="00BF42BC">
        <w:rPr>
          <w:rFonts w:ascii="Arial" w:hAnsi="Arial" w:cs="Arial"/>
          <w:sz w:val="22"/>
          <w:szCs w:val="22"/>
          <w:lang w:val="en-US"/>
        </w:rPr>
        <w:t xml:space="preserve">, 19(3), p. 1780. Available at: </w:t>
      </w:r>
      <w:hyperlink r:id="rId12" w:tgtFrame="_new" w:history="1">
        <w:r w:rsidRPr="00BF42BC">
          <w:rPr>
            <w:rStyle w:val="Hyperlink"/>
            <w:rFonts w:ascii="Arial" w:hAnsi="Arial" w:cs="Arial"/>
            <w:sz w:val="22"/>
            <w:szCs w:val="22"/>
            <w:lang w:val="en-US"/>
          </w:rPr>
          <w:t>https://www.mdpi.com/1660-4601/19/3/1780</w:t>
        </w:r>
      </w:hyperlink>
      <w:r w:rsidRPr="00BF42BC">
        <w:rPr>
          <w:rFonts w:ascii="Arial" w:hAnsi="Arial" w:cs="Arial"/>
          <w:sz w:val="22"/>
          <w:szCs w:val="22"/>
          <w:lang w:val="en-US"/>
        </w:rPr>
        <w:t xml:space="preserve"> (Accessed: 27 April 2026).</w:t>
      </w:r>
    </w:p>
    <w:p w14:paraId="226AE877"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 xml:space="preserve">Hopewell-Kelly, N., Goss, S., Mann, M., Machin, L., Pickles, T., Field, F., Perna, L., Selman, L. and Harrop, E. (2026) ‘Non-verbal methods for assessing grief and mental health in children and individuals with additional communication needs: A scoping review’, </w:t>
      </w:r>
      <w:r w:rsidRPr="00BF42BC">
        <w:rPr>
          <w:rFonts w:ascii="Arial" w:hAnsi="Arial" w:cs="Arial"/>
          <w:i/>
          <w:iCs/>
          <w:sz w:val="22"/>
          <w:szCs w:val="22"/>
          <w:lang w:val="en-US"/>
        </w:rPr>
        <w:t>Palliative Care and Social Practice</w:t>
      </w:r>
      <w:r w:rsidRPr="00BF42BC">
        <w:rPr>
          <w:rFonts w:ascii="Arial" w:hAnsi="Arial" w:cs="Arial"/>
          <w:sz w:val="22"/>
          <w:szCs w:val="22"/>
          <w:lang w:val="en-US"/>
        </w:rPr>
        <w:t xml:space="preserve">, 20, p. 26323524251413281. Available at: </w:t>
      </w:r>
      <w:hyperlink r:id="rId13" w:tgtFrame="_new" w:history="1">
        <w:r w:rsidRPr="00BF42BC">
          <w:rPr>
            <w:rStyle w:val="Hyperlink"/>
            <w:rFonts w:ascii="Arial" w:hAnsi="Arial" w:cs="Arial"/>
            <w:sz w:val="22"/>
            <w:szCs w:val="22"/>
            <w:lang w:val="en-US"/>
          </w:rPr>
          <w:t>https://journals.sagepub.com/doi/abs/10.1177/26323524251413281</w:t>
        </w:r>
      </w:hyperlink>
      <w:r w:rsidRPr="00BF42BC">
        <w:rPr>
          <w:rFonts w:ascii="Arial" w:hAnsi="Arial" w:cs="Arial"/>
          <w:sz w:val="22"/>
          <w:szCs w:val="22"/>
          <w:lang w:val="en-US"/>
        </w:rPr>
        <w:t xml:space="preserve"> (Accessed: 27 April 2026).</w:t>
      </w:r>
    </w:p>
    <w:p w14:paraId="7A64E6CF" w14:textId="77777777" w:rsidR="00BF42BC" w:rsidRPr="00BF42BC" w:rsidRDefault="00BF42BC" w:rsidP="00BF42BC">
      <w:pPr>
        <w:spacing w:line="360" w:lineRule="auto"/>
        <w:jc w:val="left"/>
        <w:rPr>
          <w:rFonts w:ascii="Arial" w:hAnsi="Arial" w:cs="Arial"/>
          <w:sz w:val="22"/>
          <w:szCs w:val="22"/>
          <w:lang w:val="en-US"/>
        </w:rPr>
      </w:pPr>
      <w:proofErr w:type="spellStart"/>
      <w:r w:rsidRPr="00BF42BC">
        <w:rPr>
          <w:rFonts w:ascii="Arial" w:hAnsi="Arial" w:cs="Arial"/>
          <w:sz w:val="22"/>
          <w:szCs w:val="22"/>
          <w:lang w:val="en-US"/>
        </w:rPr>
        <w:t>Leiphrakpam</w:t>
      </w:r>
      <w:proofErr w:type="spellEnd"/>
      <w:r w:rsidRPr="00BF42BC">
        <w:rPr>
          <w:rFonts w:ascii="Arial" w:hAnsi="Arial" w:cs="Arial"/>
          <w:sz w:val="22"/>
          <w:szCs w:val="22"/>
          <w:lang w:val="en-US"/>
        </w:rPr>
        <w:t xml:space="preserve">, P.D., Armijo, P.R. and Are, C. (2024) ‘Incorporation of simulation in graduate medical education: Historical perspectives, </w:t>
      </w:r>
      <w:proofErr w:type="gramStart"/>
      <w:r w:rsidRPr="00BF42BC">
        <w:rPr>
          <w:rFonts w:ascii="Arial" w:hAnsi="Arial" w:cs="Arial"/>
          <w:sz w:val="22"/>
          <w:szCs w:val="22"/>
          <w:lang w:val="en-US"/>
        </w:rPr>
        <w:t>current status</w:t>
      </w:r>
      <w:proofErr w:type="gramEnd"/>
      <w:r w:rsidRPr="00BF42BC">
        <w:rPr>
          <w:rFonts w:ascii="Arial" w:hAnsi="Arial" w:cs="Arial"/>
          <w:sz w:val="22"/>
          <w:szCs w:val="22"/>
          <w:lang w:val="en-US"/>
        </w:rPr>
        <w:t xml:space="preserve">, and future directions’, </w:t>
      </w:r>
      <w:r w:rsidRPr="00BF42BC">
        <w:rPr>
          <w:rFonts w:ascii="Arial" w:hAnsi="Arial" w:cs="Arial"/>
          <w:i/>
          <w:iCs/>
          <w:sz w:val="22"/>
          <w:szCs w:val="22"/>
          <w:lang w:val="en-US"/>
        </w:rPr>
        <w:t>Journal of Medical Education and Curricular Development</w:t>
      </w:r>
      <w:r w:rsidRPr="00BF42BC">
        <w:rPr>
          <w:rFonts w:ascii="Arial" w:hAnsi="Arial" w:cs="Arial"/>
          <w:sz w:val="22"/>
          <w:szCs w:val="22"/>
          <w:lang w:val="en-US"/>
        </w:rPr>
        <w:t xml:space="preserve">, 11, p. 23821205241257329. Available at: </w:t>
      </w:r>
      <w:hyperlink r:id="rId14" w:tgtFrame="_new" w:history="1">
        <w:r w:rsidRPr="00BF42BC">
          <w:rPr>
            <w:rStyle w:val="Hyperlink"/>
            <w:rFonts w:ascii="Arial" w:hAnsi="Arial" w:cs="Arial"/>
            <w:sz w:val="22"/>
            <w:szCs w:val="22"/>
            <w:lang w:val="en-US"/>
          </w:rPr>
          <w:t>https://journals.sagepub.com/doi/abs/10.1177/23821205241257329</w:t>
        </w:r>
      </w:hyperlink>
      <w:r w:rsidRPr="00BF42BC">
        <w:rPr>
          <w:rFonts w:ascii="Arial" w:hAnsi="Arial" w:cs="Arial"/>
          <w:sz w:val="22"/>
          <w:szCs w:val="22"/>
          <w:lang w:val="en-US"/>
        </w:rPr>
        <w:t xml:space="preserve"> (Accessed: 27 April 2026).</w:t>
      </w:r>
    </w:p>
    <w:p w14:paraId="0BF77B47"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 xml:space="preserve">Nembhard, I.M., David, G., Ezzeddine, I., Betts, D. and Radin, J. (2023) ‘A systematic review of research on empathy in health care’, </w:t>
      </w:r>
      <w:r w:rsidRPr="00BF42BC">
        <w:rPr>
          <w:rFonts w:ascii="Arial" w:hAnsi="Arial" w:cs="Arial"/>
          <w:i/>
          <w:iCs/>
          <w:sz w:val="22"/>
          <w:szCs w:val="22"/>
          <w:lang w:val="en-US"/>
        </w:rPr>
        <w:t>Health Services Research</w:t>
      </w:r>
      <w:r w:rsidRPr="00BF42BC">
        <w:rPr>
          <w:rFonts w:ascii="Arial" w:hAnsi="Arial" w:cs="Arial"/>
          <w:sz w:val="22"/>
          <w:szCs w:val="22"/>
          <w:lang w:val="en-US"/>
        </w:rPr>
        <w:t xml:space="preserve">, 58(2), pp. 250–263. Available at: </w:t>
      </w:r>
      <w:hyperlink r:id="rId15" w:tgtFrame="_new" w:history="1">
        <w:r w:rsidRPr="00BF42BC">
          <w:rPr>
            <w:rStyle w:val="Hyperlink"/>
            <w:rFonts w:ascii="Arial" w:hAnsi="Arial" w:cs="Arial"/>
            <w:sz w:val="22"/>
            <w:szCs w:val="22"/>
            <w:lang w:val="en-US"/>
          </w:rPr>
          <w:t>https://onlinelibrary.wiley.com/doi/abs/10.1111/1475-6773.14016</w:t>
        </w:r>
      </w:hyperlink>
      <w:r w:rsidRPr="00BF42BC">
        <w:rPr>
          <w:rFonts w:ascii="Arial" w:hAnsi="Arial" w:cs="Arial"/>
          <w:sz w:val="22"/>
          <w:szCs w:val="22"/>
          <w:lang w:val="en-US"/>
        </w:rPr>
        <w:t xml:space="preserve"> (Accessed: 27 April 2026).</w:t>
      </w:r>
    </w:p>
    <w:p w14:paraId="304111CF" w14:textId="77777777" w:rsidR="00BF42BC" w:rsidRPr="00BF42BC" w:rsidRDefault="00BF42BC" w:rsidP="00BF42BC">
      <w:pPr>
        <w:spacing w:line="360" w:lineRule="auto"/>
        <w:jc w:val="left"/>
        <w:rPr>
          <w:rFonts w:ascii="Arial" w:hAnsi="Arial" w:cs="Arial"/>
          <w:sz w:val="22"/>
          <w:szCs w:val="22"/>
          <w:lang w:val="en-US"/>
        </w:rPr>
      </w:pPr>
      <w:r w:rsidRPr="00BF42BC">
        <w:rPr>
          <w:rFonts w:ascii="Arial" w:hAnsi="Arial" w:cs="Arial"/>
          <w:sz w:val="22"/>
          <w:szCs w:val="22"/>
          <w:lang w:val="en-US"/>
        </w:rPr>
        <w:t xml:space="preserve">Sheehan, R., Ryder, M. and Brenner, M. (2025) ‘Quality care for children and young people with complex and integrated care needs: a discussion on nursing-sensitive indicators’, </w:t>
      </w:r>
      <w:r w:rsidRPr="00BF42BC">
        <w:rPr>
          <w:rFonts w:ascii="Arial" w:hAnsi="Arial" w:cs="Arial"/>
          <w:i/>
          <w:iCs/>
          <w:sz w:val="22"/>
          <w:szCs w:val="22"/>
          <w:lang w:val="en-US"/>
        </w:rPr>
        <w:t>International Journal of Nursing Studies Advances</w:t>
      </w:r>
      <w:r w:rsidRPr="00BF42BC">
        <w:rPr>
          <w:rFonts w:ascii="Arial" w:hAnsi="Arial" w:cs="Arial"/>
          <w:sz w:val="22"/>
          <w:szCs w:val="22"/>
          <w:lang w:val="en-US"/>
        </w:rPr>
        <w:t xml:space="preserve">, 8, p.100275. Available at: </w:t>
      </w:r>
      <w:hyperlink r:id="rId16" w:tgtFrame="_new" w:history="1">
        <w:r w:rsidRPr="00BF42BC">
          <w:rPr>
            <w:rStyle w:val="Hyperlink"/>
            <w:rFonts w:ascii="Arial" w:hAnsi="Arial" w:cs="Arial"/>
            <w:sz w:val="22"/>
            <w:szCs w:val="22"/>
            <w:lang w:val="en-US"/>
          </w:rPr>
          <w:t>https://pmc.ncbi.nlm.nih.gov/articles/PMC11653161</w:t>
        </w:r>
      </w:hyperlink>
      <w:r w:rsidRPr="00BF42BC">
        <w:rPr>
          <w:rFonts w:ascii="Arial" w:hAnsi="Arial" w:cs="Arial"/>
          <w:sz w:val="22"/>
          <w:szCs w:val="22"/>
          <w:lang w:val="en-US"/>
        </w:rPr>
        <w:t xml:space="preserve"> (Accessed: 22 April 2026).</w:t>
      </w:r>
    </w:p>
    <w:sectPr w:rsidR="00BF42BC" w:rsidRPr="00BF42BC">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52926" w14:textId="77777777" w:rsidR="009123FB" w:rsidRPr="00D17013" w:rsidRDefault="009123FB" w:rsidP="00530674">
      <w:pPr>
        <w:spacing w:after="0" w:line="240" w:lineRule="auto"/>
      </w:pPr>
      <w:r w:rsidRPr="00D17013">
        <w:separator/>
      </w:r>
    </w:p>
  </w:endnote>
  <w:endnote w:type="continuationSeparator" w:id="0">
    <w:p w14:paraId="228C229E" w14:textId="77777777" w:rsidR="009123FB" w:rsidRPr="00D17013" w:rsidRDefault="009123FB" w:rsidP="00530674">
      <w:pPr>
        <w:spacing w:after="0" w:line="240" w:lineRule="auto"/>
      </w:pPr>
      <w:r w:rsidRPr="00D170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6239820"/>
      <w:docPartObj>
        <w:docPartGallery w:val="Page Numbers (Bottom of Page)"/>
        <w:docPartUnique/>
      </w:docPartObj>
    </w:sdtPr>
    <w:sdtEndPr>
      <w:rPr>
        <w:noProof/>
      </w:rPr>
    </w:sdtEndPr>
    <w:sdtContent>
      <w:p w14:paraId="1DE2B214" w14:textId="6682B8C3" w:rsidR="00DF478F" w:rsidRDefault="00DF47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22DDE8" w14:textId="77777777" w:rsidR="00DF478F" w:rsidRDefault="00DF4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8D74B" w14:textId="77777777" w:rsidR="009123FB" w:rsidRPr="00D17013" w:rsidRDefault="009123FB" w:rsidP="00530674">
      <w:pPr>
        <w:spacing w:after="0" w:line="240" w:lineRule="auto"/>
      </w:pPr>
      <w:r w:rsidRPr="00D17013">
        <w:separator/>
      </w:r>
    </w:p>
  </w:footnote>
  <w:footnote w:type="continuationSeparator" w:id="0">
    <w:p w14:paraId="57CEAD1C" w14:textId="77777777" w:rsidR="009123FB" w:rsidRPr="00D17013" w:rsidRDefault="009123FB" w:rsidP="00530674">
      <w:pPr>
        <w:spacing w:after="0" w:line="240" w:lineRule="auto"/>
      </w:pPr>
      <w:r w:rsidRPr="00D170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8F33" w14:textId="246573A3" w:rsidR="00530674" w:rsidRPr="00D17013" w:rsidRDefault="00530674">
    <w:pPr>
      <w:pStyle w:val="Header"/>
    </w:pPr>
    <w:r w:rsidRPr="00D17013">
      <w:rPr>
        <w:noProof/>
      </w:rPr>
      <w:drawing>
        <wp:anchor distT="0" distB="0" distL="114300" distR="114300" simplePos="0" relativeHeight="251658240" behindDoc="1" locked="0" layoutInCell="1" allowOverlap="1" wp14:anchorId="34024BD6" wp14:editId="33EC4A60">
          <wp:simplePos x="0" y="0"/>
          <wp:positionH relativeFrom="column">
            <wp:posOffset>-838200</wp:posOffset>
          </wp:positionH>
          <wp:positionV relativeFrom="paragraph">
            <wp:posOffset>-330200</wp:posOffset>
          </wp:positionV>
          <wp:extent cx="1447800" cy="584200"/>
          <wp:effectExtent l="0" t="0" r="0" b="6350"/>
          <wp:wrapNone/>
          <wp:docPr id="195455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5842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C308E"/>
    <w:multiLevelType w:val="hybridMultilevel"/>
    <w:tmpl w:val="C4849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01F96"/>
    <w:multiLevelType w:val="hybridMultilevel"/>
    <w:tmpl w:val="082AA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4597704">
    <w:abstractNumId w:val="0"/>
  </w:num>
  <w:num w:numId="2" w16cid:durableId="1524660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mailMerge>
    <w:mainDocumentType w:val="formLetters"/>
    <w:dataType w:val="native"/>
    <w:odso>
      <w:type w:val="query"/>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FB"/>
    <w:rsid w:val="0000770E"/>
    <w:rsid w:val="00012011"/>
    <w:rsid w:val="0003657A"/>
    <w:rsid w:val="00043C00"/>
    <w:rsid w:val="00060ED2"/>
    <w:rsid w:val="00064840"/>
    <w:rsid w:val="00072B3A"/>
    <w:rsid w:val="000767EF"/>
    <w:rsid w:val="000938F5"/>
    <w:rsid w:val="00127F67"/>
    <w:rsid w:val="00153B4C"/>
    <w:rsid w:val="00175340"/>
    <w:rsid w:val="00191CC0"/>
    <w:rsid w:val="00194B85"/>
    <w:rsid w:val="001D6F9B"/>
    <w:rsid w:val="00237252"/>
    <w:rsid w:val="0024547B"/>
    <w:rsid w:val="00254DF1"/>
    <w:rsid w:val="00255D06"/>
    <w:rsid w:val="002B17D0"/>
    <w:rsid w:val="002D7397"/>
    <w:rsid w:val="002D79D7"/>
    <w:rsid w:val="003160CB"/>
    <w:rsid w:val="00343818"/>
    <w:rsid w:val="00377387"/>
    <w:rsid w:val="003B2490"/>
    <w:rsid w:val="003B63D7"/>
    <w:rsid w:val="00424021"/>
    <w:rsid w:val="004364DA"/>
    <w:rsid w:val="0044079D"/>
    <w:rsid w:val="0045148F"/>
    <w:rsid w:val="00462D96"/>
    <w:rsid w:val="004641F8"/>
    <w:rsid w:val="004963E7"/>
    <w:rsid w:val="004B10BD"/>
    <w:rsid w:val="004B1B0F"/>
    <w:rsid w:val="004B4125"/>
    <w:rsid w:val="004B69A5"/>
    <w:rsid w:val="00503399"/>
    <w:rsid w:val="0050795B"/>
    <w:rsid w:val="005138A0"/>
    <w:rsid w:val="00530674"/>
    <w:rsid w:val="005311A3"/>
    <w:rsid w:val="00570E19"/>
    <w:rsid w:val="00576B29"/>
    <w:rsid w:val="00584122"/>
    <w:rsid w:val="005845FE"/>
    <w:rsid w:val="005B23E6"/>
    <w:rsid w:val="005C4A7D"/>
    <w:rsid w:val="005E67E6"/>
    <w:rsid w:val="005E72E8"/>
    <w:rsid w:val="00647302"/>
    <w:rsid w:val="006D0743"/>
    <w:rsid w:val="006F0938"/>
    <w:rsid w:val="0071745D"/>
    <w:rsid w:val="0073030F"/>
    <w:rsid w:val="007B14AB"/>
    <w:rsid w:val="007E5404"/>
    <w:rsid w:val="007F19B6"/>
    <w:rsid w:val="007F30C2"/>
    <w:rsid w:val="00812974"/>
    <w:rsid w:val="0085702B"/>
    <w:rsid w:val="00891C7B"/>
    <w:rsid w:val="008A58FB"/>
    <w:rsid w:val="008B2252"/>
    <w:rsid w:val="008B4B91"/>
    <w:rsid w:val="00902CCC"/>
    <w:rsid w:val="009123FB"/>
    <w:rsid w:val="009176FB"/>
    <w:rsid w:val="00922D64"/>
    <w:rsid w:val="009255E0"/>
    <w:rsid w:val="0095113C"/>
    <w:rsid w:val="00967ECC"/>
    <w:rsid w:val="00987C6B"/>
    <w:rsid w:val="009A4AE9"/>
    <w:rsid w:val="009C1BC5"/>
    <w:rsid w:val="009D7E6A"/>
    <w:rsid w:val="009E4C9D"/>
    <w:rsid w:val="00A17A08"/>
    <w:rsid w:val="00AD460B"/>
    <w:rsid w:val="00AE0F95"/>
    <w:rsid w:val="00AE6B23"/>
    <w:rsid w:val="00B14AF3"/>
    <w:rsid w:val="00B957AB"/>
    <w:rsid w:val="00BA1B4E"/>
    <w:rsid w:val="00BB3B7F"/>
    <w:rsid w:val="00BF09AD"/>
    <w:rsid w:val="00BF42BC"/>
    <w:rsid w:val="00C020EA"/>
    <w:rsid w:val="00C266CF"/>
    <w:rsid w:val="00C27677"/>
    <w:rsid w:val="00C667CE"/>
    <w:rsid w:val="00C827DE"/>
    <w:rsid w:val="00CA5304"/>
    <w:rsid w:val="00CE71EB"/>
    <w:rsid w:val="00D17013"/>
    <w:rsid w:val="00D90C81"/>
    <w:rsid w:val="00DE56F3"/>
    <w:rsid w:val="00DF478F"/>
    <w:rsid w:val="00E41672"/>
    <w:rsid w:val="00EB15BB"/>
    <w:rsid w:val="00EE7A10"/>
    <w:rsid w:val="00F07E13"/>
    <w:rsid w:val="00F24DAC"/>
    <w:rsid w:val="00FA226A"/>
    <w:rsid w:val="00FB1812"/>
    <w:rsid w:val="00FC6FA2"/>
    <w:rsid w:val="00FC7088"/>
    <w:rsid w:val="00FC7F57"/>
    <w:rsid w:val="00FD57A2"/>
    <w:rsid w:val="00FE2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F739D"/>
  <w15:chartTrackingRefBased/>
  <w15:docId w15:val="{1DA5F0CA-CBA0-483B-8584-63132E37F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021"/>
    <w:pPr>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42402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42402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EE7A10"/>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9176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176F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176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76F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76F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76F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021"/>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424021"/>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424021"/>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24021"/>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EE7A10"/>
    <w:rPr>
      <w:rFonts w:ascii="Times New Roman" w:eastAsiaTheme="majorEastAsia" w:hAnsi="Times New Roman" w:cstheme="majorBidi"/>
      <w:b/>
      <w:color w:val="000000" w:themeColor="text1"/>
      <w:sz w:val="26"/>
      <w:szCs w:val="28"/>
      <w:lang w:val="en-GB"/>
    </w:rPr>
  </w:style>
  <w:style w:type="character" w:customStyle="1" w:styleId="Heading4Char">
    <w:name w:val="Heading 4 Char"/>
    <w:basedOn w:val="DefaultParagraphFont"/>
    <w:link w:val="Heading4"/>
    <w:uiPriority w:val="9"/>
    <w:semiHidden/>
    <w:rsid w:val="009176F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176F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176F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176F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176F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176FB"/>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9176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6F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176FB"/>
    <w:pPr>
      <w:spacing w:before="160"/>
      <w:jc w:val="center"/>
    </w:pPr>
    <w:rPr>
      <w:i/>
      <w:iCs/>
      <w:color w:val="404040" w:themeColor="text1" w:themeTint="BF"/>
    </w:rPr>
  </w:style>
  <w:style w:type="character" w:customStyle="1" w:styleId="QuoteChar">
    <w:name w:val="Quote Char"/>
    <w:basedOn w:val="DefaultParagraphFont"/>
    <w:link w:val="Quote"/>
    <w:uiPriority w:val="29"/>
    <w:rsid w:val="009176FB"/>
    <w:rPr>
      <w:rFonts w:ascii="Times New Roman" w:hAnsi="Times New Roman"/>
      <w:i/>
      <w:iCs/>
      <w:color w:val="404040" w:themeColor="text1" w:themeTint="BF"/>
      <w:lang w:val="en-GB"/>
    </w:rPr>
  </w:style>
  <w:style w:type="paragraph" w:styleId="ListParagraph">
    <w:name w:val="List Paragraph"/>
    <w:basedOn w:val="Normal"/>
    <w:uiPriority w:val="34"/>
    <w:qFormat/>
    <w:rsid w:val="009176FB"/>
    <w:pPr>
      <w:ind w:left="720"/>
      <w:contextualSpacing/>
    </w:pPr>
  </w:style>
  <w:style w:type="character" w:styleId="IntenseEmphasis">
    <w:name w:val="Intense Emphasis"/>
    <w:basedOn w:val="DefaultParagraphFont"/>
    <w:uiPriority w:val="21"/>
    <w:qFormat/>
    <w:rsid w:val="009176FB"/>
    <w:rPr>
      <w:i/>
      <w:iCs/>
      <w:color w:val="0F4761" w:themeColor="accent1" w:themeShade="BF"/>
    </w:rPr>
  </w:style>
  <w:style w:type="paragraph" w:styleId="IntenseQuote">
    <w:name w:val="Intense Quote"/>
    <w:basedOn w:val="Normal"/>
    <w:next w:val="Normal"/>
    <w:link w:val="IntenseQuoteChar"/>
    <w:uiPriority w:val="30"/>
    <w:qFormat/>
    <w:rsid w:val="009176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6FB"/>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9176FB"/>
    <w:rPr>
      <w:b/>
      <w:bCs/>
      <w:smallCaps/>
      <w:color w:val="0F4761" w:themeColor="accent1" w:themeShade="BF"/>
      <w:spacing w:val="5"/>
    </w:rPr>
  </w:style>
  <w:style w:type="paragraph" w:styleId="Header">
    <w:name w:val="header"/>
    <w:basedOn w:val="Normal"/>
    <w:link w:val="HeaderChar"/>
    <w:uiPriority w:val="99"/>
    <w:unhideWhenUsed/>
    <w:rsid w:val="00530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674"/>
    <w:rPr>
      <w:rFonts w:ascii="Times New Roman" w:hAnsi="Times New Roman"/>
      <w:color w:val="000000" w:themeColor="text1"/>
      <w:lang w:val="en-GB"/>
    </w:rPr>
  </w:style>
  <w:style w:type="paragraph" w:styleId="Footer">
    <w:name w:val="footer"/>
    <w:basedOn w:val="Normal"/>
    <w:link w:val="FooterChar"/>
    <w:uiPriority w:val="99"/>
    <w:unhideWhenUsed/>
    <w:rsid w:val="00530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674"/>
    <w:rPr>
      <w:rFonts w:ascii="Times New Roman" w:hAnsi="Times New Roman"/>
      <w:color w:val="000000" w:themeColor="text1"/>
      <w:lang w:val="en-GB"/>
    </w:rPr>
  </w:style>
  <w:style w:type="paragraph" w:styleId="TOCHeading">
    <w:name w:val="TOC Heading"/>
    <w:basedOn w:val="Heading1"/>
    <w:next w:val="Normal"/>
    <w:uiPriority w:val="39"/>
    <w:unhideWhenUsed/>
    <w:qFormat/>
    <w:rsid w:val="004641F8"/>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4641F8"/>
    <w:pPr>
      <w:spacing w:after="100"/>
    </w:pPr>
  </w:style>
  <w:style w:type="paragraph" w:styleId="TOC2">
    <w:name w:val="toc 2"/>
    <w:basedOn w:val="Normal"/>
    <w:next w:val="Normal"/>
    <w:autoRedefine/>
    <w:uiPriority w:val="39"/>
    <w:unhideWhenUsed/>
    <w:rsid w:val="004641F8"/>
    <w:pPr>
      <w:spacing w:after="100"/>
      <w:ind w:left="240"/>
    </w:pPr>
  </w:style>
  <w:style w:type="character" w:styleId="Hyperlink">
    <w:name w:val="Hyperlink"/>
    <w:basedOn w:val="DefaultParagraphFont"/>
    <w:uiPriority w:val="99"/>
    <w:unhideWhenUsed/>
    <w:rsid w:val="004641F8"/>
    <w:rPr>
      <w:color w:val="467886" w:themeColor="hyperlink"/>
      <w:u w:val="single"/>
    </w:rPr>
  </w:style>
  <w:style w:type="character" w:styleId="UnresolvedMention">
    <w:name w:val="Unresolved Mention"/>
    <w:basedOn w:val="DefaultParagraphFont"/>
    <w:uiPriority w:val="99"/>
    <w:semiHidden/>
    <w:unhideWhenUsed/>
    <w:rsid w:val="009C1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urnals.sagepub.com/doi/abs/10.1177/2632352425141328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dpi.com/1660-4601/19/3/178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mc.ncbi.nlm.nih.gov/articles/PMC1165316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nlinelibrary.wiley.com/doi/abs/10.1111/jocn.16924" TargetMode="External"/><Relationship Id="rId5" Type="http://schemas.microsoft.com/office/2006/relationships/appleAddrBookGroups" Target="appleAddrBookGroups1.bin"/><Relationship Id="rId15" Type="http://schemas.openxmlformats.org/officeDocument/2006/relationships/hyperlink" Target="https://onlinelibrary.wiley.com/doi/abs/10.1111/1475-6773.14016" TargetMode="External"/><Relationship Id="rId10" Type="http://schemas.openxmlformats.org/officeDocument/2006/relationships/hyperlink" Target="https://pmc.ncbi.nlm.nih.gov/articles/PMC1276725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dfs.semanticscholar.org/0756/c5c036d2c60de383189f7b3d5aab7098ac23.pdf" TargetMode="External"/><Relationship Id="rId14" Type="http://schemas.openxmlformats.org/officeDocument/2006/relationships/hyperlink" Target="https://journals.sagepub.com/doi/abs/10.1177/2382120524125732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F9BCA-59DD-42E7-A0F2-4B8D7D18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Osazee Iyamu (2438257)</cp:lastModifiedBy>
  <cp:revision>2</cp:revision>
  <dcterms:created xsi:type="dcterms:W3CDTF">2026-04-30T08:05:00Z</dcterms:created>
  <dcterms:modified xsi:type="dcterms:W3CDTF">2026-04-30T08:05:00Z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c0925b9b-8f60-46a4-a423-284db1cdcfe1</vt:lpwstr>
  </property>
</Properties>
</file>