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09BDBB0" w14:textId="77777777" w:rsidR="007A2EF9" w:rsidRDefault="007A2EF9" w:rsidP="00B5737C">
      <w:pPr>
        <w:jc w:val="center"/>
        <w:rPr>
          <w:rFonts w:ascii="Century Gothic" w:hAnsi="Century Gothic"/>
          <w:sz w:val="40"/>
          <w:szCs w:val="40"/>
        </w:rPr>
      </w:pPr>
    </w:p>
    <w:p w14:paraId="5265FE91" w14:textId="77777777" w:rsidR="00074F48" w:rsidRDefault="00074F48" w:rsidP="00B5737C">
      <w:pPr>
        <w:jc w:val="center"/>
        <w:rPr>
          <w:rFonts w:ascii="Century Gothic" w:hAnsi="Century Gothic"/>
          <w:sz w:val="40"/>
          <w:szCs w:val="40"/>
        </w:rPr>
      </w:pPr>
    </w:p>
    <w:p w14:paraId="6B33A29B" w14:textId="77777777" w:rsidR="003C1020" w:rsidRDefault="003C1020" w:rsidP="00B5737C">
      <w:pPr>
        <w:jc w:val="center"/>
        <w:rPr>
          <w:rFonts w:ascii="Century Gothic" w:hAnsi="Century Gothic"/>
          <w:sz w:val="40"/>
          <w:szCs w:val="40"/>
        </w:rPr>
      </w:pPr>
    </w:p>
    <w:p w14:paraId="1B96E134" w14:textId="77777777" w:rsidR="007A2EF9" w:rsidRDefault="007A2EF9" w:rsidP="00B5737C">
      <w:pPr>
        <w:jc w:val="center"/>
        <w:rPr>
          <w:rFonts w:ascii="Century Gothic" w:hAnsi="Century Gothic"/>
          <w:sz w:val="40"/>
          <w:szCs w:val="40"/>
        </w:rPr>
      </w:pPr>
    </w:p>
    <w:p w14:paraId="6C804C87" w14:textId="77777777" w:rsidR="007A2EF9" w:rsidRDefault="007A2EF9" w:rsidP="00B5737C">
      <w:pPr>
        <w:jc w:val="center"/>
        <w:rPr>
          <w:rFonts w:ascii="Century Gothic" w:hAnsi="Century Gothic"/>
          <w:sz w:val="40"/>
          <w:szCs w:val="40"/>
        </w:rPr>
      </w:pPr>
    </w:p>
    <w:p w14:paraId="09B4EE1C" w14:textId="77777777" w:rsidR="00C71BAE" w:rsidRDefault="00C71BAE" w:rsidP="00B5737C">
      <w:pPr>
        <w:jc w:val="center"/>
        <w:rPr>
          <w:rFonts w:ascii="Century Gothic" w:hAnsi="Century Gothic"/>
          <w:sz w:val="40"/>
          <w:szCs w:val="40"/>
        </w:rPr>
      </w:pPr>
    </w:p>
    <w:p w14:paraId="7A416A3F" w14:textId="38FCC69E" w:rsidR="00AA5D88" w:rsidRDefault="003045AF" w:rsidP="00B5737C">
      <w:pPr>
        <w:jc w:val="center"/>
        <w:rPr>
          <w:rFonts w:ascii="Century Gothic" w:hAnsi="Century Gothic"/>
          <w:b/>
          <w:bCs/>
          <w:sz w:val="40"/>
          <w:szCs w:val="40"/>
        </w:rPr>
      </w:pPr>
      <w:r w:rsidRPr="007A2EF9">
        <w:rPr>
          <w:rFonts w:ascii="Century Gothic" w:hAnsi="Century Gothic"/>
          <w:sz w:val="40"/>
          <w:szCs w:val="40"/>
        </w:rPr>
        <w:t xml:space="preserve">Case Study Analysis </w:t>
      </w:r>
      <w:r w:rsidR="00C32EBC" w:rsidRPr="007A2EF9">
        <w:rPr>
          <w:rFonts w:ascii="Century Gothic" w:hAnsi="Century Gothic"/>
          <w:sz w:val="40"/>
          <w:szCs w:val="40"/>
        </w:rPr>
        <w:t>of Diversity and Inclusivity in the Workplace</w:t>
      </w:r>
      <w:r w:rsidR="00B5737C" w:rsidRPr="007A2EF9">
        <w:rPr>
          <w:rFonts w:ascii="Century Gothic" w:hAnsi="Century Gothic"/>
          <w:sz w:val="40"/>
          <w:szCs w:val="40"/>
        </w:rPr>
        <w:t xml:space="preserve">: </w:t>
      </w:r>
      <w:r w:rsidR="00E332D5" w:rsidRPr="007A2EF9">
        <w:rPr>
          <w:rFonts w:ascii="Century Gothic" w:hAnsi="Century Gothic"/>
          <w:b/>
          <w:bCs/>
          <w:sz w:val="40"/>
          <w:szCs w:val="40"/>
        </w:rPr>
        <w:t>Deloitte</w:t>
      </w:r>
    </w:p>
    <w:p w14:paraId="1B07643A" w14:textId="27930DCD" w:rsidR="007A2EF9" w:rsidRDefault="000E54BF" w:rsidP="00B5737C">
      <w:pPr>
        <w:jc w:val="center"/>
        <w:rPr>
          <w:rFonts w:ascii="Century Gothic" w:hAnsi="Century Gothic"/>
          <w:sz w:val="32"/>
          <w:szCs w:val="32"/>
        </w:rPr>
      </w:pPr>
      <w:r w:rsidRPr="00C71BAE">
        <w:rPr>
          <w:rFonts w:ascii="Century Gothic" w:hAnsi="Century Gothic"/>
          <w:sz w:val="32"/>
          <w:szCs w:val="32"/>
        </w:rPr>
        <w:t xml:space="preserve">By Alyssia Frampton, 2327857, </w:t>
      </w:r>
      <w:r w:rsidR="00BE79BA" w:rsidRPr="00C71BAE">
        <w:rPr>
          <w:rFonts w:ascii="Century Gothic" w:hAnsi="Century Gothic"/>
          <w:sz w:val="32"/>
          <w:szCs w:val="32"/>
        </w:rPr>
        <w:t>BMSP5020</w:t>
      </w:r>
    </w:p>
    <w:p w14:paraId="25FD369B" w14:textId="4C5B8CCA" w:rsidR="00B65602" w:rsidRDefault="00FC5CF3" w:rsidP="00B5737C">
      <w:pPr>
        <w:jc w:val="center"/>
        <w:rPr>
          <w:rFonts w:ascii="Century Gothic" w:hAnsi="Century Gothic"/>
          <w:sz w:val="32"/>
          <w:szCs w:val="32"/>
        </w:rPr>
      </w:pPr>
      <w:r>
        <w:rPr>
          <w:rFonts w:ascii="Century Gothic" w:hAnsi="Century Gothic"/>
          <w:sz w:val="32"/>
          <w:szCs w:val="32"/>
        </w:rPr>
        <w:t>Word Count: 3298</w:t>
      </w:r>
    </w:p>
    <w:p w14:paraId="605D52C7" w14:textId="77777777" w:rsidR="00B65602" w:rsidRDefault="00B65602" w:rsidP="00B5737C">
      <w:pPr>
        <w:jc w:val="center"/>
        <w:rPr>
          <w:rFonts w:ascii="Century Gothic" w:hAnsi="Century Gothic"/>
          <w:sz w:val="32"/>
          <w:szCs w:val="32"/>
        </w:rPr>
      </w:pPr>
    </w:p>
    <w:p w14:paraId="0E2E6DE7" w14:textId="77777777" w:rsidR="00B65602" w:rsidRDefault="00B65602" w:rsidP="00B5737C">
      <w:pPr>
        <w:jc w:val="center"/>
        <w:rPr>
          <w:rFonts w:ascii="Century Gothic" w:hAnsi="Century Gothic"/>
          <w:sz w:val="32"/>
          <w:szCs w:val="32"/>
        </w:rPr>
      </w:pPr>
    </w:p>
    <w:p w14:paraId="3EE86339" w14:textId="77777777" w:rsidR="00B65602" w:rsidRDefault="00B65602" w:rsidP="00B5737C">
      <w:pPr>
        <w:jc w:val="center"/>
        <w:rPr>
          <w:rFonts w:ascii="Century Gothic" w:hAnsi="Century Gothic"/>
          <w:sz w:val="32"/>
          <w:szCs w:val="32"/>
        </w:rPr>
      </w:pPr>
    </w:p>
    <w:p w14:paraId="71D01594" w14:textId="77777777" w:rsidR="00B65602" w:rsidRDefault="00B65602" w:rsidP="00B5737C">
      <w:pPr>
        <w:jc w:val="center"/>
        <w:rPr>
          <w:rFonts w:ascii="Century Gothic" w:hAnsi="Century Gothic"/>
          <w:sz w:val="32"/>
          <w:szCs w:val="32"/>
        </w:rPr>
      </w:pPr>
    </w:p>
    <w:p w14:paraId="56CDCEBC" w14:textId="77777777" w:rsidR="00B65602" w:rsidRDefault="00B65602" w:rsidP="00B5737C">
      <w:pPr>
        <w:jc w:val="center"/>
        <w:rPr>
          <w:rFonts w:ascii="Century Gothic" w:hAnsi="Century Gothic"/>
          <w:sz w:val="32"/>
          <w:szCs w:val="32"/>
        </w:rPr>
      </w:pPr>
    </w:p>
    <w:p w14:paraId="5DF0F533" w14:textId="77777777" w:rsidR="00B65602" w:rsidRDefault="00B65602" w:rsidP="00B5737C">
      <w:pPr>
        <w:jc w:val="center"/>
        <w:rPr>
          <w:rFonts w:ascii="Century Gothic" w:hAnsi="Century Gothic"/>
          <w:sz w:val="32"/>
          <w:szCs w:val="32"/>
        </w:rPr>
      </w:pPr>
    </w:p>
    <w:p w14:paraId="70D8CDB8" w14:textId="77777777" w:rsidR="00B65602" w:rsidRDefault="00B65602" w:rsidP="00B5737C">
      <w:pPr>
        <w:jc w:val="center"/>
        <w:rPr>
          <w:rFonts w:ascii="Century Gothic" w:hAnsi="Century Gothic"/>
          <w:sz w:val="32"/>
          <w:szCs w:val="32"/>
        </w:rPr>
      </w:pPr>
    </w:p>
    <w:p w14:paraId="1A278602" w14:textId="77777777" w:rsidR="00B65602" w:rsidRDefault="00B65602" w:rsidP="00B5737C">
      <w:pPr>
        <w:jc w:val="center"/>
        <w:rPr>
          <w:rFonts w:ascii="Century Gothic" w:hAnsi="Century Gothic"/>
          <w:sz w:val="32"/>
          <w:szCs w:val="32"/>
        </w:rPr>
      </w:pPr>
    </w:p>
    <w:p w14:paraId="0E116F13" w14:textId="77777777" w:rsidR="00B65602" w:rsidRDefault="00B65602" w:rsidP="00B5737C">
      <w:pPr>
        <w:jc w:val="center"/>
        <w:rPr>
          <w:rFonts w:ascii="Century Gothic" w:hAnsi="Century Gothic"/>
          <w:sz w:val="32"/>
          <w:szCs w:val="32"/>
        </w:rPr>
      </w:pPr>
    </w:p>
    <w:p w14:paraId="7AB097F5" w14:textId="77777777" w:rsidR="00B65602" w:rsidRDefault="00B65602" w:rsidP="00B5737C">
      <w:pPr>
        <w:jc w:val="center"/>
        <w:rPr>
          <w:rFonts w:ascii="Century Gothic" w:hAnsi="Century Gothic"/>
          <w:sz w:val="32"/>
          <w:szCs w:val="32"/>
        </w:rPr>
      </w:pPr>
    </w:p>
    <w:p w14:paraId="56F04B34" w14:textId="77777777" w:rsidR="003311BD" w:rsidRDefault="003311BD" w:rsidP="00B5737C">
      <w:pPr>
        <w:jc w:val="center"/>
        <w:rPr>
          <w:rFonts w:ascii="Century Gothic" w:hAnsi="Century Gothic"/>
          <w:sz w:val="32"/>
          <w:szCs w:val="32"/>
        </w:rPr>
      </w:pPr>
    </w:p>
    <w:p w14:paraId="30117D10" w14:textId="00EB1E26" w:rsidR="00B65602" w:rsidRDefault="00B65602" w:rsidP="003311BD">
      <w:pPr>
        <w:rPr>
          <w:rFonts w:ascii="Century Gothic" w:hAnsi="Century Gothic"/>
          <w:sz w:val="32"/>
          <w:szCs w:val="32"/>
        </w:rPr>
      </w:pPr>
      <w:r>
        <w:rPr>
          <w:rFonts w:ascii="Century Gothic" w:hAnsi="Century Gothic"/>
          <w:sz w:val="32"/>
          <w:szCs w:val="32"/>
        </w:rPr>
        <w:lastRenderedPageBreak/>
        <w:t>Contents: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E332D5" w:rsidRPr="00E332D5" w14:paraId="4B567D81" w14:textId="77777777" w:rsidTr="00E332D5">
        <w:tc>
          <w:tcPr>
            <w:tcW w:w="4508" w:type="dxa"/>
          </w:tcPr>
          <w:p w14:paraId="1751A687" w14:textId="2EF37EE6" w:rsidR="00E332D5" w:rsidRPr="00E332D5" w:rsidRDefault="00E332D5" w:rsidP="003311BD">
            <w:pPr>
              <w:rPr>
                <w:rFonts w:ascii="Century Gothic" w:hAnsi="Century Gothic"/>
                <w:sz w:val="28"/>
                <w:szCs w:val="28"/>
              </w:rPr>
            </w:pPr>
            <w:r w:rsidRPr="00E332D5">
              <w:rPr>
                <w:rFonts w:ascii="Century Gothic" w:hAnsi="Century Gothic"/>
                <w:sz w:val="28"/>
                <w:szCs w:val="28"/>
              </w:rPr>
              <w:t xml:space="preserve">Introduction </w:t>
            </w:r>
          </w:p>
        </w:tc>
        <w:tc>
          <w:tcPr>
            <w:tcW w:w="4508" w:type="dxa"/>
          </w:tcPr>
          <w:p w14:paraId="326E44E9" w14:textId="4EABF692" w:rsidR="00E332D5" w:rsidRPr="00E332D5" w:rsidRDefault="00B43E5F" w:rsidP="00B43E5F">
            <w:pPr>
              <w:jc w:val="center"/>
              <w:rPr>
                <w:rFonts w:ascii="Century Gothic" w:hAnsi="Century Gothic"/>
                <w:sz w:val="28"/>
                <w:szCs w:val="28"/>
              </w:rPr>
            </w:pPr>
            <w:r>
              <w:rPr>
                <w:rFonts w:ascii="Century Gothic" w:hAnsi="Century Gothic"/>
                <w:sz w:val="28"/>
                <w:szCs w:val="28"/>
              </w:rPr>
              <w:t>3</w:t>
            </w:r>
          </w:p>
        </w:tc>
      </w:tr>
      <w:tr w:rsidR="00E332D5" w:rsidRPr="00B43E5F" w14:paraId="582B739B" w14:textId="77777777" w:rsidTr="00E332D5">
        <w:tc>
          <w:tcPr>
            <w:tcW w:w="4508" w:type="dxa"/>
          </w:tcPr>
          <w:p w14:paraId="5019960E" w14:textId="56D677AC" w:rsidR="00E332D5" w:rsidRPr="00B43E5F" w:rsidRDefault="00E332D5" w:rsidP="00E332D5">
            <w:pPr>
              <w:pStyle w:val="ListParagraph"/>
              <w:numPr>
                <w:ilvl w:val="1"/>
                <w:numId w:val="29"/>
              </w:numPr>
              <w:rPr>
                <w:rFonts w:ascii="Century Gothic" w:hAnsi="Century Gothic"/>
                <w:b/>
                <w:bCs/>
                <w:sz w:val="28"/>
                <w:szCs w:val="28"/>
              </w:rPr>
            </w:pPr>
            <w:r w:rsidRPr="00B43E5F">
              <w:rPr>
                <w:rFonts w:ascii="Century Gothic" w:hAnsi="Century Gothic"/>
                <w:b/>
                <w:bCs/>
                <w:sz w:val="28"/>
                <w:szCs w:val="28"/>
              </w:rPr>
              <w:t>Case Study Selection</w:t>
            </w:r>
          </w:p>
        </w:tc>
        <w:tc>
          <w:tcPr>
            <w:tcW w:w="4508" w:type="dxa"/>
          </w:tcPr>
          <w:p w14:paraId="009E68E9" w14:textId="361F1821" w:rsidR="00E332D5" w:rsidRPr="00B43E5F" w:rsidRDefault="00B43E5F" w:rsidP="00B43E5F">
            <w:pPr>
              <w:jc w:val="center"/>
              <w:rPr>
                <w:rFonts w:ascii="Century Gothic" w:hAnsi="Century Gothic"/>
                <w:b/>
                <w:bCs/>
                <w:sz w:val="28"/>
                <w:szCs w:val="28"/>
              </w:rPr>
            </w:pPr>
            <w:r w:rsidRPr="00B43E5F">
              <w:rPr>
                <w:rFonts w:ascii="Century Gothic" w:hAnsi="Century Gothic"/>
                <w:b/>
                <w:bCs/>
                <w:sz w:val="28"/>
                <w:szCs w:val="28"/>
              </w:rPr>
              <w:t>4</w:t>
            </w:r>
          </w:p>
        </w:tc>
      </w:tr>
      <w:tr w:rsidR="00212E51" w:rsidRPr="00E332D5" w14:paraId="5372780F" w14:textId="77777777" w:rsidTr="00E332D5">
        <w:tc>
          <w:tcPr>
            <w:tcW w:w="4508" w:type="dxa"/>
          </w:tcPr>
          <w:p w14:paraId="25FF9419" w14:textId="026556EE" w:rsidR="00212E51" w:rsidRPr="00E332D5" w:rsidRDefault="001375BA" w:rsidP="003311BD">
            <w:pPr>
              <w:rPr>
                <w:rFonts w:ascii="Century Gothic" w:hAnsi="Century Gothic"/>
                <w:sz w:val="28"/>
                <w:szCs w:val="28"/>
              </w:rPr>
            </w:pPr>
            <w:r>
              <w:rPr>
                <w:rFonts w:ascii="Century Gothic" w:hAnsi="Century Gothic"/>
                <w:sz w:val="28"/>
                <w:szCs w:val="28"/>
              </w:rPr>
              <w:t>1.1 Deloitte Choice Reasoning</w:t>
            </w:r>
          </w:p>
        </w:tc>
        <w:tc>
          <w:tcPr>
            <w:tcW w:w="4508" w:type="dxa"/>
          </w:tcPr>
          <w:p w14:paraId="58E139C7" w14:textId="61ED82B4" w:rsidR="00212E51" w:rsidRPr="00E332D5" w:rsidRDefault="00B43E5F" w:rsidP="00B43E5F">
            <w:pPr>
              <w:jc w:val="center"/>
              <w:rPr>
                <w:rFonts w:ascii="Century Gothic" w:hAnsi="Century Gothic"/>
                <w:sz w:val="28"/>
                <w:szCs w:val="28"/>
              </w:rPr>
            </w:pPr>
            <w:r>
              <w:rPr>
                <w:rFonts w:ascii="Century Gothic" w:hAnsi="Century Gothic"/>
                <w:sz w:val="28"/>
                <w:szCs w:val="28"/>
              </w:rPr>
              <w:t>4</w:t>
            </w:r>
          </w:p>
        </w:tc>
      </w:tr>
      <w:tr w:rsidR="00E332D5" w:rsidRPr="00E332D5" w14:paraId="69BBA2EA" w14:textId="77777777" w:rsidTr="00E332D5">
        <w:tc>
          <w:tcPr>
            <w:tcW w:w="4508" w:type="dxa"/>
          </w:tcPr>
          <w:p w14:paraId="15FEEDA9" w14:textId="21C5F708" w:rsidR="00E332D5" w:rsidRPr="00E332D5" w:rsidRDefault="00E332D5" w:rsidP="003311BD">
            <w:pPr>
              <w:rPr>
                <w:rFonts w:ascii="Century Gothic" w:hAnsi="Century Gothic"/>
                <w:sz w:val="28"/>
                <w:szCs w:val="28"/>
              </w:rPr>
            </w:pPr>
            <w:r w:rsidRPr="00E332D5">
              <w:rPr>
                <w:rFonts w:ascii="Century Gothic" w:hAnsi="Century Gothic"/>
                <w:sz w:val="28"/>
                <w:szCs w:val="28"/>
              </w:rPr>
              <w:t>1.</w:t>
            </w:r>
            <w:r w:rsidR="001375BA">
              <w:rPr>
                <w:rFonts w:ascii="Century Gothic" w:hAnsi="Century Gothic"/>
                <w:sz w:val="28"/>
                <w:szCs w:val="28"/>
              </w:rPr>
              <w:t>2</w:t>
            </w:r>
            <w:r w:rsidRPr="00E332D5">
              <w:rPr>
                <w:rFonts w:ascii="Century Gothic" w:hAnsi="Century Gothic"/>
                <w:sz w:val="28"/>
                <w:szCs w:val="28"/>
              </w:rPr>
              <w:t xml:space="preserve"> Deloitte</w:t>
            </w:r>
            <w:r w:rsidR="00212E51">
              <w:rPr>
                <w:rFonts w:ascii="Century Gothic" w:hAnsi="Century Gothic"/>
                <w:sz w:val="28"/>
                <w:szCs w:val="28"/>
              </w:rPr>
              <w:t xml:space="preserve"> History</w:t>
            </w:r>
          </w:p>
        </w:tc>
        <w:tc>
          <w:tcPr>
            <w:tcW w:w="4508" w:type="dxa"/>
          </w:tcPr>
          <w:p w14:paraId="6FF01DFF" w14:textId="6FBC0FA0" w:rsidR="00E332D5" w:rsidRPr="00E332D5" w:rsidRDefault="00B43E5F" w:rsidP="00B43E5F">
            <w:pPr>
              <w:jc w:val="center"/>
              <w:rPr>
                <w:rFonts w:ascii="Century Gothic" w:hAnsi="Century Gothic"/>
                <w:sz w:val="28"/>
                <w:szCs w:val="28"/>
              </w:rPr>
            </w:pPr>
            <w:r>
              <w:rPr>
                <w:rFonts w:ascii="Century Gothic" w:hAnsi="Century Gothic"/>
                <w:sz w:val="28"/>
                <w:szCs w:val="28"/>
              </w:rPr>
              <w:t>4</w:t>
            </w:r>
          </w:p>
        </w:tc>
      </w:tr>
      <w:tr w:rsidR="00E332D5" w:rsidRPr="00B43E5F" w14:paraId="3C226E6C" w14:textId="77777777" w:rsidTr="00E332D5">
        <w:tc>
          <w:tcPr>
            <w:tcW w:w="4508" w:type="dxa"/>
          </w:tcPr>
          <w:p w14:paraId="5E65DEC5" w14:textId="139064BD" w:rsidR="00E332D5" w:rsidRPr="00B43E5F" w:rsidRDefault="00E332D5" w:rsidP="00E332D5">
            <w:pPr>
              <w:pStyle w:val="ListParagraph"/>
              <w:numPr>
                <w:ilvl w:val="1"/>
                <w:numId w:val="29"/>
              </w:numPr>
              <w:rPr>
                <w:rFonts w:ascii="Century Gothic" w:hAnsi="Century Gothic"/>
                <w:b/>
                <w:bCs/>
                <w:sz w:val="28"/>
                <w:szCs w:val="28"/>
              </w:rPr>
            </w:pPr>
            <w:r w:rsidRPr="00B43E5F">
              <w:rPr>
                <w:rFonts w:ascii="Century Gothic" w:hAnsi="Century Gothic"/>
                <w:b/>
                <w:bCs/>
                <w:sz w:val="28"/>
                <w:szCs w:val="28"/>
              </w:rPr>
              <w:t xml:space="preserve">Analysis of Diversity and Inclusivity Practices </w:t>
            </w:r>
          </w:p>
        </w:tc>
        <w:tc>
          <w:tcPr>
            <w:tcW w:w="4508" w:type="dxa"/>
          </w:tcPr>
          <w:p w14:paraId="05201DC3" w14:textId="1CB05DF8" w:rsidR="00E332D5" w:rsidRPr="00B43E5F" w:rsidRDefault="00B43E5F" w:rsidP="00B43E5F">
            <w:pPr>
              <w:jc w:val="center"/>
              <w:rPr>
                <w:rFonts w:ascii="Century Gothic" w:hAnsi="Century Gothic"/>
                <w:b/>
                <w:bCs/>
                <w:sz w:val="28"/>
                <w:szCs w:val="28"/>
              </w:rPr>
            </w:pPr>
            <w:r w:rsidRPr="00B43E5F">
              <w:rPr>
                <w:rFonts w:ascii="Century Gothic" w:hAnsi="Century Gothic"/>
                <w:b/>
                <w:bCs/>
                <w:sz w:val="28"/>
                <w:szCs w:val="28"/>
              </w:rPr>
              <w:t>5</w:t>
            </w:r>
          </w:p>
        </w:tc>
      </w:tr>
      <w:tr w:rsidR="00E332D5" w:rsidRPr="00E332D5" w14:paraId="3CD6FB87" w14:textId="77777777" w:rsidTr="00E332D5">
        <w:tc>
          <w:tcPr>
            <w:tcW w:w="4508" w:type="dxa"/>
          </w:tcPr>
          <w:p w14:paraId="0FF30200" w14:textId="5FE516DA" w:rsidR="00E332D5" w:rsidRPr="00E332D5" w:rsidRDefault="00E332D5" w:rsidP="003311BD">
            <w:pPr>
              <w:rPr>
                <w:rFonts w:ascii="Century Gothic" w:hAnsi="Century Gothic"/>
                <w:sz w:val="28"/>
                <w:szCs w:val="28"/>
              </w:rPr>
            </w:pPr>
            <w:r w:rsidRPr="00E332D5">
              <w:rPr>
                <w:rFonts w:ascii="Century Gothic" w:hAnsi="Century Gothic"/>
                <w:sz w:val="28"/>
                <w:szCs w:val="28"/>
              </w:rPr>
              <w:t>2.1 Key Initiatives</w:t>
            </w:r>
          </w:p>
        </w:tc>
        <w:tc>
          <w:tcPr>
            <w:tcW w:w="4508" w:type="dxa"/>
          </w:tcPr>
          <w:p w14:paraId="78A06887" w14:textId="3511BBB3" w:rsidR="00E332D5" w:rsidRPr="00E332D5" w:rsidRDefault="00B43E5F" w:rsidP="00B43E5F">
            <w:pPr>
              <w:jc w:val="center"/>
              <w:rPr>
                <w:rFonts w:ascii="Century Gothic" w:hAnsi="Century Gothic"/>
                <w:sz w:val="28"/>
                <w:szCs w:val="28"/>
              </w:rPr>
            </w:pPr>
            <w:r>
              <w:rPr>
                <w:rFonts w:ascii="Century Gothic" w:hAnsi="Century Gothic"/>
                <w:sz w:val="28"/>
                <w:szCs w:val="28"/>
              </w:rPr>
              <w:t>5</w:t>
            </w:r>
          </w:p>
        </w:tc>
      </w:tr>
      <w:tr w:rsidR="00E332D5" w:rsidRPr="00E332D5" w14:paraId="4E223EF2" w14:textId="77777777" w:rsidTr="00E332D5">
        <w:tc>
          <w:tcPr>
            <w:tcW w:w="4508" w:type="dxa"/>
          </w:tcPr>
          <w:p w14:paraId="1E7C46E2" w14:textId="6363DCD3" w:rsidR="00E332D5" w:rsidRPr="00E332D5" w:rsidRDefault="00E332D5" w:rsidP="003311BD">
            <w:pPr>
              <w:rPr>
                <w:rFonts w:ascii="Century Gothic" w:hAnsi="Century Gothic"/>
                <w:sz w:val="28"/>
                <w:szCs w:val="28"/>
              </w:rPr>
            </w:pPr>
            <w:r w:rsidRPr="00E332D5">
              <w:rPr>
                <w:rFonts w:ascii="Century Gothic" w:hAnsi="Century Gothic"/>
                <w:sz w:val="28"/>
                <w:szCs w:val="28"/>
              </w:rPr>
              <w:t xml:space="preserve">2.2 Critical Analysis </w:t>
            </w:r>
          </w:p>
        </w:tc>
        <w:tc>
          <w:tcPr>
            <w:tcW w:w="4508" w:type="dxa"/>
          </w:tcPr>
          <w:p w14:paraId="20B8019A" w14:textId="045A9C3F" w:rsidR="00E332D5" w:rsidRPr="00E332D5" w:rsidRDefault="00B43E5F" w:rsidP="00B43E5F">
            <w:pPr>
              <w:jc w:val="center"/>
              <w:rPr>
                <w:rFonts w:ascii="Century Gothic" w:hAnsi="Century Gothic"/>
                <w:sz w:val="28"/>
                <w:szCs w:val="28"/>
              </w:rPr>
            </w:pPr>
            <w:r>
              <w:rPr>
                <w:rFonts w:ascii="Century Gothic" w:hAnsi="Century Gothic"/>
                <w:sz w:val="28"/>
                <w:szCs w:val="28"/>
              </w:rPr>
              <w:t>8</w:t>
            </w:r>
          </w:p>
        </w:tc>
      </w:tr>
      <w:tr w:rsidR="00E332D5" w:rsidRPr="00E332D5" w14:paraId="2DD7397E" w14:textId="77777777" w:rsidTr="00E332D5">
        <w:tc>
          <w:tcPr>
            <w:tcW w:w="4508" w:type="dxa"/>
          </w:tcPr>
          <w:p w14:paraId="12D5A721" w14:textId="1BA62673" w:rsidR="00E332D5" w:rsidRPr="00E332D5" w:rsidRDefault="00E332D5" w:rsidP="003311BD">
            <w:pPr>
              <w:rPr>
                <w:rFonts w:ascii="Century Gothic" w:hAnsi="Century Gothic"/>
                <w:sz w:val="28"/>
                <w:szCs w:val="28"/>
              </w:rPr>
            </w:pPr>
            <w:r w:rsidRPr="00E332D5">
              <w:rPr>
                <w:rFonts w:ascii="Century Gothic" w:hAnsi="Century Gothic"/>
                <w:sz w:val="28"/>
                <w:szCs w:val="28"/>
              </w:rPr>
              <w:t xml:space="preserve">2.3 Context Alignment </w:t>
            </w:r>
          </w:p>
        </w:tc>
        <w:tc>
          <w:tcPr>
            <w:tcW w:w="4508" w:type="dxa"/>
          </w:tcPr>
          <w:p w14:paraId="29794EF8" w14:textId="30FDBACA" w:rsidR="00E332D5" w:rsidRPr="00E332D5" w:rsidRDefault="00B43E5F" w:rsidP="00B43E5F">
            <w:pPr>
              <w:jc w:val="center"/>
              <w:rPr>
                <w:rFonts w:ascii="Century Gothic" w:hAnsi="Century Gothic"/>
                <w:sz w:val="28"/>
                <w:szCs w:val="28"/>
              </w:rPr>
            </w:pPr>
            <w:r>
              <w:rPr>
                <w:rFonts w:ascii="Century Gothic" w:hAnsi="Century Gothic"/>
                <w:sz w:val="28"/>
                <w:szCs w:val="28"/>
              </w:rPr>
              <w:t>1</w:t>
            </w:r>
            <w:r w:rsidR="00761480">
              <w:rPr>
                <w:rFonts w:ascii="Century Gothic" w:hAnsi="Century Gothic"/>
                <w:sz w:val="28"/>
                <w:szCs w:val="28"/>
              </w:rPr>
              <w:t>1</w:t>
            </w:r>
          </w:p>
        </w:tc>
      </w:tr>
      <w:tr w:rsidR="00E332D5" w:rsidRPr="00B43E5F" w14:paraId="398E0D79" w14:textId="77777777" w:rsidTr="00E332D5">
        <w:tc>
          <w:tcPr>
            <w:tcW w:w="4508" w:type="dxa"/>
          </w:tcPr>
          <w:p w14:paraId="34C54F7F" w14:textId="15B6B8AA" w:rsidR="00E332D5" w:rsidRPr="00B43E5F" w:rsidRDefault="00E332D5" w:rsidP="00E332D5">
            <w:pPr>
              <w:pStyle w:val="ListParagraph"/>
              <w:numPr>
                <w:ilvl w:val="1"/>
                <w:numId w:val="29"/>
              </w:numPr>
              <w:rPr>
                <w:rFonts w:ascii="Century Gothic" w:hAnsi="Century Gothic"/>
                <w:b/>
                <w:bCs/>
                <w:sz w:val="28"/>
                <w:szCs w:val="28"/>
              </w:rPr>
            </w:pPr>
            <w:r w:rsidRPr="00B43E5F">
              <w:rPr>
                <w:rFonts w:ascii="Century Gothic" w:hAnsi="Century Gothic"/>
                <w:b/>
                <w:bCs/>
                <w:sz w:val="28"/>
                <w:szCs w:val="28"/>
              </w:rPr>
              <w:t xml:space="preserve">Impact on Organisational Performance </w:t>
            </w:r>
          </w:p>
        </w:tc>
        <w:tc>
          <w:tcPr>
            <w:tcW w:w="4508" w:type="dxa"/>
          </w:tcPr>
          <w:p w14:paraId="108781DF" w14:textId="6B5F1D5E" w:rsidR="00E332D5" w:rsidRPr="00B43E5F" w:rsidRDefault="00B43E5F" w:rsidP="00B43E5F">
            <w:pPr>
              <w:jc w:val="center"/>
              <w:rPr>
                <w:rFonts w:ascii="Century Gothic" w:hAnsi="Century Gothic"/>
                <w:b/>
                <w:bCs/>
                <w:sz w:val="28"/>
                <w:szCs w:val="28"/>
              </w:rPr>
            </w:pPr>
            <w:r w:rsidRPr="00B43E5F">
              <w:rPr>
                <w:rFonts w:ascii="Century Gothic" w:hAnsi="Century Gothic"/>
                <w:b/>
                <w:bCs/>
                <w:sz w:val="28"/>
                <w:szCs w:val="28"/>
              </w:rPr>
              <w:t>1</w:t>
            </w:r>
            <w:r w:rsidR="00761480">
              <w:rPr>
                <w:rFonts w:ascii="Century Gothic" w:hAnsi="Century Gothic"/>
                <w:b/>
                <w:bCs/>
                <w:sz w:val="28"/>
                <w:szCs w:val="28"/>
              </w:rPr>
              <w:t>2</w:t>
            </w:r>
          </w:p>
        </w:tc>
      </w:tr>
      <w:tr w:rsidR="00E332D5" w:rsidRPr="00E332D5" w14:paraId="1DFEFDB5" w14:textId="77777777" w:rsidTr="00E332D5">
        <w:tc>
          <w:tcPr>
            <w:tcW w:w="4508" w:type="dxa"/>
          </w:tcPr>
          <w:p w14:paraId="19A79D0C" w14:textId="694BF92D" w:rsidR="00E332D5" w:rsidRPr="00E332D5" w:rsidRDefault="00E332D5" w:rsidP="003311BD">
            <w:pPr>
              <w:rPr>
                <w:rFonts w:ascii="Century Gothic" w:hAnsi="Century Gothic"/>
                <w:sz w:val="28"/>
                <w:szCs w:val="28"/>
              </w:rPr>
            </w:pPr>
            <w:r w:rsidRPr="00E332D5">
              <w:rPr>
                <w:rFonts w:ascii="Century Gothic" w:hAnsi="Century Gothic"/>
                <w:sz w:val="28"/>
                <w:szCs w:val="28"/>
              </w:rPr>
              <w:t>3.1 Employee Outcomes</w:t>
            </w:r>
          </w:p>
        </w:tc>
        <w:tc>
          <w:tcPr>
            <w:tcW w:w="4508" w:type="dxa"/>
          </w:tcPr>
          <w:p w14:paraId="4E4090C7" w14:textId="1D894847" w:rsidR="00E332D5" w:rsidRPr="00E332D5" w:rsidRDefault="00B43E5F" w:rsidP="00B43E5F">
            <w:pPr>
              <w:jc w:val="center"/>
              <w:rPr>
                <w:rFonts w:ascii="Century Gothic" w:hAnsi="Century Gothic"/>
                <w:sz w:val="28"/>
                <w:szCs w:val="28"/>
              </w:rPr>
            </w:pPr>
            <w:r>
              <w:rPr>
                <w:rFonts w:ascii="Century Gothic" w:hAnsi="Century Gothic"/>
                <w:sz w:val="28"/>
                <w:szCs w:val="28"/>
              </w:rPr>
              <w:t>1</w:t>
            </w:r>
            <w:r w:rsidR="00761480">
              <w:rPr>
                <w:rFonts w:ascii="Century Gothic" w:hAnsi="Century Gothic"/>
                <w:sz w:val="28"/>
                <w:szCs w:val="28"/>
              </w:rPr>
              <w:t>2</w:t>
            </w:r>
          </w:p>
        </w:tc>
      </w:tr>
      <w:tr w:rsidR="00E332D5" w:rsidRPr="00E332D5" w14:paraId="4E6B4C86" w14:textId="77777777" w:rsidTr="00E332D5">
        <w:tc>
          <w:tcPr>
            <w:tcW w:w="4508" w:type="dxa"/>
          </w:tcPr>
          <w:p w14:paraId="5A57D34E" w14:textId="7CD66978" w:rsidR="00E332D5" w:rsidRPr="00E332D5" w:rsidRDefault="00E332D5" w:rsidP="003311BD">
            <w:pPr>
              <w:rPr>
                <w:rFonts w:ascii="Century Gothic" w:hAnsi="Century Gothic"/>
                <w:sz w:val="28"/>
                <w:szCs w:val="28"/>
              </w:rPr>
            </w:pPr>
            <w:r w:rsidRPr="00E332D5">
              <w:rPr>
                <w:rFonts w:ascii="Century Gothic" w:hAnsi="Century Gothic"/>
                <w:sz w:val="28"/>
                <w:szCs w:val="28"/>
              </w:rPr>
              <w:t xml:space="preserve">3.2 Business Outcomes </w:t>
            </w:r>
          </w:p>
        </w:tc>
        <w:tc>
          <w:tcPr>
            <w:tcW w:w="4508" w:type="dxa"/>
          </w:tcPr>
          <w:p w14:paraId="76524D45" w14:textId="3033D5B3" w:rsidR="00E332D5" w:rsidRPr="00E332D5" w:rsidRDefault="00B43E5F" w:rsidP="00B43E5F">
            <w:pPr>
              <w:jc w:val="center"/>
              <w:rPr>
                <w:rFonts w:ascii="Century Gothic" w:hAnsi="Century Gothic"/>
                <w:sz w:val="28"/>
                <w:szCs w:val="28"/>
              </w:rPr>
            </w:pPr>
            <w:r>
              <w:rPr>
                <w:rFonts w:ascii="Century Gothic" w:hAnsi="Century Gothic"/>
                <w:sz w:val="28"/>
                <w:szCs w:val="28"/>
              </w:rPr>
              <w:t>1</w:t>
            </w:r>
            <w:r w:rsidR="00BC6AA7">
              <w:rPr>
                <w:rFonts w:ascii="Century Gothic" w:hAnsi="Century Gothic"/>
                <w:sz w:val="28"/>
                <w:szCs w:val="28"/>
              </w:rPr>
              <w:t>3</w:t>
            </w:r>
          </w:p>
        </w:tc>
      </w:tr>
      <w:tr w:rsidR="00E332D5" w:rsidRPr="00E332D5" w14:paraId="633974B3" w14:textId="77777777" w:rsidTr="00E332D5">
        <w:tc>
          <w:tcPr>
            <w:tcW w:w="4508" w:type="dxa"/>
          </w:tcPr>
          <w:p w14:paraId="05637F49" w14:textId="26B1B35C" w:rsidR="00E332D5" w:rsidRPr="00E332D5" w:rsidRDefault="00E332D5" w:rsidP="003311BD">
            <w:pPr>
              <w:rPr>
                <w:rFonts w:ascii="Century Gothic" w:hAnsi="Century Gothic"/>
                <w:sz w:val="28"/>
                <w:szCs w:val="28"/>
              </w:rPr>
            </w:pPr>
            <w:r w:rsidRPr="00E332D5">
              <w:rPr>
                <w:rFonts w:ascii="Century Gothic" w:hAnsi="Century Gothic"/>
                <w:sz w:val="28"/>
                <w:szCs w:val="28"/>
              </w:rPr>
              <w:t xml:space="preserve">Conclusion </w:t>
            </w:r>
          </w:p>
        </w:tc>
        <w:tc>
          <w:tcPr>
            <w:tcW w:w="4508" w:type="dxa"/>
          </w:tcPr>
          <w:p w14:paraId="5516B563" w14:textId="5FD9FFF2" w:rsidR="00E332D5" w:rsidRPr="00E332D5" w:rsidRDefault="00B43E5F" w:rsidP="00B43E5F">
            <w:pPr>
              <w:jc w:val="center"/>
              <w:rPr>
                <w:rFonts w:ascii="Century Gothic" w:hAnsi="Century Gothic"/>
                <w:sz w:val="28"/>
                <w:szCs w:val="28"/>
              </w:rPr>
            </w:pPr>
            <w:r>
              <w:rPr>
                <w:rFonts w:ascii="Century Gothic" w:hAnsi="Century Gothic"/>
                <w:sz w:val="28"/>
                <w:szCs w:val="28"/>
              </w:rPr>
              <w:t>1</w:t>
            </w:r>
            <w:r w:rsidR="00BC6AA7">
              <w:rPr>
                <w:rFonts w:ascii="Century Gothic" w:hAnsi="Century Gothic"/>
                <w:sz w:val="28"/>
                <w:szCs w:val="28"/>
              </w:rPr>
              <w:t>4</w:t>
            </w:r>
          </w:p>
        </w:tc>
      </w:tr>
      <w:tr w:rsidR="00E332D5" w:rsidRPr="00E332D5" w14:paraId="73B7AA2A" w14:textId="77777777" w:rsidTr="00E332D5">
        <w:tc>
          <w:tcPr>
            <w:tcW w:w="4508" w:type="dxa"/>
          </w:tcPr>
          <w:p w14:paraId="2E3ED9C9" w14:textId="784B8DE3" w:rsidR="00E332D5" w:rsidRPr="00E332D5" w:rsidRDefault="00E332D5" w:rsidP="003311BD">
            <w:pPr>
              <w:rPr>
                <w:rFonts w:ascii="Century Gothic" w:hAnsi="Century Gothic"/>
                <w:sz w:val="28"/>
                <w:szCs w:val="28"/>
              </w:rPr>
            </w:pPr>
            <w:r w:rsidRPr="00E332D5">
              <w:rPr>
                <w:rFonts w:ascii="Century Gothic" w:hAnsi="Century Gothic"/>
                <w:sz w:val="28"/>
                <w:szCs w:val="28"/>
              </w:rPr>
              <w:t xml:space="preserve">Recommendations </w:t>
            </w:r>
          </w:p>
        </w:tc>
        <w:tc>
          <w:tcPr>
            <w:tcW w:w="4508" w:type="dxa"/>
          </w:tcPr>
          <w:p w14:paraId="3C35B6EE" w14:textId="3CE924B2" w:rsidR="00E332D5" w:rsidRPr="00E332D5" w:rsidRDefault="00B43E5F" w:rsidP="00B43E5F">
            <w:pPr>
              <w:jc w:val="center"/>
              <w:rPr>
                <w:rFonts w:ascii="Century Gothic" w:hAnsi="Century Gothic"/>
                <w:sz w:val="28"/>
                <w:szCs w:val="28"/>
              </w:rPr>
            </w:pPr>
            <w:r>
              <w:rPr>
                <w:rFonts w:ascii="Century Gothic" w:hAnsi="Century Gothic"/>
                <w:sz w:val="28"/>
                <w:szCs w:val="28"/>
              </w:rPr>
              <w:t>1</w:t>
            </w:r>
            <w:r w:rsidR="00BC6AA7">
              <w:rPr>
                <w:rFonts w:ascii="Century Gothic" w:hAnsi="Century Gothic"/>
                <w:sz w:val="28"/>
                <w:szCs w:val="28"/>
              </w:rPr>
              <w:t>5</w:t>
            </w:r>
          </w:p>
        </w:tc>
      </w:tr>
      <w:tr w:rsidR="00E332D5" w:rsidRPr="00E332D5" w14:paraId="4B565444" w14:textId="77777777" w:rsidTr="00E332D5">
        <w:tc>
          <w:tcPr>
            <w:tcW w:w="4508" w:type="dxa"/>
          </w:tcPr>
          <w:p w14:paraId="68080810" w14:textId="39BA592D" w:rsidR="00E332D5" w:rsidRPr="00E332D5" w:rsidRDefault="00E332D5" w:rsidP="003311BD">
            <w:pPr>
              <w:rPr>
                <w:rFonts w:ascii="Century Gothic" w:hAnsi="Century Gothic"/>
                <w:sz w:val="28"/>
                <w:szCs w:val="28"/>
              </w:rPr>
            </w:pPr>
            <w:r w:rsidRPr="00E332D5">
              <w:rPr>
                <w:rFonts w:ascii="Century Gothic" w:hAnsi="Century Gothic"/>
                <w:sz w:val="28"/>
                <w:szCs w:val="28"/>
              </w:rPr>
              <w:t>References</w:t>
            </w:r>
          </w:p>
        </w:tc>
        <w:tc>
          <w:tcPr>
            <w:tcW w:w="4508" w:type="dxa"/>
          </w:tcPr>
          <w:p w14:paraId="172A42EE" w14:textId="25DB8EB5" w:rsidR="00E332D5" w:rsidRPr="00E332D5" w:rsidRDefault="00B43E5F" w:rsidP="00B43E5F">
            <w:pPr>
              <w:jc w:val="center"/>
              <w:rPr>
                <w:rFonts w:ascii="Century Gothic" w:hAnsi="Century Gothic"/>
                <w:sz w:val="28"/>
                <w:szCs w:val="28"/>
              </w:rPr>
            </w:pPr>
            <w:r>
              <w:rPr>
                <w:rFonts w:ascii="Century Gothic" w:hAnsi="Century Gothic"/>
                <w:sz w:val="28"/>
                <w:szCs w:val="28"/>
              </w:rPr>
              <w:t>1</w:t>
            </w:r>
            <w:r w:rsidR="00BC6AA7">
              <w:rPr>
                <w:rFonts w:ascii="Century Gothic" w:hAnsi="Century Gothic"/>
                <w:sz w:val="28"/>
                <w:szCs w:val="28"/>
              </w:rPr>
              <w:t>6</w:t>
            </w:r>
          </w:p>
        </w:tc>
      </w:tr>
    </w:tbl>
    <w:p w14:paraId="248571FB" w14:textId="77777777" w:rsidR="003311BD" w:rsidRDefault="003311BD" w:rsidP="003311BD">
      <w:pPr>
        <w:rPr>
          <w:rFonts w:ascii="Century Gothic" w:hAnsi="Century Gothic"/>
          <w:sz w:val="32"/>
          <w:szCs w:val="32"/>
        </w:rPr>
      </w:pPr>
    </w:p>
    <w:p w14:paraId="77402E61" w14:textId="77777777" w:rsidR="003311BD" w:rsidRDefault="003311BD" w:rsidP="003311BD">
      <w:pPr>
        <w:rPr>
          <w:rFonts w:ascii="Century Gothic" w:hAnsi="Century Gothic"/>
          <w:sz w:val="32"/>
          <w:szCs w:val="32"/>
        </w:rPr>
      </w:pPr>
    </w:p>
    <w:p w14:paraId="5DE8D994" w14:textId="77777777" w:rsidR="003311BD" w:rsidRDefault="003311BD" w:rsidP="003311BD">
      <w:pPr>
        <w:rPr>
          <w:rFonts w:ascii="Century Gothic" w:hAnsi="Century Gothic"/>
          <w:sz w:val="32"/>
          <w:szCs w:val="32"/>
        </w:rPr>
      </w:pPr>
    </w:p>
    <w:p w14:paraId="35C3AE69" w14:textId="77777777" w:rsidR="003311BD" w:rsidRDefault="003311BD" w:rsidP="003311BD">
      <w:pPr>
        <w:rPr>
          <w:rFonts w:ascii="Century Gothic" w:hAnsi="Century Gothic"/>
          <w:sz w:val="32"/>
          <w:szCs w:val="32"/>
        </w:rPr>
      </w:pPr>
    </w:p>
    <w:p w14:paraId="3305D1A2" w14:textId="77777777" w:rsidR="003311BD" w:rsidRDefault="003311BD" w:rsidP="003311BD">
      <w:pPr>
        <w:rPr>
          <w:rFonts w:ascii="Century Gothic" w:hAnsi="Century Gothic"/>
          <w:sz w:val="32"/>
          <w:szCs w:val="32"/>
        </w:rPr>
      </w:pPr>
    </w:p>
    <w:p w14:paraId="43565B94" w14:textId="77777777" w:rsidR="003311BD" w:rsidRDefault="003311BD" w:rsidP="003311BD">
      <w:pPr>
        <w:rPr>
          <w:rFonts w:ascii="Century Gothic" w:hAnsi="Century Gothic"/>
          <w:sz w:val="32"/>
          <w:szCs w:val="32"/>
        </w:rPr>
      </w:pPr>
    </w:p>
    <w:p w14:paraId="2DB922E5" w14:textId="77777777" w:rsidR="003311BD" w:rsidRDefault="003311BD" w:rsidP="003311BD">
      <w:pPr>
        <w:rPr>
          <w:rFonts w:ascii="Century Gothic" w:hAnsi="Century Gothic"/>
          <w:sz w:val="32"/>
          <w:szCs w:val="32"/>
        </w:rPr>
      </w:pPr>
    </w:p>
    <w:p w14:paraId="6DC078CF" w14:textId="77777777" w:rsidR="003311BD" w:rsidRDefault="003311BD" w:rsidP="003311BD">
      <w:pPr>
        <w:rPr>
          <w:rFonts w:ascii="Century Gothic" w:hAnsi="Century Gothic"/>
          <w:sz w:val="32"/>
          <w:szCs w:val="32"/>
        </w:rPr>
      </w:pPr>
    </w:p>
    <w:p w14:paraId="4DAE3FB0" w14:textId="77777777" w:rsidR="003311BD" w:rsidRDefault="003311BD" w:rsidP="003311BD">
      <w:pPr>
        <w:rPr>
          <w:rFonts w:ascii="Century Gothic" w:hAnsi="Century Gothic"/>
          <w:sz w:val="32"/>
          <w:szCs w:val="32"/>
        </w:rPr>
      </w:pPr>
    </w:p>
    <w:p w14:paraId="6DC874BF" w14:textId="77777777" w:rsidR="003311BD" w:rsidRDefault="003311BD" w:rsidP="003311BD">
      <w:pPr>
        <w:rPr>
          <w:rFonts w:ascii="Century Gothic" w:hAnsi="Century Gothic"/>
          <w:sz w:val="32"/>
          <w:szCs w:val="32"/>
        </w:rPr>
      </w:pPr>
    </w:p>
    <w:p w14:paraId="578D1454" w14:textId="77777777" w:rsidR="00E332D5" w:rsidRDefault="00E332D5" w:rsidP="003311BD">
      <w:pPr>
        <w:rPr>
          <w:rFonts w:ascii="Century Gothic" w:hAnsi="Century Gothic"/>
          <w:sz w:val="32"/>
          <w:szCs w:val="32"/>
        </w:rPr>
      </w:pPr>
    </w:p>
    <w:p w14:paraId="4CEAE938" w14:textId="5D7E764B" w:rsidR="003311BD" w:rsidRDefault="003311BD" w:rsidP="003311BD">
      <w:pPr>
        <w:rPr>
          <w:rFonts w:ascii="Century Gothic" w:hAnsi="Century Gothic"/>
          <w:sz w:val="32"/>
          <w:szCs w:val="32"/>
        </w:rPr>
      </w:pPr>
      <w:r>
        <w:rPr>
          <w:rFonts w:ascii="Century Gothic" w:hAnsi="Century Gothic"/>
          <w:sz w:val="32"/>
          <w:szCs w:val="32"/>
        </w:rPr>
        <w:lastRenderedPageBreak/>
        <w:t>Introduction:</w:t>
      </w:r>
    </w:p>
    <w:p w14:paraId="7FF2A888" w14:textId="2D49CFCE" w:rsidR="00B65602" w:rsidRDefault="005D18F3" w:rsidP="005D18F3">
      <w:pPr>
        <w:rPr>
          <w:rFonts w:ascii="Century Gothic" w:hAnsi="Century Gothic"/>
        </w:rPr>
      </w:pPr>
      <w:r>
        <w:rPr>
          <w:rFonts w:ascii="Century Gothic" w:hAnsi="Century Gothic"/>
        </w:rPr>
        <w:t>Diversity and inclusion have become central considerations in contemporary organisational management, reflecting the evolving expectations of employees, stakeholders, and regulators. Diversity refers to the differences among individuals in a group, including gender, ethnicity, age, sexual orientation, disability, and cognitive style (</w:t>
      </w:r>
      <w:proofErr w:type="spellStart"/>
      <w:r>
        <w:rPr>
          <w:rFonts w:ascii="Century Gothic" w:hAnsi="Century Gothic"/>
        </w:rPr>
        <w:t>Foma</w:t>
      </w:r>
      <w:proofErr w:type="spellEnd"/>
      <w:r>
        <w:rPr>
          <w:rFonts w:ascii="Century Gothic" w:hAnsi="Century Gothic"/>
        </w:rPr>
        <w:t>, 2014). Wh</w:t>
      </w:r>
      <w:r w:rsidR="00EC3A8F">
        <w:rPr>
          <w:rFonts w:ascii="Century Gothic" w:hAnsi="Century Gothic"/>
        </w:rPr>
        <w:t xml:space="preserve">ile inclusion involves </w:t>
      </w:r>
      <w:r>
        <w:rPr>
          <w:rFonts w:ascii="Century Gothic" w:hAnsi="Century Gothic"/>
        </w:rPr>
        <w:t xml:space="preserve">the active empowerment of diverse individuals, ensuring </w:t>
      </w:r>
      <w:r w:rsidR="001A3927">
        <w:rPr>
          <w:rFonts w:ascii="Century Gothic" w:hAnsi="Century Gothic"/>
        </w:rPr>
        <w:t xml:space="preserve">they feel valued and respected </w:t>
      </w:r>
      <w:r>
        <w:rPr>
          <w:rFonts w:ascii="Century Gothic" w:hAnsi="Century Gothic"/>
        </w:rPr>
        <w:t>within the workplace (</w:t>
      </w:r>
      <w:proofErr w:type="spellStart"/>
      <w:r>
        <w:rPr>
          <w:rFonts w:ascii="Century Gothic" w:hAnsi="Century Gothic"/>
        </w:rPr>
        <w:t>Korkmaz</w:t>
      </w:r>
      <w:proofErr w:type="spellEnd"/>
      <w:r>
        <w:rPr>
          <w:rFonts w:ascii="Century Gothic" w:hAnsi="Century Gothic"/>
        </w:rPr>
        <w:t xml:space="preserve"> et al., 2022). Strategically, diversity and inclusion are recognised as</w:t>
      </w:r>
      <w:r w:rsidR="00AA3212">
        <w:rPr>
          <w:rFonts w:ascii="Century Gothic" w:hAnsi="Century Gothic"/>
        </w:rPr>
        <w:t xml:space="preserve"> </w:t>
      </w:r>
      <w:r>
        <w:rPr>
          <w:rFonts w:ascii="Century Gothic" w:hAnsi="Century Gothic"/>
        </w:rPr>
        <w:t>driver</w:t>
      </w:r>
      <w:r w:rsidR="00AA3212">
        <w:rPr>
          <w:rFonts w:ascii="Century Gothic" w:hAnsi="Century Gothic"/>
        </w:rPr>
        <w:t>s</w:t>
      </w:r>
      <w:r>
        <w:rPr>
          <w:rFonts w:ascii="Century Gothic" w:hAnsi="Century Gothic"/>
        </w:rPr>
        <w:t xml:space="preserve"> of innovation, engagement, and organisational performance (Roberson, 2006). </w:t>
      </w:r>
      <w:r w:rsidR="006969A7">
        <w:rPr>
          <w:rFonts w:ascii="Century Gothic" w:hAnsi="Century Gothic"/>
        </w:rPr>
        <w:t>Increasing equality legislation, such as the Equality Act 2010 (GOV&gt;UK, 2025)</w:t>
      </w:r>
      <w:r w:rsidR="00DC77F2">
        <w:rPr>
          <w:rFonts w:ascii="Century Gothic" w:hAnsi="Century Gothic"/>
        </w:rPr>
        <w:t>, has further reinforced the diversity and inclusion to be a moral and legal</w:t>
      </w:r>
      <w:r w:rsidR="002E659E">
        <w:rPr>
          <w:rFonts w:ascii="Century Gothic" w:hAnsi="Century Gothic"/>
        </w:rPr>
        <w:t xml:space="preserve"> business</w:t>
      </w:r>
      <w:r w:rsidR="00DC77F2">
        <w:rPr>
          <w:rFonts w:ascii="Century Gothic" w:hAnsi="Century Gothic"/>
        </w:rPr>
        <w:t xml:space="preserve"> responsibility</w:t>
      </w:r>
      <w:r w:rsidR="002E659E">
        <w:rPr>
          <w:rFonts w:ascii="Century Gothic" w:hAnsi="Century Gothic"/>
        </w:rPr>
        <w:t>.</w:t>
      </w:r>
      <w:r w:rsidR="00DC77F2">
        <w:rPr>
          <w:rFonts w:ascii="Century Gothic" w:hAnsi="Century Gothic"/>
        </w:rPr>
        <w:t xml:space="preserve"> </w:t>
      </w:r>
    </w:p>
    <w:p w14:paraId="155AD103" w14:textId="4D424EEB" w:rsidR="00410AF1" w:rsidRDefault="005D18F3" w:rsidP="005D18F3">
      <w:pPr>
        <w:rPr>
          <w:rFonts w:ascii="Century Gothic" w:hAnsi="Century Gothic"/>
        </w:rPr>
      </w:pPr>
      <w:r>
        <w:rPr>
          <w:rFonts w:ascii="Century Gothic" w:hAnsi="Century Gothic"/>
        </w:rPr>
        <w:t xml:space="preserve">Deloitte, a leading global professional services network, provides auditing, consulting, tax, risk advisory, and financial </w:t>
      </w:r>
      <w:r w:rsidR="00CF7F40">
        <w:rPr>
          <w:rFonts w:ascii="Century Gothic" w:hAnsi="Century Gothic"/>
        </w:rPr>
        <w:t xml:space="preserve">services. </w:t>
      </w:r>
      <w:r>
        <w:rPr>
          <w:rFonts w:ascii="Century Gothic" w:hAnsi="Century Gothic"/>
        </w:rPr>
        <w:t xml:space="preserve">The organisation is highly competitive and therefore </w:t>
      </w:r>
      <w:bookmarkStart w:id="0" w:name="_Int_hXYqkQed"/>
      <w:r>
        <w:rPr>
          <w:rFonts w:ascii="Century Gothic" w:hAnsi="Century Gothic"/>
        </w:rPr>
        <w:t>operates</w:t>
      </w:r>
      <w:bookmarkEnd w:id="0"/>
      <w:r>
        <w:rPr>
          <w:rFonts w:ascii="Century Gothic" w:hAnsi="Century Gothic"/>
        </w:rPr>
        <w:t xml:space="preserve"> with diversity, inclusivity, at the forefront of their company (Deloitte, 2026). </w:t>
      </w:r>
    </w:p>
    <w:p w14:paraId="316F7DE5" w14:textId="30C1233B" w:rsidR="005D18F3" w:rsidRDefault="00410AF1" w:rsidP="005D18F3">
      <w:pPr>
        <w:rPr>
          <w:rFonts w:ascii="Century Gothic" w:hAnsi="Century Gothic"/>
        </w:rPr>
      </w:pPr>
      <w:r>
        <w:rPr>
          <w:rFonts w:ascii="Century Gothic" w:hAnsi="Century Gothic"/>
        </w:rPr>
        <w:t>T</w:t>
      </w:r>
      <w:r w:rsidR="005D18F3">
        <w:rPr>
          <w:rFonts w:ascii="Century Gothic" w:hAnsi="Century Gothic"/>
        </w:rPr>
        <w:t xml:space="preserve">his report will </w:t>
      </w:r>
      <w:r>
        <w:rPr>
          <w:rFonts w:ascii="Century Gothic" w:hAnsi="Century Gothic"/>
        </w:rPr>
        <w:t>examine Deloitte’s diversity and inclusion initiatives, critically an</w:t>
      </w:r>
      <w:r w:rsidR="00567FC0">
        <w:rPr>
          <w:rFonts w:ascii="Century Gothic" w:hAnsi="Century Gothic"/>
        </w:rPr>
        <w:t xml:space="preserve">alyse their </w:t>
      </w:r>
      <w:r w:rsidR="00515BDF">
        <w:rPr>
          <w:rFonts w:ascii="Century Gothic" w:hAnsi="Century Gothic"/>
        </w:rPr>
        <w:t>effectiveness,</w:t>
      </w:r>
      <w:r w:rsidR="00567FC0">
        <w:rPr>
          <w:rFonts w:ascii="Century Gothic" w:hAnsi="Century Gothic"/>
        </w:rPr>
        <w:t xml:space="preserve"> and evaluate their impact on </w:t>
      </w:r>
      <w:r w:rsidR="00A06AA6">
        <w:rPr>
          <w:rFonts w:ascii="Century Gothic" w:hAnsi="Century Gothic"/>
        </w:rPr>
        <w:t xml:space="preserve">business performance. </w:t>
      </w:r>
      <w:r w:rsidR="005D18F3">
        <w:rPr>
          <w:rFonts w:ascii="Century Gothic" w:hAnsi="Century Gothic"/>
        </w:rPr>
        <w:t xml:space="preserve">Finally, the report will provide recommendations to enhance its strategy further to better align with contemporary management considerations. </w:t>
      </w:r>
    </w:p>
    <w:p w14:paraId="57A44248" w14:textId="77777777" w:rsidR="00714F93" w:rsidRDefault="00714F93" w:rsidP="005D18F3">
      <w:pPr>
        <w:rPr>
          <w:rFonts w:ascii="Century Gothic" w:hAnsi="Century Gothic"/>
        </w:rPr>
      </w:pPr>
    </w:p>
    <w:p w14:paraId="4B61A6A1" w14:textId="77777777" w:rsidR="00714F93" w:rsidRDefault="00714F93" w:rsidP="005D18F3">
      <w:pPr>
        <w:rPr>
          <w:rFonts w:ascii="Century Gothic" w:hAnsi="Century Gothic"/>
        </w:rPr>
      </w:pPr>
    </w:p>
    <w:p w14:paraId="18F6EC7F" w14:textId="77777777" w:rsidR="00714F93" w:rsidRDefault="00714F93" w:rsidP="005D18F3">
      <w:pPr>
        <w:rPr>
          <w:rFonts w:ascii="Century Gothic" w:hAnsi="Century Gothic"/>
        </w:rPr>
      </w:pPr>
    </w:p>
    <w:p w14:paraId="277CBD35" w14:textId="77777777" w:rsidR="00714F93" w:rsidRDefault="00714F93" w:rsidP="005D18F3">
      <w:pPr>
        <w:rPr>
          <w:rFonts w:ascii="Century Gothic" w:hAnsi="Century Gothic"/>
        </w:rPr>
      </w:pPr>
    </w:p>
    <w:p w14:paraId="4E3F36B4" w14:textId="77777777" w:rsidR="00B43E5F" w:rsidRDefault="00B43E5F" w:rsidP="005D18F3">
      <w:pPr>
        <w:rPr>
          <w:rFonts w:ascii="Century Gothic" w:hAnsi="Century Gothic"/>
        </w:rPr>
      </w:pPr>
    </w:p>
    <w:p w14:paraId="6B85A1FF" w14:textId="77777777" w:rsidR="00A06AA6" w:rsidRDefault="00A06AA6" w:rsidP="005D18F3">
      <w:pPr>
        <w:rPr>
          <w:rFonts w:ascii="Century Gothic" w:hAnsi="Century Gothic"/>
        </w:rPr>
      </w:pPr>
    </w:p>
    <w:p w14:paraId="45FC3A3D" w14:textId="77777777" w:rsidR="00A06AA6" w:rsidRDefault="00A06AA6" w:rsidP="005D18F3">
      <w:pPr>
        <w:rPr>
          <w:rFonts w:ascii="Century Gothic" w:hAnsi="Century Gothic"/>
        </w:rPr>
      </w:pPr>
    </w:p>
    <w:p w14:paraId="22FBEB45" w14:textId="77777777" w:rsidR="00A06AA6" w:rsidRDefault="00A06AA6" w:rsidP="005D18F3">
      <w:pPr>
        <w:rPr>
          <w:rFonts w:ascii="Century Gothic" w:hAnsi="Century Gothic"/>
        </w:rPr>
      </w:pPr>
    </w:p>
    <w:p w14:paraId="6F94E8BB" w14:textId="77777777" w:rsidR="00B43E5F" w:rsidRDefault="00B43E5F" w:rsidP="005D18F3">
      <w:pPr>
        <w:rPr>
          <w:rFonts w:ascii="Century Gothic" w:hAnsi="Century Gothic"/>
        </w:rPr>
      </w:pPr>
    </w:p>
    <w:p w14:paraId="0A987714" w14:textId="77777777" w:rsidR="00714F93" w:rsidRDefault="00714F93" w:rsidP="005D18F3">
      <w:pPr>
        <w:rPr>
          <w:rFonts w:ascii="Century Gothic" w:hAnsi="Century Gothic"/>
        </w:rPr>
      </w:pPr>
    </w:p>
    <w:p w14:paraId="6D01F8E7" w14:textId="77777777" w:rsidR="00714F93" w:rsidRDefault="00714F93" w:rsidP="005D18F3">
      <w:pPr>
        <w:rPr>
          <w:rFonts w:ascii="Century Gothic" w:hAnsi="Century Gothic"/>
        </w:rPr>
      </w:pPr>
    </w:p>
    <w:p w14:paraId="76A60301" w14:textId="64E424C4" w:rsidR="00714F93" w:rsidRPr="00714F93" w:rsidRDefault="00714F93" w:rsidP="00714F93">
      <w:pPr>
        <w:pStyle w:val="ListParagraph"/>
        <w:numPr>
          <w:ilvl w:val="1"/>
          <w:numId w:val="26"/>
        </w:numPr>
        <w:rPr>
          <w:rFonts w:ascii="Century Gothic" w:hAnsi="Century Gothic"/>
          <w:sz w:val="32"/>
          <w:szCs w:val="32"/>
        </w:rPr>
      </w:pPr>
      <w:r>
        <w:rPr>
          <w:rFonts w:ascii="Century Gothic" w:hAnsi="Century Gothic"/>
          <w:sz w:val="32"/>
          <w:szCs w:val="32"/>
        </w:rPr>
        <w:lastRenderedPageBreak/>
        <w:t>Case Study Selection</w:t>
      </w:r>
    </w:p>
    <w:p w14:paraId="74BC765C" w14:textId="64C9568F" w:rsidR="00747A80" w:rsidRDefault="005A44DF" w:rsidP="00714F93">
      <w:pPr>
        <w:pStyle w:val="ListParagraph"/>
        <w:numPr>
          <w:ilvl w:val="1"/>
          <w:numId w:val="32"/>
        </w:numPr>
        <w:rPr>
          <w:rFonts w:ascii="Century Gothic" w:hAnsi="Century Gothic"/>
          <w:sz w:val="28"/>
          <w:szCs w:val="28"/>
        </w:rPr>
      </w:pPr>
      <w:r>
        <w:rPr>
          <w:rFonts w:ascii="Century Gothic" w:hAnsi="Century Gothic"/>
          <w:sz w:val="28"/>
          <w:szCs w:val="28"/>
        </w:rPr>
        <w:t xml:space="preserve">Deloitte Choice Reasoning </w:t>
      </w:r>
    </w:p>
    <w:p w14:paraId="00FB6069" w14:textId="4C03DB78" w:rsidR="0089471F" w:rsidRPr="00F96959" w:rsidRDefault="005A44DF" w:rsidP="00F96959">
      <w:pPr>
        <w:rPr>
          <w:rFonts w:ascii="Century Gothic" w:hAnsi="Century Gothic"/>
        </w:rPr>
      </w:pPr>
      <w:r w:rsidRPr="00F96959">
        <w:rPr>
          <w:rFonts w:ascii="Century Gothic" w:hAnsi="Century Gothic"/>
        </w:rPr>
        <w:t xml:space="preserve">Known as one of the ‘Big Four’ accounting </w:t>
      </w:r>
      <w:r w:rsidR="00490D9D">
        <w:rPr>
          <w:rFonts w:ascii="Century Gothic" w:hAnsi="Century Gothic"/>
        </w:rPr>
        <w:t>firms</w:t>
      </w:r>
      <w:r w:rsidRPr="00F96959">
        <w:rPr>
          <w:rFonts w:ascii="Century Gothic" w:hAnsi="Century Gothic"/>
        </w:rPr>
        <w:t xml:space="preserve"> (Bright Network, 2024), Deloitte </w:t>
      </w:r>
      <w:r w:rsidR="003E5BFE">
        <w:rPr>
          <w:rFonts w:ascii="Century Gothic" w:hAnsi="Century Gothic"/>
        </w:rPr>
        <w:t xml:space="preserve">consistently highlights diversity and inclusion across its website and social media platforms. The firm regularly publishes statistics on equal pay and </w:t>
      </w:r>
      <w:r w:rsidR="00DB6AE6">
        <w:rPr>
          <w:rFonts w:ascii="Century Gothic" w:hAnsi="Century Gothic"/>
        </w:rPr>
        <w:t xml:space="preserve">disability inclusion. For this reason, Deloitte has been selected for analysis to critically evaluate its commitment to an inclusive workplace and assess the impact of these initiatives on </w:t>
      </w:r>
      <w:r w:rsidR="00D74D51">
        <w:rPr>
          <w:rFonts w:ascii="Century Gothic" w:hAnsi="Century Gothic"/>
        </w:rPr>
        <w:t>organisational performance.</w:t>
      </w:r>
      <w:r w:rsidR="0089471F">
        <w:rPr>
          <w:rFonts w:ascii="Century Gothic" w:hAnsi="Century Gothic"/>
        </w:rPr>
        <w:t xml:space="preserve"> </w:t>
      </w:r>
    </w:p>
    <w:p w14:paraId="02645263" w14:textId="77777777" w:rsidR="005A44DF" w:rsidRPr="005A44DF" w:rsidRDefault="005A44DF" w:rsidP="005A44DF">
      <w:pPr>
        <w:rPr>
          <w:rFonts w:ascii="Century Gothic" w:hAnsi="Century Gothic"/>
          <w:sz w:val="28"/>
          <w:szCs w:val="28"/>
        </w:rPr>
      </w:pPr>
    </w:p>
    <w:p w14:paraId="0C9BD989" w14:textId="327F9360" w:rsidR="001375BA" w:rsidRPr="001375BA" w:rsidRDefault="00714F93" w:rsidP="001375BA">
      <w:pPr>
        <w:pStyle w:val="ListParagraph"/>
        <w:numPr>
          <w:ilvl w:val="1"/>
          <w:numId w:val="32"/>
        </w:numPr>
        <w:rPr>
          <w:rFonts w:ascii="Century Gothic" w:hAnsi="Century Gothic"/>
          <w:sz w:val="28"/>
          <w:szCs w:val="28"/>
        </w:rPr>
      </w:pPr>
      <w:r w:rsidRPr="00714F93">
        <w:rPr>
          <w:rFonts w:ascii="Century Gothic" w:hAnsi="Century Gothic"/>
          <w:sz w:val="28"/>
          <w:szCs w:val="28"/>
        </w:rPr>
        <w:t xml:space="preserve">Deloitte </w:t>
      </w:r>
      <w:r w:rsidR="00212E51">
        <w:rPr>
          <w:rFonts w:ascii="Century Gothic" w:hAnsi="Century Gothic"/>
          <w:sz w:val="28"/>
          <w:szCs w:val="28"/>
        </w:rPr>
        <w:t>Hi</w:t>
      </w:r>
      <w:r w:rsidR="001375BA">
        <w:rPr>
          <w:rFonts w:ascii="Century Gothic" w:hAnsi="Century Gothic"/>
          <w:sz w:val="28"/>
          <w:szCs w:val="28"/>
        </w:rPr>
        <w:t>story</w:t>
      </w:r>
    </w:p>
    <w:p w14:paraId="3CD5650B" w14:textId="04EA517D" w:rsidR="005D18F3" w:rsidRDefault="00714F93" w:rsidP="005D18F3">
      <w:pPr>
        <w:rPr>
          <w:rFonts w:ascii="Century Gothic" w:hAnsi="Century Gothic"/>
        </w:rPr>
      </w:pPr>
      <w:r>
        <w:rPr>
          <w:rFonts w:ascii="Century Gothic" w:hAnsi="Century Gothic"/>
        </w:rPr>
        <w:t>Founded in 1845 by William Welch Deloitte</w:t>
      </w:r>
      <w:r w:rsidR="00D74D51">
        <w:rPr>
          <w:rFonts w:ascii="Century Gothic" w:hAnsi="Century Gothic"/>
        </w:rPr>
        <w:t xml:space="preserve"> in London</w:t>
      </w:r>
      <w:r>
        <w:rPr>
          <w:rFonts w:ascii="Century Gothic" w:hAnsi="Century Gothic"/>
        </w:rPr>
        <w:t xml:space="preserve">, </w:t>
      </w:r>
      <w:r w:rsidR="00684D99">
        <w:rPr>
          <w:rFonts w:ascii="Century Gothic" w:hAnsi="Century Gothic"/>
        </w:rPr>
        <w:t xml:space="preserve">the firms started as an accountancy practice. It expanded rapidly after securing the role of auditor for the Great Western Railway, gaining clients across growing industries including banking, insurance, and </w:t>
      </w:r>
      <w:r w:rsidR="003834E8">
        <w:rPr>
          <w:rFonts w:ascii="Century Gothic" w:hAnsi="Century Gothic"/>
        </w:rPr>
        <w:t>other</w:t>
      </w:r>
      <w:r w:rsidR="00684D99">
        <w:rPr>
          <w:rFonts w:ascii="Century Gothic" w:hAnsi="Century Gothic"/>
        </w:rPr>
        <w:t xml:space="preserve"> railway companies such as the Great Northern Railway. In 1890, Deloitte opened its first overseas office in New York. During the 1950s, the firm adopted statistical sampling technologies</w:t>
      </w:r>
      <w:r w:rsidR="00877EFF">
        <w:rPr>
          <w:rFonts w:ascii="Century Gothic" w:hAnsi="Century Gothic"/>
        </w:rPr>
        <w:t xml:space="preserve"> for auditing, supporting its international growth (Ashcroft, 2022). Today, Deloitte </w:t>
      </w:r>
      <w:bookmarkStart w:id="1" w:name="_Int_hEkTYJY8"/>
      <w:r w:rsidR="00877EFF">
        <w:rPr>
          <w:rFonts w:ascii="Century Gothic" w:hAnsi="Century Gothic"/>
        </w:rPr>
        <w:t>operates</w:t>
      </w:r>
      <w:bookmarkEnd w:id="1"/>
      <w:r w:rsidR="00877EFF">
        <w:rPr>
          <w:rFonts w:ascii="Century Gothic" w:hAnsi="Century Gothic"/>
        </w:rPr>
        <w:t xml:space="preserve"> in over </w:t>
      </w:r>
      <w:r w:rsidR="00545343">
        <w:rPr>
          <w:rFonts w:ascii="Century Gothic" w:hAnsi="Century Gothic"/>
        </w:rPr>
        <w:t xml:space="preserve">150 countries and serves </w:t>
      </w:r>
      <w:r w:rsidR="003834E8">
        <w:rPr>
          <w:rFonts w:ascii="Century Gothic" w:hAnsi="Century Gothic"/>
        </w:rPr>
        <w:t>almost</w:t>
      </w:r>
      <w:r w:rsidR="00545343">
        <w:rPr>
          <w:rFonts w:ascii="Century Gothic" w:hAnsi="Century Gothic"/>
        </w:rPr>
        <w:t xml:space="preserve"> 90% of Fortune Global 500 companies (Deloitte, 2026). </w:t>
      </w:r>
    </w:p>
    <w:p w14:paraId="06AE77CB" w14:textId="77777777" w:rsidR="00545343" w:rsidRDefault="00545343" w:rsidP="005D18F3">
      <w:pPr>
        <w:rPr>
          <w:rFonts w:ascii="Century Gothic" w:hAnsi="Century Gothic"/>
        </w:rPr>
      </w:pPr>
    </w:p>
    <w:p w14:paraId="37A2DDB2" w14:textId="77777777" w:rsidR="00545343" w:rsidRDefault="00545343" w:rsidP="005D18F3">
      <w:pPr>
        <w:rPr>
          <w:rFonts w:ascii="Century Gothic" w:hAnsi="Century Gothic"/>
        </w:rPr>
      </w:pPr>
    </w:p>
    <w:p w14:paraId="11EF57C2" w14:textId="77777777" w:rsidR="005D18F3" w:rsidRDefault="005D18F3" w:rsidP="005D18F3">
      <w:pPr>
        <w:rPr>
          <w:rFonts w:ascii="Century Gothic" w:hAnsi="Century Gothic"/>
        </w:rPr>
      </w:pPr>
    </w:p>
    <w:p w14:paraId="5C217510" w14:textId="77777777" w:rsidR="005D18F3" w:rsidRDefault="005D18F3" w:rsidP="005D18F3">
      <w:pPr>
        <w:rPr>
          <w:rFonts w:ascii="Century Gothic" w:hAnsi="Century Gothic"/>
        </w:rPr>
      </w:pPr>
    </w:p>
    <w:p w14:paraId="0AEE52F8" w14:textId="77777777" w:rsidR="005D18F3" w:rsidRDefault="005D18F3" w:rsidP="005D18F3">
      <w:pPr>
        <w:rPr>
          <w:rFonts w:ascii="Century Gothic" w:hAnsi="Century Gothic"/>
        </w:rPr>
      </w:pPr>
    </w:p>
    <w:p w14:paraId="18630177" w14:textId="77777777" w:rsidR="005D18F3" w:rsidRDefault="005D18F3" w:rsidP="005D18F3">
      <w:pPr>
        <w:rPr>
          <w:rFonts w:ascii="Century Gothic" w:hAnsi="Century Gothic"/>
        </w:rPr>
      </w:pPr>
    </w:p>
    <w:p w14:paraId="7A835B70" w14:textId="77777777" w:rsidR="005D18F3" w:rsidRDefault="005D18F3" w:rsidP="005D18F3">
      <w:pPr>
        <w:rPr>
          <w:rFonts w:ascii="Century Gothic" w:hAnsi="Century Gothic"/>
        </w:rPr>
      </w:pPr>
    </w:p>
    <w:p w14:paraId="72160B28" w14:textId="77777777" w:rsidR="005D18F3" w:rsidRDefault="005D18F3" w:rsidP="005D18F3">
      <w:pPr>
        <w:rPr>
          <w:rFonts w:ascii="Century Gothic" w:hAnsi="Century Gothic"/>
        </w:rPr>
      </w:pPr>
    </w:p>
    <w:p w14:paraId="505F1069" w14:textId="77777777" w:rsidR="005D18F3" w:rsidRDefault="005D18F3" w:rsidP="005D18F3">
      <w:pPr>
        <w:rPr>
          <w:rFonts w:ascii="Century Gothic" w:hAnsi="Century Gothic"/>
        </w:rPr>
      </w:pPr>
    </w:p>
    <w:p w14:paraId="6B2C3178" w14:textId="77777777" w:rsidR="005D18F3" w:rsidRDefault="005D18F3" w:rsidP="005D18F3">
      <w:pPr>
        <w:rPr>
          <w:rFonts w:ascii="Century Gothic" w:hAnsi="Century Gothic"/>
        </w:rPr>
      </w:pPr>
    </w:p>
    <w:p w14:paraId="5FB9D7E1" w14:textId="77777777" w:rsidR="005D18F3" w:rsidRDefault="005D18F3" w:rsidP="005D18F3">
      <w:pPr>
        <w:rPr>
          <w:rFonts w:ascii="Century Gothic" w:hAnsi="Century Gothic"/>
        </w:rPr>
      </w:pPr>
    </w:p>
    <w:p w14:paraId="2DC7B271" w14:textId="77777777" w:rsidR="005D18F3" w:rsidRDefault="005D18F3" w:rsidP="005D18F3">
      <w:pPr>
        <w:rPr>
          <w:rFonts w:ascii="Century Gothic" w:hAnsi="Century Gothic"/>
        </w:rPr>
      </w:pPr>
    </w:p>
    <w:p w14:paraId="0E896AA4" w14:textId="77777777" w:rsidR="005D18F3" w:rsidRDefault="005D18F3" w:rsidP="005D18F3">
      <w:pPr>
        <w:rPr>
          <w:rFonts w:ascii="Century Gothic" w:hAnsi="Century Gothic"/>
        </w:rPr>
      </w:pPr>
    </w:p>
    <w:p w14:paraId="75BC9390" w14:textId="0E276E34" w:rsidR="005D18F3" w:rsidRPr="00B03718" w:rsidRDefault="006507F8" w:rsidP="00B03718">
      <w:pPr>
        <w:pStyle w:val="ListParagraph"/>
        <w:numPr>
          <w:ilvl w:val="1"/>
          <w:numId w:val="26"/>
        </w:numPr>
        <w:rPr>
          <w:rFonts w:ascii="Century Gothic" w:hAnsi="Century Gothic"/>
        </w:rPr>
      </w:pPr>
      <w:r w:rsidRPr="00B03718">
        <w:rPr>
          <w:rFonts w:ascii="Century Gothic" w:hAnsi="Century Gothic"/>
          <w:sz w:val="32"/>
          <w:szCs w:val="32"/>
        </w:rPr>
        <w:lastRenderedPageBreak/>
        <w:t xml:space="preserve">Analysis </w:t>
      </w:r>
      <w:r w:rsidR="00B03718" w:rsidRPr="00B03718">
        <w:rPr>
          <w:rFonts w:ascii="Century Gothic" w:hAnsi="Century Gothic"/>
          <w:sz w:val="32"/>
          <w:szCs w:val="32"/>
        </w:rPr>
        <w:t>of Diversity and Inclusivity Practices</w:t>
      </w:r>
      <w:r w:rsidRPr="00B03718">
        <w:rPr>
          <w:rFonts w:ascii="Century Gothic" w:hAnsi="Century Gothic"/>
          <w:sz w:val="32"/>
          <w:szCs w:val="32"/>
        </w:rPr>
        <w:t xml:space="preserve"> </w:t>
      </w:r>
    </w:p>
    <w:p w14:paraId="2B96525D" w14:textId="2083C328" w:rsidR="005D18F3" w:rsidRDefault="0028310A" w:rsidP="005D18F3">
      <w:pPr>
        <w:rPr>
          <w:rFonts w:ascii="Century Gothic" w:hAnsi="Century Gothic"/>
          <w:sz w:val="28"/>
          <w:szCs w:val="28"/>
        </w:rPr>
      </w:pPr>
      <w:r w:rsidRPr="00323DF2">
        <w:rPr>
          <w:rFonts w:ascii="Century Gothic" w:hAnsi="Century Gothic"/>
          <w:sz w:val="28"/>
          <w:szCs w:val="28"/>
        </w:rPr>
        <w:t>2.1 Key Initiatives</w:t>
      </w:r>
    </w:p>
    <w:p w14:paraId="737CB7CE" w14:textId="18A5190E" w:rsidR="00323DF2" w:rsidRDefault="00AD7019" w:rsidP="005D18F3">
      <w:pPr>
        <w:rPr>
          <w:rFonts w:ascii="Century Gothic" w:hAnsi="Century Gothic"/>
        </w:rPr>
      </w:pPr>
      <w:r>
        <w:rPr>
          <w:rFonts w:ascii="Century Gothic" w:hAnsi="Century Gothic"/>
        </w:rPr>
        <w:t>De</w:t>
      </w:r>
      <w:r w:rsidR="00A62AA0">
        <w:rPr>
          <w:rFonts w:ascii="Century Gothic" w:hAnsi="Century Gothic"/>
        </w:rPr>
        <w:t>loitte</w:t>
      </w:r>
      <w:r w:rsidR="00FF68F9">
        <w:rPr>
          <w:rFonts w:ascii="Century Gothic" w:hAnsi="Century Gothic"/>
        </w:rPr>
        <w:t xml:space="preserve">’s inclusion </w:t>
      </w:r>
      <w:r w:rsidR="00C5767E">
        <w:rPr>
          <w:rFonts w:ascii="Century Gothic" w:hAnsi="Century Gothic"/>
        </w:rPr>
        <w:t xml:space="preserve">initiatives follow the contracted belief that </w:t>
      </w:r>
      <w:r w:rsidR="00767F99">
        <w:rPr>
          <w:rFonts w:ascii="Century Gothic" w:hAnsi="Century Gothic"/>
        </w:rPr>
        <w:t xml:space="preserve">an inclusive workplace enables all employees to achieve their fill </w:t>
      </w:r>
      <w:r w:rsidR="00242092">
        <w:rPr>
          <w:rFonts w:ascii="Century Gothic" w:hAnsi="Century Gothic"/>
        </w:rPr>
        <w:t>potential</w:t>
      </w:r>
      <w:r w:rsidR="00767F99">
        <w:rPr>
          <w:rFonts w:ascii="Century Gothic" w:hAnsi="Century Gothic"/>
        </w:rPr>
        <w:t xml:space="preserve"> which driving organisational performance and innovation</w:t>
      </w:r>
      <w:r w:rsidR="00242092">
        <w:rPr>
          <w:rFonts w:ascii="Century Gothic" w:hAnsi="Century Gothic"/>
        </w:rPr>
        <w:t xml:space="preserve"> (</w:t>
      </w:r>
      <w:r w:rsidR="00BC4204">
        <w:rPr>
          <w:rFonts w:ascii="Century Gothic" w:hAnsi="Century Gothic"/>
        </w:rPr>
        <w:t>Deloitte, 202</w:t>
      </w:r>
      <w:r w:rsidR="00D2725B">
        <w:rPr>
          <w:rFonts w:ascii="Century Gothic" w:hAnsi="Century Gothic"/>
        </w:rPr>
        <w:t xml:space="preserve">6). </w:t>
      </w:r>
    </w:p>
    <w:p w14:paraId="5D362CDF" w14:textId="193102C2" w:rsidR="00D2725B" w:rsidRDefault="00D2725B" w:rsidP="005D18F3">
      <w:pPr>
        <w:rPr>
          <w:rFonts w:ascii="Century Gothic" w:hAnsi="Century Gothic"/>
        </w:rPr>
      </w:pPr>
      <w:r>
        <w:rPr>
          <w:rFonts w:ascii="Century Gothic" w:hAnsi="Century Gothic"/>
        </w:rPr>
        <w:t>2.1.1 Gender Balance Targets</w:t>
      </w:r>
    </w:p>
    <w:p w14:paraId="052BDC82" w14:textId="7DFC39E1" w:rsidR="00141094" w:rsidRDefault="00FD7C90" w:rsidP="005D18F3">
      <w:pPr>
        <w:rPr>
          <w:rFonts w:ascii="Century Gothic" w:hAnsi="Century Gothic"/>
        </w:rPr>
      </w:pPr>
      <w:r>
        <w:rPr>
          <w:rFonts w:ascii="Century Gothic" w:hAnsi="Century Gothic"/>
        </w:rPr>
        <w:t xml:space="preserve">Deloitte has been </w:t>
      </w:r>
      <w:bookmarkStart w:id="2" w:name="_Int_lhesYdXo"/>
      <w:r>
        <w:rPr>
          <w:rFonts w:ascii="Century Gothic" w:hAnsi="Century Gothic"/>
        </w:rPr>
        <w:t>monitoring</w:t>
      </w:r>
      <w:bookmarkEnd w:id="2"/>
      <w:r>
        <w:rPr>
          <w:rFonts w:ascii="Century Gothic" w:hAnsi="Century Gothic"/>
        </w:rPr>
        <w:t xml:space="preserve"> the female representation at </w:t>
      </w:r>
      <w:r w:rsidR="0028295B">
        <w:rPr>
          <w:rFonts w:ascii="Century Gothic" w:hAnsi="Century Gothic"/>
        </w:rPr>
        <w:t>the compan</w:t>
      </w:r>
      <w:r w:rsidR="0055002E">
        <w:rPr>
          <w:rFonts w:ascii="Century Gothic" w:hAnsi="Century Gothic"/>
        </w:rPr>
        <w:t>y’s</w:t>
      </w:r>
      <w:r w:rsidR="0028295B">
        <w:rPr>
          <w:rFonts w:ascii="Century Gothic" w:hAnsi="Century Gothic"/>
        </w:rPr>
        <w:t xml:space="preserve"> </w:t>
      </w:r>
      <w:r w:rsidR="0055002E">
        <w:rPr>
          <w:rFonts w:ascii="Century Gothic" w:hAnsi="Century Gothic"/>
        </w:rPr>
        <w:t xml:space="preserve">leadership levels since 2019. </w:t>
      </w:r>
      <w:r w:rsidR="007E188B">
        <w:rPr>
          <w:rFonts w:ascii="Century Gothic" w:hAnsi="Century Gothic"/>
        </w:rPr>
        <w:t xml:space="preserve">In 2022, the Global </w:t>
      </w:r>
      <w:r w:rsidR="00657454">
        <w:rPr>
          <w:rFonts w:ascii="Century Gothic" w:hAnsi="Century Gothic"/>
        </w:rPr>
        <w:t>Executive</w:t>
      </w:r>
      <w:r w:rsidR="00896B58">
        <w:rPr>
          <w:rFonts w:ascii="Century Gothic" w:hAnsi="Century Gothic"/>
        </w:rPr>
        <w:t xml:space="preserve"> </w:t>
      </w:r>
      <w:bookmarkStart w:id="3" w:name="_Int_gnE9L8Gl"/>
      <w:r w:rsidR="00896B58">
        <w:rPr>
          <w:rFonts w:ascii="Century Gothic" w:hAnsi="Century Gothic"/>
        </w:rPr>
        <w:t>was made</w:t>
      </w:r>
      <w:bookmarkEnd w:id="3"/>
      <w:r w:rsidR="00896B58">
        <w:rPr>
          <w:rFonts w:ascii="Century Gothic" w:hAnsi="Century Gothic"/>
        </w:rPr>
        <w:t xml:space="preserve"> of 23</w:t>
      </w:r>
      <w:r w:rsidR="00A2244A">
        <w:rPr>
          <w:rFonts w:ascii="Century Gothic" w:hAnsi="Century Gothic"/>
        </w:rPr>
        <w:t>% of women, with the board of directors being 33%.</w:t>
      </w:r>
      <w:r w:rsidR="008F4975">
        <w:rPr>
          <w:rFonts w:ascii="Century Gothic" w:hAnsi="Century Gothic"/>
        </w:rPr>
        <w:t xml:space="preserve"> While they reached their target </w:t>
      </w:r>
      <w:r w:rsidR="009217DF">
        <w:rPr>
          <w:rFonts w:ascii="Century Gothic" w:hAnsi="Century Gothic"/>
        </w:rPr>
        <w:t>of 2023 in 2022, their new goal</w:t>
      </w:r>
      <w:r w:rsidR="00485A95">
        <w:rPr>
          <w:rFonts w:ascii="Century Gothic" w:hAnsi="Century Gothic"/>
        </w:rPr>
        <w:t xml:space="preserve"> was to have 40% of women in leadership </w:t>
      </w:r>
      <w:r w:rsidR="00580E81">
        <w:rPr>
          <w:rFonts w:ascii="Century Gothic" w:hAnsi="Century Gothic"/>
        </w:rPr>
        <w:t xml:space="preserve">and partnership </w:t>
      </w:r>
      <w:r w:rsidR="00485A95">
        <w:rPr>
          <w:rFonts w:ascii="Century Gothic" w:hAnsi="Century Gothic"/>
        </w:rPr>
        <w:t>roles by 2025</w:t>
      </w:r>
      <w:r w:rsidR="00DB0486">
        <w:rPr>
          <w:rFonts w:ascii="Century Gothic" w:hAnsi="Century Gothic"/>
        </w:rPr>
        <w:t xml:space="preserve"> (Deloitte, 2022)</w:t>
      </w:r>
      <w:r w:rsidR="00485A95">
        <w:rPr>
          <w:rFonts w:ascii="Century Gothic" w:hAnsi="Century Gothic"/>
        </w:rPr>
        <w:t xml:space="preserve">. </w:t>
      </w:r>
      <w:r w:rsidR="00620269">
        <w:rPr>
          <w:rFonts w:ascii="Century Gothic" w:hAnsi="Century Gothic"/>
        </w:rPr>
        <w:t>In</w:t>
      </w:r>
      <w:r w:rsidR="00E54FDB">
        <w:rPr>
          <w:rFonts w:ascii="Century Gothic" w:hAnsi="Century Gothic"/>
        </w:rPr>
        <w:t xml:space="preserve"> the “Pay &amp; Inclusion Report 2025</w:t>
      </w:r>
      <w:r w:rsidR="0067582D">
        <w:rPr>
          <w:rFonts w:ascii="Century Gothic" w:hAnsi="Century Gothic"/>
        </w:rPr>
        <w:t>”,</w:t>
      </w:r>
      <w:r w:rsidR="00003E91">
        <w:rPr>
          <w:rFonts w:ascii="Century Gothic" w:hAnsi="Century Gothic"/>
        </w:rPr>
        <w:t xml:space="preserve"> the target </w:t>
      </w:r>
      <w:r w:rsidR="005E7E08">
        <w:rPr>
          <w:rFonts w:ascii="Century Gothic" w:hAnsi="Century Gothic"/>
        </w:rPr>
        <w:t xml:space="preserve">has </w:t>
      </w:r>
      <w:r w:rsidR="00580E81">
        <w:rPr>
          <w:rFonts w:ascii="Century Gothic" w:hAnsi="Century Gothic"/>
        </w:rPr>
        <w:t>been revised</w:t>
      </w:r>
      <w:r w:rsidR="00003E91">
        <w:rPr>
          <w:rFonts w:ascii="Century Gothic" w:hAnsi="Century Gothic"/>
        </w:rPr>
        <w:t xml:space="preserve"> to 37% </w:t>
      </w:r>
      <w:r w:rsidR="005E7E08">
        <w:rPr>
          <w:rFonts w:ascii="Century Gothic" w:hAnsi="Century Gothic"/>
        </w:rPr>
        <w:t xml:space="preserve">of women as female </w:t>
      </w:r>
      <w:r w:rsidR="00580E81">
        <w:rPr>
          <w:rFonts w:ascii="Century Gothic" w:hAnsi="Century Gothic"/>
        </w:rPr>
        <w:t>partners</w:t>
      </w:r>
      <w:r w:rsidR="00DC6FBE">
        <w:rPr>
          <w:rFonts w:ascii="Century Gothic" w:hAnsi="Century Gothic"/>
        </w:rPr>
        <w:t xml:space="preserve"> while the current figure is at 31% </w:t>
      </w:r>
      <w:r w:rsidR="00D2261F">
        <w:rPr>
          <w:rFonts w:ascii="Century Gothic" w:hAnsi="Century Gothic"/>
        </w:rPr>
        <w:t>for 2025</w:t>
      </w:r>
      <w:r w:rsidR="0099188A">
        <w:rPr>
          <w:rFonts w:ascii="Century Gothic" w:hAnsi="Century Gothic"/>
        </w:rPr>
        <w:t xml:space="preserve">. Similarly, </w:t>
      </w:r>
      <w:r w:rsidR="00412714">
        <w:rPr>
          <w:rFonts w:ascii="Century Gothic" w:hAnsi="Century Gothic"/>
        </w:rPr>
        <w:t xml:space="preserve">statistics of new hires for 2025 show 41.6% of early career hires being female </w:t>
      </w:r>
      <w:r w:rsidR="00D15AD2">
        <w:rPr>
          <w:rFonts w:ascii="Century Gothic" w:hAnsi="Century Gothic"/>
        </w:rPr>
        <w:t>as well as 47.6% of experienced hires being female</w:t>
      </w:r>
      <w:r w:rsidR="00786374">
        <w:rPr>
          <w:rFonts w:ascii="Century Gothic" w:hAnsi="Century Gothic"/>
        </w:rPr>
        <w:t xml:space="preserve">. Also listed in the report </w:t>
      </w:r>
      <w:r w:rsidR="000717FC">
        <w:rPr>
          <w:rFonts w:ascii="Century Gothic" w:hAnsi="Century Gothic"/>
        </w:rPr>
        <w:t xml:space="preserve">is </w:t>
      </w:r>
      <w:r w:rsidR="0007372E">
        <w:rPr>
          <w:rFonts w:ascii="Century Gothic" w:hAnsi="Century Gothic"/>
        </w:rPr>
        <w:t>their promise to continue</w:t>
      </w:r>
      <w:r w:rsidR="004E7E39">
        <w:rPr>
          <w:rFonts w:ascii="Century Gothic" w:hAnsi="Century Gothic"/>
        </w:rPr>
        <w:t xml:space="preserve"> access </w:t>
      </w:r>
      <w:r w:rsidR="0007372E">
        <w:rPr>
          <w:rFonts w:ascii="Century Gothic" w:hAnsi="Century Gothic"/>
        </w:rPr>
        <w:t xml:space="preserve">for </w:t>
      </w:r>
      <w:r w:rsidR="004E7E39">
        <w:rPr>
          <w:rFonts w:ascii="Century Gothic" w:hAnsi="Century Gothic"/>
        </w:rPr>
        <w:t xml:space="preserve">menopause support, </w:t>
      </w:r>
      <w:r w:rsidR="005A39C0">
        <w:rPr>
          <w:rFonts w:ascii="Century Gothic" w:hAnsi="Century Gothic"/>
        </w:rPr>
        <w:t xml:space="preserve">domestic abuse </w:t>
      </w:r>
      <w:r w:rsidR="004E7E39">
        <w:rPr>
          <w:rFonts w:ascii="Century Gothic" w:hAnsi="Century Gothic"/>
        </w:rPr>
        <w:t>victims support,</w:t>
      </w:r>
      <w:r w:rsidR="005A39C0">
        <w:rPr>
          <w:rFonts w:ascii="Century Gothic" w:hAnsi="Century Gothic"/>
        </w:rPr>
        <w:t xml:space="preserve"> and </w:t>
      </w:r>
      <w:r w:rsidR="00812403">
        <w:rPr>
          <w:rFonts w:ascii="Century Gothic" w:hAnsi="Century Gothic"/>
        </w:rPr>
        <w:t>firm-funded private medical insurance</w:t>
      </w:r>
      <w:r w:rsidR="00332D4D">
        <w:rPr>
          <w:rFonts w:ascii="Century Gothic" w:hAnsi="Century Gothic"/>
        </w:rPr>
        <w:t xml:space="preserve">. </w:t>
      </w:r>
      <w:r w:rsidR="0082051A">
        <w:rPr>
          <w:rFonts w:ascii="Century Gothic" w:hAnsi="Century Gothic"/>
        </w:rPr>
        <w:t>As of 2024, t</w:t>
      </w:r>
      <w:r w:rsidR="00D73237">
        <w:rPr>
          <w:rFonts w:ascii="Century Gothic" w:hAnsi="Century Gothic"/>
        </w:rPr>
        <w:t>he</w:t>
      </w:r>
      <w:r w:rsidR="00532FB0">
        <w:rPr>
          <w:rFonts w:ascii="Century Gothic" w:hAnsi="Century Gothic"/>
        </w:rPr>
        <w:t xml:space="preserve">y offered </w:t>
      </w:r>
      <w:r w:rsidR="0082051A">
        <w:rPr>
          <w:rFonts w:ascii="Century Gothic" w:hAnsi="Century Gothic"/>
        </w:rPr>
        <w:t>pa</w:t>
      </w:r>
      <w:r w:rsidR="00E83FFF">
        <w:rPr>
          <w:rFonts w:ascii="Century Gothic" w:hAnsi="Century Gothic"/>
        </w:rPr>
        <w:t xml:space="preserve">id leave for both </w:t>
      </w:r>
      <w:r w:rsidR="002866BC">
        <w:rPr>
          <w:rFonts w:ascii="Century Gothic" w:hAnsi="Century Gothic"/>
        </w:rPr>
        <w:t>parents'</w:t>
      </w:r>
      <w:r w:rsidR="00E83FFF">
        <w:rPr>
          <w:rFonts w:ascii="Century Gothic" w:hAnsi="Century Gothic"/>
        </w:rPr>
        <w:t xml:space="preserve"> facing maternity leave </w:t>
      </w:r>
      <w:r w:rsidR="002866BC">
        <w:rPr>
          <w:rFonts w:ascii="Century Gothic" w:hAnsi="Century Gothic"/>
        </w:rPr>
        <w:t xml:space="preserve">for up to 26 weeks, </w:t>
      </w:r>
      <w:r w:rsidR="00565658">
        <w:rPr>
          <w:rFonts w:ascii="Century Gothic" w:hAnsi="Century Gothic"/>
        </w:rPr>
        <w:t xml:space="preserve">paid </w:t>
      </w:r>
      <w:r w:rsidR="00C741C7">
        <w:rPr>
          <w:rFonts w:ascii="Century Gothic" w:hAnsi="Century Gothic"/>
        </w:rPr>
        <w:t xml:space="preserve">time off </w:t>
      </w:r>
      <w:r w:rsidR="00565658">
        <w:rPr>
          <w:rFonts w:ascii="Century Gothic" w:hAnsi="Century Gothic"/>
        </w:rPr>
        <w:t>for parents whose child is in neonatal care</w:t>
      </w:r>
      <w:r w:rsidR="00082BF4">
        <w:rPr>
          <w:rFonts w:ascii="Century Gothic" w:hAnsi="Century Gothic"/>
        </w:rPr>
        <w:t xml:space="preserve"> and </w:t>
      </w:r>
      <w:r w:rsidR="006C3B88">
        <w:rPr>
          <w:rFonts w:ascii="Century Gothic" w:hAnsi="Century Gothic"/>
        </w:rPr>
        <w:t xml:space="preserve">individuals </w:t>
      </w:r>
      <w:r w:rsidR="00F8009C">
        <w:rPr>
          <w:rFonts w:ascii="Century Gothic" w:hAnsi="Century Gothic"/>
        </w:rPr>
        <w:t xml:space="preserve">experiencing </w:t>
      </w:r>
      <w:r w:rsidR="00082BF4">
        <w:rPr>
          <w:rFonts w:ascii="Century Gothic" w:hAnsi="Century Gothic"/>
        </w:rPr>
        <w:t xml:space="preserve">fertility </w:t>
      </w:r>
      <w:r w:rsidR="00A15C7E">
        <w:rPr>
          <w:rFonts w:ascii="Century Gothic" w:hAnsi="Century Gothic"/>
        </w:rPr>
        <w:t>treatment</w:t>
      </w:r>
      <w:r w:rsidR="00850F4A">
        <w:rPr>
          <w:rFonts w:ascii="Century Gothic" w:hAnsi="Century Gothic"/>
        </w:rPr>
        <w:t>.</w:t>
      </w:r>
      <w:r w:rsidR="0099188A">
        <w:rPr>
          <w:rFonts w:ascii="Century Gothic" w:hAnsi="Century Gothic"/>
        </w:rPr>
        <w:t xml:space="preserve"> </w:t>
      </w:r>
      <w:r w:rsidR="00886AFB">
        <w:rPr>
          <w:rFonts w:ascii="Century Gothic" w:hAnsi="Century Gothic"/>
        </w:rPr>
        <w:t xml:space="preserve">Looking into the gender pay gap within the same report, </w:t>
      </w:r>
      <w:r w:rsidR="00781B94">
        <w:rPr>
          <w:rFonts w:ascii="Century Gothic" w:hAnsi="Century Gothic"/>
        </w:rPr>
        <w:t>men</w:t>
      </w:r>
      <w:r w:rsidR="000F4A17">
        <w:rPr>
          <w:rFonts w:ascii="Century Gothic" w:hAnsi="Century Gothic"/>
        </w:rPr>
        <w:t xml:space="preserve"> overall do receive a higher pay than women</w:t>
      </w:r>
      <w:r w:rsidR="00BA53D5">
        <w:rPr>
          <w:rFonts w:ascii="Century Gothic" w:hAnsi="Century Gothic"/>
        </w:rPr>
        <w:t xml:space="preserve"> in 2025</w:t>
      </w:r>
      <w:r w:rsidR="001A16A8">
        <w:rPr>
          <w:rFonts w:ascii="Century Gothic" w:hAnsi="Century Gothic"/>
        </w:rPr>
        <w:t xml:space="preserve">. </w:t>
      </w:r>
      <w:r w:rsidR="00CF7590">
        <w:rPr>
          <w:rFonts w:ascii="Century Gothic" w:hAnsi="Century Gothic"/>
        </w:rPr>
        <w:t>Although the report d</w:t>
      </w:r>
      <w:r w:rsidR="00F8009C">
        <w:rPr>
          <w:rFonts w:ascii="Century Gothic" w:hAnsi="Century Gothic"/>
        </w:rPr>
        <w:t xml:space="preserve">escribes </w:t>
      </w:r>
      <w:r w:rsidR="00CF7590">
        <w:rPr>
          <w:rFonts w:ascii="Century Gothic" w:hAnsi="Century Gothic"/>
        </w:rPr>
        <w:t xml:space="preserve">women </w:t>
      </w:r>
      <w:r w:rsidR="00C038D5">
        <w:rPr>
          <w:rFonts w:ascii="Century Gothic" w:hAnsi="Century Gothic"/>
        </w:rPr>
        <w:t>receiving more</w:t>
      </w:r>
      <w:r w:rsidR="00CF7590">
        <w:rPr>
          <w:rFonts w:ascii="Century Gothic" w:hAnsi="Century Gothic"/>
        </w:rPr>
        <w:t xml:space="preserve"> bonuses than men </w:t>
      </w:r>
      <w:r w:rsidR="00770C7E">
        <w:rPr>
          <w:rFonts w:ascii="Century Gothic" w:hAnsi="Century Gothic"/>
        </w:rPr>
        <w:t>by 1.7%</w:t>
      </w:r>
      <w:r w:rsidR="004D48AC">
        <w:rPr>
          <w:rFonts w:ascii="Century Gothic" w:hAnsi="Century Gothic"/>
        </w:rPr>
        <w:t xml:space="preserve"> (Deloitte Pay and Inclusion Report 2025). </w:t>
      </w:r>
    </w:p>
    <w:p w14:paraId="40656406" w14:textId="62CF4263" w:rsidR="004D48AC" w:rsidRDefault="006B6F7D" w:rsidP="005D18F3">
      <w:pPr>
        <w:rPr>
          <w:rFonts w:ascii="Century Gothic" w:hAnsi="Century Gothic"/>
        </w:rPr>
      </w:pPr>
      <w:r>
        <w:rPr>
          <w:rFonts w:ascii="Century Gothic" w:hAnsi="Century Gothic"/>
        </w:rPr>
        <w:t>2.1.2 Ethnic</w:t>
      </w:r>
      <w:r w:rsidR="00D11723">
        <w:rPr>
          <w:rFonts w:ascii="Century Gothic" w:hAnsi="Century Gothic"/>
        </w:rPr>
        <w:t xml:space="preserve"> </w:t>
      </w:r>
      <w:r>
        <w:rPr>
          <w:rFonts w:ascii="Century Gothic" w:hAnsi="Century Gothic"/>
        </w:rPr>
        <w:t>Representation</w:t>
      </w:r>
    </w:p>
    <w:p w14:paraId="5810ADB2" w14:textId="56B473D4" w:rsidR="00BE7537" w:rsidRDefault="00DF4D71" w:rsidP="005D18F3">
      <w:pPr>
        <w:rPr>
          <w:rFonts w:ascii="Century Gothic" w:hAnsi="Century Gothic"/>
        </w:rPr>
      </w:pPr>
      <w:r>
        <w:rPr>
          <w:rFonts w:ascii="Century Gothic" w:hAnsi="Century Gothic"/>
        </w:rPr>
        <w:t>O</w:t>
      </w:r>
      <w:r w:rsidR="005B606A">
        <w:rPr>
          <w:rFonts w:ascii="Century Gothic" w:hAnsi="Century Gothic"/>
        </w:rPr>
        <w:t xml:space="preserve">n the Deloitte website, </w:t>
      </w:r>
      <w:r w:rsidR="00B2550F">
        <w:rPr>
          <w:rFonts w:ascii="Century Gothic" w:hAnsi="Century Gothic"/>
        </w:rPr>
        <w:t>s</w:t>
      </w:r>
      <w:r w:rsidR="00472809">
        <w:rPr>
          <w:rFonts w:ascii="Century Gothic" w:hAnsi="Century Gothic"/>
        </w:rPr>
        <w:t xml:space="preserve">upporting black heritage is of vital importance </w:t>
      </w:r>
      <w:r w:rsidR="0019058E">
        <w:rPr>
          <w:rFonts w:ascii="Century Gothic" w:hAnsi="Century Gothic"/>
        </w:rPr>
        <w:t xml:space="preserve">to </w:t>
      </w:r>
      <w:r w:rsidR="00B2550F">
        <w:rPr>
          <w:rFonts w:ascii="Century Gothic" w:hAnsi="Century Gothic"/>
        </w:rPr>
        <w:t xml:space="preserve">Deloitte </w:t>
      </w:r>
      <w:r w:rsidR="00543287">
        <w:rPr>
          <w:rFonts w:ascii="Century Gothic" w:hAnsi="Century Gothic"/>
        </w:rPr>
        <w:t>and therefore they have introduced new initiative</w:t>
      </w:r>
      <w:r w:rsidR="00B2550F">
        <w:rPr>
          <w:rFonts w:ascii="Century Gothic" w:hAnsi="Century Gothic"/>
        </w:rPr>
        <w:t>s such as</w:t>
      </w:r>
      <w:r w:rsidR="00CA279F">
        <w:rPr>
          <w:rFonts w:ascii="Century Gothic" w:hAnsi="Century Gothic"/>
        </w:rPr>
        <w:t xml:space="preserve"> “T</w:t>
      </w:r>
      <w:r w:rsidR="00543287">
        <w:rPr>
          <w:rFonts w:ascii="Century Gothic" w:hAnsi="Century Gothic"/>
        </w:rPr>
        <w:t xml:space="preserve">he Deloitte </w:t>
      </w:r>
      <w:r w:rsidR="00CA279F">
        <w:rPr>
          <w:rFonts w:ascii="Century Gothic" w:hAnsi="Century Gothic"/>
        </w:rPr>
        <w:t>B</w:t>
      </w:r>
      <w:r w:rsidR="00543287">
        <w:rPr>
          <w:rFonts w:ascii="Century Gothic" w:hAnsi="Century Gothic"/>
        </w:rPr>
        <w:t xml:space="preserve">lack </w:t>
      </w:r>
      <w:r w:rsidR="00CA279F">
        <w:rPr>
          <w:rFonts w:ascii="Century Gothic" w:hAnsi="Century Gothic"/>
        </w:rPr>
        <w:t>E</w:t>
      </w:r>
      <w:r w:rsidR="00543287">
        <w:rPr>
          <w:rFonts w:ascii="Century Gothic" w:hAnsi="Century Gothic"/>
        </w:rPr>
        <w:t>xperience</w:t>
      </w:r>
      <w:r w:rsidR="00CA279F">
        <w:rPr>
          <w:rFonts w:ascii="Century Gothic" w:hAnsi="Century Gothic"/>
        </w:rPr>
        <w:t xml:space="preserve">” </w:t>
      </w:r>
      <w:r w:rsidR="009E0DA1">
        <w:rPr>
          <w:rFonts w:ascii="Century Gothic" w:hAnsi="Century Gothic"/>
        </w:rPr>
        <w:t>that offers workshops</w:t>
      </w:r>
      <w:r w:rsidR="009C2697">
        <w:rPr>
          <w:rFonts w:ascii="Century Gothic" w:hAnsi="Century Gothic"/>
        </w:rPr>
        <w:t xml:space="preserve"> and mentoring for career development of black colleagues</w:t>
      </w:r>
      <w:r w:rsidR="00B75D34">
        <w:rPr>
          <w:rFonts w:ascii="Century Gothic" w:hAnsi="Century Gothic"/>
        </w:rPr>
        <w:t>.</w:t>
      </w:r>
      <w:r w:rsidR="00BC7BB0">
        <w:rPr>
          <w:rFonts w:ascii="Century Gothic" w:hAnsi="Century Gothic"/>
        </w:rPr>
        <w:t xml:space="preserve"> “The Future Leaders Programme”</w:t>
      </w:r>
      <w:r w:rsidR="00B9154E">
        <w:rPr>
          <w:rFonts w:ascii="Century Gothic" w:hAnsi="Century Gothic"/>
        </w:rPr>
        <w:t xml:space="preserve"> offers support for career progression in leadership roles for ethnic minority backgrounds</w:t>
      </w:r>
      <w:r w:rsidR="0079191E">
        <w:rPr>
          <w:rFonts w:ascii="Century Gothic" w:hAnsi="Century Gothic"/>
        </w:rPr>
        <w:t xml:space="preserve"> and, “The Ethnicity Council” provides the company </w:t>
      </w:r>
      <w:r w:rsidR="003C67C0">
        <w:rPr>
          <w:rFonts w:ascii="Century Gothic" w:hAnsi="Century Gothic"/>
        </w:rPr>
        <w:t xml:space="preserve">with guidance on representation and </w:t>
      </w:r>
      <w:r w:rsidR="008F3211">
        <w:rPr>
          <w:rFonts w:ascii="Century Gothic" w:hAnsi="Century Gothic"/>
        </w:rPr>
        <w:t xml:space="preserve">career </w:t>
      </w:r>
      <w:r w:rsidR="003C67C0">
        <w:rPr>
          <w:rFonts w:ascii="Century Gothic" w:hAnsi="Century Gothic"/>
        </w:rPr>
        <w:t xml:space="preserve">progression </w:t>
      </w:r>
      <w:r w:rsidR="000F1387">
        <w:rPr>
          <w:rFonts w:ascii="Century Gothic" w:hAnsi="Century Gothic"/>
        </w:rPr>
        <w:t>for ethnic minority background colleagues</w:t>
      </w:r>
      <w:r w:rsidR="008F3211">
        <w:rPr>
          <w:rFonts w:ascii="Century Gothic" w:hAnsi="Century Gothic"/>
        </w:rPr>
        <w:t xml:space="preserve">. </w:t>
      </w:r>
      <w:r w:rsidR="00A85D73">
        <w:rPr>
          <w:rFonts w:ascii="Century Gothic" w:hAnsi="Century Gothic"/>
        </w:rPr>
        <w:t xml:space="preserve">In June 2025, 15% of newly promoted partners </w:t>
      </w:r>
      <w:r w:rsidR="00840E43">
        <w:rPr>
          <w:rFonts w:ascii="Century Gothic" w:hAnsi="Century Gothic"/>
        </w:rPr>
        <w:t>were from ethnic minority backgrounds leading to an over</w:t>
      </w:r>
      <w:r w:rsidR="00B40DCB">
        <w:rPr>
          <w:rFonts w:ascii="Century Gothic" w:hAnsi="Century Gothic"/>
        </w:rPr>
        <w:t>all</w:t>
      </w:r>
      <w:r w:rsidR="00840E43">
        <w:rPr>
          <w:rFonts w:ascii="Century Gothic" w:hAnsi="Century Gothic"/>
        </w:rPr>
        <w:t xml:space="preserve"> 12% of </w:t>
      </w:r>
      <w:r w:rsidR="00B40DCB">
        <w:rPr>
          <w:rFonts w:ascii="Century Gothic" w:hAnsi="Century Gothic"/>
        </w:rPr>
        <w:t xml:space="preserve">ethnically </w:t>
      </w:r>
      <w:bookmarkStart w:id="4" w:name="_Int_jr3NBjwN"/>
      <w:r w:rsidR="00B40DCB">
        <w:rPr>
          <w:rFonts w:ascii="Century Gothic" w:hAnsi="Century Gothic"/>
        </w:rPr>
        <w:t>represented</w:t>
      </w:r>
      <w:bookmarkEnd w:id="4"/>
      <w:r w:rsidR="00B40DCB">
        <w:rPr>
          <w:rFonts w:ascii="Century Gothic" w:hAnsi="Century Gothic"/>
        </w:rPr>
        <w:t xml:space="preserve"> partners</w:t>
      </w:r>
      <w:r w:rsidR="000F1387">
        <w:rPr>
          <w:rFonts w:ascii="Century Gothic" w:hAnsi="Century Gothic"/>
        </w:rPr>
        <w:t xml:space="preserve"> (</w:t>
      </w:r>
      <w:r w:rsidR="00BB7F1D">
        <w:rPr>
          <w:rFonts w:ascii="Century Gothic" w:hAnsi="Century Gothic"/>
        </w:rPr>
        <w:t xml:space="preserve">Deloitte, 2026). </w:t>
      </w:r>
      <w:r w:rsidR="00E34B8B">
        <w:rPr>
          <w:rFonts w:ascii="Century Gothic" w:hAnsi="Century Gothic"/>
        </w:rPr>
        <w:t>The</w:t>
      </w:r>
      <w:r w:rsidR="00E763F8">
        <w:rPr>
          <w:rFonts w:ascii="Century Gothic" w:hAnsi="Century Gothic"/>
        </w:rPr>
        <w:t xml:space="preserve"> Pay and Inclusion Report 2025 </w:t>
      </w:r>
      <w:r w:rsidR="00237D3A">
        <w:rPr>
          <w:rFonts w:ascii="Century Gothic" w:hAnsi="Century Gothic"/>
        </w:rPr>
        <w:t>suggests</w:t>
      </w:r>
      <w:r w:rsidR="00E763F8">
        <w:rPr>
          <w:rFonts w:ascii="Century Gothic" w:hAnsi="Century Gothic"/>
        </w:rPr>
        <w:t xml:space="preserve"> that </w:t>
      </w:r>
      <w:r w:rsidR="009836FF">
        <w:rPr>
          <w:rFonts w:ascii="Century Gothic" w:hAnsi="Century Gothic"/>
        </w:rPr>
        <w:t xml:space="preserve">Deloitte </w:t>
      </w:r>
      <w:r w:rsidR="00682CD5">
        <w:rPr>
          <w:rFonts w:ascii="Century Gothic" w:hAnsi="Century Gothic"/>
        </w:rPr>
        <w:t xml:space="preserve">aims to have </w:t>
      </w:r>
      <w:r w:rsidR="009836FF">
        <w:rPr>
          <w:rFonts w:ascii="Century Gothic" w:hAnsi="Century Gothic"/>
        </w:rPr>
        <w:t xml:space="preserve">25 black partners </w:t>
      </w:r>
      <w:r w:rsidR="00682CD5">
        <w:rPr>
          <w:rFonts w:ascii="Century Gothic" w:hAnsi="Century Gothic"/>
        </w:rPr>
        <w:t xml:space="preserve">and 16% of ethnic minority partners by </w:t>
      </w:r>
      <w:r w:rsidR="009836FF">
        <w:rPr>
          <w:rFonts w:ascii="Century Gothic" w:hAnsi="Century Gothic"/>
        </w:rPr>
        <w:t>2030</w:t>
      </w:r>
      <w:r w:rsidR="00EC5F47">
        <w:rPr>
          <w:rFonts w:ascii="Century Gothic" w:hAnsi="Century Gothic"/>
        </w:rPr>
        <w:t>.</w:t>
      </w:r>
      <w:r w:rsidR="00DC4275">
        <w:rPr>
          <w:rFonts w:ascii="Century Gothic" w:hAnsi="Century Gothic"/>
        </w:rPr>
        <w:t xml:space="preserve"> </w:t>
      </w:r>
      <w:r w:rsidR="00EC5F47">
        <w:rPr>
          <w:rFonts w:ascii="Century Gothic" w:hAnsi="Century Gothic"/>
        </w:rPr>
        <w:t>B</w:t>
      </w:r>
      <w:r w:rsidR="00DF40F1">
        <w:rPr>
          <w:rFonts w:ascii="Century Gothic" w:hAnsi="Century Gothic"/>
        </w:rPr>
        <w:t>y the end of 2025, there were 12% of partners bei</w:t>
      </w:r>
      <w:r w:rsidR="00F01EB5">
        <w:rPr>
          <w:rFonts w:ascii="Century Gothic" w:hAnsi="Century Gothic"/>
        </w:rPr>
        <w:t xml:space="preserve">ng from ethnic minority backgrounds and 1% of partners being black. </w:t>
      </w:r>
      <w:r w:rsidR="00771398">
        <w:rPr>
          <w:rFonts w:ascii="Century Gothic" w:hAnsi="Century Gothic"/>
        </w:rPr>
        <w:t xml:space="preserve">The </w:t>
      </w:r>
      <w:r w:rsidR="00771398">
        <w:rPr>
          <w:rFonts w:ascii="Century Gothic" w:hAnsi="Century Gothic"/>
        </w:rPr>
        <w:lastRenderedPageBreak/>
        <w:t xml:space="preserve">report continues to show that 28.1% of early career new hires </w:t>
      </w:r>
      <w:r w:rsidR="00EA77C7">
        <w:rPr>
          <w:rFonts w:ascii="Century Gothic" w:hAnsi="Century Gothic"/>
        </w:rPr>
        <w:t>in 2025</w:t>
      </w:r>
      <w:r w:rsidR="000B4810">
        <w:rPr>
          <w:rFonts w:ascii="Century Gothic" w:hAnsi="Century Gothic"/>
        </w:rPr>
        <w:t xml:space="preserve"> </w:t>
      </w:r>
      <w:r w:rsidR="00771398">
        <w:rPr>
          <w:rFonts w:ascii="Century Gothic" w:hAnsi="Century Gothic"/>
        </w:rPr>
        <w:t>were from</w:t>
      </w:r>
      <w:r w:rsidR="00EA77C7">
        <w:rPr>
          <w:rFonts w:ascii="Century Gothic" w:hAnsi="Century Gothic"/>
        </w:rPr>
        <w:t xml:space="preserve"> an ethnic minority background, compared to 31.6% of experienced hires </w:t>
      </w:r>
      <w:r w:rsidR="000B4810">
        <w:rPr>
          <w:rFonts w:ascii="Century Gothic" w:hAnsi="Century Gothic"/>
        </w:rPr>
        <w:t>new hires</w:t>
      </w:r>
      <w:r w:rsidR="00C266E5">
        <w:rPr>
          <w:rFonts w:ascii="Century Gothic" w:hAnsi="Century Gothic"/>
        </w:rPr>
        <w:t xml:space="preserve">. </w:t>
      </w:r>
      <w:r w:rsidR="00AE0CB4">
        <w:rPr>
          <w:rFonts w:ascii="Century Gothic" w:hAnsi="Century Gothic"/>
        </w:rPr>
        <w:t>Deloi</w:t>
      </w:r>
      <w:r w:rsidR="00FE0FEB">
        <w:rPr>
          <w:rFonts w:ascii="Century Gothic" w:hAnsi="Century Gothic"/>
        </w:rPr>
        <w:t xml:space="preserve">tte UK </w:t>
      </w:r>
      <w:r w:rsidR="00492867">
        <w:rPr>
          <w:rFonts w:ascii="Century Gothic" w:hAnsi="Century Gothic"/>
        </w:rPr>
        <w:t>has</w:t>
      </w:r>
      <w:r w:rsidR="00FE0FEB">
        <w:rPr>
          <w:rFonts w:ascii="Century Gothic" w:hAnsi="Century Gothic"/>
        </w:rPr>
        <w:t xml:space="preserve"> 4.3% </w:t>
      </w:r>
      <w:r w:rsidR="00492867">
        <w:rPr>
          <w:rFonts w:ascii="Century Gothic" w:hAnsi="Century Gothic"/>
        </w:rPr>
        <w:t xml:space="preserve">black </w:t>
      </w:r>
      <w:r w:rsidR="00FE0FEB">
        <w:rPr>
          <w:rFonts w:ascii="Century Gothic" w:hAnsi="Century Gothic"/>
        </w:rPr>
        <w:t>employees</w:t>
      </w:r>
      <w:r w:rsidR="002742C8">
        <w:rPr>
          <w:rFonts w:ascii="Century Gothic" w:hAnsi="Century Gothic"/>
        </w:rPr>
        <w:t xml:space="preserve"> </w:t>
      </w:r>
      <w:r w:rsidR="00492867">
        <w:rPr>
          <w:rFonts w:ascii="Century Gothic" w:hAnsi="Century Gothic"/>
        </w:rPr>
        <w:t>in total</w:t>
      </w:r>
      <w:r w:rsidR="00D0399C">
        <w:rPr>
          <w:rFonts w:ascii="Century Gothic" w:hAnsi="Century Gothic"/>
        </w:rPr>
        <w:t>,</w:t>
      </w:r>
      <w:r w:rsidR="002742C8">
        <w:rPr>
          <w:rFonts w:ascii="Century Gothic" w:hAnsi="Century Gothic"/>
        </w:rPr>
        <w:t xml:space="preserve"> 2.4% being from an e</w:t>
      </w:r>
      <w:r w:rsidR="003339C9">
        <w:rPr>
          <w:rFonts w:ascii="Century Gothic" w:hAnsi="Century Gothic"/>
        </w:rPr>
        <w:t xml:space="preserve">thnic minority background and 20.1% being Asian compared to 52.1% </w:t>
      </w:r>
      <w:r w:rsidR="00510B1F">
        <w:rPr>
          <w:rFonts w:ascii="Century Gothic" w:hAnsi="Century Gothic"/>
        </w:rPr>
        <w:t xml:space="preserve">being </w:t>
      </w:r>
      <w:r w:rsidR="00483B3C">
        <w:rPr>
          <w:rFonts w:ascii="Century Gothic" w:hAnsi="Century Gothic"/>
        </w:rPr>
        <w:t>white (</w:t>
      </w:r>
      <w:r w:rsidR="00961542">
        <w:rPr>
          <w:rFonts w:ascii="Century Gothic" w:hAnsi="Century Gothic"/>
        </w:rPr>
        <w:t xml:space="preserve">21.1% of individuals in the study </w:t>
      </w:r>
      <w:bookmarkStart w:id="5" w:name="_Int_kk8Oc86y"/>
      <w:r w:rsidR="00961542">
        <w:rPr>
          <w:rFonts w:ascii="Century Gothic" w:hAnsi="Century Gothic"/>
        </w:rPr>
        <w:t>are labelled</w:t>
      </w:r>
      <w:bookmarkEnd w:id="5"/>
      <w:r w:rsidR="00961542">
        <w:rPr>
          <w:rFonts w:ascii="Century Gothic" w:hAnsi="Century Gothic"/>
        </w:rPr>
        <w:t xml:space="preserve"> </w:t>
      </w:r>
      <w:r w:rsidR="007970F7">
        <w:rPr>
          <w:rFonts w:ascii="Century Gothic" w:hAnsi="Century Gothic"/>
        </w:rPr>
        <w:t>‘</w:t>
      </w:r>
      <w:r w:rsidR="00961542">
        <w:rPr>
          <w:rFonts w:ascii="Century Gothic" w:hAnsi="Century Gothic"/>
        </w:rPr>
        <w:t xml:space="preserve">unreported’ or </w:t>
      </w:r>
      <w:r w:rsidR="007970F7">
        <w:rPr>
          <w:rFonts w:ascii="Century Gothic" w:hAnsi="Century Gothic"/>
        </w:rPr>
        <w:t>‘prefer not to say’</w:t>
      </w:r>
      <w:r w:rsidR="0078386F">
        <w:rPr>
          <w:rFonts w:ascii="Century Gothic" w:hAnsi="Century Gothic"/>
        </w:rPr>
        <w:t>). Looking at the ethnic pay gap</w:t>
      </w:r>
      <w:r w:rsidR="00306B25">
        <w:rPr>
          <w:rFonts w:ascii="Century Gothic" w:hAnsi="Century Gothic"/>
        </w:rPr>
        <w:t>, whi</w:t>
      </w:r>
      <w:r w:rsidR="00501D78">
        <w:rPr>
          <w:rFonts w:ascii="Century Gothic" w:hAnsi="Century Gothic"/>
        </w:rPr>
        <w:t xml:space="preserve">te people receive significantly more pay across the company. </w:t>
      </w:r>
      <w:r w:rsidR="00D050AA">
        <w:rPr>
          <w:rFonts w:ascii="Century Gothic" w:hAnsi="Century Gothic"/>
        </w:rPr>
        <w:t>Similarly, the gaps of bonuses between white people compared to</w:t>
      </w:r>
      <w:r w:rsidR="00140938">
        <w:rPr>
          <w:rFonts w:ascii="Century Gothic" w:hAnsi="Century Gothic"/>
        </w:rPr>
        <w:t xml:space="preserve"> ethnic minorities </w:t>
      </w:r>
      <w:bookmarkStart w:id="6" w:name="_Int_RZFm0pkK"/>
      <w:r w:rsidR="00140938">
        <w:rPr>
          <w:rFonts w:ascii="Century Gothic" w:hAnsi="Century Gothic"/>
        </w:rPr>
        <w:t>remains</w:t>
      </w:r>
      <w:bookmarkEnd w:id="6"/>
      <w:r w:rsidR="00140938">
        <w:rPr>
          <w:rFonts w:ascii="Century Gothic" w:hAnsi="Century Gothic"/>
        </w:rPr>
        <w:t xml:space="preserve"> high but overall </w:t>
      </w:r>
      <w:r w:rsidR="00D6731B">
        <w:rPr>
          <w:rFonts w:ascii="Century Gothic" w:hAnsi="Century Gothic"/>
        </w:rPr>
        <w:t>is lower in comparison to 2024 data.</w:t>
      </w:r>
      <w:r w:rsidR="005C5247">
        <w:rPr>
          <w:rFonts w:ascii="Century Gothic" w:hAnsi="Century Gothic"/>
        </w:rPr>
        <w:t xml:space="preserve"> T</w:t>
      </w:r>
      <w:r w:rsidR="00D6731B">
        <w:rPr>
          <w:rFonts w:ascii="Century Gothic" w:hAnsi="Century Gothic"/>
        </w:rPr>
        <w:t>he to</w:t>
      </w:r>
      <w:r w:rsidR="00C171D4">
        <w:rPr>
          <w:rFonts w:ascii="Century Gothic" w:hAnsi="Century Gothic"/>
        </w:rPr>
        <w:t xml:space="preserve">tal pay gap </w:t>
      </w:r>
      <w:bookmarkStart w:id="7" w:name="_Int_VSfbX5as"/>
      <w:r w:rsidR="00C171D4">
        <w:rPr>
          <w:rFonts w:ascii="Century Gothic" w:hAnsi="Century Gothic"/>
        </w:rPr>
        <w:t>is reduced</w:t>
      </w:r>
      <w:bookmarkEnd w:id="7"/>
      <w:r w:rsidR="00C171D4">
        <w:rPr>
          <w:rFonts w:ascii="Century Gothic" w:hAnsi="Century Gothic"/>
        </w:rPr>
        <w:t xml:space="preserve"> </w:t>
      </w:r>
      <w:r w:rsidR="00DC411E">
        <w:rPr>
          <w:rFonts w:ascii="Century Gothic" w:hAnsi="Century Gothic"/>
        </w:rPr>
        <w:t>by 3.1% (median</w:t>
      </w:r>
      <w:r w:rsidR="00BD008D">
        <w:rPr>
          <w:rFonts w:ascii="Century Gothic" w:hAnsi="Century Gothic"/>
        </w:rPr>
        <w:t xml:space="preserve"> average) </w:t>
      </w:r>
      <w:r w:rsidR="00C171D4">
        <w:rPr>
          <w:rFonts w:ascii="Century Gothic" w:hAnsi="Century Gothic"/>
        </w:rPr>
        <w:t xml:space="preserve">in 2025 </w:t>
      </w:r>
      <w:r w:rsidR="00DC411E">
        <w:rPr>
          <w:rFonts w:ascii="Century Gothic" w:hAnsi="Century Gothic"/>
        </w:rPr>
        <w:t xml:space="preserve">compared </w:t>
      </w:r>
      <w:r w:rsidR="00C171D4">
        <w:rPr>
          <w:rFonts w:ascii="Century Gothic" w:hAnsi="Century Gothic"/>
        </w:rPr>
        <w:t>to 2024</w:t>
      </w:r>
      <w:r w:rsidR="00306B25">
        <w:rPr>
          <w:rFonts w:ascii="Century Gothic" w:hAnsi="Century Gothic"/>
        </w:rPr>
        <w:t xml:space="preserve"> (</w:t>
      </w:r>
      <w:r w:rsidR="007970F7">
        <w:rPr>
          <w:rFonts w:ascii="Century Gothic" w:hAnsi="Century Gothic"/>
        </w:rPr>
        <w:t xml:space="preserve">Deloitte Pay and Inclusion Report, 2025). </w:t>
      </w:r>
    </w:p>
    <w:p w14:paraId="40A266EC" w14:textId="3A788171" w:rsidR="00F363EA" w:rsidRDefault="00993DE2" w:rsidP="005D18F3">
      <w:pPr>
        <w:rPr>
          <w:rFonts w:ascii="Century Gothic" w:hAnsi="Century Gothic"/>
        </w:rPr>
      </w:pPr>
      <w:r>
        <w:rPr>
          <w:rFonts w:ascii="Century Gothic" w:hAnsi="Century Gothic"/>
        </w:rPr>
        <w:t>2</w:t>
      </w:r>
      <w:r w:rsidR="00E6455B">
        <w:rPr>
          <w:rFonts w:ascii="Century Gothic" w:hAnsi="Century Gothic"/>
        </w:rPr>
        <w:t xml:space="preserve">.1.3 LGBTQ+ Inclusion </w:t>
      </w:r>
    </w:p>
    <w:p w14:paraId="0165382A" w14:textId="79115FD6" w:rsidR="00E6455B" w:rsidRDefault="004B21A2" w:rsidP="005D18F3">
      <w:pPr>
        <w:rPr>
          <w:rFonts w:ascii="Century Gothic" w:hAnsi="Century Gothic"/>
        </w:rPr>
      </w:pPr>
      <w:r>
        <w:rPr>
          <w:rFonts w:ascii="Century Gothic" w:hAnsi="Century Gothic"/>
        </w:rPr>
        <w:t>D</w:t>
      </w:r>
      <w:r w:rsidR="00192D34">
        <w:rPr>
          <w:rFonts w:ascii="Century Gothic" w:hAnsi="Century Gothic"/>
        </w:rPr>
        <w:t>eloitte</w:t>
      </w:r>
      <w:r w:rsidR="00507579">
        <w:rPr>
          <w:rFonts w:ascii="Century Gothic" w:hAnsi="Century Gothic"/>
        </w:rPr>
        <w:t xml:space="preserve">’s </w:t>
      </w:r>
      <w:r w:rsidR="00192D34">
        <w:rPr>
          <w:rFonts w:ascii="Century Gothic" w:hAnsi="Century Gothic"/>
        </w:rPr>
        <w:t>LGBTQ+ inclusivity stra</w:t>
      </w:r>
      <w:r w:rsidR="00094A76">
        <w:rPr>
          <w:rFonts w:ascii="Century Gothic" w:hAnsi="Century Gothic"/>
        </w:rPr>
        <w:t xml:space="preserve">tegy </w:t>
      </w:r>
      <w:bookmarkStart w:id="8" w:name="_Int_Po8JrRh1"/>
      <w:r w:rsidR="001E47B4">
        <w:rPr>
          <w:rFonts w:ascii="Century Gothic" w:hAnsi="Century Gothic"/>
        </w:rPr>
        <w:t>is suggested</w:t>
      </w:r>
      <w:bookmarkEnd w:id="8"/>
      <w:r w:rsidR="001E47B4">
        <w:rPr>
          <w:rFonts w:ascii="Century Gothic" w:hAnsi="Century Gothic"/>
        </w:rPr>
        <w:t xml:space="preserve"> to be </w:t>
      </w:r>
      <w:r w:rsidR="00094A76">
        <w:rPr>
          <w:rFonts w:ascii="Century Gothic" w:hAnsi="Century Gothic"/>
        </w:rPr>
        <w:t>an integral part of the company</w:t>
      </w:r>
      <w:r w:rsidR="009977E2">
        <w:rPr>
          <w:rFonts w:ascii="Century Gothic" w:hAnsi="Century Gothic"/>
        </w:rPr>
        <w:t xml:space="preserve">, encouraging employees to </w:t>
      </w:r>
      <w:r w:rsidR="00F42E4F">
        <w:rPr>
          <w:rFonts w:ascii="Century Gothic" w:hAnsi="Century Gothic"/>
        </w:rPr>
        <w:t xml:space="preserve">be authentic </w:t>
      </w:r>
      <w:r w:rsidR="00B14B6E">
        <w:rPr>
          <w:rFonts w:ascii="Century Gothic" w:hAnsi="Century Gothic"/>
        </w:rPr>
        <w:t xml:space="preserve">and thrive </w:t>
      </w:r>
      <w:r w:rsidR="00F42E4F">
        <w:rPr>
          <w:rFonts w:ascii="Century Gothic" w:hAnsi="Century Gothic"/>
        </w:rPr>
        <w:t>at work</w:t>
      </w:r>
      <w:r w:rsidR="00507494">
        <w:rPr>
          <w:rFonts w:ascii="Century Gothic" w:hAnsi="Century Gothic"/>
        </w:rPr>
        <w:t xml:space="preserve"> (Deloitt</w:t>
      </w:r>
      <w:r w:rsidR="008E210F">
        <w:rPr>
          <w:rFonts w:ascii="Century Gothic" w:hAnsi="Century Gothic"/>
        </w:rPr>
        <w:t>e,</w:t>
      </w:r>
      <w:r w:rsidR="00507494">
        <w:rPr>
          <w:rFonts w:ascii="Century Gothic" w:hAnsi="Century Gothic"/>
        </w:rPr>
        <w:t xml:space="preserve"> 2026)</w:t>
      </w:r>
      <w:r w:rsidR="00F42E4F">
        <w:rPr>
          <w:rFonts w:ascii="Century Gothic" w:hAnsi="Century Gothic"/>
        </w:rPr>
        <w:t>.</w:t>
      </w:r>
      <w:r w:rsidR="00507494">
        <w:rPr>
          <w:rFonts w:ascii="Century Gothic" w:hAnsi="Century Gothic"/>
        </w:rPr>
        <w:t xml:space="preserve"> </w:t>
      </w:r>
      <w:r w:rsidR="001E47B4">
        <w:rPr>
          <w:rFonts w:ascii="Century Gothic" w:hAnsi="Century Gothic"/>
        </w:rPr>
        <w:t>O</w:t>
      </w:r>
      <w:r w:rsidR="005D1667">
        <w:rPr>
          <w:rFonts w:ascii="Century Gothic" w:hAnsi="Century Gothic"/>
        </w:rPr>
        <w:t>ver the year of 2025</w:t>
      </w:r>
      <w:r w:rsidR="00655911">
        <w:rPr>
          <w:rFonts w:ascii="Century Gothic" w:hAnsi="Century Gothic"/>
        </w:rPr>
        <w:t xml:space="preserve">, </w:t>
      </w:r>
      <w:r w:rsidR="00A11766">
        <w:rPr>
          <w:rFonts w:ascii="Century Gothic" w:hAnsi="Century Gothic"/>
        </w:rPr>
        <w:t xml:space="preserve">Deloitte </w:t>
      </w:r>
      <w:r w:rsidR="00655911">
        <w:rPr>
          <w:rFonts w:ascii="Century Gothic" w:hAnsi="Century Gothic"/>
        </w:rPr>
        <w:t xml:space="preserve">aimed to </w:t>
      </w:r>
      <w:r w:rsidR="00A11766">
        <w:rPr>
          <w:rFonts w:ascii="Century Gothic" w:hAnsi="Century Gothic"/>
        </w:rPr>
        <w:t xml:space="preserve">honour this by providing a tailored series of support pages on their internal wellbeing system. </w:t>
      </w:r>
      <w:r w:rsidR="008E210F">
        <w:rPr>
          <w:rFonts w:ascii="Century Gothic" w:hAnsi="Century Gothic"/>
        </w:rPr>
        <w:t>T</w:t>
      </w:r>
      <w:r w:rsidR="00F95F88">
        <w:rPr>
          <w:rFonts w:ascii="Century Gothic" w:hAnsi="Century Gothic"/>
        </w:rPr>
        <w:t xml:space="preserve">he sexual orientation pay </w:t>
      </w:r>
      <w:r w:rsidR="00DC6D37">
        <w:rPr>
          <w:rFonts w:ascii="Century Gothic" w:hAnsi="Century Gothic"/>
        </w:rPr>
        <w:t xml:space="preserve">and bonus gap are both reduced from 2024 by </w:t>
      </w:r>
      <w:r w:rsidR="0010140F">
        <w:rPr>
          <w:rFonts w:ascii="Century Gothic" w:hAnsi="Century Gothic"/>
        </w:rPr>
        <w:t xml:space="preserve">3.1% (median average of pay gap) and </w:t>
      </w:r>
      <w:r w:rsidR="008E210F">
        <w:rPr>
          <w:rFonts w:ascii="Century Gothic" w:hAnsi="Century Gothic"/>
        </w:rPr>
        <w:t xml:space="preserve">by </w:t>
      </w:r>
      <w:r w:rsidR="0010140F">
        <w:rPr>
          <w:rFonts w:ascii="Century Gothic" w:hAnsi="Century Gothic"/>
        </w:rPr>
        <w:t>6.6% (median average of bonus gap)</w:t>
      </w:r>
      <w:r w:rsidR="00F75C6C">
        <w:rPr>
          <w:rFonts w:ascii="Century Gothic" w:hAnsi="Century Gothic"/>
        </w:rPr>
        <w:t>, however</w:t>
      </w:r>
      <w:r w:rsidR="001E76CC">
        <w:rPr>
          <w:rFonts w:ascii="Century Gothic" w:hAnsi="Century Gothic"/>
        </w:rPr>
        <w:t>,</w:t>
      </w:r>
      <w:r w:rsidR="00F75C6C">
        <w:rPr>
          <w:rFonts w:ascii="Century Gothic" w:hAnsi="Century Gothic"/>
        </w:rPr>
        <w:t xml:space="preserve"> the total earning gap has increased significantly by </w:t>
      </w:r>
      <w:r w:rsidR="00F66ADD">
        <w:rPr>
          <w:rFonts w:ascii="Century Gothic" w:hAnsi="Century Gothic"/>
        </w:rPr>
        <w:t>10.9% (median average) from 2024 to 2025</w:t>
      </w:r>
      <w:r w:rsidR="00E73819">
        <w:rPr>
          <w:rFonts w:ascii="Century Gothic" w:hAnsi="Century Gothic"/>
        </w:rPr>
        <w:t xml:space="preserve"> (</w:t>
      </w:r>
      <w:r w:rsidR="000C1505">
        <w:rPr>
          <w:rFonts w:ascii="Century Gothic" w:hAnsi="Century Gothic"/>
        </w:rPr>
        <w:t>Deloitte Pay and Inclusion Report, 2025)</w:t>
      </w:r>
      <w:r w:rsidR="00F66ADD">
        <w:rPr>
          <w:rFonts w:ascii="Century Gothic" w:hAnsi="Century Gothic"/>
        </w:rPr>
        <w:t xml:space="preserve">. </w:t>
      </w:r>
    </w:p>
    <w:p w14:paraId="6FAB18C4" w14:textId="76186D37" w:rsidR="005F2F97" w:rsidRDefault="005F2F97" w:rsidP="005D18F3">
      <w:pPr>
        <w:rPr>
          <w:rFonts w:ascii="Century Gothic" w:hAnsi="Century Gothic"/>
        </w:rPr>
      </w:pPr>
      <w:r>
        <w:rPr>
          <w:rFonts w:ascii="Century Gothic" w:hAnsi="Century Gothic"/>
        </w:rPr>
        <w:t>2.1.4 Disability and Neurodiversity</w:t>
      </w:r>
      <w:r w:rsidR="009437EA">
        <w:rPr>
          <w:rFonts w:ascii="Century Gothic" w:hAnsi="Century Gothic"/>
        </w:rPr>
        <w:t xml:space="preserve"> Inclusion </w:t>
      </w:r>
    </w:p>
    <w:p w14:paraId="2AFCB666" w14:textId="53059FCE" w:rsidR="009437EA" w:rsidRDefault="009618B1" w:rsidP="005D18F3">
      <w:pPr>
        <w:rPr>
          <w:rFonts w:ascii="Century Gothic" w:hAnsi="Century Gothic"/>
        </w:rPr>
      </w:pPr>
      <w:r>
        <w:rPr>
          <w:rFonts w:ascii="Century Gothic" w:hAnsi="Century Gothic"/>
        </w:rPr>
        <w:t>De</w:t>
      </w:r>
      <w:r w:rsidR="008E5EAA">
        <w:rPr>
          <w:rFonts w:ascii="Century Gothic" w:hAnsi="Century Gothic"/>
        </w:rPr>
        <w:t xml:space="preserve">loitte </w:t>
      </w:r>
      <w:r w:rsidR="00386C53">
        <w:rPr>
          <w:rFonts w:ascii="Century Gothic" w:hAnsi="Century Gothic"/>
        </w:rPr>
        <w:t xml:space="preserve">recognise </w:t>
      </w:r>
      <w:r w:rsidR="00567DCE">
        <w:rPr>
          <w:rFonts w:ascii="Century Gothic" w:hAnsi="Century Gothic"/>
        </w:rPr>
        <w:t>disability and neurodiverse</w:t>
      </w:r>
      <w:r w:rsidR="00C75421">
        <w:rPr>
          <w:rFonts w:ascii="Century Gothic" w:hAnsi="Century Gothic"/>
        </w:rPr>
        <w:t xml:space="preserve"> i</w:t>
      </w:r>
      <w:r w:rsidR="00567DCE">
        <w:rPr>
          <w:rFonts w:ascii="Century Gothic" w:hAnsi="Century Gothic"/>
        </w:rPr>
        <w:t xml:space="preserve">nclusion </w:t>
      </w:r>
      <w:r w:rsidR="00386C53">
        <w:rPr>
          <w:rFonts w:ascii="Century Gothic" w:hAnsi="Century Gothic"/>
        </w:rPr>
        <w:t xml:space="preserve">to </w:t>
      </w:r>
      <w:r w:rsidR="00567DCE">
        <w:rPr>
          <w:rFonts w:ascii="Century Gothic" w:hAnsi="Century Gothic"/>
        </w:rPr>
        <w:t>mean providing</w:t>
      </w:r>
      <w:r w:rsidR="001667EB">
        <w:rPr>
          <w:rFonts w:ascii="Century Gothic" w:hAnsi="Century Gothic"/>
        </w:rPr>
        <w:t xml:space="preserve"> </w:t>
      </w:r>
      <w:r w:rsidR="00B464F1">
        <w:rPr>
          <w:rFonts w:ascii="Century Gothic" w:hAnsi="Century Gothic"/>
        </w:rPr>
        <w:t xml:space="preserve">resources </w:t>
      </w:r>
      <w:r w:rsidR="00A81FAF">
        <w:rPr>
          <w:rFonts w:ascii="Century Gothic" w:hAnsi="Century Gothic"/>
        </w:rPr>
        <w:t xml:space="preserve">and guidance </w:t>
      </w:r>
      <w:r w:rsidR="00B464F1">
        <w:rPr>
          <w:rFonts w:ascii="Century Gothic" w:hAnsi="Century Gothic"/>
        </w:rPr>
        <w:t xml:space="preserve">to </w:t>
      </w:r>
      <w:r w:rsidR="00860FB5">
        <w:rPr>
          <w:rFonts w:ascii="Century Gothic" w:hAnsi="Century Gothic"/>
        </w:rPr>
        <w:t>enable them to work to their full potential</w:t>
      </w:r>
      <w:r w:rsidR="00634A7C">
        <w:rPr>
          <w:rFonts w:ascii="Century Gothic" w:hAnsi="Century Gothic"/>
        </w:rPr>
        <w:t xml:space="preserve">. </w:t>
      </w:r>
      <w:r w:rsidR="007D726C">
        <w:rPr>
          <w:rFonts w:ascii="Century Gothic" w:hAnsi="Century Gothic"/>
        </w:rPr>
        <w:t>In January 20</w:t>
      </w:r>
      <w:r w:rsidR="001667EB">
        <w:rPr>
          <w:rFonts w:ascii="Century Gothic" w:hAnsi="Century Gothic"/>
        </w:rPr>
        <w:t>1</w:t>
      </w:r>
      <w:r w:rsidR="007D726C">
        <w:rPr>
          <w:rFonts w:ascii="Century Gothic" w:hAnsi="Century Gothic"/>
        </w:rPr>
        <w:t xml:space="preserve">9, during the World Economic Forum Annual Meeting, Deloitte Global pledged </w:t>
      </w:r>
      <w:r w:rsidR="00FD505C">
        <w:rPr>
          <w:rFonts w:ascii="Century Gothic" w:hAnsi="Century Gothic"/>
        </w:rPr>
        <w:t>its support to the Valuable 500 initiative, reinforcing its organisation-wide commitment to prioritising disability inclusion at leadership</w:t>
      </w:r>
      <w:r w:rsidR="000F3BDF">
        <w:rPr>
          <w:rFonts w:ascii="Century Gothic" w:hAnsi="Century Gothic"/>
        </w:rPr>
        <w:t xml:space="preserve"> level and embedding it within its global strategy.</w:t>
      </w:r>
      <w:r w:rsidR="00860FB5">
        <w:rPr>
          <w:rFonts w:ascii="Century Gothic" w:hAnsi="Century Gothic"/>
        </w:rPr>
        <w:t xml:space="preserve"> (Deloitte, 2026).</w:t>
      </w:r>
      <w:r w:rsidR="00681137">
        <w:rPr>
          <w:rFonts w:ascii="Century Gothic" w:hAnsi="Century Gothic"/>
        </w:rPr>
        <w:t xml:space="preserve"> </w:t>
      </w:r>
      <w:r w:rsidR="00F8225B">
        <w:rPr>
          <w:rFonts w:ascii="Century Gothic" w:hAnsi="Century Gothic"/>
        </w:rPr>
        <w:t xml:space="preserve">Over 2025, </w:t>
      </w:r>
      <w:r w:rsidR="00FB4A03">
        <w:rPr>
          <w:rFonts w:ascii="Century Gothic" w:hAnsi="Century Gothic"/>
        </w:rPr>
        <w:t xml:space="preserve">Deloitte </w:t>
      </w:r>
      <w:r w:rsidR="00FA723F">
        <w:rPr>
          <w:rFonts w:ascii="Century Gothic" w:hAnsi="Century Gothic"/>
        </w:rPr>
        <w:t xml:space="preserve">have </w:t>
      </w:r>
      <w:r w:rsidR="00FD21DB">
        <w:rPr>
          <w:rFonts w:ascii="Century Gothic" w:hAnsi="Century Gothic"/>
        </w:rPr>
        <w:t xml:space="preserve">worked with Liz Kendall MP to discuss how </w:t>
      </w:r>
      <w:r w:rsidR="00ED1CCD">
        <w:rPr>
          <w:rFonts w:ascii="Century Gothic" w:hAnsi="Century Gothic"/>
        </w:rPr>
        <w:t>businesses can work with the government to offer support and inclusivity for disabled individuals</w:t>
      </w:r>
      <w:r w:rsidR="007562F5">
        <w:rPr>
          <w:rFonts w:ascii="Century Gothic" w:hAnsi="Century Gothic"/>
        </w:rPr>
        <w:t xml:space="preserve"> </w:t>
      </w:r>
      <w:r w:rsidR="00CC65C0">
        <w:rPr>
          <w:rFonts w:ascii="Century Gothic" w:hAnsi="Century Gothic"/>
        </w:rPr>
        <w:t>to help them thrive in the workplace.</w:t>
      </w:r>
      <w:r w:rsidR="008F755A">
        <w:rPr>
          <w:rFonts w:ascii="Century Gothic" w:hAnsi="Century Gothic"/>
        </w:rPr>
        <w:t xml:space="preserve"> Similarly, the company </w:t>
      </w:r>
      <w:r w:rsidR="00152AA8">
        <w:rPr>
          <w:rFonts w:ascii="Century Gothic" w:hAnsi="Century Gothic"/>
        </w:rPr>
        <w:t xml:space="preserve">continues to pledge </w:t>
      </w:r>
      <w:r w:rsidR="007F2970">
        <w:rPr>
          <w:rFonts w:ascii="Century Gothic" w:hAnsi="Century Gothic"/>
        </w:rPr>
        <w:t>accessibility across</w:t>
      </w:r>
      <w:r w:rsidR="00152AA8">
        <w:rPr>
          <w:rFonts w:ascii="Century Gothic" w:hAnsi="Century Gothic"/>
        </w:rPr>
        <w:t xml:space="preserve"> </w:t>
      </w:r>
      <w:r w:rsidR="007F2970">
        <w:rPr>
          <w:rFonts w:ascii="Century Gothic" w:hAnsi="Century Gothic"/>
        </w:rPr>
        <w:t>in-person and remote roles.</w:t>
      </w:r>
      <w:r w:rsidR="00003CF3">
        <w:rPr>
          <w:rFonts w:ascii="Century Gothic" w:hAnsi="Century Gothic"/>
        </w:rPr>
        <w:t xml:space="preserve"> Finally, De</w:t>
      </w:r>
      <w:r w:rsidR="00D611B8">
        <w:rPr>
          <w:rFonts w:ascii="Century Gothic" w:hAnsi="Century Gothic"/>
        </w:rPr>
        <w:t xml:space="preserve">loitte updated their ‘Workplace Adjustments- How To Guide’ to </w:t>
      </w:r>
      <w:r w:rsidR="00DD6B88">
        <w:rPr>
          <w:rFonts w:ascii="Century Gothic" w:hAnsi="Century Gothic"/>
        </w:rPr>
        <w:t xml:space="preserve">better understand the needs and support of disabled individuals. </w:t>
      </w:r>
      <w:r w:rsidR="00B75F0F">
        <w:rPr>
          <w:rFonts w:ascii="Century Gothic" w:hAnsi="Century Gothic"/>
        </w:rPr>
        <w:t xml:space="preserve">The pay gap report shows a </w:t>
      </w:r>
      <w:r w:rsidR="00A5197B">
        <w:rPr>
          <w:rFonts w:ascii="Century Gothic" w:hAnsi="Century Gothic"/>
        </w:rPr>
        <w:t xml:space="preserve">decreased </w:t>
      </w:r>
      <w:r w:rsidR="00F92292">
        <w:rPr>
          <w:rFonts w:ascii="Century Gothic" w:hAnsi="Century Gothic"/>
        </w:rPr>
        <w:t xml:space="preserve">in the pay gap </w:t>
      </w:r>
      <w:r w:rsidR="007D4246">
        <w:rPr>
          <w:rFonts w:ascii="Century Gothic" w:hAnsi="Century Gothic"/>
        </w:rPr>
        <w:t>from 2024 in the lower and lower-middle income categories</w:t>
      </w:r>
      <w:r w:rsidR="00106794">
        <w:rPr>
          <w:rFonts w:ascii="Century Gothic" w:hAnsi="Century Gothic"/>
        </w:rPr>
        <w:t xml:space="preserve">, although it has </w:t>
      </w:r>
      <w:r w:rsidR="00F92292">
        <w:rPr>
          <w:rFonts w:ascii="Century Gothic" w:hAnsi="Century Gothic"/>
        </w:rPr>
        <w:t>increased</w:t>
      </w:r>
      <w:r w:rsidR="00106794">
        <w:rPr>
          <w:rFonts w:ascii="Century Gothic" w:hAnsi="Century Gothic"/>
        </w:rPr>
        <w:t xml:space="preserve"> in the </w:t>
      </w:r>
      <w:r w:rsidR="00A9573E">
        <w:rPr>
          <w:rFonts w:ascii="Century Gothic" w:hAnsi="Century Gothic"/>
        </w:rPr>
        <w:t xml:space="preserve">upper </w:t>
      </w:r>
      <w:bookmarkStart w:id="9" w:name="_Int_vKoFnyLb"/>
      <w:r w:rsidR="00A9573E">
        <w:rPr>
          <w:rFonts w:ascii="Century Gothic" w:hAnsi="Century Gothic"/>
        </w:rPr>
        <w:t>middle and upper income</w:t>
      </w:r>
      <w:bookmarkEnd w:id="9"/>
      <w:r w:rsidR="00A9573E">
        <w:rPr>
          <w:rFonts w:ascii="Century Gothic" w:hAnsi="Century Gothic"/>
        </w:rPr>
        <w:t xml:space="preserve"> categories. </w:t>
      </w:r>
      <w:r w:rsidR="00C357D6">
        <w:rPr>
          <w:rFonts w:ascii="Century Gothic" w:hAnsi="Century Gothic"/>
        </w:rPr>
        <w:t xml:space="preserve">The bonus gap has increased (median average) by </w:t>
      </w:r>
      <w:r w:rsidR="00300581">
        <w:rPr>
          <w:rFonts w:ascii="Century Gothic" w:hAnsi="Century Gothic"/>
        </w:rPr>
        <w:t xml:space="preserve">2.3% from 2024 to 2025. This means an overall decrease in the </w:t>
      </w:r>
      <w:r w:rsidR="0019701B">
        <w:rPr>
          <w:rFonts w:ascii="Century Gothic" w:hAnsi="Century Gothic"/>
        </w:rPr>
        <w:t xml:space="preserve">total earnings </w:t>
      </w:r>
      <w:r w:rsidR="00300581">
        <w:rPr>
          <w:rFonts w:ascii="Century Gothic" w:hAnsi="Century Gothic"/>
        </w:rPr>
        <w:t>gap by 0.9% (median average)</w:t>
      </w:r>
      <w:r w:rsidR="0019701B">
        <w:rPr>
          <w:rFonts w:ascii="Century Gothic" w:hAnsi="Century Gothic"/>
        </w:rPr>
        <w:t xml:space="preserve"> </w:t>
      </w:r>
      <w:r w:rsidR="00A036F2">
        <w:rPr>
          <w:rFonts w:ascii="Century Gothic" w:hAnsi="Century Gothic"/>
        </w:rPr>
        <w:t>(Deloitte Pay and Inclusion Report, 2025)</w:t>
      </w:r>
      <w:r w:rsidR="005D7BF0">
        <w:rPr>
          <w:rFonts w:ascii="Century Gothic" w:hAnsi="Century Gothic"/>
        </w:rPr>
        <w:t xml:space="preserve">. </w:t>
      </w:r>
    </w:p>
    <w:p w14:paraId="55A77E6B" w14:textId="3C54E02B" w:rsidR="005D7BF0" w:rsidRDefault="005D7BF0" w:rsidP="005D18F3">
      <w:pPr>
        <w:rPr>
          <w:rFonts w:ascii="Century Gothic" w:hAnsi="Century Gothic"/>
        </w:rPr>
      </w:pPr>
      <w:r>
        <w:rPr>
          <w:rFonts w:ascii="Century Gothic" w:hAnsi="Century Gothic"/>
        </w:rPr>
        <w:lastRenderedPageBreak/>
        <w:t xml:space="preserve">2.1.5 </w:t>
      </w:r>
      <w:r w:rsidR="00D73167">
        <w:rPr>
          <w:rFonts w:ascii="Century Gothic" w:hAnsi="Century Gothic"/>
        </w:rPr>
        <w:t>Hy</w:t>
      </w:r>
      <w:r w:rsidR="00AA7A41">
        <w:rPr>
          <w:rFonts w:ascii="Century Gothic" w:hAnsi="Century Gothic"/>
        </w:rPr>
        <w:t xml:space="preserve">brid and Flexible Working Policies </w:t>
      </w:r>
    </w:p>
    <w:p w14:paraId="61AEA150" w14:textId="20DED226" w:rsidR="00BE7537" w:rsidRDefault="00D33EB5" w:rsidP="005D18F3">
      <w:pPr>
        <w:rPr>
          <w:rFonts w:ascii="Century Gothic" w:hAnsi="Century Gothic"/>
        </w:rPr>
      </w:pPr>
      <w:r>
        <w:rPr>
          <w:rFonts w:ascii="Century Gothic" w:hAnsi="Century Gothic"/>
        </w:rPr>
        <w:t>Deloitte</w:t>
      </w:r>
      <w:r w:rsidR="00BE72D7">
        <w:rPr>
          <w:rFonts w:ascii="Century Gothic" w:hAnsi="Century Gothic"/>
        </w:rPr>
        <w:t xml:space="preserve"> understands the </w:t>
      </w:r>
      <w:r w:rsidR="00026F82">
        <w:rPr>
          <w:rFonts w:ascii="Century Gothic" w:hAnsi="Century Gothic"/>
        </w:rPr>
        <w:t>choice</w:t>
      </w:r>
      <w:r w:rsidR="00BE72D7">
        <w:rPr>
          <w:rFonts w:ascii="Century Gothic" w:hAnsi="Century Gothic"/>
        </w:rPr>
        <w:t xml:space="preserve"> </w:t>
      </w:r>
      <w:r w:rsidR="00026F82">
        <w:rPr>
          <w:rFonts w:ascii="Century Gothic" w:hAnsi="Century Gothic"/>
        </w:rPr>
        <w:t>of flexible and hybrid working is important to many employees</w:t>
      </w:r>
      <w:r w:rsidR="002738EC">
        <w:rPr>
          <w:rFonts w:ascii="Century Gothic" w:hAnsi="Century Gothic"/>
        </w:rPr>
        <w:t xml:space="preserve"> from </w:t>
      </w:r>
      <w:r w:rsidR="00AC4BE4">
        <w:rPr>
          <w:rFonts w:ascii="Century Gothic" w:hAnsi="Century Gothic"/>
        </w:rPr>
        <w:t>quote on their webpage “</w:t>
      </w:r>
      <w:r w:rsidR="00D6315B">
        <w:rPr>
          <w:rFonts w:ascii="Century Gothic" w:hAnsi="Century Gothic"/>
        </w:rPr>
        <w:t xml:space="preserve">Life </w:t>
      </w:r>
      <w:r w:rsidR="00AC4BE4">
        <w:rPr>
          <w:rFonts w:ascii="Century Gothic" w:hAnsi="Century Gothic"/>
        </w:rPr>
        <w:t>is about more than work</w:t>
      </w:r>
      <w:r w:rsidR="00527E62">
        <w:rPr>
          <w:rFonts w:ascii="Century Gothic" w:hAnsi="Century Gothic"/>
        </w:rPr>
        <w:t xml:space="preserve"> </w:t>
      </w:r>
      <w:r w:rsidR="00AC4BE4">
        <w:rPr>
          <w:rFonts w:ascii="Century Gothic" w:hAnsi="Century Gothic"/>
        </w:rPr>
        <w:t xml:space="preserve">We believe it’s important for everyone to balance </w:t>
      </w:r>
      <w:r w:rsidR="00D6315B">
        <w:rPr>
          <w:rFonts w:ascii="Century Gothic" w:hAnsi="Century Gothic"/>
        </w:rPr>
        <w:t>their career with other priorities…”</w:t>
      </w:r>
      <w:r w:rsidR="00527E62">
        <w:rPr>
          <w:rFonts w:ascii="Century Gothic" w:hAnsi="Century Gothic"/>
        </w:rPr>
        <w:t xml:space="preserve"> (De</w:t>
      </w:r>
      <w:r w:rsidR="0078254F">
        <w:rPr>
          <w:rFonts w:ascii="Century Gothic" w:hAnsi="Century Gothic"/>
        </w:rPr>
        <w:t xml:space="preserve">loitte, 2026). The policies involved </w:t>
      </w:r>
      <w:r w:rsidR="00F72B8C">
        <w:rPr>
          <w:rFonts w:ascii="Century Gothic" w:hAnsi="Century Gothic"/>
        </w:rPr>
        <w:t>include</w:t>
      </w:r>
      <w:r w:rsidR="0078254F">
        <w:rPr>
          <w:rFonts w:ascii="Century Gothic" w:hAnsi="Century Gothic"/>
        </w:rPr>
        <w:t xml:space="preserve"> hybrid and f</w:t>
      </w:r>
      <w:r w:rsidR="003730FA">
        <w:rPr>
          <w:rFonts w:ascii="Century Gothic" w:hAnsi="Century Gothic"/>
        </w:rPr>
        <w:t xml:space="preserve">lexible working to be: </w:t>
      </w:r>
      <w:r w:rsidR="002E65EB">
        <w:rPr>
          <w:rFonts w:ascii="Century Gothic" w:hAnsi="Century Gothic"/>
        </w:rPr>
        <w:t xml:space="preserve">favouring work/life balance for their employees by making most roles hybrid roles, </w:t>
      </w:r>
      <w:r w:rsidR="00D618DC">
        <w:rPr>
          <w:rFonts w:ascii="Century Gothic" w:hAnsi="Century Gothic"/>
        </w:rPr>
        <w:t>offering equal pay during family leave to all parents (including maternity, adoptio</w:t>
      </w:r>
      <w:r w:rsidR="00F94EF0">
        <w:rPr>
          <w:rFonts w:ascii="Century Gothic" w:hAnsi="Century Gothic"/>
        </w:rPr>
        <w:t>n, surrogacy, paternity and shared parental leave), a ‘Time Out’ scheme that allows employees to</w:t>
      </w:r>
      <w:r w:rsidR="00494E27">
        <w:rPr>
          <w:rFonts w:ascii="Century Gothic" w:hAnsi="Century Gothic"/>
        </w:rPr>
        <w:t xml:space="preserve"> take 4 weeks of unpaid leave at a time that suits them and the business,</w:t>
      </w:r>
      <w:r w:rsidR="00F14F60">
        <w:rPr>
          <w:rFonts w:ascii="Century Gothic" w:hAnsi="Century Gothic"/>
        </w:rPr>
        <w:t xml:space="preserve"> offering diversity networks to be able to connect and relate to other colleagues within communities</w:t>
      </w:r>
      <w:r w:rsidR="009D404F">
        <w:rPr>
          <w:rFonts w:ascii="Century Gothic" w:hAnsi="Century Gothic"/>
        </w:rPr>
        <w:t xml:space="preserve"> and, offering a working environment that supports both the mental and physical health of all employees. </w:t>
      </w:r>
      <w:r w:rsidR="009D5E1C">
        <w:rPr>
          <w:rFonts w:ascii="Century Gothic" w:hAnsi="Century Gothic"/>
        </w:rPr>
        <w:t>Separately, they also offer a</w:t>
      </w:r>
      <w:r w:rsidR="00E0093B">
        <w:rPr>
          <w:rFonts w:ascii="Century Gothic" w:hAnsi="Century Gothic"/>
        </w:rPr>
        <w:t xml:space="preserve">n emergency back-up </w:t>
      </w:r>
      <w:r w:rsidR="00195419">
        <w:rPr>
          <w:rFonts w:ascii="Century Gothic" w:hAnsi="Century Gothic"/>
        </w:rPr>
        <w:t xml:space="preserve">childcare </w:t>
      </w:r>
      <w:r w:rsidR="00E0093B">
        <w:rPr>
          <w:rFonts w:ascii="Century Gothic" w:hAnsi="Century Gothic"/>
        </w:rPr>
        <w:t xml:space="preserve">service that allows parents to have 5 </w:t>
      </w:r>
      <w:r w:rsidR="00195419">
        <w:rPr>
          <w:rFonts w:ascii="Century Gothic" w:hAnsi="Century Gothic"/>
        </w:rPr>
        <w:t>fully subsidised</w:t>
      </w:r>
      <w:r w:rsidR="00E0093B">
        <w:rPr>
          <w:rFonts w:ascii="Century Gothic" w:hAnsi="Century Gothic"/>
        </w:rPr>
        <w:t xml:space="preserve"> and 5 </w:t>
      </w:r>
      <w:r w:rsidR="00195419">
        <w:rPr>
          <w:rFonts w:ascii="Century Gothic" w:hAnsi="Century Gothic"/>
        </w:rPr>
        <w:t xml:space="preserve">part-subsidised </w:t>
      </w:r>
      <w:r w:rsidR="00416571">
        <w:rPr>
          <w:rFonts w:ascii="Century Gothic" w:hAnsi="Century Gothic"/>
        </w:rPr>
        <w:t>sessions of a day at nursery, a childminder, hol</w:t>
      </w:r>
      <w:r w:rsidR="00560BDB">
        <w:rPr>
          <w:rFonts w:ascii="Century Gothic" w:hAnsi="Century Gothic"/>
        </w:rPr>
        <w:t xml:space="preserve">iday </w:t>
      </w:r>
      <w:r w:rsidR="00674BA0">
        <w:rPr>
          <w:rFonts w:ascii="Century Gothic" w:hAnsi="Century Gothic"/>
        </w:rPr>
        <w:t>club,</w:t>
      </w:r>
      <w:r w:rsidR="00560BDB">
        <w:rPr>
          <w:rFonts w:ascii="Century Gothic" w:hAnsi="Century Gothic"/>
        </w:rPr>
        <w:t xml:space="preserve"> or a home carer</w:t>
      </w:r>
      <w:r w:rsidR="00AB5524">
        <w:rPr>
          <w:rFonts w:ascii="Century Gothic" w:hAnsi="Century Gothic"/>
        </w:rPr>
        <w:t xml:space="preserve"> (Deloitte, 2026)</w:t>
      </w:r>
      <w:r w:rsidR="00560BDB">
        <w:rPr>
          <w:rFonts w:ascii="Century Gothic" w:hAnsi="Century Gothic"/>
        </w:rPr>
        <w:t xml:space="preserve">. </w:t>
      </w:r>
      <w:r w:rsidR="00F74A0A">
        <w:rPr>
          <w:rFonts w:ascii="Century Gothic" w:hAnsi="Century Gothic"/>
        </w:rPr>
        <w:t>H</w:t>
      </w:r>
      <w:r w:rsidR="00A2562D">
        <w:rPr>
          <w:rFonts w:ascii="Century Gothic" w:hAnsi="Century Gothic"/>
        </w:rPr>
        <w:t>ybrid work</w:t>
      </w:r>
      <w:r w:rsidR="0005122D">
        <w:rPr>
          <w:rFonts w:ascii="Century Gothic" w:hAnsi="Century Gothic"/>
        </w:rPr>
        <w:t xml:space="preserve"> </w:t>
      </w:r>
      <w:bookmarkStart w:id="10" w:name="_Int_7fYpSNSi"/>
      <w:r w:rsidR="00F74A0A">
        <w:rPr>
          <w:rFonts w:ascii="Century Gothic" w:hAnsi="Century Gothic"/>
        </w:rPr>
        <w:t>is supported</w:t>
      </w:r>
      <w:bookmarkEnd w:id="10"/>
      <w:r w:rsidR="00F74A0A">
        <w:rPr>
          <w:rFonts w:ascii="Century Gothic" w:hAnsi="Century Gothic"/>
        </w:rPr>
        <w:t xml:space="preserve"> </w:t>
      </w:r>
      <w:r w:rsidR="0005122D">
        <w:rPr>
          <w:rFonts w:ascii="Century Gothic" w:hAnsi="Century Gothic"/>
        </w:rPr>
        <w:t>by</w:t>
      </w:r>
      <w:r w:rsidR="00674BA0">
        <w:rPr>
          <w:rFonts w:ascii="Century Gothic" w:hAnsi="Century Gothic"/>
        </w:rPr>
        <w:t xml:space="preserve"> </w:t>
      </w:r>
      <w:r w:rsidR="0005122D">
        <w:rPr>
          <w:rFonts w:ascii="Century Gothic" w:hAnsi="Century Gothic"/>
        </w:rPr>
        <w:t>accessible resources</w:t>
      </w:r>
      <w:r w:rsidR="003D4507">
        <w:rPr>
          <w:rFonts w:ascii="Century Gothic" w:hAnsi="Century Gothic"/>
        </w:rPr>
        <w:t xml:space="preserve"> </w:t>
      </w:r>
      <w:r w:rsidR="00E4397F">
        <w:rPr>
          <w:rFonts w:ascii="Century Gothic" w:hAnsi="Century Gothic"/>
        </w:rPr>
        <w:t>on their internal ‘My Wellbeing Portal’ (</w:t>
      </w:r>
      <w:r w:rsidR="00AB5524">
        <w:rPr>
          <w:rFonts w:ascii="Century Gothic" w:hAnsi="Century Gothic"/>
        </w:rPr>
        <w:t>Deloitte, 2023).</w:t>
      </w:r>
    </w:p>
    <w:p w14:paraId="57608ABB" w14:textId="77777777" w:rsidR="00AB5524" w:rsidRDefault="00AB5524" w:rsidP="005D18F3">
      <w:pPr>
        <w:rPr>
          <w:rFonts w:ascii="Century Gothic" w:hAnsi="Century Gothic"/>
        </w:rPr>
      </w:pPr>
    </w:p>
    <w:p w14:paraId="6448502E" w14:textId="77777777" w:rsidR="00BE7537" w:rsidRDefault="00BE7537" w:rsidP="005D18F3">
      <w:pPr>
        <w:rPr>
          <w:rFonts w:ascii="Century Gothic" w:hAnsi="Century Gothic"/>
        </w:rPr>
      </w:pPr>
    </w:p>
    <w:p w14:paraId="2422F5F9" w14:textId="77777777" w:rsidR="0028527D" w:rsidRDefault="0028527D" w:rsidP="005D18F3">
      <w:pPr>
        <w:rPr>
          <w:rFonts w:ascii="Century Gothic" w:hAnsi="Century Gothic"/>
        </w:rPr>
      </w:pPr>
    </w:p>
    <w:p w14:paraId="624C348E" w14:textId="77777777" w:rsidR="0028527D" w:rsidRDefault="0028527D" w:rsidP="005D18F3">
      <w:pPr>
        <w:rPr>
          <w:rFonts w:ascii="Century Gothic" w:hAnsi="Century Gothic"/>
        </w:rPr>
      </w:pPr>
    </w:p>
    <w:p w14:paraId="2FD46356" w14:textId="77777777" w:rsidR="00BE7537" w:rsidRDefault="00BE7537" w:rsidP="005D18F3">
      <w:pPr>
        <w:rPr>
          <w:rFonts w:ascii="Century Gothic" w:hAnsi="Century Gothic"/>
        </w:rPr>
      </w:pPr>
    </w:p>
    <w:p w14:paraId="79AFE512" w14:textId="77777777" w:rsidR="00BE7537" w:rsidRDefault="00BE7537" w:rsidP="005D18F3">
      <w:pPr>
        <w:rPr>
          <w:rFonts w:ascii="Century Gothic" w:hAnsi="Century Gothic"/>
        </w:rPr>
      </w:pPr>
    </w:p>
    <w:p w14:paraId="669CCCC9" w14:textId="77777777" w:rsidR="002816E4" w:rsidRDefault="002816E4" w:rsidP="005D18F3">
      <w:pPr>
        <w:rPr>
          <w:rFonts w:ascii="Century Gothic" w:hAnsi="Century Gothic"/>
        </w:rPr>
      </w:pPr>
    </w:p>
    <w:p w14:paraId="64C1D187" w14:textId="77777777" w:rsidR="002816E4" w:rsidRDefault="002816E4" w:rsidP="005D18F3">
      <w:pPr>
        <w:rPr>
          <w:rFonts w:ascii="Century Gothic" w:hAnsi="Century Gothic"/>
        </w:rPr>
      </w:pPr>
    </w:p>
    <w:p w14:paraId="058A7FE7" w14:textId="77777777" w:rsidR="002816E4" w:rsidRDefault="002816E4" w:rsidP="005D18F3">
      <w:pPr>
        <w:rPr>
          <w:rFonts w:ascii="Century Gothic" w:hAnsi="Century Gothic"/>
        </w:rPr>
      </w:pPr>
    </w:p>
    <w:p w14:paraId="5A2F6B3E" w14:textId="77777777" w:rsidR="002816E4" w:rsidRDefault="002816E4" w:rsidP="005D18F3">
      <w:pPr>
        <w:rPr>
          <w:rFonts w:ascii="Century Gothic" w:hAnsi="Century Gothic"/>
        </w:rPr>
      </w:pPr>
    </w:p>
    <w:p w14:paraId="04A60D73" w14:textId="77777777" w:rsidR="00BE7537" w:rsidRDefault="00BE7537" w:rsidP="005D18F3">
      <w:pPr>
        <w:rPr>
          <w:rFonts w:ascii="Century Gothic" w:hAnsi="Century Gothic"/>
        </w:rPr>
      </w:pPr>
    </w:p>
    <w:p w14:paraId="075B91EB" w14:textId="77777777" w:rsidR="00F84C37" w:rsidRDefault="00F84C37" w:rsidP="005D18F3">
      <w:pPr>
        <w:rPr>
          <w:rFonts w:ascii="Century Gothic" w:hAnsi="Century Gothic"/>
        </w:rPr>
      </w:pPr>
    </w:p>
    <w:p w14:paraId="27297E2E" w14:textId="77777777" w:rsidR="00F84C37" w:rsidRDefault="00F84C37" w:rsidP="005D18F3">
      <w:pPr>
        <w:rPr>
          <w:rFonts w:ascii="Century Gothic" w:hAnsi="Century Gothic"/>
        </w:rPr>
      </w:pPr>
    </w:p>
    <w:p w14:paraId="2DD49FE2" w14:textId="77777777" w:rsidR="00674BA0" w:rsidRDefault="00674BA0" w:rsidP="005D18F3">
      <w:pPr>
        <w:rPr>
          <w:rFonts w:ascii="Century Gothic" w:hAnsi="Century Gothic"/>
        </w:rPr>
      </w:pPr>
    </w:p>
    <w:p w14:paraId="56A62014" w14:textId="77777777" w:rsidR="00BE7537" w:rsidRDefault="00BE7537" w:rsidP="005D18F3">
      <w:pPr>
        <w:rPr>
          <w:rFonts w:ascii="Century Gothic" w:hAnsi="Century Gothic"/>
        </w:rPr>
      </w:pPr>
    </w:p>
    <w:p w14:paraId="59C6FF15" w14:textId="09CF4B91" w:rsidR="00BE7537" w:rsidRDefault="001B3F93" w:rsidP="005D18F3">
      <w:pPr>
        <w:rPr>
          <w:rFonts w:ascii="Century Gothic" w:hAnsi="Century Gothic"/>
          <w:sz w:val="28"/>
          <w:szCs w:val="28"/>
        </w:rPr>
      </w:pPr>
      <w:r>
        <w:rPr>
          <w:rFonts w:ascii="Century Gothic" w:hAnsi="Century Gothic"/>
          <w:sz w:val="28"/>
          <w:szCs w:val="28"/>
        </w:rPr>
        <w:lastRenderedPageBreak/>
        <w:t>2.2 Critical Analysis of Initiatives</w:t>
      </w:r>
    </w:p>
    <w:p w14:paraId="2153FC85" w14:textId="2B4E0518" w:rsidR="00D2725B" w:rsidRDefault="005878E9" w:rsidP="005D18F3">
      <w:pPr>
        <w:rPr>
          <w:rFonts w:ascii="Century Gothic" w:hAnsi="Century Gothic"/>
        </w:rPr>
      </w:pPr>
      <w:r>
        <w:rPr>
          <w:rFonts w:ascii="Century Gothic" w:hAnsi="Century Gothic"/>
        </w:rPr>
        <w:t>2.2.1 Gender Balance Targets</w:t>
      </w:r>
    </w:p>
    <w:p w14:paraId="4EBF073D" w14:textId="23492BA9" w:rsidR="00F05C29" w:rsidRDefault="00524177" w:rsidP="005D18F3">
      <w:pPr>
        <w:rPr>
          <w:rFonts w:ascii="Century Gothic" w:hAnsi="Century Gothic"/>
        </w:rPr>
      </w:pPr>
      <w:r>
        <w:rPr>
          <w:rFonts w:ascii="Century Gothic" w:hAnsi="Century Gothic"/>
        </w:rPr>
        <w:t>D</w:t>
      </w:r>
      <w:r w:rsidR="00140508">
        <w:rPr>
          <w:rFonts w:ascii="Century Gothic" w:hAnsi="Century Gothic"/>
        </w:rPr>
        <w:t>eloitte UK has set explicit gender balance ambitions, including a target of 37% female partners by 2030</w:t>
      </w:r>
      <w:r w:rsidR="00A76E33">
        <w:rPr>
          <w:rFonts w:ascii="Century Gothic" w:hAnsi="Century Gothic"/>
        </w:rPr>
        <w:t xml:space="preserve">, </w:t>
      </w:r>
      <w:r w:rsidR="003F04EC">
        <w:rPr>
          <w:rFonts w:ascii="Century Gothic" w:hAnsi="Century Gothic"/>
        </w:rPr>
        <w:t xml:space="preserve">rising </w:t>
      </w:r>
      <w:r w:rsidR="00A76E33">
        <w:rPr>
          <w:rFonts w:ascii="Century Gothic" w:hAnsi="Century Gothic"/>
        </w:rPr>
        <w:t>from 13% in 2013 to 31%</w:t>
      </w:r>
      <w:r w:rsidR="003F04EC">
        <w:rPr>
          <w:rFonts w:ascii="Century Gothic" w:hAnsi="Century Gothic"/>
        </w:rPr>
        <w:t xml:space="preserve"> currently</w:t>
      </w:r>
      <w:r w:rsidR="00A76E33">
        <w:rPr>
          <w:rFonts w:ascii="Century Gothic" w:hAnsi="Century Gothic"/>
        </w:rPr>
        <w:t xml:space="preserve">. This </w:t>
      </w:r>
      <w:r w:rsidR="003F04EC">
        <w:rPr>
          <w:rFonts w:ascii="Century Gothic" w:hAnsi="Century Gothic"/>
        </w:rPr>
        <w:t xml:space="preserve">progress contributed to </w:t>
      </w:r>
      <w:r w:rsidR="00D1743A">
        <w:rPr>
          <w:rFonts w:ascii="Century Gothic" w:hAnsi="Century Gothic"/>
        </w:rPr>
        <w:t>recognition as one of</w:t>
      </w:r>
      <w:r w:rsidR="00A76E33">
        <w:rPr>
          <w:rFonts w:ascii="Century Gothic" w:hAnsi="Century Gothic"/>
        </w:rPr>
        <w:t xml:space="preserve"> T</w:t>
      </w:r>
      <w:r w:rsidR="00407FC7">
        <w:rPr>
          <w:rFonts w:ascii="Century Gothic" w:hAnsi="Century Gothic"/>
        </w:rPr>
        <w:t>he Times Top 50 Employers for Gender Equality</w:t>
      </w:r>
      <w:r w:rsidR="00F05C29">
        <w:rPr>
          <w:rFonts w:ascii="Century Gothic" w:hAnsi="Century Gothic"/>
        </w:rPr>
        <w:t>.</w:t>
      </w:r>
      <w:r w:rsidR="00EE6D36">
        <w:rPr>
          <w:rFonts w:ascii="Century Gothic" w:hAnsi="Century Gothic"/>
        </w:rPr>
        <w:t xml:space="preserve"> </w:t>
      </w:r>
      <w:r w:rsidR="00DB6E6E">
        <w:rPr>
          <w:rFonts w:ascii="Century Gothic" w:hAnsi="Century Gothic"/>
        </w:rPr>
        <w:t xml:space="preserve">Clear </w:t>
      </w:r>
      <w:r w:rsidR="00EE6D36">
        <w:rPr>
          <w:rFonts w:ascii="Century Gothic" w:hAnsi="Century Gothic"/>
        </w:rPr>
        <w:t xml:space="preserve">policies and </w:t>
      </w:r>
      <w:r w:rsidR="00793655">
        <w:rPr>
          <w:rFonts w:ascii="Century Gothic" w:hAnsi="Century Gothic"/>
        </w:rPr>
        <w:t>targets</w:t>
      </w:r>
      <w:r w:rsidR="00DB6E6E">
        <w:rPr>
          <w:rFonts w:ascii="Century Gothic" w:hAnsi="Century Gothic"/>
        </w:rPr>
        <w:t xml:space="preserve">, including </w:t>
      </w:r>
      <w:r w:rsidR="00D40546">
        <w:rPr>
          <w:rFonts w:ascii="Century Gothic" w:hAnsi="Century Gothic"/>
        </w:rPr>
        <w:t xml:space="preserve">extended parental leave, </w:t>
      </w:r>
      <w:bookmarkStart w:id="11" w:name="_Int_RYBwwcxP"/>
      <w:r w:rsidR="00D40546">
        <w:rPr>
          <w:rFonts w:ascii="Century Gothic" w:hAnsi="Century Gothic"/>
        </w:rPr>
        <w:t>demonstrate</w:t>
      </w:r>
      <w:bookmarkEnd w:id="11"/>
      <w:r w:rsidR="00D40546">
        <w:rPr>
          <w:rFonts w:ascii="Century Gothic" w:hAnsi="Century Gothic"/>
        </w:rPr>
        <w:t xml:space="preserve"> strategic intent and </w:t>
      </w:r>
      <w:r w:rsidR="00B64C3C">
        <w:rPr>
          <w:rFonts w:ascii="Century Gothic" w:hAnsi="Century Gothic"/>
        </w:rPr>
        <w:t>accountability (</w:t>
      </w:r>
      <w:r w:rsidR="00F05C29">
        <w:rPr>
          <w:rFonts w:ascii="Century Gothic" w:hAnsi="Century Gothic"/>
        </w:rPr>
        <w:t xml:space="preserve">Deloitte, 2026). However, </w:t>
      </w:r>
      <w:r w:rsidR="00585569">
        <w:rPr>
          <w:rFonts w:ascii="Century Gothic" w:hAnsi="Century Gothic"/>
        </w:rPr>
        <w:t xml:space="preserve">2025 </w:t>
      </w:r>
      <w:r w:rsidR="00B5248E">
        <w:rPr>
          <w:rFonts w:ascii="Century Gothic" w:hAnsi="Century Gothic"/>
        </w:rPr>
        <w:t xml:space="preserve">revision of its target </w:t>
      </w:r>
      <w:r w:rsidR="00585569">
        <w:rPr>
          <w:rFonts w:ascii="Century Gothic" w:hAnsi="Century Gothic"/>
        </w:rPr>
        <w:t xml:space="preserve">from 40% </w:t>
      </w:r>
      <w:r w:rsidR="00B5248E">
        <w:rPr>
          <w:rFonts w:ascii="Century Gothic" w:hAnsi="Century Gothic"/>
        </w:rPr>
        <w:t>to 37%</w:t>
      </w:r>
      <w:r w:rsidR="00637DBD">
        <w:rPr>
          <w:rFonts w:ascii="Century Gothic" w:hAnsi="Century Gothic"/>
        </w:rPr>
        <w:t xml:space="preserve"> </w:t>
      </w:r>
      <w:r w:rsidR="00585569">
        <w:rPr>
          <w:rFonts w:ascii="Century Gothic" w:hAnsi="Century Gothic"/>
        </w:rPr>
        <w:t>of women</w:t>
      </w:r>
      <w:r w:rsidR="00380EC5">
        <w:rPr>
          <w:rFonts w:ascii="Century Gothic" w:hAnsi="Century Gothic"/>
        </w:rPr>
        <w:t xml:space="preserve"> in leadership </w:t>
      </w:r>
      <w:r w:rsidR="00637DBD">
        <w:rPr>
          <w:rFonts w:ascii="Century Gothic" w:hAnsi="Century Gothic"/>
        </w:rPr>
        <w:t>may suggest an emphasis on achieving realistic targets</w:t>
      </w:r>
      <w:r w:rsidR="00E91763">
        <w:rPr>
          <w:rFonts w:ascii="Century Gothic" w:hAnsi="Century Gothic"/>
        </w:rPr>
        <w:t xml:space="preserve"> rather than accelerating structural change at senior levels. </w:t>
      </w:r>
      <w:r w:rsidR="001F6061">
        <w:rPr>
          <w:rFonts w:ascii="Century Gothic" w:hAnsi="Century Gothic"/>
        </w:rPr>
        <w:t xml:space="preserve">Deloitte’s Pay and Inclusion Report (2025) </w:t>
      </w:r>
      <w:bookmarkStart w:id="12" w:name="_Int_hJgU4Zdm"/>
      <w:r w:rsidR="001F6061">
        <w:rPr>
          <w:rFonts w:ascii="Century Gothic" w:hAnsi="Century Gothic"/>
        </w:rPr>
        <w:t>shows</w:t>
      </w:r>
      <w:bookmarkEnd w:id="12"/>
      <w:r w:rsidR="001F6061">
        <w:rPr>
          <w:rFonts w:ascii="Century Gothic" w:hAnsi="Century Gothic"/>
        </w:rPr>
        <w:t xml:space="preserve"> men </w:t>
      </w:r>
      <w:r w:rsidR="00B64C3C">
        <w:rPr>
          <w:rFonts w:ascii="Century Gothic" w:hAnsi="Century Gothic"/>
        </w:rPr>
        <w:t xml:space="preserve">are </w:t>
      </w:r>
      <w:r w:rsidR="001F6061">
        <w:rPr>
          <w:rFonts w:ascii="Century Gothic" w:hAnsi="Century Gothic"/>
        </w:rPr>
        <w:t xml:space="preserve">overrepresented in leadership, contributing to the gender pay gap. </w:t>
      </w:r>
      <w:r w:rsidR="00576541">
        <w:rPr>
          <w:rFonts w:ascii="Century Gothic" w:hAnsi="Century Gothic"/>
        </w:rPr>
        <w:t xml:space="preserve">Research </w:t>
      </w:r>
      <w:r w:rsidR="00B64C3C">
        <w:rPr>
          <w:rFonts w:ascii="Century Gothic" w:hAnsi="Century Gothic"/>
        </w:rPr>
        <w:t>says</w:t>
      </w:r>
      <w:r w:rsidR="00576541">
        <w:rPr>
          <w:rFonts w:ascii="Century Gothic" w:hAnsi="Century Gothic"/>
        </w:rPr>
        <w:t xml:space="preserve"> that formal equality policies alone do not </w:t>
      </w:r>
      <w:r w:rsidR="00DB5ECC">
        <w:rPr>
          <w:rFonts w:ascii="Century Gothic" w:hAnsi="Century Gothic"/>
        </w:rPr>
        <w:t>significantly improve women’s representation in leadership</w:t>
      </w:r>
      <w:r w:rsidR="00A54252">
        <w:rPr>
          <w:rFonts w:ascii="Century Gothic" w:hAnsi="Century Gothic"/>
        </w:rPr>
        <w:t xml:space="preserve"> (</w:t>
      </w:r>
      <w:r w:rsidR="00321084">
        <w:rPr>
          <w:rFonts w:ascii="Century Gothic" w:hAnsi="Century Gothic"/>
        </w:rPr>
        <w:t>Ali et al., 2025</w:t>
      </w:r>
      <w:r w:rsidR="00793EE1">
        <w:rPr>
          <w:rFonts w:ascii="Century Gothic" w:hAnsi="Century Gothic"/>
        </w:rPr>
        <w:t xml:space="preserve">). </w:t>
      </w:r>
      <w:r w:rsidR="00FC09D9">
        <w:rPr>
          <w:rFonts w:ascii="Century Gothic" w:hAnsi="Century Gothic"/>
        </w:rPr>
        <w:t>Structural barriers such as organisational norms, networks and cultural capital persist despite diversity</w:t>
      </w:r>
      <w:r w:rsidR="00B533F9">
        <w:rPr>
          <w:rFonts w:ascii="Century Gothic" w:hAnsi="Century Gothic"/>
        </w:rPr>
        <w:t xml:space="preserve"> initiatives</w:t>
      </w:r>
      <w:r w:rsidR="008422B3">
        <w:rPr>
          <w:rFonts w:ascii="Century Gothic" w:hAnsi="Century Gothic"/>
        </w:rPr>
        <w:t xml:space="preserve"> (H</w:t>
      </w:r>
      <w:r w:rsidR="009E2346">
        <w:rPr>
          <w:rFonts w:ascii="Century Gothic" w:hAnsi="Century Gothic"/>
        </w:rPr>
        <w:t xml:space="preserve">aynes, 2013). </w:t>
      </w:r>
      <w:r w:rsidR="003D17F9">
        <w:rPr>
          <w:rFonts w:ascii="Century Gothic" w:hAnsi="Century Gothic"/>
        </w:rPr>
        <w:t>A</w:t>
      </w:r>
      <w:r w:rsidR="005E101C">
        <w:rPr>
          <w:rFonts w:ascii="Century Gothic" w:hAnsi="Century Gothic"/>
        </w:rPr>
        <w:t xml:space="preserve"> Cornell University case study of women in the software industry</w:t>
      </w:r>
      <w:r w:rsidR="00951E12">
        <w:rPr>
          <w:rFonts w:ascii="Century Gothic" w:hAnsi="Century Gothic"/>
        </w:rPr>
        <w:t xml:space="preserve"> </w:t>
      </w:r>
      <w:r w:rsidR="00AA7374">
        <w:rPr>
          <w:rFonts w:ascii="Century Gothic" w:hAnsi="Century Gothic"/>
        </w:rPr>
        <w:t>found</w:t>
      </w:r>
      <w:r w:rsidR="00951E12">
        <w:rPr>
          <w:rFonts w:ascii="Century Gothic" w:hAnsi="Century Gothic"/>
        </w:rPr>
        <w:t xml:space="preserve"> challenges </w:t>
      </w:r>
      <w:r w:rsidR="001014CF">
        <w:rPr>
          <w:rFonts w:ascii="Century Gothic" w:hAnsi="Century Gothic"/>
        </w:rPr>
        <w:t>including hostile sexism, lack of recognition and the ‘maternal wall</w:t>
      </w:r>
      <w:bookmarkStart w:id="13" w:name="_Int_03VHu2n9"/>
      <w:r w:rsidR="001014CF">
        <w:rPr>
          <w:rFonts w:ascii="Century Gothic" w:hAnsi="Century Gothic"/>
        </w:rPr>
        <w:t>’,</w:t>
      </w:r>
      <w:bookmarkEnd w:id="13"/>
      <w:r w:rsidR="001014CF">
        <w:rPr>
          <w:rFonts w:ascii="Century Gothic" w:hAnsi="Century Gothic"/>
        </w:rPr>
        <w:t xml:space="preserve"> recommending visible role models, </w:t>
      </w:r>
      <w:r w:rsidR="002E658D">
        <w:rPr>
          <w:rFonts w:ascii="Century Gothic" w:hAnsi="Century Gothic"/>
        </w:rPr>
        <w:t xml:space="preserve">equal </w:t>
      </w:r>
      <w:r w:rsidR="00AA7374">
        <w:rPr>
          <w:rFonts w:ascii="Century Gothic" w:hAnsi="Century Gothic"/>
        </w:rPr>
        <w:t>pay,</w:t>
      </w:r>
      <w:r w:rsidR="002E658D">
        <w:rPr>
          <w:rFonts w:ascii="Century Gothic" w:hAnsi="Century Gothic"/>
        </w:rPr>
        <w:t xml:space="preserve"> and recognition to improve retention </w:t>
      </w:r>
      <w:r w:rsidR="00552171">
        <w:rPr>
          <w:rFonts w:ascii="Century Gothic" w:hAnsi="Century Gothic"/>
        </w:rPr>
        <w:t>(</w:t>
      </w:r>
      <w:r w:rsidR="009E11CF">
        <w:rPr>
          <w:rFonts w:ascii="Century Gothic" w:hAnsi="Century Gothic"/>
        </w:rPr>
        <w:t>Trinkenreich et al., 2022</w:t>
      </w:r>
      <w:r w:rsidR="00463838">
        <w:rPr>
          <w:rFonts w:ascii="Century Gothic" w:hAnsi="Century Gothic"/>
        </w:rPr>
        <w:t xml:space="preserve">). </w:t>
      </w:r>
      <w:r w:rsidR="0044316D">
        <w:rPr>
          <w:rFonts w:ascii="Century Gothic" w:hAnsi="Century Gothic"/>
        </w:rPr>
        <w:t xml:space="preserve">While targets </w:t>
      </w:r>
      <w:bookmarkStart w:id="14" w:name="_Int_R4TAVAzj"/>
      <w:r w:rsidR="00AA7374">
        <w:rPr>
          <w:rFonts w:ascii="Century Gothic" w:hAnsi="Century Gothic"/>
        </w:rPr>
        <w:t>monitor</w:t>
      </w:r>
      <w:bookmarkEnd w:id="14"/>
      <w:r w:rsidR="00AA7374">
        <w:rPr>
          <w:rFonts w:ascii="Century Gothic" w:hAnsi="Century Gothic"/>
        </w:rPr>
        <w:t xml:space="preserve"> progress, sustainable change requires cultural</w:t>
      </w:r>
      <w:r w:rsidR="001C0594">
        <w:rPr>
          <w:rFonts w:ascii="Century Gothic" w:hAnsi="Century Gothic"/>
        </w:rPr>
        <w:t xml:space="preserve"> and structural transformation. </w:t>
      </w:r>
    </w:p>
    <w:p w14:paraId="7EAD5FAC" w14:textId="1D64B1B4" w:rsidR="00797CB0" w:rsidRDefault="00797CB0" w:rsidP="005D18F3">
      <w:pPr>
        <w:rPr>
          <w:rFonts w:ascii="Century Gothic" w:hAnsi="Century Gothic"/>
        </w:rPr>
      </w:pPr>
      <w:r>
        <w:rPr>
          <w:rFonts w:ascii="Century Gothic" w:hAnsi="Century Gothic"/>
        </w:rPr>
        <w:t xml:space="preserve">2.2.2 Ethnic Representation </w:t>
      </w:r>
    </w:p>
    <w:p w14:paraId="5A5C3776" w14:textId="37921715" w:rsidR="00797CB0" w:rsidRDefault="00953485" w:rsidP="005D18F3">
      <w:pPr>
        <w:rPr>
          <w:rFonts w:ascii="Century Gothic" w:hAnsi="Century Gothic"/>
        </w:rPr>
      </w:pPr>
      <w:r>
        <w:rPr>
          <w:rFonts w:ascii="Century Gothic" w:hAnsi="Century Gothic"/>
        </w:rPr>
        <w:t>Deloitte’s ethnicity action plan</w:t>
      </w:r>
      <w:r w:rsidR="00C80758">
        <w:rPr>
          <w:rFonts w:ascii="Century Gothic" w:hAnsi="Century Gothic"/>
        </w:rPr>
        <w:t xml:space="preserve"> includes initiatives such as the </w:t>
      </w:r>
      <w:r w:rsidR="00851266">
        <w:rPr>
          <w:rFonts w:ascii="Century Gothic" w:hAnsi="Century Gothic"/>
        </w:rPr>
        <w:t>Deloitte Black Experience, Future Leaders and the Ethnicity C</w:t>
      </w:r>
      <w:r w:rsidR="00F32541">
        <w:rPr>
          <w:rFonts w:ascii="Century Gothic" w:hAnsi="Century Gothic"/>
        </w:rPr>
        <w:t>ouncil. The company reports 15</w:t>
      </w:r>
      <w:r w:rsidR="00C72A3C">
        <w:rPr>
          <w:rFonts w:ascii="Century Gothic" w:hAnsi="Century Gothic"/>
        </w:rPr>
        <w:t xml:space="preserve">% of newly promoted partners are from ethnic minority backgrounds, </w:t>
      </w:r>
      <w:r w:rsidR="00BF7AB7">
        <w:rPr>
          <w:rFonts w:ascii="Century Gothic" w:hAnsi="Century Gothic"/>
        </w:rPr>
        <w:t>increasing overall representation to 12%</w:t>
      </w:r>
      <w:r w:rsidR="003056AD">
        <w:rPr>
          <w:rFonts w:ascii="Century Gothic" w:hAnsi="Century Gothic"/>
        </w:rPr>
        <w:t xml:space="preserve"> (Deloitte, 2026). Publishing these figures</w:t>
      </w:r>
      <w:r w:rsidR="003A3BFE">
        <w:rPr>
          <w:rFonts w:ascii="Century Gothic" w:hAnsi="Century Gothic"/>
        </w:rPr>
        <w:t xml:space="preserve"> promotes transparency and accountability. However, the 2025 Pay and Inclusion Report </w:t>
      </w:r>
      <w:r w:rsidR="00805E2B">
        <w:rPr>
          <w:rFonts w:ascii="Century Gothic" w:hAnsi="Century Gothic"/>
        </w:rPr>
        <w:t xml:space="preserve">2025, shows only 80.6% of employees </w:t>
      </w:r>
      <w:bookmarkStart w:id="15" w:name="_Int_UkAMXoth"/>
      <w:r w:rsidR="00805E2B">
        <w:rPr>
          <w:rFonts w:ascii="Century Gothic" w:hAnsi="Century Gothic"/>
        </w:rPr>
        <w:t>disclosed</w:t>
      </w:r>
      <w:bookmarkEnd w:id="15"/>
      <w:r w:rsidR="00805E2B">
        <w:rPr>
          <w:rFonts w:ascii="Century Gothic" w:hAnsi="Century Gothic"/>
        </w:rPr>
        <w:t xml:space="preserve"> their ethnicity, and 52.1% of employees identify as White, </w:t>
      </w:r>
      <w:bookmarkStart w:id="16" w:name="_Int_90tgPD8s"/>
      <w:r w:rsidR="00805E2B">
        <w:rPr>
          <w:rFonts w:ascii="Century Gothic" w:hAnsi="Century Gothic"/>
        </w:rPr>
        <w:t>indicating</w:t>
      </w:r>
      <w:bookmarkEnd w:id="16"/>
      <w:r w:rsidR="00805E2B">
        <w:rPr>
          <w:rFonts w:ascii="Century Gothic" w:hAnsi="Century Gothic"/>
        </w:rPr>
        <w:t xml:space="preserve"> persistent imbalance. </w:t>
      </w:r>
      <w:r w:rsidR="001D642C">
        <w:rPr>
          <w:rFonts w:ascii="Century Gothic" w:hAnsi="Century Gothic"/>
        </w:rPr>
        <w:t xml:space="preserve">Ethnic pay and bonus gaps reflect underrepresentation at senior levels. Research suggests that barriers such as limited mentoring and unaddressed workplace culture can leave minority employees feeling isolated </w:t>
      </w:r>
      <w:r w:rsidR="0092761C">
        <w:rPr>
          <w:rFonts w:ascii="Century Gothic" w:hAnsi="Century Gothic"/>
        </w:rPr>
        <w:t>(Weaver et al., 2025). Although Deloitte’s policies increase awareness</w:t>
      </w:r>
      <w:r w:rsidR="0033334E">
        <w:rPr>
          <w:rFonts w:ascii="Century Gothic" w:hAnsi="Century Gothic"/>
        </w:rPr>
        <w:t xml:space="preserve">, limit disclosure </w:t>
      </w:r>
      <w:r w:rsidR="007F7B3A">
        <w:rPr>
          <w:rFonts w:ascii="Century Gothic" w:hAnsi="Century Gothic"/>
        </w:rPr>
        <w:t>rates,</w:t>
      </w:r>
      <w:r w:rsidR="0033334E">
        <w:rPr>
          <w:rFonts w:ascii="Century Gothic" w:hAnsi="Century Gothic"/>
        </w:rPr>
        <w:t xml:space="preserve"> and representation gaps show structural change is still </w:t>
      </w:r>
      <w:bookmarkStart w:id="17" w:name="_Int_RqRKg4qb"/>
      <w:r w:rsidR="0033334E">
        <w:rPr>
          <w:rFonts w:ascii="Century Gothic" w:hAnsi="Century Gothic"/>
        </w:rPr>
        <w:t>required</w:t>
      </w:r>
      <w:bookmarkEnd w:id="17"/>
      <w:r w:rsidR="0033334E">
        <w:rPr>
          <w:rFonts w:ascii="Century Gothic" w:hAnsi="Century Gothic"/>
        </w:rPr>
        <w:t xml:space="preserve">. </w:t>
      </w:r>
    </w:p>
    <w:p w14:paraId="632FE9A1" w14:textId="77777777" w:rsidR="007F7B3A" w:rsidRDefault="007F7B3A" w:rsidP="005D18F3">
      <w:pPr>
        <w:rPr>
          <w:rFonts w:ascii="Century Gothic" w:hAnsi="Century Gothic"/>
        </w:rPr>
      </w:pPr>
    </w:p>
    <w:p w14:paraId="0EAE2401" w14:textId="77777777" w:rsidR="007F7B3A" w:rsidRDefault="007F7B3A" w:rsidP="005D18F3">
      <w:pPr>
        <w:rPr>
          <w:rFonts w:ascii="Century Gothic" w:hAnsi="Century Gothic"/>
        </w:rPr>
      </w:pPr>
    </w:p>
    <w:p w14:paraId="76E07FA6" w14:textId="77777777" w:rsidR="00DC3280" w:rsidRDefault="00DC3280" w:rsidP="005D18F3">
      <w:pPr>
        <w:rPr>
          <w:rFonts w:ascii="Century Gothic" w:hAnsi="Century Gothic"/>
        </w:rPr>
      </w:pPr>
    </w:p>
    <w:p w14:paraId="3E03C6FE" w14:textId="6799F6DC" w:rsidR="00DC3280" w:rsidRDefault="00DC3280" w:rsidP="005D18F3">
      <w:pPr>
        <w:rPr>
          <w:rFonts w:ascii="Century Gothic" w:hAnsi="Century Gothic"/>
        </w:rPr>
      </w:pPr>
      <w:r>
        <w:rPr>
          <w:rFonts w:ascii="Century Gothic" w:hAnsi="Century Gothic"/>
        </w:rPr>
        <w:lastRenderedPageBreak/>
        <w:t xml:space="preserve">2.2.3 LGBTQ+ Inclusion </w:t>
      </w:r>
    </w:p>
    <w:p w14:paraId="34E1005E" w14:textId="19813228" w:rsidR="00C06188" w:rsidRDefault="00461B9D" w:rsidP="005D18F3">
      <w:pPr>
        <w:rPr>
          <w:rFonts w:ascii="Century Gothic" w:hAnsi="Century Gothic"/>
        </w:rPr>
      </w:pPr>
      <w:r>
        <w:rPr>
          <w:rFonts w:ascii="Century Gothic" w:hAnsi="Century Gothic"/>
        </w:rPr>
        <w:t>Supporting LGBTQ+ colleag</w:t>
      </w:r>
      <w:r w:rsidR="008D5C36">
        <w:rPr>
          <w:rFonts w:ascii="Century Gothic" w:hAnsi="Century Gothic"/>
        </w:rPr>
        <w:t xml:space="preserve">ues through the Proud at Deloitte Network and </w:t>
      </w:r>
      <w:r w:rsidR="00275977">
        <w:rPr>
          <w:rFonts w:ascii="Century Gothic" w:hAnsi="Century Gothic"/>
        </w:rPr>
        <w:t xml:space="preserve">other </w:t>
      </w:r>
      <w:r w:rsidR="008D5C36">
        <w:rPr>
          <w:rFonts w:ascii="Century Gothic" w:hAnsi="Century Gothic"/>
        </w:rPr>
        <w:t xml:space="preserve">wellbeing resources </w:t>
      </w:r>
      <w:r w:rsidR="00696E76">
        <w:rPr>
          <w:rFonts w:ascii="Century Gothic" w:hAnsi="Century Gothic"/>
        </w:rPr>
        <w:t xml:space="preserve">aligns </w:t>
      </w:r>
      <w:r w:rsidR="00FE665F">
        <w:rPr>
          <w:rFonts w:ascii="Century Gothic" w:hAnsi="Century Gothic"/>
        </w:rPr>
        <w:t xml:space="preserve">with frameworks like the UN Standards of Conduct for Business in </w:t>
      </w:r>
      <w:r w:rsidR="00A47C84">
        <w:rPr>
          <w:rFonts w:ascii="Century Gothic" w:hAnsi="Century Gothic"/>
        </w:rPr>
        <w:t>Tackling Discrimination against LGBTI people (</w:t>
      </w:r>
      <w:r w:rsidR="00B56A77">
        <w:rPr>
          <w:rFonts w:ascii="Century Gothic" w:hAnsi="Century Gothic"/>
        </w:rPr>
        <w:t xml:space="preserve">Deloitte, 2026). </w:t>
      </w:r>
      <w:r w:rsidR="00C46A28">
        <w:rPr>
          <w:rFonts w:ascii="Century Gothic" w:hAnsi="Century Gothic"/>
        </w:rPr>
        <w:t>A</w:t>
      </w:r>
      <w:r w:rsidR="007C78D4">
        <w:rPr>
          <w:rFonts w:ascii="Century Gothic" w:hAnsi="Century Gothic"/>
        </w:rPr>
        <w:t>ctive employee networks and external commitments</w:t>
      </w:r>
      <w:r w:rsidR="003258C3">
        <w:rPr>
          <w:rFonts w:ascii="Century Gothic" w:hAnsi="Century Gothic"/>
        </w:rPr>
        <w:t xml:space="preserve"> </w:t>
      </w:r>
      <w:bookmarkStart w:id="18" w:name="_Int_tWKFmlYA"/>
      <w:r w:rsidR="003258C3">
        <w:rPr>
          <w:rFonts w:ascii="Century Gothic" w:hAnsi="Century Gothic"/>
        </w:rPr>
        <w:t>demonstrate</w:t>
      </w:r>
      <w:bookmarkEnd w:id="18"/>
      <w:r w:rsidR="003258C3">
        <w:rPr>
          <w:rFonts w:ascii="Century Gothic" w:hAnsi="Century Gothic"/>
        </w:rPr>
        <w:t xml:space="preserve"> intent to create safe environments for LGBTQ+ staff</w:t>
      </w:r>
      <w:r w:rsidR="00B30CA4">
        <w:rPr>
          <w:rFonts w:ascii="Century Gothic" w:hAnsi="Century Gothic"/>
        </w:rPr>
        <w:t>.</w:t>
      </w:r>
      <w:r w:rsidR="001C763A">
        <w:rPr>
          <w:rFonts w:ascii="Century Gothic" w:hAnsi="Century Gothic"/>
        </w:rPr>
        <w:t xml:space="preserve"> </w:t>
      </w:r>
      <w:r w:rsidR="00BE6ABC">
        <w:rPr>
          <w:rFonts w:ascii="Century Gothic" w:hAnsi="Century Gothic"/>
        </w:rPr>
        <w:t xml:space="preserve">The focus on allyship and wellbeing tools supports inclusion beyond symbolic action (Deloitte, 2026). However, </w:t>
      </w:r>
      <w:r w:rsidR="00FB4AA5">
        <w:rPr>
          <w:rFonts w:ascii="Century Gothic" w:hAnsi="Century Gothic"/>
        </w:rPr>
        <w:t xml:space="preserve">the pay and inclusion report shows that only 69.7% of employees </w:t>
      </w:r>
      <w:bookmarkStart w:id="19" w:name="_Int_PuykU3mN"/>
      <w:r w:rsidR="00FB4AA5">
        <w:rPr>
          <w:rFonts w:ascii="Century Gothic" w:hAnsi="Century Gothic"/>
        </w:rPr>
        <w:t>disclosed</w:t>
      </w:r>
      <w:bookmarkEnd w:id="19"/>
      <w:r w:rsidR="00FB4AA5">
        <w:rPr>
          <w:rFonts w:ascii="Century Gothic" w:hAnsi="Century Gothic"/>
        </w:rPr>
        <w:t xml:space="preserve"> their sexual orientation, </w:t>
      </w:r>
      <w:r w:rsidR="00DC311D">
        <w:rPr>
          <w:rFonts w:ascii="Century Gothic" w:hAnsi="Century Gothic"/>
        </w:rPr>
        <w:t>with</w:t>
      </w:r>
      <w:r w:rsidR="00FB4AA5">
        <w:rPr>
          <w:rFonts w:ascii="Century Gothic" w:hAnsi="Century Gothic"/>
        </w:rPr>
        <w:t xml:space="preserve"> representation gaps</w:t>
      </w:r>
      <w:r w:rsidR="005742B2">
        <w:rPr>
          <w:rFonts w:ascii="Century Gothic" w:hAnsi="Century Gothic"/>
        </w:rPr>
        <w:t xml:space="preserve"> in the upper pay grades. Total earnings in 2025 decreased by a mean average of 19.1% compared to 2024</w:t>
      </w:r>
      <w:r w:rsidR="00A46B46">
        <w:rPr>
          <w:rFonts w:ascii="Century Gothic" w:hAnsi="Century Gothic"/>
        </w:rPr>
        <w:t xml:space="preserve">. Deloitte </w:t>
      </w:r>
      <w:r w:rsidR="00643ECF">
        <w:rPr>
          <w:rFonts w:ascii="Century Gothic" w:hAnsi="Century Gothic"/>
        </w:rPr>
        <w:t xml:space="preserve">justifies this to be higher </w:t>
      </w:r>
      <w:r w:rsidR="00DC311D">
        <w:rPr>
          <w:rFonts w:ascii="Century Gothic" w:hAnsi="Century Gothic"/>
        </w:rPr>
        <w:t>concentrations</w:t>
      </w:r>
      <w:r w:rsidR="00643ECF">
        <w:rPr>
          <w:rFonts w:ascii="Century Gothic" w:hAnsi="Century Gothic"/>
        </w:rPr>
        <w:t xml:space="preserve"> of LGBTQ+ individuals at junior levels</w:t>
      </w:r>
      <w:r w:rsidR="00AF15A4">
        <w:rPr>
          <w:rFonts w:ascii="Century Gothic" w:hAnsi="Century Gothic"/>
        </w:rPr>
        <w:t xml:space="preserve"> (Deloitte Pay and Inclusion Report, 2025)</w:t>
      </w:r>
      <w:r w:rsidR="00643ECF">
        <w:rPr>
          <w:rFonts w:ascii="Century Gothic" w:hAnsi="Century Gothic"/>
        </w:rPr>
        <w:t xml:space="preserve">. Despite workshops and training, less that 50% of individuals report feeling </w:t>
      </w:r>
      <w:r w:rsidR="00523E55">
        <w:rPr>
          <w:rFonts w:ascii="Century Gothic" w:hAnsi="Century Gothic"/>
        </w:rPr>
        <w:t xml:space="preserve">comfortable being open about their sexual orientation at work due to fear of undermining behaviour </w:t>
      </w:r>
      <w:r w:rsidR="00A80BFD">
        <w:rPr>
          <w:rFonts w:ascii="Century Gothic" w:hAnsi="Century Gothic"/>
        </w:rPr>
        <w:t xml:space="preserve">(Deloitte, 2023). This reflects research suggesting workplace culture </w:t>
      </w:r>
      <w:r w:rsidR="00245EBF">
        <w:rPr>
          <w:rFonts w:ascii="Century Gothic" w:hAnsi="Century Gothic"/>
        </w:rPr>
        <w:t>is</w:t>
      </w:r>
      <w:r w:rsidR="00A80BFD">
        <w:rPr>
          <w:rFonts w:ascii="Century Gothic" w:hAnsi="Century Gothic"/>
        </w:rPr>
        <w:t xml:space="preserve"> resistant </w:t>
      </w:r>
      <w:r w:rsidR="0073004A">
        <w:rPr>
          <w:rFonts w:ascii="Century Gothic" w:hAnsi="Century Gothic"/>
        </w:rPr>
        <w:t>to policy change</w:t>
      </w:r>
      <w:r w:rsidR="00245EBF">
        <w:rPr>
          <w:rFonts w:ascii="Century Gothic" w:hAnsi="Century Gothic"/>
        </w:rPr>
        <w:t xml:space="preserve"> (Bryan, 2026). While Deloitte’s policies and networks are positive, </w:t>
      </w:r>
      <w:r w:rsidR="00AB1FF1">
        <w:rPr>
          <w:rFonts w:ascii="Century Gothic" w:hAnsi="Century Gothic"/>
        </w:rPr>
        <w:t>lasting inclusion means necessary change to deeper cultural change.</w:t>
      </w:r>
      <w:r w:rsidR="0073004A">
        <w:rPr>
          <w:rFonts w:ascii="Century Gothic" w:hAnsi="Century Gothic"/>
        </w:rPr>
        <w:t xml:space="preserve"> </w:t>
      </w:r>
    </w:p>
    <w:p w14:paraId="1487B0E8" w14:textId="705A909D" w:rsidR="0090613F" w:rsidRDefault="0090613F" w:rsidP="005D18F3">
      <w:pPr>
        <w:rPr>
          <w:rFonts w:ascii="Century Gothic" w:hAnsi="Century Gothic"/>
        </w:rPr>
      </w:pPr>
      <w:r>
        <w:rPr>
          <w:rFonts w:ascii="Century Gothic" w:hAnsi="Century Gothic"/>
        </w:rPr>
        <w:t>2.2.4 Disability and Neurodiversity</w:t>
      </w:r>
    </w:p>
    <w:p w14:paraId="2EF87E13" w14:textId="7D628372" w:rsidR="00B8455A" w:rsidRDefault="00656B22" w:rsidP="005D18F3">
      <w:pPr>
        <w:rPr>
          <w:rFonts w:ascii="Century Gothic" w:hAnsi="Century Gothic"/>
        </w:rPr>
      </w:pPr>
      <w:r>
        <w:rPr>
          <w:rFonts w:ascii="Century Gothic" w:hAnsi="Century Gothic"/>
        </w:rPr>
        <w:t xml:space="preserve">Deloitte is a </w:t>
      </w:r>
      <w:r w:rsidR="009B1B06">
        <w:rPr>
          <w:rFonts w:ascii="Century Gothic" w:hAnsi="Century Gothic"/>
        </w:rPr>
        <w:t>D</w:t>
      </w:r>
      <w:r>
        <w:rPr>
          <w:rFonts w:ascii="Century Gothic" w:hAnsi="Century Gothic"/>
        </w:rPr>
        <w:t xml:space="preserve">isability </w:t>
      </w:r>
      <w:r w:rsidR="009B1B06">
        <w:rPr>
          <w:rFonts w:ascii="Century Gothic" w:hAnsi="Century Gothic"/>
        </w:rPr>
        <w:t>C</w:t>
      </w:r>
      <w:r>
        <w:rPr>
          <w:rFonts w:ascii="Century Gothic" w:hAnsi="Century Gothic"/>
        </w:rPr>
        <w:t xml:space="preserve">onfident </w:t>
      </w:r>
      <w:r w:rsidR="009B1B06">
        <w:rPr>
          <w:rFonts w:ascii="Century Gothic" w:hAnsi="Century Gothic"/>
        </w:rPr>
        <w:t>E</w:t>
      </w:r>
      <w:r>
        <w:rPr>
          <w:rFonts w:ascii="Century Gothic" w:hAnsi="Century Gothic"/>
        </w:rPr>
        <w:t xml:space="preserve">mployer </w:t>
      </w:r>
      <w:r w:rsidR="009B1B06">
        <w:rPr>
          <w:rFonts w:ascii="Century Gothic" w:hAnsi="Century Gothic"/>
        </w:rPr>
        <w:t xml:space="preserve">(Level 2) </w:t>
      </w:r>
      <w:r>
        <w:rPr>
          <w:rFonts w:ascii="Century Gothic" w:hAnsi="Century Gothic"/>
        </w:rPr>
        <w:t xml:space="preserve">that has </w:t>
      </w:r>
      <w:r w:rsidR="00B13E7A">
        <w:rPr>
          <w:rFonts w:ascii="Century Gothic" w:hAnsi="Century Gothic"/>
        </w:rPr>
        <w:t>publicly</w:t>
      </w:r>
      <w:r>
        <w:rPr>
          <w:rFonts w:ascii="Century Gothic" w:hAnsi="Century Gothic"/>
        </w:rPr>
        <w:t xml:space="preserve"> published guides on workplace</w:t>
      </w:r>
      <w:r w:rsidR="00B13E7A">
        <w:rPr>
          <w:rFonts w:ascii="Century Gothic" w:hAnsi="Century Gothic"/>
        </w:rPr>
        <w:t xml:space="preserve"> adjustments and recognises neurodiversity I as a strategic inclusion priority (</w:t>
      </w:r>
      <w:r w:rsidR="009B1B06">
        <w:rPr>
          <w:rFonts w:ascii="Century Gothic" w:hAnsi="Century Gothic"/>
        </w:rPr>
        <w:t>Deloitte</w:t>
      </w:r>
      <w:r w:rsidR="00D47944">
        <w:rPr>
          <w:rFonts w:ascii="Century Gothic" w:hAnsi="Century Gothic"/>
        </w:rPr>
        <w:t xml:space="preserve">, 2026). </w:t>
      </w:r>
      <w:r w:rsidR="001572F1">
        <w:rPr>
          <w:rFonts w:ascii="Century Gothic" w:hAnsi="Century Gothic"/>
        </w:rPr>
        <w:t>De</w:t>
      </w:r>
      <w:r w:rsidR="006B16ED">
        <w:rPr>
          <w:rFonts w:ascii="Century Gothic" w:hAnsi="Century Gothic"/>
        </w:rPr>
        <w:t xml:space="preserve">loitte is successful at providing adjustments to </w:t>
      </w:r>
      <w:r w:rsidR="00374F82">
        <w:rPr>
          <w:rFonts w:ascii="Century Gothic" w:hAnsi="Century Gothic"/>
        </w:rPr>
        <w:t xml:space="preserve">disabled and neurodiverse individuals to </w:t>
      </w:r>
      <w:r w:rsidR="00E30E7D">
        <w:rPr>
          <w:rFonts w:ascii="Century Gothic" w:hAnsi="Century Gothic"/>
        </w:rPr>
        <w:t>support them reaching their full professional potential. The tailored support</w:t>
      </w:r>
      <w:r w:rsidR="007C2635">
        <w:rPr>
          <w:rFonts w:ascii="Century Gothic" w:hAnsi="Century Gothic"/>
        </w:rPr>
        <w:t xml:space="preserve">, internal and external networks fully commit to </w:t>
      </w:r>
      <w:r w:rsidR="00C524B6">
        <w:rPr>
          <w:rFonts w:ascii="Century Gothic" w:hAnsi="Century Gothic"/>
        </w:rPr>
        <w:t xml:space="preserve">supporting in a multilayered approach rather than merely </w:t>
      </w:r>
      <w:bookmarkStart w:id="20" w:name="_Int_jvqBZWHv"/>
      <w:r w:rsidR="00C524B6">
        <w:rPr>
          <w:rFonts w:ascii="Century Gothic" w:hAnsi="Century Gothic"/>
        </w:rPr>
        <w:t>complying with</w:t>
      </w:r>
      <w:bookmarkEnd w:id="20"/>
      <w:r w:rsidR="00C524B6">
        <w:rPr>
          <w:rFonts w:ascii="Century Gothic" w:hAnsi="Century Gothic"/>
        </w:rPr>
        <w:t xml:space="preserve"> legal requirements. </w:t>
      </w:r>
      <w:r w:rsidR="00F354B0">
        <w:rPr>
          <w:rFonts w:ascii="Century Gothic" w:hAnsi="Century Gothic"/>
        </w:rPr>
        <w:t xml:space="preserve">However, the Pay and Inclusion Report 2025 </w:t>
      </w:r>
      <w:bookmarkStart w:id="21" w:name="_Int_YgvV1h7K"/>
      <w:r w:rsidR="00F354B0">
        <w:rPr>
          <w:rFonts w:ascii="Century Gothic" w:hAnsi="Century Gothic"/>
        </w:rPr>
        <w:t>shows</w:t>
      </w:r>
      <w:bookmarkEnd w:id="21"/>
      <w:r w:rsidR="00F354B0">
        <w:rPr>
          <w:rFonts w:ascii="Century Gothic" w:hAnsi="Century Gothic"/>
        </w:rPr>
        <w:t xml:space="preserve"> the difference in bonuses given to</w:t>
      </w:r>
      <w:r w:rsidR="00014F24">
        <w:rPr>
          <w:rFonts w:ascii="Century Gothic" w:hAnsi="Century Gothic"/>
        </w:rPr>
        <w:t xml:space="preserve"> abled individuals compared to disabled</w:t>
      </w:r>
      <w:r w:rsidR="00716542">
        <w:rPr>
          <w:rFonts w:ascii="Century Gothic" w:hAnsi="Century Gothic"/>
        </w:rPr>
        <w:t xml:space="preserve"> individuals. Similarly, the progress of policies and activities are minimal over the year of 2025. </w:t>
      </w:r>
      <w:r w:rsidR="0071593F">
        <w:rPr>
          <w:rFonts w:ascii="Century Gothic" w:hAnsi="Century Gothic"/>
        </w:rPr>
        <w:t>Deloitte’s own research</w:t>
      </w:r>
      <w:r w:rsidR="00C75038">
        <w:rPr>
          <w:rFonts w:ascii="Century Gothic" w:hAnsi="Century Gothic"/>
        </w:rPr>
        <w:t xml:space="preserve"> shows that </w:t>
      </w:r>
      <w:r w:rsidR="00794612">
        <w:rPr>
          <w:rFonts w:ascii="Century Gothic" w:hAnsi="Century Gothic"/>
        </w:rPr>
        <w:t>40% of survey</w:t>
      </w:r>
      <w:r w:rsidR="00E87686">
        <w:rPr>
          <w:rFonts w:ascii="Century Gothic" w:hAnsi="Century Gothic"/>
        </w:rPr>
        <w:t xml:space="preserve"> respondents (disable</w:t>
      </w:r>
      <w:r w:rsidR="001238EA">
        <w:rPr>
          <w:rFonts w:ascii="Century Gothic" w:hAnsi="Century Gothic"/>
        </w:rPr>
        <w:t>d</w:t>
      </w:r>
      <w:r w:rsidR="00E87686">
        <w:rPr>
          <w:rFonts w:ascii="Century Gothic" w:hAnsi="Century Gothic"/>
        </w:rPr>
        <w:t xml:space="preserve">, neurodivergent or </w:t>
      </w:r>
      <w:r w:rsidR="001238EA">
        <w:rPr>
          <w:rFonts w:ascii="Century Gothic" w:hAnsi="Century Gothic"/>
        </w:rPr>
        <w:t xml:space="preserve">individuals with chronic health conditions) face </w:t>
      </w:r>
      <w:r w:rsidR="003202DC">
        <w:rPr>
          <w:rFonts w:ascii="Century Gothic" w:hAnsi="Century Gothic"/>
        </w:rPr>
        <w:t>micro-aggressions, harassment, or workplace bullying.</w:t>
      </w:r>
      <w:r w:rsidR="00FA1AF9">
        <w:rPr>
          <w:rFonts w:ascii="Century Gothic" w:hAnsi="Century Gothic"/>
        </w:rPr>
        <w:t xml:space="preserve"> 39% of UK respondents </w:t>
      </w:r>
      <w:r w:rsidR="0070500B">
        <w:rPr>
          <w:rFonts w:ascii="Century Gothic" w:hAnsi="Century Gothic"/>
        </w:rPr>
        <w:t xml:space="preserve">also </w:t>
      </w:r>
      <w:r w:rsidR="00FA1AF9">
        <w:rPr>
          <w:rFonts w:ascii="Century Gothic" w:hAnsi="Century Gothic"/>
        </w:rPr>
        <w:t>said that access to workplace role models with</w:t>
      </w:r>
      <w:r w:rsidR="002733C3">
        <w:rPr>
          <w:rFonts w:ascii="Century Gothic" w:hAnsi="Century Gothic"/>
        </w:rPr>
        <w:t xml:space="preserve"> disabilities would </w:t>
      </w:r>
      <w:r w:rsidR="005C70AB">
        <w:rPr>
          <w:rFonts w:ascii="Century Gothic" w:hAnsi="Century Gothic"/>
        </w:rPr>
        <w:t xml:space="preserve">support an </w:t>
      </w:r>
      <w:r w:rsidR="0070500B">
        <w:rPr>
          <w:rFonts w:ascii="Century Gothic" w:hAnsi="Century Gothic"/>
        </w:rPr>
        <w:t>organisations inclusive workplace culture</w:t>
      </w:r>
      <w:r w:rsidR="005C70AB">
        <w:rPr>
          <w:rFonts w:ascii="Century Gothic" w:hAnsi="Century Gothic"/>
        </w:rPr>
        <w:t xml:space="preserve"> (Deloitte, 2024). </w:t>
      </w:r>
      <w:r w:rsidR="006B4BA7">
        <w:rPr>
          <w:rFonts w:ascii="Century Gothic" w:hAnsi="Century Gothic"/>
        </w:rPr>
        <w:t xml:space="preserve">This something Deloitte do not currently offer. </w:t>
      </w:r>
      <w:r w:rsidR="00AA3AC8">
        <w:rPr>
          <w:rFonts w:ascii="Century Gothic" w:hAnsi="Century Gothic"/>
        </w:rPr>
        <w:t>D</w:t>
      </w:r>
      <w:r w:rsidR="007E637A">
        <w:rPr>
          <w:rFonts w:ascii="Century Gothic" w:hAnsi="Century Gothic"/>
        </w:rPr>
        <w:t xml:space="preserve">eloitte’s policies recognise disability and neurodiversity, but there are </w:t>
      </w:r>
      <w:r w:rsidR="00330731">
        <w:rPr>
          <w:rFonts w:ascii="Century Gothic" w:hAnsi="Century Gothic"/>
        </w:rPr>
        <w:t xml:space="preserve">still pay gaps in bonuses and a </w:t>
      </w:r>
      <w:r w:rsidR="000C4AA8">
        <w:rPr>
          <w:rFonts w:ascii="Century Gothic" w:hAnsi="Century Gothic"/>
        </w:rPr>
        <w:t xml:space="preserve">lack of progress in culture change over the </w:t>
      </w:r>
      <w:bookmarkStart w:id="22" w:name="_Int_3mntaWJb"/>
      <w:r w:rsidR="00834783">
        <w:rPr>
          <w:rFonts w:ascii="Century Gothic" w:hAnsi="Century Gothic"/>
        </w:rPr>
        <w:t>year of 2025 as a whole</w:t>
      </w:r>
      <w:bookmarkEnd w:id="22"/>
      <w:r w:rsidR="00834783">
        <w:rPr>
          <w:rFonts w:ascii="Century Gothic" w:hAnsi="Century Gothic"/>
        </w:rPr>
        <w:t xml:space="preserve">. </w:t>
      </w:r>
    </w:p>
    <w:p w14:paraId="5D5D31E4" w14:textId="77777777" w:rsidR="00C16BFB" w:rsidRDefault="00C16BFB" w:rsidP="005D18F3">
      <w:pPr>
        <w:rPr>
          <w:rFonts w:ascii="Century Gothic" w:hAnsi="Century Gothic"/>
        </w:rPr>
      </w:pPr>
    </w:p>
    <w:p w14:paraId="231C7CE9" w14:textId="77777777" w:rsidR="00C16BFB" w:rsidRDefault="00C16BFB" w:rsidP="005D18F3">
      <w:pPr>
        <w:rPr>
          <w:rFonts w:ascii="Century Gothic" w:hAnsi="Century Gothic"/>
        </w:rPr>
      </w:pPr>
    </w:p>
    <w:p w14:paraId="53EFD5C9" w14:textId="00273AAB" w:rsidR="00834783" w:rsidRDefault="00834783" w:rsidP="005D18F3">
      <w:pPr>
        <w:rPr>
          <w:rFonts w:ascii="Century Gothic" w:hAnsi="Century Gothic"/>
        </w:rPr>
      </w:pPr>
      <w:r>
        <w:rPr>
          <w:rFonts w:ascii="Century Gothic" w:hAnsi="Century Gothic"/>
        </w:rPr>
        <w:t>2.2.5 Hybrid and Flexible Working</w:t>
      </w:r>
    </w:p>
    <w:p w14:paraId="10045865" w14:textId="0A65E49D" w:rsidR="00C06188" w:rsidRDefault="00834783" w:rsidP="005D18F3">
      <w:pPr>
        <w:rPr>
          <w:rFonts w:ascii="Century Gothic" w:hAnsi="Century Gothic"/>
        </w:rPr>
      </w:pPr>
      <w:r>
        <w:rPr>
          <w:rFonts w:ascii="Century Gothic" w:hAnsi="Century Gothic"/>
        </w:rPr>
        <w:t>Deloitte</w:t>
      </w:r>
      <w:r w:rsidR="000B0F52">
        <w:rPr>
          <w:rFonts w:ascii="Century Gothic" w:hAnsi="Century Gothic"/>
        </w:rPr>
        <w:t>’s hybrid working strategy emphasises trust, choice and flexibility, allowing teams to manage how and where they work</w:t>
      </w:r>
      <w:r w:rsidR="000E2F92">
        <w:rPr>
          <w:rFonts w:ascii="Century Gothic" w:hAnsi="Century Gothic"/>
        </w:rPr>
        <w:t xml:space="preserve"> to support an</w:t>
      </w:r>
      <w:r w:rsidR="00771D27">
        <w:rPr>
          <w:rFonts w:ascii="Century Gothic" w:hAnsi="Century Gothic"/>
        </w:rPr>
        <w:t xml:space="preserve"> improved work-life balance</w:t>
      </w:r>
      <w:r w:rsidR="000E2F92">
        <w:rPr>
          <w:rFonts w:ascii="Century Gothic" w:hAnsi="Century Gothic"/>
        </w:rPr>
        <w:t xml:space="preserve"> (</w:t>
      </w:r>
      <w:r w:rsidR="00CF6EF3">
        <w:rPr>
          <w:rFonts w:ascii="Century Gothic" w:hAnsi="Century Gothic"/>
        </w:rPr>
        <w:t>Deloitte</w:t>
      </w:r>
      <w:r w:rsidR="003760B6">
        <w:rPr>
          <w:rFonts w:ascii="Century Gothic" w:hAnsi="Century Gothic"/>
        </w:rPr>
        <w:t xml:space="preserve">, 2022). </w:t>
      </w:r>
      <w:r w:rsidR="00730B32">
        <w:rPr>
          <w:rFonts w:ascii="Century Gothic" w:hAnsi="Century Gothic"/>
        </w:rPr>
        <w:t>Deloitte’s trust-based hybrid model can advance inclusion for employees with caregiving responsibili</w:t>
      </w:r>
      <w:r w:rsidR="003A043B">
        <w:rPr>
          <w:rFonts w:ascii="Century Gothic" w:hAnsi="Century Gothic"/>
        </w:rPr>
        <w:t xml:space="preserve">ties, disabilities or health needs. </w:t>
      </w:r>
      <w:r w:rsidR="007B38DC">
        <w:rPr>
          <w:rFonts w:ascii="Century Gothic" w:hAnsi="Century Gothic"/>
        </w:rPr>
        <w:t xml:space="preserve">Offering flexible working </w:t>
      </w:r>
      <w:r w:rsidR="00CE2101">
        <w:rPr>
          <w:rFonts w:ascii="Century Gothic" w:hAnsi="Century Gothic"/>
        </w:rPr>
        <w:t xml:space="preserve">often leads to greater employee satisfaction </w:t>
      </w:r>
      <w:r w:rsidR="00323149">
        <w:rPr>
          <w:rFonts w:ascii="Century Gothic" w:hAnsi="Century Gothic"/>
        </w:rPr>
        <w:t>and retention (</w:t>
      </w:r>
      <w:r w:rsidR="005F60FC">
        <w:rPr>
          <w:rFonts w:ascii="Century Gothic" w:hAnsi="Century Gothic"/>
        </w:rPr>
        <w:t>B</w:t>
      </w:r>
      <w:r w:rsidR="000C46A0">
        <w:rPr>
          <w:rFonts w:ascii="Century Gothic" w:hAnsi="Century Gothic"/>
        </w:rPr>
        <w:t xml:space="preserve">arnett </w:t>
      </w:r>
      <w:proofErr w:type="spellStart"/>
      <w:r w:rsidR="000C46A0">
        <w:rPr>
          <w:rFonts w:ascii="Century Gothic" w:hAnsi="Century Gothic"/>
        </w:rPr>
        <w:t>Waddingham</w:t>
      </w:r>
      <w:proofErr w:type="spellEnd"/>
      <w:r w:rsidR="000C46A0">
        <w:rPr>
          <w:rFonts w:ascii="Century Gothic" w:hAnsi="Century Gothic"/>
        </w:rPr>
        <w:t xml:space="preserve">, 2025). </w:t>
      </w:r>
      <w:r w:rsidR="000D3F5B">
        <w:rPr>
          <w:rFonts w:ascii="Century Gothic" w:hAnsi="Century Gothic"/>
        </w:rPr>
        <w:t xml:space="preserve">However, </w:t>
      </w:r>
      <w:r w:rsidR="00F12A96">
        <w:rPr>
          <w:rFonts w:ascii="Century Gothic" w:hAnsi="Century Gothic"/>
        </w:rPr>
        <w:t xml:space="preserve">some roles may implicitly penalise those who spend more time working remotely </w:t>
      </w:r>
      <w:r w:rsidR="00E254A8">
        <w:rPr>
          <w:rFonts w:ascii="Century Gothic" w:hAnsi="Century Gothic"/>
        </w:rPr>
        <w:t>and can inadvertently increase visibility bias (Santos et al.,</w:t>
      </w:r>
      <w:r w:rsidR="00B46486">
        <w:rPr>
          <w:rFonts w:ascii="Century Gothic" w:hAnsi="Century Gothic"/>
        </w:rPr>
        <w:t xml:space="preserve"> 2024). </w:t>
      </w:r>
      <w:r w:rsidR="00977833">
        <w:rPr>
          <w:rFonts w:ascii="Century Gothic" w:hAnsi="Century Gothic"/>
        </w:rPr>
        <w:t xml:space="preserve">Similarly, without clear metrics, hybrid working can reproduce existing inequalities where senior staff </w:t>
      </w:r>
      <w:r w:rsidR="001C5A31">
        <w:rPr>
          <w:rFonts w:ascii="Century Gothic" w:hAnsi="Century Gothic"/>
        </w:rPr>
        <w:t xml:space="preserve">benefit more than internal junior groups </w:t>
      </w:r>
      <w:r w:rsidR="00953FF9">
        <w:rPr>
          <w:rFonts w:ascii="Century Gothic" w:hAnsi="Century Gothic"/>
        </w:rPr>
        <w:t xml:space="preserve">and access to flexible working </w:t>
      </w:r>
      <w:r w:rsidR="00A07D66">
        <w:rPr>
          <w:rFonts w:ascii="Century Gothic" w:hAnsi="Century Gothic"/>
        </w:rPr>
        <w:t>becomes unequal in workload and productivity (</w:t>
      </w:r>
      <w:r w:rsidR="00C53B26">
        <w:rPr>
          <w:rFonts w:ascii="Century Gothic" w:hAnsi="Century Gothic"/>
        </w:rPr>
        <w:t xml:space="preserve">CIPD, 2025). </w:t>
      </w:r>
      <w:r w:rsidR="006F1247">
        <w:rPr>
          <w:rFonts w:ascii="Century Gothic" w:hAnsi="Century Gothic"/>
        </w:rPr>
        <w:t xml:space="preserve">Saying that, Deloitte’s </w:t>
      </w:r>
      <w:r w:rsidR="003F63D2">
        <w:rPr>
          <w:rFonts w:ascii="Century Gothic" w:hAnsi="Century Gothic"/>
        </w:rPr>
        <w:t xml:space="preserve">company </w:t>
      </w:r>
      <w:r w:rsidR="006F1247">
        <w:rPr>
          <w:rFonts w:ascii="Century Gothic" w:hAnsi="Century Gothic"/>
        </w:rPr>
        <w:t xml:space="preserve">structure of offering all </w:t>
      </w:r>
      <w:r w:rsidR="003F63D2">
        <w:rPr>
          <w:rFonts w:ascii="Century Gothic" w:hAnsi="Century Gothic"/>
        </w:rPr>
        <w:t xml:space="preserve">employment types across </w:t>
      </w:r>
      <w:r w:rsidR="00755AC4">
        <w:rPr>
          <w:rFonts w:ascii="Century Gothic" w:hAnsi="Century Gothic"/>
        </w:rPr>
        <w:t xml:space="preserve">all roles is a strong benefit to </w:t>
      </w:r>
      <w:r w:rsidR="00E14283">
        <w:rPr>
          <w:rFonts w:ascii="Century Gothic" w:hAnsi="Century Gothic"/>
        </w:rPr>
        <w:t xml:space="preserve">a successful global company. However, it is important to manage hybrid and remote working correctly to ensure </w:t>
      </w:r>
      <w:r w:rsidR="00587D19">
        <w:rPr>
          <w:rFonts w:ascii="Century Gothic" w:hAnsi="Century Gothic"/>
        </w:rPr>
        <w:t xml:space="preserve">support for all employees and clear lines of online communication between </w:t>
      </w:r>
      <w:r w:rsidR="00F33940">
        <w:rPr>
          <w:rFonts w:ascii="Century Gothic" w:hAnsi="Century Gothic"/>
        </w:rPr>
        <w:t xml:space="preserve">teams to reduce visibility bias. </w:t>
      </w:r>
    </w:p>
    <w:p w14:paraId="38117D8E" w14:textId="06F69F60" w:rsidR="00F33940" w:rsidRDefault="00F33940" w:rsidP="005D18F3">
      <w:pPr>
        <w:rPr>
          <w:rFonts w:ascii="Century Gothic" w:hAnsi="Century Gothic"/>
        </w:rPr>
      </w:pPr>
      <w:r>
        <w:rPr>
          <w:rFonts w:ascii="Century Gothic" w:hAnsi="Century Gothic"/>
        </w:rPr>
        <w:t xml:space="preserve">2.2.6 Overall Critical Analysis </w:t>
      </w:r>
    </w:p>
    <w:p w14:paraId="328B59CA" w14:textId="36D06ED8" w:rsidR="00753E36" w:rsidRDefault="009209A9" w:rsidP="005D18F3">
      <w:pPr>
        <w:rPr>
          <w:rFonts w:ascii="Century Gothic" w:hAnsi="Century Gothic"/>
        </w:rPr>
      </w:pPr>
      <w:r>
        <w:rPr>
          <w:rFonts w:ascii="Century Gothic" w:hAnsi="Century Gothic"/>
        </w:rPr>
        <w:t>De</w:t>
      </w:r>
      <w:r w:rsidR="004A1963">
        <w:rPr>
          <w:rFonts w:ascii="Century Gothic" w:hAnsi="Century Gothic"/>
        </w:rPr>
        <w:t>loitte’s diversity and inclusion policies span a broad set of strategic priorities</w:t>
      </w:r>
      <w:r w:rsidR="00AB714B">
        <w:rPr>
          <w:rFonts w:ascii="Century Gothic" w:hAnsi="Century Gothic"/>
        </w:rPr>
        <w:t xml:space="preserve"> </w:t>
      </w:r>
      <w:r w:rsidR="00C24153">
        <w:rPr>
          <w:rFonts w:ascii="Century Gothic" w:hAnsi="Century Gothic"/>
        </w:rPr>
        <w:t>and m</w:t>
      </w:r>
      <w:r w:rsidR="00042899">
        <w:rPr>
          <w:rFonts w:ascii="Century Gothic" w:hAnsi="Century Gothic"/>
        </w:rPr>
        <w:t>any of these initiatives align with recognised and respected best practices. However</w:t>
      </w:r>
      <w:r w:rsidR="00FA78EF">
        <w:rPr>
          <w:rFonts w:ascii="Century Gothic" w:hAnsi="Century Gothic"/>
        </w:rPr>
        <w:t xml:space="preserve">, both internal and external research shows that </w:t>
      </w:r>
      <w:r w:rsidR="0018296B">
        <w:rPr>
          <w:rFonts w:ascii="Century Gothic" w:hAnsi="Century Gothic"/>
        </w:rPr>
        <w:t xml:space="preserve">policies need to </w:t>
      </w:r>
      <w:bookmarkStart w:id="23" w:name="_Int_rZpvci2e"/>
      <w:r w:rsidR="0018296B">
        <w:rPr>
          <w:rFonts w:ascii="Century Gothic" w:hAnsi="Century Gothic"/>
        </w:rPr>
        <w:t>be carefully managed</w:t>
      </w:r>
      <w:bookmarkEnd w:id="23"/>
      <w:r w:rsidR="0018296B">
        <w:rPr>
          <w:rFonts w:ascii="Century Gothic" w:hAnsi="Century Gothic"/>
        </w:rPr>
        <w:t xml:space="preserve"> against </w:t>
      </w:r>
      <w:r w:rsidR="00091ED7">
        <w:rPr>
          <w:rFonts w:ascii="Century Gothic" w:hAnsi="Century Gothic"/>
        </w:rPr>
        <w:t xml:space="preserve">focused </w:t>
      </w:r>
      <w:r w:rsidR="00A0644F">
        <w:rPr>
          <w:rFonts w:ascii="Century Gothic" w:hAnsi="Century Gothic"/>
        </w:rPr>
        <w:t xml:space="preserve">statistics </w:t>
      </w:r>
      <w:r w:rsidR="00E10E56">
        <w:rPr>
          <w:rFonts w:ascii="Century Gothic" w:hAnsi="Century Gothic"/>
        </w:rPr>
        <w:t xml:space="preserve">and </w:t>
      </w:r>
      <w:r w:rsidR="001A43B2">
        <w:rPr>
          <w:rFonts w:ascii="Century Gothic" w:hAnsi="Century Gothic"/>
        </w:rPr>
        <w:t xml:space="preserve">directly manage everyday interactions instead to </w:t>
      </w:r>
      <w:r w:rsidR="006D1914">
        <w:rPr>
          <w:rFonts w:ascii="Century Gothic" w:hAnsi="Century Gothic"/>
        </w:rPr>
        <w:t xml:space="preserve">remove </w:t>
      </w:r>
      <w:r w:rsidR="00833227">
        <w:rPr>
          <w:rFonts w:ascii="Century Gothic" w:hAnsi="Century Gothic"/>
        </w:rPr>
        <w:t xml:space="preserve">barriers and </w:t>
      </w:r>
      <w:r w:rsidR="006D1914">
        <w:rPr>
          <w:rFonts w:ascii="Century Gothic" w:hAnsi="Century Gothic"/>
        </w:rPr>
        <w:t xml:space="preserve">a negative </w:t>
      </w:r>
      <w:r w:rsidR="00833227">
        <w:rPr>
          <w:rFonts w:ascii="Century Gothic" w:hAnsi="Century Gothic"/>
        </w:rPr>
        <w:t>work culture for minority groups.</w:t>
      </w:r>
    </w:p>
    <w:p w14:paraId="56638CCB" w14:textId="77777777" w:rsidR="00753E36" w:rsidRDefault="00753E36" w:rsidP="005D18F3">
      <w:pPr>
        <w:rPr>
          <w:rFonts w:ascii="Century Gothic" w:hAnsi="Century Gothic"/>
        </w:rPr>
      </w:pPr>
    </w:p>
    <w:p w14:paraId="2E58F540" w14:textId="77777777" w:rsidR="00753E36" w:rsidRDefault="00753E36" w:rsidP="005D18F3">
      <w:pPr>
        <w:rPr>
          <w:rFonts w:ascii="Century Gothic" w:hAnsi="Century Gothic"/>
        </w:rPr>
      </w:pPr>
    </w:p>
    <w:p w14:paraId="1F8652C2" w14:textId="77777777" w:rsidR="00753E36" w:rsidRDefault="00753E36" w:rsidP="005D18F3">
      <w:pPr>
        <w:rPr>
          <w:rFonts w:ascii="Century Gothic" w:hAnsi="Century Gothic"/>
        </w:rPr>
      </w:pPr>
    </w:p>
    <w:p w14:paraId="48767477" w14:textId="77777777" w:rsidR="00753E36" w:rsidRDefault="00753E36" w:rsidP="005D18F3">
      <w:pPr>
        <w:rPr>
          <w:rFonts w:ascii="Century Gothic" w:hAnsi="Century Gothic"/>
        </w:rPr>
      </w:pPr>
    </w:p>
    <w:p w14:paraId="661F3EDE" w14:textId="77777777" w:rsidR="00753E36" w:rsidRDefault="00753E36" w:rsidP="005D18F3">
      <w:pPr>
        <w:rPr>
          <w:rFonts w:ascii="Century Gothic" w:hAnsi="Century Gothic"/>
        </w:rPr>
      </w:pPr>
    </w:p>
    <w:p w14:paraId="2E950111" w14:textId="77777777" w:rsidR="00C16BFB" w:rsidRDefault="00C16BFB" w:rsidP="005D18F3">
      <w:pPr>
        <w:rPr>
          <w:rFonts w:ascii="Century Gothic" w:hAnsi="Century Gothic"/>
        </w:rPr>
      </w:pPr>
    </w:p>
    <w:p w14:paraId="0A1D1DCE" w14:textId="77777777" w:rsidR="00C16BFB" w:rsidRDefault="00C16BFB" w:rsidP="005D18F3">
      <w:pPr>
        <w:rPr>
          <w:rFonts w:ascii="Century Gothic" w:hAnsi="Century Gothic"/>
        </w:rPr>
      </w:pPr>
    </w:p>
    <w:p w14:paraId="6F122115" w14:textId="77777777" w:rsidR="00753E36" w:rsidRDefault="00753E36" w:rsidP="005D18F3">
      <w:pPr>
        <w:rPr>
          <w:rFonts w:ascii="Century Gothic" w:hAnsi="Century Gothic"/>
        </w:rPr>
      </w:pPr>
    </w:p>
    <w:p w14:paraId="414FE7B7" w14:textId="77777777" w:rsidR="00753E36" w:rsidRDefault="00753E36" w:rsidP="005D18F3">
      <w:pPr>
        <w:rPr>
          <w:rFonts w:ascii="Century Gothic" w:hAnsi="Century Gothic"/>
        </w:rPr>
      </w:pPr>
    </w:p>
    <w:p w14:paraId="4BC65A37" w14:textId="0CBABE94" w:rsidR="00753E36" w:rsidRDefault="00B80262" w:rsidP="005D18F3">
      <w:pPr>
        <w:rPr>
          <w:rFonts w:ascii="Century Gothic" w:hAnsi="Century Gothic"/>
          <w:sz w:val="28"/>
          <w:szCs w:val="28"/>
        </w:rPr>
      </w:pPr>
      <w:r>
        <w:rPr>
          <w:rFonts w:ascii="Century Gothic" w:hAnsi="Century Gothic"/>
          <w:sz w:val="28"/>
          <w:szCs w:val="28"/>
        </w:rPr>
        <w:lastRenderedPageBreak/>
        <w:t xml:space="preserve">2.3 </w:t>
      </w:r>
      <w:r w:rsidR="00753E36">
        <w:rPr>
          <w:rFonts w:ascii="Century Gothic" w:hAnsi="Century Gothic"/>
          <w:sz w:val="28"/>
          <w:szCs w:val="28"/>
        </w:rPr>
        <w:t>C</w:t>
      </w:r>
      <w:r>
        <w:rPr>
          <w:rFonts w:ascii="Century Gothic" w:hAnsi="Century Gothic"/>
          <w:sz w:val="28"/>
          <w:szCs w:val="28"/>
        </w:rPr>
        <w:t>ontext Alignments</w:t>
      </w:r>
    </w:p>
    <w:p w14:paraId="43F2FCD9" w14:textId="6565FDF1" w:rsidR="00B80262" w:rsidRDefault="000B2AD8" w:rsidP="005D18F3">
      <w:pPr>
        <w:rPr>
          <w:rFonts w:ascii="Century Gothic" w:hAnsi="Century Gothic"/>
        </w:rPr>
      </w:pPr>
      <w:r>
        <w:rPr>
          <w:rFonts w:ascii="Century Gothic" w:hAnsi="Century Gothic"/>
        </w:rPr>
        <w:t>2.</w:t>
      </w:r>
      <w:r w:rsidR="00487099">
        <w:rPr>
          <w:rFonts w:ascii="Century Gothic" w:hAnsi="Century Gothic"/>
        </w:rPr>
        <w:t xml:space="preserve">3.1 Equality Legislation </w:t>
      </w:r>
      <w:r w:rsidR="00A67B06">
        <w:rPr>
          <w:rFonts w:ascii="Century Gothic" w:hAnsi="Century Gothic"/>
        </w:rPr>
        <w:t>Context</w:t>
      </w:r>
    </w:p>
    <w:p w14:paraId="10EA426D" w14:textId="5EB2E1DA" w:rsidR="00487099" w:rsidRDefault="00A75CEE" w:rsidP="005D18F3">
      <w:pPr>
        <w:rPr>
          <w:rFonts w:ascii="Century Gothic" w:hAnsi="Century Gothic"/>
        </w:rPr>
      </w:pPr>
      <w:r>
        <w:rPr>
          <w:rFonts w:ascii="Century Gothic" w:hAnsi="Century Gothic"/>
        </w:rPr>
        <w:t xml:space="preserve">Deloitte’s policies must align with UK Equality Act 2010. This legally protects characteristics </w:t>
      </w:r>
      <w:r w:rsidR="006E55D2">
        <w:rPr>
          <w:rFonts w:ascii="Century Gothic" w:hAnsi="Century Gothic"/>
        </w:rPr>
        <w:t>such as gender, race, disability, and sexual orientation</w:t>
      </w:r>
      <w:r w:rsidR="00FF6995">
        <w:rPr>
          <w:rFonts w:ascii="Century Gothic" w:hAnsi="Century Gothic"/>
        </w:rPr>
        <w:t xml:space="preserve"> (GOV.UK, 2013)</w:t>
      </w:r>
      <w:r w:rsidR="006E55D2">
        <w:rPr>
          <w:rFonts w:ascii="Century Gothic" w:hAnsi="Century Gothic"/>
        </w:rPr>
        <w:t xml:space="preserve">. </w:t>
      </w:r>
    </w:p>
    <w:p w14:paraId="100D46E0" w14:textId="537105B7" w:rsidR="00CE3D5F" w:rsidRDefault="00911AC8" w:rsidP="005D18F3">
      <w:pPr>
        <w:rPr>
          <w:rFonts w:ascii="Century Gothic" w:hAnsi="Century Gothic"/>
        </w:rPr>
      </w:pPr>
      <w:r>
        <w:rPr>
          <w:rFonts w:ascii="Century Gothic" w:hAnsi="Century Gothic"/>
        </w:rPr>
        <w:t>Similarly, the Gender Pay Gap Reporting Regulations 2017, mean that D</w:t>
      </w:r>
      <w:r w:rsidR="00EC3F4A">
        <w:rPr>
          <w:rFonts w:ascii="Century Gothic" w:hAnsi="Century Gothic"/>
        </w:rPr>
        <w:t>e</w:t>
      </w:r>
      <w:r>
        <w:rPr>
          <w:rFonts w:ascii="Century Gothic" w:hAnsi="Century Gothic"/>
        </w:rPr>
        <w:t>loitte</w:t>
      </w:r>
      <w:r w:rsidR="00EC3F4A">
        <w:rPr>
          <w:rFonts w:ascii="Century Gothic" w:hAnsi="Century Gothic"/>
        </w:rPr>
        <w:t xml:space="preserve"> is legally obliged to report its gender pay gap data. The </w:t>
      </w:r>
      <w:r w:rsidR="00AA62EF">
        <w:rPr>
          <w:rFonts w:ascii="Century Gothic" w:hAnsi="Century Gothic"/>
        </w:rPr>
        <w:t>Gender Pay Gap Reporting Regulations 2017 is legislation by the UK Government that enforces companies of 250</w:t>
      </w:r>
      <w:r w:rsidR="006B68EE">
        <w:rPr>
          <w:rFonts w:ascii="Century Gothic" w:hAnsi="Century Gothic"/>
        </w:rPr>
        <w:t xml:space="preserve"> employees and above, to </w:t>
      </w:r>
      <w:r w:rsidR="00E173AB">
        <w:rPr>
          <w:rFonts w:ascii="Century Gothic" w:hAnsi="Century Gothic"/>
        </w:rPr>
        <w:t>officially release</w:t>
      </w:r>
      <w:r w:rsidR="00267767">
        <w:rPr>
          <w:rFonts w:ascii="Century Gothic" w:hAnsi="Century Gothic"/>
        </w:rPr>
        <w:t xml:space="preserve"> </w:t>
      </w:r>
      <w:r w:rsidR="005B3D04">
        <w:rPr>
          <w:rFonts w:ascii="Century Gothic" w:hAnsi="Century Gothic"/>
        </w:rPr>
        <w:t>gender data (</w:t>
      </w:r>
      <w:r w:rsidR="00CE3D5F">
        <w:rPr>
          <w:rFonts w:ascii="Century Gothic" w:hAnsi="Century Gothic"/>
        </w:rPr>
        <w:t>Government Equalities Office, 2018).</w:t>
      </w:r>
    </w:p>
    <w:p w14:paraId="6358864F" w14:textId="77777777" w:rsidR="00CE3D5F" w:rsidRDefault="00CE3D5F" w:rsidP="005D18F3">
      <w:pPr>
        <w:rPr>
          <w:rFonts w:ascii="Century Gothic" w:hAnsi="Century Gothic"/>
        </w:rPr>
      </w:pPr>
    </w:p>
    <w:p w14:paraId="3F8ADFB1" w14:textId="1F21C2C7" w:rsidR="00487099" w:rsidRDefault="00487099" w:rsidP="005D18F3">
      <w:pPr>
        <w:rPr>
          <w:rFonts w:ascii="Century Gothic" w:hAnsi="Century Gothic"/>
        </w:rPr>
      </w:pPr>
      <w:r>
        <w:rPr>
          <w:rFonts w:ascii="Century Gothic" w:hAnsi="Century Gothic"/>
        </w:rPr>
        <w:t>2.3.2 Industry Context</w:t>
      </w:r>
    </w:p>
    <w:p w14:paraId="653E386D" w14:textId="065F4E29" w:rsidR="00487099" w:rsidRDefault="00BC4CFD" w:rsidP="005D18F3">
      <w:pPr>
        <w:rPr>
          <w:rFonts w:ascii="Century Gothic" w:hAnsi="Century Gothic"/>
        </w:rPr>
      </w:pPr>
      <w:r>
        <w:rPr>
          <w:rFonts w:ascii="Century Gothic" w:hAnsi="Century Gothic"/>
        </w:rPr>
        <w:t>Deloitte</w:t>
      </w:r>
      <w:r w:rsidR="00E173AB">
        <w:rPr>
          <w:rFonts w:ascii="Century Gothic" w:hAnsi="Century Gothic"/>
        </w:rPr>
        <w:t xml:space="preserve">’s </w:t>
      </w:r>
      <w:r w:rsidR="00E43851">
        <w:rPr>
          <w:rFonts w:ascii="Century Gothic" w:hAnsi="Century Gothic"/>
        </w:rPr>
        <w:t>competitive market</w:t>
      </w:r>
      <w:r w:rsidR="00436092">
        <w:rPr>
          <w:rFonts w:ascii="Century Gothic" w:hAnsi="Century Gothic"/>
        </w:rPr>
        <w:t xml:space="preserve"> </w:t>
      </w:r>
      <w:r w:rsidR="00E43851">
        <w:rPr>
          <w:rFonts w:ascii="Century Gothic" w:hAnsi="Century Gothic"/>
        </w:rPr>
        <w:t xml:space="preserve">with </w:t>
      </w:r>
      <w:r w:rsidR="0051580F">
        <w:rPr>
          <w:rFonts w:ascii="Century Gothic" w:hAnsi="Century Gothic"/>
        </w:rPr>
        <w:t xml:space="preserve">the ‘Big Four’ </w:t>
      </w:r>
      <w:r w:rsidR="00436092">
        <w:rPr>
          <w:rFonts w:ascii="Century Gothic" w:hAnsi="Century Gothic"/>
        </w:rPr>
        <w:t xml:space="preserve">has </w:t>
      </w:r>
      <w:r w:rsidR="00802467">
        <w:rPr>
          <w:rFonts w:ascii="Century Gothic" w:hAnsi="Century Gothic"/>
        </w:rPr>
        <w:t>previously</w:t>
      </w:r>
      <w:r w:rsidR="00436092">
        <w:rPr>
          <w:rFonts w:ascii="Century Gothic" w:hAnsi="Century Gothic"/>
        </w:rPr>
        <w:t xml:space="preserve"> meant </w:t>
      </w:r>
      <w:r w:rsidR="00802467">
        <w:rPr>
          <w:rFonts w:ascii="Century Gothic" w:hAnsi="Century Gothic"/>
        </w:rPr>
        <w:t xml:space="preserve">competition </w:t>
      </w:r>
      <w:r w:rsidR="000A1446">
        <w:rPr>
          <w:rFonts w:ascii="Century Gothic" w:hAnsi="Century Gothic"/>
        </w:rPr>
        <w:t xml:space="preserve">by long working hours, </w:t>
      </w:r>
      <w:r w:rsidR="00950DF6">
        <w:rPr>
          <w:rFonts w:ascii="Century Gothic" w:hAnsi="Century Gothic"/>
        </w:rPr>
        <w:t xml:space="preserve">a </w:t>
      </w:r>
      <w:r w:rsidR="000A1446">
        <w:rPr>
          <w:rFonts w:ascii="Century Gothic" w:hAnsi="Century Gothic"/>
        </w:rPr>
        <w:t xml:space="preserve">client-driven performance culture and partnership promotion models that historically favour </w:t>
      </w:r>
      <w:r w:rsidR="005E4CF7">
        <w:rPr>
          <w:rFonts w:ascii="Century Gothic" w:hAnsi="Century Gothic"/>
        </w:rPr>
        <w:t>uninterrupted career progression (</w:t>
      </w:r>
      <w:r w:rsidR="00F37DBB">
        <w:rPr>
          <w:rFonts w:ascii="Century Gothic" w:hAnsi="Century Gothic"/>
        </w:rPr>
        <w:t xml:space="preserve">Ashley &amp; </w:t>
      </w:r>
      <w:proofErr w:type="spellStart"/>
      <w:r w:rsidR="00F37DBB">
        <w:rPr>
          <w:rFonts w:ascii="Century Gothic" w:hAnsi="Century Gothic"/>
        </w:rPr>
        <w:t>Empson</w:t>
      </w:r>
      <w:proofErr w:type="spellEnd"/>
      <w:r w:rsidR="00F37DBB">
        <w:rPr>
          <w:rFonts w:ascii="Century Gothic" w:hAnsi="Century Gothic"/>
        </w:rPr>
        <w:t xml:space="preserve">, 2016). </w:t>
      </w:r>
      <w:r w:rsidR="007549F6">
        <w:rPr>
          <w:rFonts w:ascii="Century Gothic" w:hAnsi="Century Gothic"/>
        </w:rPr>
        <w:t xml:space="preserve">However, with </w:t>
      </w:r>
      <w:r w:rsidR="00A06ED3">
        <w:rPr>
          <w:rFonts w:ascii="Century Gothic" w:hAnsi="Century Gothic"/>
        </w:rPr>
        <w:t xml:space="preserve">increased regulation by UK Governments, Deloitte </w:t>
      </w:r>
      <w:r w:rsidR="008379F2">
        <w:rPr>
          <w:rFonts w:ascii="Century Gothic" w:hAnsi="Century Gothic"/>
        </w:rPr>
        <w:t xml:space="preserve">are publicly committed to representation goals and breaking down barriers to move to meaningful change. </w:t>
      </w:r>
    </w:p>
    <w:p w14:paraId="39665AA2" w14:textId="77777777" w:rsidR="00780AA1" w:rsidRDefault="00780AA1" w:rsidP="005D18F3">
      <w:pPr>
        <w:rPr>
          <w:rFonts w:ascii="Century Gothic" w:hAnsi="Century Gothic"/>
        </w:rPr>
      </w:pPr>
    </w:p>
    <w:p w14:paraId="01AC854A" w14:textId="1A101779" w:rsidR="00487099" w:rsidRDefault="00487099" w:rsidP="005D18F3">
      <w:pPr>
        <w:rPr>
          <w:rFonts w:ascii="Century Gothic" w:hAnsi="Century Gothic"/>
        </w:rPr>
      </w:pPr>
      <w:r>
        <w:rPr>
          <w:rFonts w:ascii="Century Gothic" w:hAnsi="Century Gothic"/>
        </w:rPr>
        <w:t xml:space="preserve">2.3.3 Socioeconomic </w:t>
      </w:r>
      <w:r w:rsidR="00A67B06">
        <w:rPr>
          <w:rFonts w:ascii="Century Gothic" w:hAnsi="Century Gothic"/>
        </w:rPr>
        <w:t>and Labour Market Context</w:t>
      </w:r>
    </w:p>
    <w:p w14:paraId="3B88AAE3" w14:textId="1C8A8C58" w:rsidR="006F0809" w:rsidRDefault="00780AA1" w:rsidP="005D18F3">
      <w:pPr>
        <w:rPr>
          <w:rFonts w:ascii="Century Gothic" w:hAnsi="Century Gothic"/>
        </w:rPr>
      </w:pPr>
      <w:r>
        <w:rPr>
          <w:rFonts w:ascii="Century Gothic" w:hAnsi="Century Gothic"/>
        </w:rPr>
        <w:t>Deloitte’s diversity and inclusion policies are shaped by broader labour market dynamics</w:t>
      </w:r>
      <w:r w:rsidR="00FB4CD8">
        <w:rPr>
          <w:rFonts w:ascii="Century Gothic" w:hAnsi="Century Gothic"/>
        </w:rPr>
        <w:t>. P</w:t>
      </w:r>
      <w:r w:rsidR="00F815B0">
        <w:rPr>
          <w:rFonts w:ascii="Century Gothic" w:hAnsi="Century Gothic"/>
        </w:rPr>
        <w:t xml:space="preserve">ost pandemic shifts in employee expectations </w:t>
      </w:r>
      <w:r w:rsidR="00FB4CD8">
        <w:rPr>
          <w:rFonts w:ascii="Century Gothic" w:hAnsi="Century Gothic"/>
        </w:rPr>
        <w:t>mean offering</w:t>
      </w:r>
      <w:r w:rsidR="00F815B0">
        <w:rPr>
          <w:rFonts w:ascii="Century Gothic" w:hAnsi="Century Gothic"/>
        </w:rPr>
        <w:t xml:space="preserve"> flexibility</w:t>
      </w:r>
      <w:r w:rsidR="00FB4CD8">
        <w:rPr>
          <w:rFonts w:ascii="Century Gothic" w:hAnsi="Century Gothic"/>
        </w:rPr>
        <w:t xml:space="preserve"> to promote wellbeing</w:t>
      </w:r>
      <w:r w:rsidR="008F5B58">
        <w:rPr>
          <w:rFonts w:ascii="Century Gothic" w:hAnsi="Century Gothic"/>
        </w:rPr>
        <w:t xml:space="preserve">. </w:t>
      </w:r>
      <w:r w:rsidR="006F0809">
        <w:rPr>
          <w:rFonts w:ascii="Century Gothic" w:hAnsi="Century Gothic"/>
        </w:rPr>
        <w:t>While the UK’s high-skill professional labour market is increasingly competi</w:t>
      </w:r>
      <w:r w:rsidR="00222C98">
        <w:rPr>
          <w:rFonts w:ascii="Century Gothic" w:hAnsi="Century Gothic"/>
        </w:rPr>
        <w:t>tive, younger generations prioritise inclusive cultures and hybrid working</w:t>
      </w:r>
      <w:r w:rsidR="00803987">
        <w:rPr>
          <w:rFonts w:ascii="Century Gothic" w:hAnsi="Century Gothic"/>
        </w:rPr>
        <w:t xml:space="preserve"> (</w:t>
      </w:r>
      <w:r w:rsidR="00973916">
        <w:rPr>
          <w:rFonts w:ascii="Century Gothic" w:hAnsi="Century Gothic"/>
        </w:rPr>
        <w:t>Deloitte, 2024</w:t>
      </w:r>
      <w:r w:rsidR="009413EB">
        <w:rPr>
          <w:rFonts w:ascii="Century Gothic" w:hAnsi="Century Gothic"/>
        </w:rPr>
        <w:t xml:space="preserve">). </w:t>
      </w:r>
      <w:r w:rsidR="00E22577">
        <w:rPr>
          <w:rFonts w:ascii="Century Gothic" w:hAnsi="Century Gothic"/>
        </w:rPr>
        <w:t>However,</w:t>
      </w:r>
      <w:r w:rsidR="004158D8">
        <w:rPr>
          <w:rFonts w:ascii="Century Gothic" w:hAnsi="Century Gothic"/>
        </w:rPr>
        <w:t xml:space="preserve"> some groups can face wider inequality from hybrid and remote models of work, this means added management to ensure extra support </w:t>
      </w:r>
      <w:r w:rsidR="002B7273">
        <w:rPr>
          <w:rFonts w:ascii="Century Gothic" w:hAnsi="Century Gothic"/>
        </w:rPr>
        <w:t>to offer fairness and equality through roles (</w:t>
      </w:r>
      <w:proofErr w:type="spellStart"/>
      <w:r w:rsidR="002B7273">
        <w:rPr>
          <w:rFonts w:ascii="Century Gothic" w:hAnsi="Century Gothic"/>
        </w:rPr>
        <w:t>Florisson</w:t>
      </w:r>
      <w:proofErr w:type="spellEnd"/>
      <w:r w:rsidR="002B7273">
        <w:rPr>
          <w:rFonts w:ascii="Century Gothic" w:hAnsi="Century Gothic"/>
        </w:rPr>
        <w:t xml:space="preserve"> et al., 2021).</w:t>
      </w:r>
    </w:p>
    <w:p w14:paraId="0ACD2A3C" w14:textId="321C1FCE" w:rsidR="00AA54DD" w:rsidRDefault="009413EB" w:rsidP="005D18F3">
      <w:pPr>
        <w:rPr>
          <w:rFonts w:ascii="Century Gothic" w:hAnsi="Century Gothic"/>
        </w:rPr>
      </w:pPr>
      <w:r>
        <w:rPr>
          <w:rFonts w:ascii="Century Gothic" w:hAnsi="Century Gothic"/>
        </w:rPr>
        <w:t xml:space="preserve">National data </w:t>
      </w:r>
      <w:bookmarkStart w:id="24" w:name="_Int_52M4okQj"/>
      <w:r>
        <w:rPr>
          <w:rFonts w:ascii="Century Gothic" w:hAnsi="Century Gothic"/>
        </w:rPr>
        <w:t>shows</w:t>
      </w:r>
      <w:bookmarkEnd w:id="24"/>
      <w:r>
        <w:rPr>
          <w:rFonts w:ascii="Century Gothic" w:hAnsi="Century Gothic"/>
        </w:rPr>
        <w:t xml:space="preserve"> p</w:t>
      </w:r>
      <w:r w:rsidR="00BD086B">
        <w:rPr>
          <w:rFonts w:ascii="Century Gothic" w:hAnsi="Century Gothic"/>
        </w:rPr>
        <w:t>ersistent employment</w:t>
      </w:r>
      <w:r w:rsidR="008F5B58">
        <w:rPr>
          <w:rFonts w:ascii="Century Gothic" w:hAnsi="Century Gothic"/>
        </w:rPr>
        <w:t xml:space="preserve"> </w:t>
      </w:r>
      <w:r w:rsidR="00BD086B">
        <w:rPr>
          <w:rFonts w:ascii="Century Gothic" w:hAnsi="Century Gothic"/>
        </w:rPr>
        <w:t xml:space="preserve">pay gaps affecting women, ethnic </w:t>
      </w:r>
      <w:r w:rsidR="00185269">
        <w:rPr>
          <w:rFonts w:ascii="Century Gothic" w:hAnsi="Century Gothic"/>
        </w:rPr>
        <w:t>minorities, and disabled people</w:t>
      </w:r>
      <w:r w:rsidR="008F5B58">
        <w:rPr>
          <w:rFonts w:ascii="Century Gothic" w:hAnsi="Century Gothic"/>
        </w:rPr>
        <w:t>. O</w:t>
      </w:r>
      <w:r w:rsidR="00185269">
        <w:rPr>
          <w:rFonts w:ascii="Century Gothic" w:hAnsi="Century Gothic"/>
        </w:rPr>
        <w:t>rganisations are facing both social and econom</w:t>
      </w:r>
      <w:r w:rsidR="00E946AF">
        <w:rPr>
          <w:rFonts w:ascii="Century Gothic" w:hAnsi="Century Gothic"/>
        </w:rPr>
        <w:t>ic pressure to address inequality (</w:t>
      </w:r>
      <w:r w:rsidR="00856F27">
        <w:rPr>
          <w:rFonts w:ascii="Century Gothic" w:hAnsi="Century Gothic"/>
        </w:rPr>
        <w:t>Offic</w:t>
      </w:r>
      <w:r w:rsidR="006E32CB">
        <w:rPr>
          <w:rFonts w:ascii="Century Gothic" w:hAnsi="Century Gothic"/>
        </w:rPr>
        <w:t>e for National Statistics, 202</w:t>
      </w:r>
      <w:r w:rsidR="00A25797">
        <w:rPr>
          <w:rFonts w:ascii="Century Gothic" w:hAnsi="Century Gothic"/>
        </w:rPr>
        <w:t>3</w:t>
      </w:r>
      <w:r w:rsidR="006E32CB">
        <w:rPr>
          <w:rFonts w:ascii="Century Gothic" w:hAnsi="Century Gothic"/>
        </w:rPr>
        <w:t>).</w:t>
      </w:r>
    </w:p>
    <w:p w14:paraId="7259A17B" w14:textId="77777777" w:rsidR="00AA54DD" w:rsidRDefault="00AA54DD" w:rsidP="005D18F3">
      <w:pPr>
        <w:rPr>
          <w:rFonts w:ascii="Century Gothic" w:hAnsi="Century Gothic"/>
        </w:rPr>
      </w:pPr>
    </w:p>
    <w:p w14:paraId="1392D27E" w14:textId="77777777" w:rsidR="00AA54DD" w:rsidRDefault="00AA54DD" w:rsidP="005D18F3">
      <w:pPr>
        <w:rPr>
          <w:rFonts w:ascii="Century Gothic" w:hAnsi="Century Gothic"/>
        </w:rPr>
      </w:pPr>
    </w:p>
    <w:p w14:paraId="16E48D17" w14:textId="2300781A" w:rsidR="00AA54DD" w:rsidRPr="0000588F" w:rsidRDefault="0000588F" w:rsidP="000B455A">
      <w:pPr>
        <w:pStyle w:val="ListParagraph"/>
        <w:numPr>
          <w:ilvl w:val="1"/>
          <w:numId w:val="26"/>
        </w:numPr>
        <w:rPr>
          <w:rFonts w:ascii="Century Gothic" w:hAnsi="Century Gothic"/>
        </w:rPr>
      </w:pPr>
      <w:r>
        <w:rPr>
          <w:rFonts w:ascii="Century Gothic" w:hAnsi="Century Gothic"/>
          <w:sz w:val="32"/>
          <w:szCs w:val="32"/>
        </w:rPr>
        <w:lastRenderedPageBreak/>
        <w:t>Impact on Organisational Performance</w:t>
      </w:r>
    </w:p>
    <w:p w14:paraId="22C2CA4A" w14:textId="295A9254" w:rsidR="0000588F" w:rsidRDefault="004A077B" w:rsidP="0000588F">
      <w:pPr>
        <w:rPr>
          <w:rFonts w:ascii="Century Gothic" w:hAnsi="Century Gothic"/>
          <w:sz w:val="28"/>
          <w:szCs w:val="28"/>
        </w:rPr>
      </w:pPr>
      <w:r>
        <w:rPr>
          <w:rFonts w:ascii="Century Gothic" w:hAnsi="Century Gothic"/>
          <w:sz w:val="28"/>
          <w:szCs w:val="28"/>
        </w:rPr>
        <w:t xml:space="preserve">3.1 Employee Outcomes </w:t>
      </w:r>
    </w:p>
    <w:p w14:paraId="56376681" w14:textId="35ED42F5" w:rsidR="00A031FE" w:rsidRDefault="004252EF" w:rsidP="0000588F">
      <w:pPr>
        <w:rPr>
          <w:rFonts w:ascii="Century Gothic" w:hAnsi="Century Gothic"/>
        </w:rPr>
      </w:pPr>
      <w:r>
        <w:rPr>
          <w:rFonts w:ascii="Century Gothic" w:hAnsi="Century Gothic"/>
        </w:rPr>
        <w:t xml:space="preserve">Academic research consistently links inclusive practices with higher employee job satisfaction. When employees feel respected and </w:t>
      </w:r>
      <w:r w:rsidR="00A23117">
        <w:rPr>
          <w:rFonts w:ascii="Century Gothic" w:hAnsi="Century Gothic"/>
        </w:rPr>
        <w:t>included,</w:t>
      </w:r>
      <w:r w:rsidR="00FC40C4">
        <w:rPr>
          <w:rFonts w:ascii="Century Gothic" w:hAnsi="Century Gothic"/>
        </w:rPr>
        <w:t xml:space="preserve"> </w:t>
      </w:r>
      <w:r w:rsidR="00767069">
        <w:rPr>
          <w:rFonts w:ascii="Century Gothic" w:hAnsi="Century Gothic"/>
        </w:rPr>
        <w:t xml:space="preserve">they </w:t>
      </w:r>
      <w:r w:rsidR="007D5A5F">
        <w:rPr>
          <w:rFonts w:ascii="Century Gothic" w:hAnsi="Century Gothic"/>
        </w:rPr>
        <w:t xml:space="preserve">are more likely to align with organisational values </w:t>
      </w:r>
      <w:r w:rsidR="007D5A5F">
        <w:rPr>
          <w:rFonts w:ascii="Century Gothic" w:hAnsi="Century Gothic"/>
        </w:rPr>
        <w:t>(Shore et al., 2011)</w:t>
      </w:r>
      <w:r w:rsidR="007D5A5F">
        <w:rPr>
          <w:rFonts w:ascii="Century Gothic" w:hAnsi="Century Gothic"/>
        </w:rPr>
        <w:t xml:space="preserve">. </w:t>
      </w:r>
      <w:r w:rsidR="00B461A4">
        <w:rPr>
          <w:rFonts w:ascii="Century Gothic" w:hAnsi="Century Gothic"/>
        </w:rPr>
        <w:t xml:space="preserve">Psychological safety </w:t>
      </w:r>
      <w:r w:rsidR="00AB29CB">
        <w:rPr>
          <w:rFonts w:ascii="Century Gothic" w:hAnsi="Century Gothic"/>
        </w:rPr>
        <w:t>allows individuals to be their authentic self without negative consequences</w:t>
      </w:r>
      <w:r w:rsidR="007B60E0">
        <w:rPr>
          <w:rFonts w:ascii="Century Gothic" w:hAnsi="Century Gothic"/>
        </w:rPr>
        <w:t xml:space="preserve">. It predicts employee satisfaction and improved decision-making </w:t>
      </w:r>
      <w:r w:rsidR="007E7114">
        <w:rPr>
          <w:rFonts w:ascii="Century Gothic" w:hAnsi="Century Gothic"/>
        </w:rPr>
        <w:t>(Malik &amp; Clarke, 2024), enabling employees to contribute without fear of judgement. Psychological safety and satisfaction are closely correlated</w:t>
      </w:r>
      <w:r w:rsidR="00A07ECE">
        <w:rPr>
          <w:rFonts w:ascii="Century Gothic" w:hAnsi="Century Gothic"/>
        </w:rPr>
        <w:t>, highlighting their importance in building inclusive environments.</w:t>
      </w:r>
      <w:r w:rsidR="007E7114">
        <w:rPr>
          <w:rFonts w:ascii="Century Gothic" w:hAnsi="Century Gothic"/>
        </w:rPr>
        <w:t xml:space="preserve"> </w:t>
      </w:r>
    </w:p>
    <w:p w14:paraId="656795CF" w14:textId="095124F0" w:rsidR="009947E3" w:rsidRDefault="007A23AF" w:rsidP="0000588F">
      <w:pPr>
        <w:rPr>
          <w:rFonts w:ascii="Century Gothic" w:hAnsi="Century Gothic"/>
        </w:rPr>
      </w:pPr>
      <w:r>
        <w:rPr>
          <w:rFonts w:ascii="Century Gothic" w:hAnsi="Century Gothic"/>
        </w:rPr>
        <w:t>C</w:t>
      </w:r>
      <w:r w:rsidR="009947E3">
        <w:rPr>
          <w:rFonts w:ascii="Century Gothic" w:hAnsi="Century Gothic"/>
        </w:rPr>
        <w:t>reating an inclusive workspace encourage</w:t>
      </w:r>
      <w:r w:rsidR="00D624FD">
        <w:rPr>
          <w:rFonts w:ascii="Century Gothic" w:hAnsi="Century Gothic"/>
        </w:rPr>
        <w:t>s</w:t>
      </w:r>
      <w:r w:rsidR="009947E3">
        <w:rPr>
          <w:rFonts w:ascii="Century Gothic" w:hAnsi="Century Gothic"/>
        </w:rPr>
        <w:t xml:space="preserve"> </w:t>
      </w:r>
      <w:r w:rsidR="00A23117">
        <w:rPr>
          <w:rFonts w:ascii="Century Gothic" w:hAnsi="Century Gothic"/>
        </w:rPr>
        <w:t xml:space="preserve">a reduced turnover. </w:t>
      </w:r>
      <w:r w:rsidR="00581D4E">
        <w:rPr>
          <w:rFonts w:ascii="Century Gothic" w:hAnsi="Century Gothic"/>
        </w:rPr>
        <w:t xml:space="preserve">For employees, a high turnover rate </w:t>
      </w:r>
      <w:r w:rsidR="00251AFA">
        <w:rPr>
          <w:rFonts w:ascii="Century Gothic" w:hAnsi="Century Gothic"/>
        </w:rPr>
        <w:t xml:space="preserve">can mean an unhealthy work culture, </w:t>
      </w:r>
      <w:r w:rsidR="007959F3">
        <w:rPr>
          <w:rFonts w:ascii="Century Gothic" w:hAnsi="Century Gothic"/>
        </w:rPr>
        <w:t>while</w:t>
      </w:r>
      <w:r w:rsidR="00251AFA">
        <w:rPr>
          <w:rFonts w:ascii="Century Gothic" w:hAnsi="Century Gothic"/>
        </w:rPr>
        <w:t xml:space="preserve"> workforce stability </w:t>
      </w:r>
      <w:r w:rsidR="00E2623F">
        <w:rPr>
          <w:rFonts w:ascii="Century Gothic" w:hAnsi="Century Gothic"/>
        </w:rPr>
        <w:t xml:space="preserve">reflects collaboration and productivity (Hastwell, 2023). Inclusive cultures </w:t>
      </w:r>
      <w:r w:rsidR="003B78AA">
        <w:rPr>
          <w:rFonts w:ascii="Century Gothic" w:hAnsi="Century Gothic"/>
        </w:rPr>
        <w:t xml:space="preserve">lead to </w:t>
      </w:r>
      <w:r w:rsidR="00E2623F">
        <w:rPr>
          <w:rFonts w:ascii="Century Gothic" w:hAnsi="Century Gothic"/>
        </w:rPr>
        <w:t>stronger engagement</w:t>
      </w:r>
      <w:r w:rsidR="007959F3">
        <w:rPr>
          <w:rFonts w:ascii="Century Gothic" w:hAnsi="Century Gothic"/>
        </w:rPr>
        <w:t xml:space="preserve">, rising morale and </w:t>
      </w:r>
      <w:r w:rsidR="003B78AA">
        <w:rPr>
          <w:rFonts w:ascii="Century Gothic" w:hAnsi="Century Gothic"/>
        </w:rPr>
        <w:t xml:space="preserve">improved </w:t>
      </w:r>
      <w:r w:rsidR="007959F3">
        <w:rPr>
          <w:rFonts w:ascii="Century Gothic" w:hAnsi="Century Gothic"/>
        </w:rPr>
        <w:t xml:space="preserve">performance (Moor, 2026). </w:t>
      </w:r>
    </w:p>
    <w:p w14:paraId="229768A6" w14:textId="36129B34" w:rsidR="0001497B" w:rsidRDefault="003B78AA" w:rsidP="0000588F">
      <w:pPr>
        <w:rPr>
          <w:rFonts w:ascii="Century Gothic" w:hAnsi="Century Gothic"/>
        </w:rPr>
      </w:pPr>
      <w:r>
        <w:rPr>
          <w:rFonts w:ascii="Century Gothic" w:hAnsi="Century Gothic"/>
        </w:rPr>
        <w:t xml:space="preserve">Deloitte’s inclusion networks </w:t>
      </w:r>
      <w:r w:rsidR="00C33170">
        <w:rPr>
          <w:rFonts w:ascii="Century Gothic" w:hAnsi="Century Gothic"/>
        </w:rPr>
        <w:t xml:space="preserve">and flexible work policies show an interest for improving wellbeing (Deloitte, 2026). Although it does not publish </w:t>
      </w:r>
      <w:r w:rsidR="003211DF">
        <w:rPr>
          <w:rFonts w:ascii="Century Gothic" w:hAnsi="Century Gothic"/>
        </w:rPr>
        <w:t xml:space="preserve">direct job satisfaction, it emphasises inclusive leadership efforts (Deloitte Pay and Inclusion Report, 2025). </w:t>
      </w:r>
      <w:r w:rsidR="004A4AF5">
        <w:rPr>
          <w:rFonts w:ascii="Century Gothic" w:hAnsi="Century Gothic"/>
        </w:rPr>
        <w:t xml:space="preserve">However, research suggests inclusive policies must </w:t>
      </w:r>
      <w:bookmarkStart w:id="25" w:name="_Int_wCIrzRhS"/>
      <w:r w:rsidR="004A4AF5">
        <w:rPr>
          <w:rFonts w:ascii="Century Gothic" w:hAnsi="Century Gothic"/>
        </w:rPr>
        <w:t>be supported</w:t>
      </w:r>
      <w:bookmarkEnd w:id="25"/>
      <w:r w:rsidR="004A4AF5">
        <w:rPr>
          <w:rFonts w:ascii="Century Gothic" w:hAnsi="Century Gothic"/>
        </w:rPr>
        <w:t xml:space="preserve"> by managerial accountability to achieve </w:t>
      </w:r>
      <w:r w:rsidR="007439E7">
        <w:rPr>
          <w:rFonts w:ascii="Century Gothic" w:hAnsi="Century Gothic"/>
        </w:rPr>
        <w:t>meaningful change rather than symbolic impact (Barak et al., 2016).</w:t>
      </w:r>
    </w:p>
    <w:p w14:paraId="58449C05" w14:textId="77777777" w:rsidR="007439E7" w:rsidRDefault="007439E7" w:rsidP="0000588F">
      <w:pPr>
        <w:rPr>
          <w:rFonts w:ascii="Century Gothic" w:hAnsi="Century Gothic"/>
        </w:rPr>
      </w:pPr>
    </w:p>
    <w:p w14:paraId="4BEB714F" w14:textId="77777777" w:rsidR="007439E7" w:rsidRDefault="007439E7" w:rsidP="0000588F">
      <w:pPr>
        <w:rPr>
          <w:rFonts w:ascii="Century Gothic" w:hAnsi="Century Gothic"/>
        </w:rPr>
      </w:pPr>
    </w:p>
    <w:p w14:paraId="5DBB23B0" w14:textId="77777777" w:rsidR="007439E7" w:rsidRDefault="007439E7" w:rsidP="0000588F">
      <w:pPr>
        <w:rPr>
          <w:rFonts w:ascii="Century Gothic" w:hAnsi="Century Gothic"/>
        </w:rPr>
      </w:pPr>
    </w:p>
    <w:p w14:paraId="298EA97E" w14:textId="77777777" w:rsidR="007439E7" w:rsidRDefault="007439E7" w:rsidP="0000588F">
      <w:pPr>
        <w:rPr>
          <w:rFonts w:ascii="Century Gothic" w:hAnsi="Century Gothic"/>
        </w:rPr>
      </w:pPr>
    </w:p>
    <w:p w14:paraId="321EA7C8" w14:textId="77777777" w:rsidR="007439E7" w:rsidRDefault="007439E7" w:rsidP="0000588F">
      <w:pPr>
        <w:rPr>
          <w:rFonts w:ascii="Century Gothic" w:hAnsi="Century Gothic"/>
        </w:rPr>
      </w:pPr>
    </w:p>
    <w:p w14:paraId="159C2A33" w14:textId="77777777" w:rsidR="0001497B" w:rsidRDefault="0001497B" w:rsidP="0000588F">
      <w:pPr>
        <w:rPr>
          <w:rFonts w:ascii="Century Gothic" w:hAnsi="Century Gothic"/>
        </w:rPr>
      </w:pPr>
    </w:p>
    <w:p w14:paraId="1189EE3C" w14:textId="77777777" w:rsidR="0001497B" w:rsidRDefault="0001497B" w:rsidP="0000588F">
      <w:pPr>
        <w:rPr>
          <w:rFonts w:ascii="Century Gothic" w:hAnsi="Century Gothic"/>
        </w:rPr>
      </w:pPr>
    </w:p>
    <w:p w14:paraId="55A26137" w14:textId="77777777" w:rsidR="0001497B" w:rsidRDefault="0001497B" w:rsidP="0000588F">
      <w:pPr>
        <w:rPr>
          <w:rFonts w:ascii="Century Gothic" w:hAnsi="Century Gothic"/>
        </w:rPr>
      </w:pPr>
    </w:p>
    <w:p w14:paraId="4F9DBB39" w14:textId="77777777" w:rsidR="007A23AF" w:rsidRDefault="007A23AF" w:rsidP="0000588F">
      <w:pPr>
        <w:rPr>
          <w:rFonts w:ascii="Century Gothic" w:hAnsi="Century Gothic"/>
        </w:rPr>
      </w:pPr>
    </w:p>
    <w:p w14:paraId="0FC554B0" w14:textId="77777777" w:rsidR="0001497B" w:rsidRDefault="0001497B" w:rsidP="0000588F">
      <w:pPr>
        <w:rPr>
          <w:rFonts w:ascii="Century Gothic" w:hAnsi="Century Gothic"/>
        </w:rPr>
      </w:pPr>
    </w:p>
    <w:p w14:paraId="0560A929" w14:textId="77777777" w:rsidR="0001497B" w:rsidRDefault="0001497B" w:rsidP="0000588F">
      <w:pPr>
        <w:rPr>
          <w:rFonts w:ascii="Century Gothic" w:hAnsi="Century Gothic"/>
        </w:rPr>
      </w:pPr>
    </w:p>
    <w:p w14:paraId="4FC13FAC" w14:textId="284752A7" w:rsidR="00DF593B" w:rsidRDefault="00667339" w:rsidP="0000588F">
      <w:pPr>
        <w:rPr>
          <w:rFonts w:ascii="Century Gothic" w:hAnsi="Century Gothic"/>
          <w:sz w:val="28"/>
          <w:szCs w:val="28"/>
        </w:rPr>
      </w:pPr>
      <w:r>
        <w:rPr>
          <w:rFonts w:ascii="Century Gothic" w:hAnsi="Century Gothic"/>
          <w:sz w:val="28"/>
          <w:szCs w:val="28"/>
        </w:rPr>
        <w:lastRenderedPageBreak/>
        <w:t>3.2 Business Outcomes</w:t>
      </w:r>
    </w:p>
    <w:p w14:paraId="4A173557" w14:textId="6D8ED5E8" w:rsidR="00AA1AF3" w:rsidRDefault="00667339" w:rsidP="005D18F3">
      <w:pPr>
        <w:rPr>
          <w:rFonts w:ascii="Century Gothic" w:hAnsi="Century Gothic"/>
        </w:rPr>
      </w:pPr>
      <w:r>
        <w:rPr>
          <w:rFonts w:ascii="Century Gothic" w:hAnsi="Century Gothic"/>
        </w:rPr>
        <w:t>Fro</w:t>
      </w:r>
      <w:r w:rsidR="004304EE">
        <w:rPr>
          <w:rFonts w:ascii="Century Gothic" w:hAnsi="Century Gothic"/>
        </w:rPr>
        <w:t xml:space="preserve">m an </w:t>
      </w:r>
      <w:r>
        <w:rPr>
          <w:rFonts w:ascii="Century Gothic" w:hAnsi="Century Gothic"/>
        </w:rPr>
        <w:t xml:space="preserve">organisational perspective, </w:t>
      </w:r>
      <w:r w:rsidR="003A0D19">
        <w:rPr>
          <w:rFonts w:ascii="Century Gothic" w:hAnsi="Century Gothic"/>
        </w:rPr>
        <w:t>becoming more diverse an</w:t>
      </w:r>
      <w:r w:rsidR="006D1589">
        <w:rPr>
          <w:rFonts w:ascii="Century Gothic" w:hAnsi="Century Gothic"/>
        </w:rPr>
        <w:t>d</w:t>
      </w:r>
      <w:r w:rsidR="003A0D19">
        <w:rPr>
          <w:rFonts w:ascii="Century Gothic" w:hAnsi="Century Gothic"/>
        </w:rPr>
        <w:t xml:space="preserve"> </w:t>
      </w:r>
      <w:r w:rsidR="006D1589">
        <w:rPr>
          <w:rFonts w:ascii="Century Gothic" w:hAnsi="Century Gothic"/>
        </w:rPr>
        <w:t>inclusive benefits employees</w:t>
      </w:r>
      <w:r w:rsidR="003A0D19">
        <w:rPr>
          <w:rFonts w:ascii="Century Gothic" w:hAnsi="Century Gothic"/>
        </w:rPr>
        <w:t xml:space="preserve"> but also the organisation itself. </w:t>
      </w:r>
      <w:r w:rsidR="007E6F9A">
        <w:rPr>
          <w:rFonts w:ascii="Century Gothic" w:hAnsi="Century Gothic"/>
        </w:rPr>
        <w:t>Research shows that diverse organisations outperform competitors in financial metrics</w:t>
      </w:r>
      <w:r w:rsidR="00F52406">
        <w:rPr>
          <w:rFonts w:ascii="Century Gothic" w:hAnsi="Century Gothic"/>
        </w:rPr>
        <w:t xml:space="preserve"> (</w:t>
      </w:r>
      <w:r w:rsidR="00087DEB">
        <w:rPr>
          <w:rFonts w:ascii="Century Gothic" w:hAnsi="Century Gothic"/>
        </w:rPr>
        <w:t xml:space="preserve">McKinsey </w:t>
      </w:r>
      <w:r w:rsidR="00EA5380">
        <w:rPr>
          <w:rFonts w:ascii="Century Gothic" w:hAnsi="Century Gothic"/>
        </w:rPr>
        <w:t>&amp;</w:t>
      </w:r>
      <w:r w:rsidR="00087DEB">
        <w:rPr>
          <w:rFonts w:ascii="Century Gothic" w:hAnsi="Century Gothic"/>
        </w:rPr>
        <w:t xml:space="preserve"> Company, 2023)</w:t>
      </w:r>
      <w:r w:rsidR="00EA5380">
        <w:rPr>
          <w:rFonts w:ascii="Century Gothic" w:hAnsi="Century Gothic"/>
        </w:rPr>
        <w:t xml:space="preserve">. </w:t>
      </w:r>
      <w:r w:rsidR="006B6E1E">
        <w:rPr>
          <w:rFonts w:ascii="Century Gothic" w:hAnsi="Century Gothic"/>
        </w:rPr>
        <w:t xml:space="preserve">While Deloitte does not </w:t>
      </w:r>
      <w:bookmarkStart w:id="26" w:name="_Int_d7Od1iCW"/>
      <w:r w:rsidR="006B6E1E">
        <w:rPr>
          <w:rFonts w:ascii="Century Gothic" w:hAnsi="Century Gothic"/>
        </w:rPr>
        <w:t>disclose</w:t>
      </w:r>
      <w:bookmarkEnd w:id="26"/>
      <w:r w:rsidR="006B6E1E">
        <w:rPr>
          <w:rFonts w:ascii="Century Gothic" w:hAnsi="Century Gothic"/>
        </w:rPr>
        <w:t xml:space="preserve"> its own financial metrics</w:t>
      </w:r>
      <w:r w:rsidR="00C03FF3">
        <w:rPr>
          <w:rFonts w:ascii="Century Gothic" w:hAnsi="Century Gothic"/>
        </w:rPr>
        <w:t xml:space="preserve">, </w:t>
      </w:r>
      <w:r w:rsidR="001C1C72">
        <w:rPr>
          <w:rFonts w:ascii="Century Gothic" w:hAnsi="Century Gothic"/>
        </w:rPr>
        <w:t>research</w:t>
      </w:r>
      <w:r w:rsidR="00C03FF3">
        <w:rPr>
          <w:rFonts w:ascii="Century Gothic" w:hAnsi="Century Gothic"/>
        </w:rPr>
        <w:t xml:space="preserve"> by Deloitte themselves suggests that for every £1 spent on supporting employee mental health and wellbeing means a rough £4.70 ROI for employers (Deloitte, 2024).</w:t>
      </w:r>
      <w:r w:rsidR="008B0726">
        <w:rPr>
          <w:rFonts w:ascii="Century Gothic" w:hAnsi="Century Gothic"/>
        </w:rPr>
        <w:t xml:space="preserve"> </w:t>
      </w:r>
      <w:r w:rsidR="003D0B90">
        <w:rPr>
          <w:rFonts w:ascii="Century Gothic" w:hAnsi="Century Gothic"/>
        </w:rPr>
        <w:t xml:space="preserve">This </w:t>
      </w:r>
      <w:bookmarkStart w:id="27" w:name="_Int_e6grrQIh"/>
      <w:r w:rsidR="003F5ED8">
        <w:rPr>
          <w:rFonts w:ascii="Century Gothic" w:hAnsi="Century Gothic"/>
        </w:rPr>
        <w:t>demonstrates</w:t>
      </w:r>
      <w:bookmarkEnd w:id="27"/>
      <w:r w:rsidR="003F5ED8">
        <w:rPr>
          <w:rFonts w:ascii="Century Gothic" w:hAnsi="Century Gothic"/>
        </w:rPr>
        <w:t xml:space="preserve"> that investing in employees can generate measurable financial benefits. </w:t>
      </w:r>
    </w:p>
    <w:p w14:paraId="1EE0035B" w14:textId="7352067B" w:rsidR="0089017C" w:rsidRDefault="006B209C" w:rsidP="005D18F3">
      <w:pPr>
        <w:rPr>
          <w:rFonts w:ascii="Century Gothic" w:hAnsi="Century Gothic"/>
        </w:rPr>
      </w:pPr>
      <w:r>
        <w:rPr>
          <w:rFonts w:ascii="Century Gothic" w:hAnsi="Century Gothic"/>
        </w:rPr>
        <w:t>C</w:t>
      </w:r>
      <w:r w:rsidR="00DF134D">
        <w:rPr>
          <w:rFonts w:ascii="Century Gothic" w:hAnsi="Century Gothic"/>
        </w:rPr>
        <w:t xml:space="preserve">lients </w:t>
      </w:r>
      <w:r w:rsidR="00C523C0">
        <w:rPr>
          <w:rFonts w:ascii="Century Gothic" w:hAnsi="Century Gothic"/>
        </w:rPr>
        <w:t>increasing</w:t>
      </w:r>
      <w:r>
        <w:rPr>
          <w:rFonts w:ascii="Century Gothic" w:hAnsi="Century Gothic"/>
        </w:rPr>
        <w:t xml:space="preserve">ly </w:t>
      </w:r>
      <w:r w:rsidR="00C523C0">
        <w:rPr>
          <w:rFonts w:ascii="Century Gothic" w:hAnsi="Century Gothic"/>
        </w:rPr>
        <w:t>expect advisory firms to reflect their own diverse values. Deloitte reports that</w:t>
      </w:r>
      <w:r>
        <w:rPr>
          <w:rFonts w:ascii="Century Gothic" w:hAnsi="Century Gothic"/>
        </w:rPr>
        <w:t xml:space="preserve"> </w:t>
      </w:r>
      <w:r w:rsidR="00C523C0">
        <w:rPr>
          <w:rFonts w:ascii="Century Gothic" w:hAnsi="Century Gothic"/>
        </w:rPr>
        <w:t xml:space="preserve">diverse teams </w:t>
      </w:r>
      <w:r>
        <w:rPr>
          <w:rFonts w:ascii="Century Gothic" w:hAnsi="Century Gothic"/>
        </w:rPr>
        <w:t xml:space="preserve">improve </w:t>
      </w:r>
      <w:r w:rsidR="00C523C0">
        <w:rPr>
          <w:rFonts w:ascii="Century Gothic" w:hAnsi="Century Gothic"/>
        </w:rPr>
        <w:t xml:space="preserve">client understanding </w:t>
      </w:r>
      <w:r w:rsidR="00200371">
        <w:rPr>
          <w:rFonts w:ascii="Century Gothic" w:hAnsi="Century Gothic"/>
        </w:rPr>
        <w:t>a</w:t>
      </w:r>
      <w:r w:rsidR="0054052E">
        <w:rPr>
          <w:rFonts w:ascii="Century Gothic" w:hAnsi="Century Gothic"/>
        </w:rPr>
        <w:t xml:space="preserve">nd </w:t>
      </w:r>
      <w:r w:rsidR="00B945D6">
        <w:rPr>
          <w:rFonts w:ascii="Century Gothic" w:hAnsi="Century Gothic"/>
        </w:rPr>
        <w:t xml:space="preserve">strengthens </w:t>
      </w:r>
      <w:r w:rsidR="0054052E">
        <w:rPr>
          <w:rFonts w:ascii="Century Gothic" w:hAnsi="Century Gothic"/>
        </w:rPr>
        <w:t xml:space="preserve">trust (Deloitte, 2026). </w:t>
      </w:r>
      <w:r w:rsidR="00F47459">
        <w:rPr>
          <w:rFonts w:ascii="Century Gothic" w:hAnsi="Century Gothic"/>
        </w:rPr>
        <w:t xml:space="preserve">Research </w:t>
      </w:r>
      <w:r w:rsidR="00B945D6">
        <w:rPr>
          <w:rFonts w:ascii="Century Gothic" w:hAnsi="Century Gothic"/>
        </w:rPr>
        <w:t xml:space="preserve">further </w:t>
      </w:r>
      <w:r w:rsidR="00F47459">
        <w:rPr>
          <w:rFonts w:ascii="Century Gothic" w:hAnsi="Century Gothic"/>
        </w:rPr>
        <w:t xml:space="preserve">suggests that </w:t>
      </w:r>
      <w:r w:rsidR="0087785F">
        <w:rPr>
          <w:rFonts w:ascii="Century Gothic" w:hAnsi="Century Gothic"/>
        </w:rPr>
        <w:t>divers</w:t>
      </w:r>
      <w:r w:rsidR="006776A7">
        <w:rPr>
          <w:rFonts w:ascii="Century Gothic" w:hAnsi="Century Gothic"/>
        </w:rPr>
        <w:t>ity enhances</w:t>
      </w:r>
      <w:r w:rsidR="009A1120">
        <w:rPr>
          <w:rFonts w:ascii="Century Gothic" w:hAnsi="Century Gothic"/>
        </w:rPr>
        <w:t xml:space="preserve"> innovation</w:t>
      </w:r>
      <w:r w:rsidR="00D80748">
        <w:rPr>
          <w:rFonts w:ascii="Century Gothic" w:hAnsi="Century Gothic"/>
        </w:rPr>
        <w:t xml:space="preserve"> and problem-solving capabilities of a</w:t>
      </w:r>
      <w:r w:rsidR="0087785F">
        <w:rPr>
          <w:rFonts w:ascii="Century Gothic" w:hAnsi="Century Gothic"/>
        </w:rPr>
        <w:t xml:space="preserve"> team</w:t>
      </w:r>
      <w:r w:rsidR="001D753F">
        <w:rPr>
          <w:rFonts w:ascii="Century Gothic" w:hAnsi="Century Gothic"/>
        </w:rPr>
        <w:t xml:space="preserve"> </w:t>
      </w:r>
      <w:r w:rsidR="00377AB5">
        <w:rPr>
          <w:rFonts w:ascii="Century Gothic" w:hAnsi="Century Gothic"/>
        </w:rPr>
        <w:t>(</w:t>
      </w:r>
      <w:r w:rsidR="00795D5E">
        <w:rPr>
          <w:rFonts w:ascii="Century Gothic" w:hAnsi="Century Gothic"/>
        </w:rPr>
        <w:t xml:space="preserve">Prism, 2023). </w:t>
      </w:r>
    </w:p>
    <w:p w14:paraId="662EC1CB" w14:textId="1873ED1B" w:rsidR="00795D5E" w:rsidRDefault="006F1AD3" w:rsidP="005D18F3">
      <w:pPr>
        <w:rPr>
          <w:rFonts w:ascii="Century Gothic" w:hAnsi="Century Gothic"/>
        </w:rPr>
      </w:pPr>
      <w:r>
        <w:rPr>
          <w:rFonts w:ascii="Century Gothic" w:hAnsi="Century Gothic"/>
        </w:rPr>
        <w:t>As a global company, creating a</w:t>
      </w:r>
      <w:r w:rsidR="00116BA0">
        <w:rPr>
          <w:rFonts w:ascii="Century Gothic" w:hAnsi="Century Gothic"/>
        </w:rPr>
        <w:t xml:space="preserve">n </w:t>
      </w:r>
      <w:r>
        <w:rPr>
          <w:rFonts w:ascii="Century Gothic" w:hAnsi="Century Gothic"/>
        </w:rPr>
        <w:t xml:space="preserve">inclusive work environment </w:t>
      </w:r>
      <w:r w:rsidR="00116BA0">
        <w:rPr>
          <w:rFonts w:ascii="Century Gothic" w:hAnsi="Century Gothic"/>
        </w:rPr>
        <w:t xml:space="preserve">expands </w:t>
      </w:r>
      <w:r>
        <w:rPr>
          <w:rFonts w:ascii="Century Gothic" w:hAnsi="Century Gothic"/>
        </w:rPr>
        <w:t xml:space="preserve">access to </w:t>
      </w:r>
      <w:r w:rsidR="00DE1027">
        <w:rPr>
          <w:rFonts w:ascii="Century Gothic" w:hAnsi="Century Gothic"/>
        </w:rPr>
        <w:t xml:space="preserve">a greater talent pool. </w:t>
      </w:r>
      <w:r w:rsidR="00A96A33">
        <w:rPr>
          <w:rFonts w:ascii="Century Gothic" w:hAnsi="Century Gothic"/>
        </w:rPr>
        <w:t xml:space="preserve">Attracting and </w:t>
      </w:r>
      <w:bookmarkStart w:id="28" w:name="_Int_fNASfAW5"/>
      <w:r w:rsidR="00A96A33">
        <w:rPr>
          <w:rFonts w:ascii="Century Gothic" w:hAnsi="Century Gothic"/>
        </w:rPr>
        <w:t>retaining</w:t>
      </w:r>
      <w:bookmarkEnd w:id="28"/>
      <w:r w:rsidR="00A96A33">
        <w:rPr>
          <w:rFonts w:ascii="Century Gothic" w:hAnsi="Century Gothic"/>
        </w:rPr>
        <w:t xml:space="preserve"> diverse talent supports organisational performance, </w:t>
      </w:r>
      <w:bookmarkStart w:id="29" w:name="_Int_X1TCR7FT"/>
      <w:r w:rsidR="00A96A33">
        <w:rPr>
          <w:rFonts w:ascii="Century Gothic" w:hAnsi="Century Gothic"/>
        </w:rPr>
        <w:t>innovation</w:t>
      </w:r>
      <w:bookmarkEnd w:id="29"/>
      <w:r w:rsidR="00A96A33">
        <w:rPr>
          <w:rFonts w:ascii="Century Gothic" w:hAnsi="Century Gothic"/>
        </w:rPr>
        <w:t xml:space="preserve"> and long-term competitiveness </w:t>
      </w:r>
      <w:r w:rsidR="00AD2C8D">
        <w:rPr>
          <w:rFonts w:ascii="Century Gothic" w:hAnsi="Century Gothic"/>
        </w:rPr>
        <w:t>(</w:t>
      </w:r>
      <w:r w:rsidR="000A5121">
        <w:rPr>
          <w:rFonts w:ascii="Century Gothic" w:hAnsi="Century Gothic"/>
        </w:rPr>
        <w:t>Hong &amp; Page, 2004)</w:t>
      </w:r>
      <w:r w:rsidR="00A75393">
        <w:rPr>
          <w:rFonts w:ascii="Century Gothic" w:hAnsi="Century Gothic"/>
        </w:rPr>
        <w:t>.</w:t>
      </w:r>
    </w:p>
    <w:p w14:paraId="39A4CD5B" w14:textId="77777777" w:rsidR="00D26E4A" w:rsidRDefault="00D26E4A" w:rsidP="005D18F3">
      <w:pPr>
        <w:rPr>
          <w:rFonts w:ascii="Century Gothic" w:hAnsi="Century Gothic"/>
        </w:rPr>
      </w:pPr>
    </w:p>
    <w:p w14:paraId="67E13FF1" w14:textId="77777777" w:rsidR="00882578" w:rsidRDefault="00882578" w:rsidP="005D18F3">
      <w:pPr>
        <w:rPr>
          <w:rFonts w:ascii="Century Gothic" w:hAnsi="Century Gothic"/>
        </w:rPr>
      </w:pPr>
    </w:p>
    <w:p w14:paraId="1D8B18E4" w14:textId="77777777" w:rsidR="00882578" w:rsidRDefault="00882578" w:rsidP="005D18F3">
      <w:pPr>
        <w:rPr>
          <w:rFonts w:ascii="Century Gothic" w:hAnsi="Century Gothic"/>
        </w:rPr>
      </w:pPr>
    </w:p>
    <w:p w14:paraId="3B76DAB5" w14:textId="77777777" w:rsidR="00882578" w:rsidRDefault="00882578" w:rsidP="005D18F3">
      <w:pPr>
        <w:rPr>
          <w:rFonts w:ascii="Century Gothic" w:hAnsi="Century Gothic"/>
        </w:rPr>
      </w:pPr>
    </w:p>
    <w:p w14:paraId="7A80D34E" w14:textId="77777777" w:rsidR="00882578" w:rsidRDefault="00882578" w:rsidP="005D18F3">
      <w:pPr>
        <w:rPr>
          <w:rFonts w:ascii="Century Gothic" w:hAnsi="Century Gothic"/>
        </w:rPr>
      </w:pPr>
    </w:p>
    <w:p w14:paraId="53C76AA8" w14:textId="77777777" w:rsidR="00882578" w:rsidRDefault="00882578" w:rsidP="005D18F3">
      <w:pPr>
        <w:rPr>
          <w:rFonts w:ascii="Century Gothic" w:hAnsi="Century Gothic"/>
        </w:rPr>
      </w:pPr>
    </w:p>
    <w:p w14:paraId="354BF273" w14:textId="77777777" w:rsidR="00882578" w:rsidRDefault="00882578" w:rsidP="005D18F3">
      <w:pPr>
        <w:rPr>
          <w:rFonts w:ascii="Century Gothic" w:hAnsi="Century Gothic"/>
        </w:rPr>
      </w:pPr>
    </w:p>
    <w:p w14:paraId="63924C8B" w14:textId="77777777" w:rsidR="00882578" w:rsidRDefault="00882578" w:rsidP="005D18F3">
      <w:pPr>
        <w:rPr>
          <w:rFonts w:ascii="Century Gothic" w:hAnsi="Century Gothic"/>
        </w:rPr>
      </w:pPr>
    </w:p>
    <w:p w14:paraId="5E1A4943" w14:textId="77777777" w:rsidR="00882578" w:rsidRDefault="00882578" w:rsidP="005D18F3">
      <w:pPr>
        <w:rPr>
          <w:rFonts w:ascii="Century Gothic" w:hAnsi="Century Gothic"/>
        </w:rPr>
      </w:pPr>
    </w:p>
    <w:p w14:paraId="0B1D3C52" w14:textId="77777777" w:rsidR="00A96A33" w:rsidRDefault="00A96A33" w:rsidP="005D18F3">
      <w:pPr>
        <w:rPr>
          <w:rFonts w:ascii="Century Gothic" w:hAnsi="Century Gothic"/>
        </w:rPr>
      </w:pPr>
    </w:p>
    <w:p w14:paraId="3CF8DBDE" w14:textId="77777777" w:rsidR="00A96A33" w:rsidRDefault="00A96A33" w:rsidP="005D18F3">
      <w:pPr>
        <w:rPr>
          <w:rFonts w:ascii="Century Gothic" w:hAnsi="Century Gothic"/>
        </w:rPr>
      </w:pPr>
    </w:p>
    <w:p w14:paraId="4E200BD8" w14:textId="77777777" w:rsidR="00A96A33" w:rsidRDefault="00A96A33" w:rsidP="005D18F3">
      <w:pPr>
        <w:rPr>
          <w:rFonts w:ascii="Century Gothic" w:hAnsi="Century Gothic"/>
        </w:rPr>
      </w:pPr>
    </w:p>
    <w:p w14:paraId="6728CBD5" w14:textId="77777777" w:rsidR="00A96A33" w:rsidRDefault="00A96A33" w:rsidP="005D18F3">
      <w:pPr>
        <w:rPr>
          <w:rFonts w:ascii="Century Gothic" w:hAnsi="Century Gothic"/>
        </w:rPr>
      </w:pPr>
    </w:p>
    <w:p w14:paraId="2D476044" w14:textId="77777777" w:rsidR="00882578" w:rsidRDefault="00882578" w:rsidP="005D18F3">
      <w:pPr>
        <w:rPr>
          <w:rFonts w:ascii="Century Gothic" w:hAnsi="Century Gothic"/>
        </w:rPr>
      </w:pPr>
    </w:p>
    <w:p w14:paraId="3078041D" w14:textId="43A44DF5" w:rsidR="00882578" w:rsidRDefault="00882578" w:rsidP="005D18F3">
      <w:pPr>
        <w:rPr>
          <w:rFonts w:ascii="Century Gothic" w:hAnsi="Century Gothic"/>
          <w:sz w:val="32"/>
          <w:szCs w:val="32"/>
        </w:rPr>
      </w:pPr>
      <w:r>
        <w:rPr>
          <w:rFonts w:ascii="Century Gothic" w:hAnsi="Century Gothic"/>
          <w:sz w:val="32"/>
          <w:szCs w:val="32"/>
        </w:rPr>
        <w:lastRenderedPageBreak/>
        <w:t>Conclusion:</w:t>
      </w:r>
    </w:p>
    <w:p w14:paraId="3614165D" w14:textId="057A0E71" w:rsidR="00882578" w:rsidRDefault="007A3A65" w:rsidP="005D18F3">
      <w:pPr>
        <w:rPr>
          <w:rFonts w:ascii="Century Gothic" w:hAnsi="Century Gothic"/>
        </w:rPr>
      </w:pPr>
      <w:r>
        <w:rPr>
          <w:rFonts w:ascii="Century Gothic" w:hAnsi="Century Gothic"/>
        </w:rPr>
        <w:t xml:space="preserve">In conclusion, Deloitte </w:t>
      </w:r>
      <w:bookmarkStart w:id="30" w:name="_Int_Ymg5ueYe"/>
      <w:r>
        <w:rPr>
          <w:rFonts w:ascii="Century Gothic" w:hAnsi="Century Gothic"/>
        </w:rPr>
        <w:t>demonstrates</w:t>
      </w:r>
      <w:bookmarkEnd w:id="30"/>
      <w:r>
        <w:rPr>
          <w:rFonts w:ascii="Century Gothic" w:hAnsi="Century Gothic"/>
        </w:rPr>
        <w:t xml:space="preserve"> a reputable </w:t>
      </w:r>
      <w:r w:rsidR="00A2519B">
        <w:rPr>
          <w:rFonts w:ascii="Century Gothic" w:hAnsi="Century Gothic"/>
        </w:rPr>
        <w:t xml:space="preserve">approach to diversity and inclusion. Through clear gender balance targets, ethnicity action planning, LGBTQ+ inclusion networks, disability and neurodiversity </w:t>
      </w:r>
      <w:r w:rsidR="00CF1062">
        <w:rPr>
          <w:rFonts w:ascii="Century Gothic" w:hAnsi="Century Gothic"/>
        </w:rPr>
        <w:t>initiatives</w:t>
      </w:r>
      <w:r w:rsidR="00A2519B">
        <w:rPr>
          <w:rFonts w:ascii="Century Gothic" w:hAnsi="Century Gothic"/>
        </w:rPr>
        <w:t xml:space="preserve"> and hybrid and flexible working approaches</w:t>
      </w:r>
      <w:r w:rsidR="005F2E0C">
        <w:rPr>
          <w:rFonts w:ascii="Century Gothic" w:hAnsi="Century Gothic"/>
        </w:rPr>
        <w:t xml:space="preserve">, the organisation has positioned itself well as a proactive role model </w:t>
      </w:r>
      <w:r w:rsidR="00524ADC">
        <w:rPr>
          <w:rFonts w:ascii="Century Gothic" w:hAnsi="Century Gothic"/>
        </w:rPr>
        <w:t xml:space="preserve">within its industry. Its willingness to report transparently and align with legislation suggests Deloitte </w:t>
      </w:r>
      <w:bookmarkStart w:id="31" w:name="_Int_Enj8IqOV"/>
      <w:r w:rsidR="00524ADC">
        <w:rPr>
          <w:rFonts w:ascii="Century Gothic" w:hAnsi="Century Gothic"/>
        </w:rPr>
        <w:t>seeks</w:t>
      </w:r>
      <w:bookmarkEnd w:id="31"/>
      <w:r w:rsidR="00524ADC">
        <w:rPr>
          <w:rFonts w:ascii="Century Gothic" w:hAnsi="Century Gothic"/>
        </w:rPr>
        <w:t xml:space="preserve"> not only </w:t>
      </w:r>
      <w:r w:rsidR="007655D6">
        <w:rPr>
          <w:rFonts w:ascii="Century Gothic" w:hAnsi="Century Gothic"/>
        </w:rPr>
        <w:t xml:space="preserve">compliance but also industry leadership. </w:t>
      </w:r>
      <w:r w:rsidR="00D2533A">
        <w:rPr>
          <w:rFonts w:ascii="Century Gothic" w:hAnsi="Century Gothic"/>
        </w:rPr>
        <w:t>C</w:t>
      </w:r>
      <w:r w:rsidR="007655D6">
        <w:rPr>
          <w:rFonts w:ascii="Century Gothic" w:hAnsi="Century Gothic"/>
        </w:rPr>
        <w:t>ontribut</w:t>
      </w:r>
      <w:r w:rsidR="00D2533A">
        <w:rPr>
          <w:rFonts w:ascii="Century Gothic" w:hAnsi="Century Gothic"/>
        </w:rPr>
        <w:t>ing</w:t>
      </w:r>
      <w:r w:rsidR="007655D6">
        <w:rPr>
          <w:rFonts w:ascii="Century Gothic" w:hAnsi="Century Gothic"/>
        </w:rPr>
        <w:t xml:space="preserve"> positively to the growing needs of the labour market</w:t>
      </w:r>
      <w:r w:rsidR="00D2533A">
        <w:rPr>
          <w:rFonts w:ascii="Century Gothic" w:hAnsi="Century Gothic"/>
        </w:rPr>
        <w:t xml:space="preserve"> they </w:t>
      </w:r>
      <w:bookmarkStart w:id="32" w:name="_Int_PyfhsT0H"/>
      <w:r w:rsidR="00D2533A">
        <w:rPr>
          <w:rFonts w:ascii="Century Gothic" w:hAnsi="Century Gothic"/>
        </w:rPr>
        <w:t>benefit</w:t>
      </w:r>
      <w:bookmarkEnd w:id="32"/>
      <w:r w:rsidR="00D2533A">
        <w:rPr>
          <w:rFonts w:ascii="Century Gothic" w:hAnsi="Century Gothic"/>
        </w:rPr>
        <w:t xml:space="preserve"> from </w:t>
      </w:r>
      <w:r w:rsidR="006E4DEB">
        <w:rPr>
          <w:rFonts w:ascii="Century Gothic" w:hAnsi="Century Gothic"/>
        </w:rPr>
        <w:t xml:space="preserve">engagement, </w:t>
      </w:r>
      <w:r w:rsidR="00D86DE9">
        <w:rPr>
          <w:rFonts w:ascii="Century Gothic" w:hAnsi="Century Gothic"/>
        </w:rPr>
        <w:t xml:space="preserve">retention, psychological safety, </w:t>
      </w:r>
      <w:r w:rsidR="00B63F54">
        <w:rPr>
          <w:rFonts w:ascii="Century Gothic" w:hAnsi="Century Gothic"/>
        </w:rPr>
        <w:t xml:space="preserve">client trust, financial metric increase, and competitiveness. </w:t>
      </w:r>
    </w:p>
    <w:p w14:paraId="27B7C6EF" w14:textId="7F0B5AE9" w:rsidR="00B63F54" w:rsidRDefault="00B63F54" w:rsidP="005D18F3">
      <w:pPr>
        <w:rPr>
          <w:rFonts w:ascii="Century Gothic" w:hAnsi="Century Gothic"/>
        </w:rPr>
      </w:pPr>
      <w:r>
        <w:rPr>
          <w:rFonts w:ascii="Century Gothic" w:hAnsi="Century Gothic"/>
        </w:rPr>
        <w:t xml:space="preserve">However, </w:t>
      </w:r>
      <w:r w:rsidR="00D747BE">
        <w:rPr>
          <w:rFonts w:ascii="Century Gothic" w:hAnsi="Century Gothic"/>
        </w:rPr>
        <w:t xml:space="preserve">the </w:t>
      </w:r>
      <w:r>
        <w:rPr>
          <w:rFonts w:ascii="Century Gothic" w:hAnsi="Century Gothic"/>
        </w:rPr>
        <w:t xml:space="preserve">structural inequalities </w:t>
      </w:r>
      <w:r w:rsidR="00052115">
        <w:rPr>
          <w:rFonts w:ascii="Century Gothic" w:hAnsi="Century Gothic"/>
        </w:rPr>
        <w:t xml:space="preserve">that still exist within the industry means that the professional services sector </w:t>
      </w:r>
      <w:bookmarkStart w:id="33" w:name="_Int_LsQDdSpz"/>
      <w:r w:rsidR="00052115">
        <w:rPr>
          <w:rFonts w:ascii="Century Gothic" w:hAnsi="Century Gothic"/>
        </w:rPr>
        <w:t>remains</w:t>
      </w:r>
      <w:bookmarkEnd w:id="33"/>
      <w:r w:rsidR="00D747BE">
        <w:rPr>
          <w:rFonts w:ascii="Century Gothic" w:hAnsi="Century Gothic"/>
        </w:rPr>
        <w:t xml:space="preserve"> </w:t>
      </w:r>
      <w:r w:rsidR="00DB1ADD">
        <w:rPr>
          <w:rFonts w:ascii="Century Gothic" w:hAnsi="Century Gothic"/>
        </w:rPr>
        <w:t xml:space="preserve">non-representative </w:t>
      </w:r>
      <w:r w:rsidR="00485EBE">
        <w:rPr>
          <w:rFonts w:ascii="Century Gothic" w:hAnsi="Century Gothic"/>
        </w:rPr>
        <w:t>at senior levels. T</w:t>
      </w:r>
      <w:r w:rsidR="00F45019">
        <w:rPr>
          <w:rFonts w:ascii="Century Gothic" w:hAnsi="Century Gothic"/>
        </w:rPr>
        <w:t xml:space="preserve">o achieve a sustainable impact, </w:t>
      </w:r>
      <w:r w:rsidR="001E72C2">
        <w:rPr>
          <w:rFonts w:ascii="Century Gothic" w:hAnsi="Century Gothic"/>
        </w:rPr>
        <w:t>diversity and inclusivity must move beyond numerical representation and policy towards deeper cultural change by managing inclusive behaviours</w:t>
      </w:r>
      <w:r w:rsidR="007C3E04">
        <w:rPr>
          <w:rFonts w:ascii="Century Gothic" w:hAnsi="Century Gothic"/>
        </w:rPr>
        <w:t xml:space="preserve"> </w:t>
      </w:r>
      <w:r w:rsidR="008B4564">
        <w:rPr>
          <w:rFonts w:ascii="Century Gothic" w:hAnsi="Century Gothic"/>
        </w:rPr>
        <w:t xml:space="preserve">(norms) </w:t>
      </w:r>
      <w:r w:rsidR="007C3E04">
        <w:rPr>
          <w:rFonts w:ascii="Century Gothic" w:hAnsi="Century Gothic"/>
        </w:rPr>
        <w:t xml:space="preserve">and </w:t>
      </w:r>
      <w:r w:rsidR="008F1945">
        <w:rPr>
          <w:rFonts w:ascii="Century Gothic" w:hAnsi="Century Gothic"/>
        </w:rPr>
        <w:t>equal promotional pathways</w:t>
      </w:r>
      <w:r w:rsidR="007C3E04">
        <w:rPr>
          <w:rFonts w:ascii="Century Gothic" w:hAnsi="Century Gothic"/>
        </w:rPr>
        <w:t xml:space="preserve">. </w:t>
      </w:r>
      <w:r w:rsidR="00D02B1A">
        <w:rPr>
          <w:rFonts w:ascii="Century Gothic" w:hAnsi="Century Gothic"/>
        </w:rPr>
        <w:t>Deloitte’s</w:t>
      </w:r>
      <w:r w:rsidR="007C3E04">
        <w:rPr>
          <w:rFonts w:ascii="Century Gothic" w:hAnsi="Century Gothic"/>
        </w:rPr>
        <w:t xml:space="preserve"> long-term success will depend </w:t>
      </w:r>
      <w:r w:rsidR="00BD7E85">
        <w:rPr>
          <w:rFonts w:ascii="Century Gothic" w:hAnsi="Century Gothic"/>
        </w:rPr>
        <w:t xml:space="preserve">on reaching targets by transforming the structures that </w:t>
      </w:r>
      <w:bookmarkStart w:id="34" w:name="_Int_44mk6xhx"/>
      <w:r w:rsidR="00BD7E85">
        <w:rPr>
          <w:rFonts w:ascii="Century Gothic" w:hAnsi="Century Gothic"/>
        </w:rPr>
        <w:t>determine</w:t>
      </w:r>
      <w:bookmarkEnd w:id="34"/>
      <w:r w:rsidR="00BD7E85">
        <w:rPr>
          <w:rFonts w:ascii="Century Gothic" w:hAnsi="Century Gothic"/>
        </w:rPr>
        <w:t xml:space="preserve"> progression and leadership.</w:t>
      </w:r>
    </w:p>
    <w:p w14:paraId="26661A11" w14:textId="77777777" w:rsidR="00D02B1A" w:rsidRDefault="00D02B1A" w:rsidP="005D18F3">
      <w:pPr>
        <w:rPr>
          <w:rFonts w:ascii="Century Gothic" w:hAnsi="Century Gothic"/>
        </w:rPr>
      </w:pPr>
    </w:p>
    <w:p w14:paraId="219117E4" w14:textId="77777777" w:rsidR="00D02B1A" w:rsidRDefault="00D02B1A" w:rsidP="005D18F3">
      <w:pPr>
        <w:rPr>
          <w:rFonts w:ascii="Century Gothic" w:hAnsi="Century Gothic"/>
        </w:rPr>
      </w:pPr>
    </w:p>
    <w:p w14:paraId="16AAC0F4" w14:textId="77777777" w:rsidR="00D02B1A" w:rsidRDefault="00D02B1A" w:rsidP="005D18F3">
      <w:pPr>
        <w:rPr>
          <w:rFonts w:ascii="Century Gothic" w:hAnsi="Century Gothic"/>
        </w:rPr>
      </w:pPr>
    </w:p>
    <w:p w14:paraId="685E3EE1" w14:textId="77777777" w:rsidR="00D02B1A" w:rsidRDefault="00D02B1A" w:rsidP="005D18F3">
      <w:pPr>
        <w:rPr>
          <w:rFonts w:ascii="Century Gothic" w:hAnsi="Century Gothic"/>
        </w:rPr>
      </w:pPr>
    </w:p>
    <w:p w14:paraId="2DD9891C" w14:textId="77777777" w:rsidR="00D02B1A" w:rsidRDefault="00D02B1A" w:rsidP="005D18F3">
      <w:pPr>
        <w:rPr>
          <w:rFonts w:ascii="Century Gothic" w:hAnsi="Century Gothic"/>
        </w:rPr>
      </w:pPr>
    </w:p>
    <w:p w14:paraId="46A263AA" w14:textId="77777777" w:rsidR="00D02B1A" w:rsidRDefault="00D02B1A" w:rsidP="005D18F3">
      <w:pPr>
        <w:rPr>
          <w:rFonts w:ascii="Century Gothic" w:hAnsi="Century Gothic"/>
        </w:rPr>
      </w:pPr>
    </w:p>
    <w:p w14:paraId="5E857AEA" w14:textId="77777777" w:rsidR="00D02B1A" w:rsidRDefault="00D02B1A" w:rsidP="005D18F3">
      <w:pPr>
        <w:rPr>
          <w:rFonts w:ascii="Century Gothic" w:hAnsi="Century Gothic"/>
        </w:rPr>
      </w:pPr>
    </w:p>
    <w:p w14:paraId="645A9286" w14:textId="77777777" w:rsidR="00D02B1A" w:rsidRDefault="00D02B1A" w:rsidP="005D18F3">
      <w:pPr>
        <w:rPr>
          <w:rFonts w:ascii="Century Gothic" w:hAnsi="Century Gothic"/>
        </w:rPr>
      </w:pPr>
    </w:p>
    <w:p w14:paraId="71182F10" w14:textId="77777777" w:rsidR="00D02B1A" w:rsidRDefault="00D02B1A" w:rsidP="005D18F3">
      <w:pPr>
        <w:rPr>
          <w:rFonts w:ascii="Century Gothic" w:hAnsi="Century Gothic"/>
        </w:rPr>
      </w:pPr>
    </w:p>
    <w:p w14:paraId="6E09B31D" w14:textId="77777777" w:rsidR="00D02B1A" w:rsidRDefault="00D02B1A" w:rsidP="005D18F3">
      <w:pPr>
        <w:rPr>
          <w:rFonts w:ascii="Century Gothic" w:hAnsi="Century Gothic"/>
        </w:rPr>
      </w:pPr>
    </w:p>
    <w:p w14:paraId="1E9B4F39" w14:textId="77777777" w:rsidR="00D02B1A" w:rsidRDefault="00D02B1A" w:rsidP="005D18F3">
      <w:pPr>
        <w:rPr>
          <w:rFonts w:ascii="Century Gothic" w:hAnsi="Century Gothic"/>
        </w:rPr>
      </w:pPr>
    </w:p>
    <w:p w14:paraId="5C7F871A" w14:textId="77777777" w:rsidR="00BD7E85" w:rsidRDefault="00BD7E85" w:rsidP="005D18F3">
      <w:pPr>
        <w:rPr>
          <w:rFonts w:ascii="Century Gothic" w:hAnsi="Century Gothic"/>
        </w:rPr>
      </w:pPr>
    </w:p>
    <w:p w14:paraId="6E920A53" w14:textId="77777777" w:rsidR="00BD7E85" w:rsidRDefault="00BD7E85" w:rsidP="005D18F3">
      <w:pPr>
        <w:rPr>
          <w:rFonts w:ascii="Century Gothic" w:hAnsi="Century Gothic"/>
        </w:rPr>
      </w:pPr>
    </w:p>
    <w:p w14:paraId="4F29DFA7" w14:textId="77777777" w:rsidR="00BD7E85" w:rsidRDefault="00BD7E85" w:rsidP="005D18F3">
      <w:pPr>
        <w:rPr>
          <w:rFonts w:ascii="Century Gothic" w:hAnsi="Century Gothic"/>
        </w:rPr>
      </w:pPr>
    </w:p>
    <w:p w14:paraId="3BF5E32A" w14:textId="77777777" w:rsidR="00D02B1A" w:rsidRDefault="00D02B1A" w:rsidP="005D18F3">
      <w:pPr>
        <w:rPr>
          <w:rFonts w:ascii="Century Gothic" w:hAnsi="Century Gothic"/>
        </w:rPr>
      </w:pPr>
    </w:p>
    <w:p w14:paraId="7790EC60" w14:textId="7C6F7982" w:rsidR="00D02B1A" w:rsidRDefault="00087070" w:rsidP="005D18F3">
      <w:pPr>
        <w:rPr>
          <w:rFonts w:ascii="Century Gothic" w:hAnsi="Century Gothic"/>
          <w:sz w:val="32"/>
          <w:szCs w:val="32"/>
        </w:rPr>
      </w:pPr>
      <w:r>
        <w:rPr>
          <w:rFonts w:ascii="Century Gothic" w:hAnsi="Century Gothic"/>
          <w:sz w:val="32"/>
          <w:szCs w:val="32"/>
        </w:rPr>
        <w:lastRenderedPageBreak/>
        <w:t>Recommendations:</w:t>
      </w:r>
    </w:p>
    <w:p w14:paraId="0CED75D2" w14:textId="09C948AE" w:rsidR="00087070" w:rsidRDefault="00783D22" w:rsidP="00CF5DBD">
      <w:pPr>
        <w:pStyle w:val="ListParagraph"/>
        <w:numPr>
          <w:ilvl w:val="1"/>
          <w:numId w:val="25"/>
        </w:numPr>
        <w:rPr>
          <w:rFonts w:ascii="Century Gothic" w:hAnsi="Century Gothic"/>
        </w:rPr>
      </w:pPr>
      <w:r>
        <w:rPr>
          <w:rFonts w:ascii="Century Gothic" w:hAnsi="Century Gothic"/>
        </w:rPr>
        <w:t xml:space="preserve">Increase transparency around progression rates. </w:t>
      </w:r>
    </w:p>
    <w:p w14:paraId="3931E8BD" w14:textId="005C49C6" w:rsidR="00783D22" w:rsidRDefault="00783D22" w:rsidP="00783D22">
      <w:pPr>
        <w:rPr>
          <w:rFonts w:ascii="Century Gothic" w:hAnsi="Century Gothic"/>
        </w:rPr>
      </w:pPr>
      <w:r>
        <w:rPr>
          <w:rFonts w:ascii="Century Gothic" w:hAnsi="Century Gothic"/>
        </w:rPr>
        <w:t xml:space="preserve">To remain transparent and </w:t>
      </w:r>
      <w:r w:rsidR="00561851">
        <w:rPr>
          <w:rFonts w:ascii="Century Gothic" w:hAnsi="Century Gothic"/>
        </w:rPr>
        <w:t xml:space="preserve">pledge accountability, </w:t>
      </w:r>
      <w:r w:rsidR="005A7046">
        <w:rPr>
          <w:rFonts w:ascii="Century Gothic" w:hAnsi="Century Gothic"/>
        </w:rPr>
        <w:t xml:space="preserve">Deloitte should publish more internal data about progression, retention and promotion rates across gender, ethnicity, </w:t>
      </w:r>
      <w:r w:rsidR="004215F6">
        <w:rPr>
          <w:rFonts w:ascii="Century Gothic" w:hAnsi="Century Gothic"/>
        </w:rPr>
        <w:t>disability,</w:t>
      </w:r>
      <w:r w:rsidR="005A7046">
        <w:rPr>
          <w:rFonts w:ascii="Century Gothic" w:hAnsi="Century Gothic"/>
        </w:rPr>
        <w:t xml:space="preserve"> and </w:t>
      </w:r>
      <w:r w:rsidR="00B060EC">
        <w:rPr>
          <w:rFonts w:ascii="Century Gothic" w:hAnsi="Century Gothic"/>
        </w:rPr>
        <w:t>other intersectional categories</w:t>
      </w:r>
      <w:r w:rsidR="00EE040B">
        <w:rPr>
          <w:rFonts w:ascii="Century Gothic" w:hAnsi="Century Gothic"/>
        </w:rPr>
        <w:t xml:space="preserve">, particularly at senior and partner levels. </w:t>
      </w:r>
      <w:r w:rsidR="008159E6">
        <w:rPr>
          <w:rFonts w:ascii="Century Gothic" w:hAnsi="Century Gothic"/>
        </w:rPr>
        <w:t xml:space="preserve">A successful example of this is a competitor, PwC, </w:t>
      </w:r>
      <w:r w:rsidR="007524DE">
        <w:rPr>
          <w:rFonts w:ascii="Century Gothic" w:hAnsi="Century Gothic"/>
        </w:rPr>
        <w:t xml:space="preserve">who publishes </w:t>
      </w:r>
      <w:r w:rsidR="004B0184">
        <w:rPr>
          <w:rFonts w:ascii="Century Gothic" w:hAnsi="Century Gothic"/>
        </w:rPr>
        <w:t xml:space="preserve">recruitment and representation metrics. The company have </w:t>
      </w:r>
      <w:r w:rsidR="00190519">
        <w:rPr>
          <w:rFonts w:ascii="Century Gothic" w:hAnsi="Century Gothic"/>
        </w:rPr>
        <w:t>improved employee confidence and received recognition in external rankings (</w:t>
      </w:r>
      <w:r w:rsidR="00C813EF">
        <w:rPr>
          <w:rFonts w:ascii="Century Gothic" w:hAnsi="Century Gothic"/>
        </w:rPr>
        <w:t>Woffindin, 2024)</w:t>
      </w:r>
      <w:r w:rsidR="002A3DFC">
        <w:rPr>
          <w:rFonts w:ascii="Century Gothic" w:hAnsi="Century Gothic"/>
        </w:rPr>
        <w:t xml:space="preserve">. This means that increased public reporting may strengthens Deloitte’s accountability and </w:t>
      </w:r>
      <w:r w:rsidR="00A92B1F">
        <w:rPr>
          <w:rFonts w:ascii="Century Gothic" w:hAnsi="Century Gothic"/>
        </w:rPr>
        <w:t xml:space="preserve">employee </w:t>
      </w:r>
      <w:r w:rsidR="002A3DFC">
        <w:rPr>
          <w:rFonts w:ascii="Century Gothic" w:hAnsi="Century Gothic"/>
        </w:rPr>
        <w:t xml:space="preserve">confidence in diverse leadership. </w:t>
      </w:r>
    </w:p>
    <w:p w14:paraId="564CFBB7" w14:textId="39F3A141" w:rsidR="00834E20" w:rsidRDefault="00877E26" w:rsidP="00834E20">
      <w:pPr>
        <w:pStyle w:val="ListParagraph"/>
        <w:numPr>
          <w:ilvl w:val="1"/>
          <w:numId w:val="25"/>
        </w:numPr>
        <w:rPr>
          <w:rFonts w:ascii="Century Gothic" w:hAnsi="Century Gothic"/>
        </w:rPr>
      </w:pPr>
      <w:r>
        <w:rPr>
          <w:rFonts w:ascii="Century Gothic" w:hAnsi="Century Gothic"/>
        </w:rPr>
        <w:t>Move from target-based diversity to inclusion metrics.</w:t>
      </w:r>
    </w:p>
    <w:p w14:paraId="47D28F9C" w14:textId="2418130F" w:rsidR="00877E26" w:rsidRDefault="005B1959" w:rsidP="00877E26">
      <w:pPr>
        <w:rPr>
          <w:rFonts w:ascii="Century Gothic" w:hAnsi="Century Gothic"/>
        </w:rPr>
      </w:pPr>
      <w:r>
        <w:rPr>
          <w:rFonts w:ascii="Century Gothic" w:hAnsi="Century Gothic"/>
        </w:rPr>
        <w:t xml:space="preserve">Numerical targets </w:t>
      </w:r>
      <w:r w:rsidR="007E5932">
        <w:rPr>
          <w:rFonts w:ascii="Century Gothic" w:hAnsi="Century Gothic"/>
        </w:rPr>
        <w:t xml:space="preserve">are important to track progression at a statistical </w:t>
      </w:r>
      <w:r w:rsidR="00892CB7">
        <w:rPr>
          <w:rFonts w:ascii="Century Gothic" w:hAnsi="Century Gothic"/>
        </w:rPr>
        <w:t>level;</w:t>
      </w:r>
      <w:r w:rsidR="007E5932">
        <w:rPr>
          <w:rFonts w:ascii="Century Gothic" w:hAnsi="Century Gothic"/>
        </w:rPr>
        <w:t xml:space="preserve"> however, they do not recognise further barriers to already set policy. </w:t>
      </w:r>
      <w:r w:rsidR="00511F45">
        <w:rPr>
          <w:rFonts w:ascii="Century Gothic" w:hAnsi="Century Gothic"/>
        </w:rPr>
        <w:t>By internally measuring qualitative data, employees would better be able to communicate to an organisation</w:t>
      </w:r>
      <w:r w:rsidR="00BF3A2F">
        <w:rPr>
          <w:rFonts w:ascii="Century Gothic" w:hAnsi="Century Gothic"/>
        </w:rPr>
        <w:t xml:space="preserve"> any continued barriers to equality. </w:t>
      </w:r>
      <w:r w:rsidR="00220633">
        <w:rPr>
          <w:rFonts w:ascii="Century Gothic" w:hAnsi="Century Gothic"/>
        </w:rPr>
        <w:t>An example of this working successfully is at EY</w:t>
      </w:r>
      <w:r w:rsidR="00A00F65">
        <w:rPr>
          <w:rFonts w:ascii="Century Gothic" w:hAnsi="Century Gothic"/>
        </w:rPr>
        <w:t>. The business</w:t>
      </w:r>
      <w:r w:rsidR="00A21DD5">
        <w:rPr>
          <w:rFonts w:ascii="Century Gothic" w:hAnsi="Century Gothic"/>
        </w:rPr>
        <w:t xml:space="preserve"> developed a</w:t>
      </w:r>
      <w:r w:rsidR="00961635">
        <w:rPr>
          <w:rFonts w:ascii="Century Gothic" w:hAnsi="Century Gothic"/>
        </w:rPr>
        <w:t xml:space="preserve"> </w:t>
      </w:r>
      <w:r w:rsidR="00A00F65">
        <w:rPr>
          <w:rFonts w:ascii="Century Gothic" w:hAnsi="Century Gothic"/>
        </w:rPr>
        <w:t xml:space="preserve">“Belonging Index” to measure </w:t>
      </w:r>
      <w:r w:rsidR="00EA4038">
        <w:rPr>
          <w:rFonts w:ascii="Century Gothic" w:hAnsi="Century Gothic"/>
        </w:rPr>
        <w:t>employees' sense of belong</w:t>
      </w:r>
      <w:r w:rsidR="00111595">
        <w:rPr>
          <w:rFonts w:ascii="Century Gothic" w:hAnsi="Century Gothic"/>
        </w:rPr>
        <w:t>ing</w:t>
      </w:r>
      <w:r w:rsidR="00EA4038">
        <w:rPr>
          <w:rFonts w:ascii="Century Gothic" w:hAnsi="Century Gothic"/>
        </w:rPr>
        <w:t xml:space="preserve"> through anonymous surveys</w:t>
      </w:r>
      <w:r w:rsidR="00003DD9">
        <w:rPr>
          <w:rFonts w:ascii="Century Gothic" w:hAnsi="Century Gothic"/>
        </w:rPr>
        <w:t>,</w:t>
      </w:r>
      <w:r w:rsidR="00305CF2">
        <w:rPr>
          <w:rFonts w:ascii="Century Gothic" w:hAnsi="Century Gothic"/>
        </w:rPr>
        <w:t xml:space="preserve"> regular </w:t>
      </w:r>
      <w:r w:rsidR="00111595">
        <w:rPr>
          <w:rFonts w:ascii="Century Gothic" w:hAnsi="Century Gothic"/>
        </w:rPr>
        <w:t>feedback, and</w:t>
      </w:r>
      <w:r w:rsidR="00003DD9">
        <w:rPr>
          <w:rFonts w:ascii="Century Gothic" w:hAnsi="Century Gothic"/>
        </w:rPr>
        <w:t xml:space="preserve"> </w:t>
      </w:r>
      <w:r w:rsidR="00111595">
        <w:rPr>
          <w:rFonts w:ascii="Century Gothic" w:hAnsi="Century Gothic"/>
        </w:rPr>
        <w:t xml:space="preserve">psychological safety scores. In </w:t>
      </w:r>
      <w:r w:rsidR="00305CF2">
        <w:rPr>
          <w:rFonts w:ascii="Century Gothic" w:hAnsi="Century Gothic"/>
        </w:rPr>
        <w:t xml:space="preserve">turn this increased retention rates and </w:t>
      </w:r>
      <w:r w:rsidR="00B94058">
        <w:rPr>
          <w:rFonts w:ascii="Century Gothic" w:hAnsi="Century Gothic"/>
        </w:rPr>
        <w:t xml:space="preserve">higher scores on employee engagement (Burt, 2025). </w:t>
      </w:r>
      <w:r w:rsidR="009E29B0">
        <w:rPr>
          <w:rFonts w:ascii="Century Gothic" w:hAnsi="Century Gothic"/>
        </w:rPr>
        <w:t xml:space="preserve">This shows </w:t>
      </w:r>
      <w:r w:rsidR="009E29B0">
        <w:rPr>
          <w:rFonts w:ascii="Century Gothic" w:hAnsi="Century Gothic"/>
        </w:rPr>
        <w:t>Deloitte may be better prepared to tackle structural inclusivity issues.</w:t>
      </w:r>
    </w:p>
    <w:p w14:paraId="407EB76C" w14:textId="5BFD4B58" w:rsidR="00892CB7" w:rsidRDefault="00123F53" w:rsidP="00892CB7">
      <w:pPr>
        <w:pStyle w:val="ListParagraph"/>
        <w:numPr>
          <w:ilvl w:val="1"/>
          <w:numId w:val="25"/>
        </w:numPr>
        <w:rPr>
          <w:rFonts w:ascii="Century Gothic" w:hAnsi="Century Gothic"/>
        </w:rPr>
      </w:pPr>
      <w:r>
        <w:rPr>
          <w:rFonts w:ascii="Century Gothic" w:hAnsi="Century Gothic"/>
        </w:rPr>
        <w:t>Introduce independent auditing of diversity and inclusion outcomes.</w:t>
      </w:r>
    </w:p>
    <w:p w14:paraId="03AE36EA" w14:textId="0316DD8F" w:rsidR="00123F53" w:rsidRDefault="002A310B" w:rsidP="00123F53">
      <w:pPr>
        <w:rPr>
          <w:rFonts w:ascii="Century Gothic" w:hAnsi="Century Gothic"/>
        </w:rPr>
      </w:pPr>
      <w:r>
        <w:rPr>
          <w:rFonts w:ascii="Century Gothic" w:hAnsi="Century Gothic"/>
        </w:rPr>
        <w:t>E</w:t>
      </w:r>
      <w:r w:rsidR="00123F53">
        <w:rPr>
          <w:rFonts w:ascii="Century Gothic" w:hAnsi="Century Gothic"/>
        </w:rPr>
        <w:t>xternal audits of the promotion process, pay equity and workplace culture would enhance Deloitte’s credibility as an organisation</w:t>
      </w:r>
      <w:r w:rsidR="00887E43">
        <w:rPr>
          <w:rFonts w:ascii="Century Gothic" w:hAnsi="Century Gothic"/>
        </w:rPr>
        <w:t xml:space="preserve"> </w:t>
      </w:r>
      <w:r w:rsidR="00195F8B">
        <w:rPr>
          <w:rFonts w:ascii="Century Gothic" w:hAnsi="Century Gothic"/>
        </w:rPr>
        <w:t xml:space="preserve">by </w:t>
      </w:r>
      <w:r w:rsidR="00887E43">
        <w:rPr>
          <w:rFonts w:ascii="Century Gothic" w:hAnsi="Century Gothic"/>
        </w:rPr>
        <w:t xml:space="preserve">reducing bias </w:t>
      </w:r>
      <w:r w:rsidR="00A46251">
        <w:rPr>
          <w:rFonts w:ascii="Century Gothic" w:hAnsi="Century Gothic"/>
        </w:rPr>
        <w:t xml:space="preserve">and lived employee experience. </w:t>
      </w:r>
      <w:r w:rsidR="001B6441">
        <w:rPr>
          <w:rFonts w:ascii="Century Gothic" w:hAnsi="Century Gothic"/>
        </w:rPr>
        <w:t xml:space="preserve">An example of </w:t>
      </w:r>
      <w:r w:rsidR="00CB19FD">
        <w:rPr>
          <w:rFonts w:ascii="Century Gothic" w:hAnsi="Century Gothic"/>
        </w:rPr>
        <w:t>this is</w:t>
      </w:r>
      <w:r w:rsidR="00C247F4">
        <w:rPr>
          <w:rFonts w:ascii="Century Gothic" w:hAnsi="Century Gothic"/>
        </w:rPr>
        <w:t xml:space="preserve"> </w:t>
      </w:r>
      <w:r w:rsidR="00C36CD7">
        <w:rPr>
          <w:rFonts w:ascii="Century Gothic" w:hAnsi="Century Gothic"/>
        </w:rPr>
        <w:t xml:space="preserve">Vodaphone Group using an external </w:t>
      </w:r>
      <w:r w:rsidR="00AB35EE">
        <w:rPr>
          <w:rFonts w:ascii="Century Gothic" w:hAnsi="Century Gothic"/>
        </w:rPr>
        <w:t xml:space="preserve">ESG </w:t>
      </w:r>
      <w:r w:rsidR="00C36CD7">
        <w:rPr>
          <w:rFonts w:ascii="Century Gothic" w:hAnsi="Century Gothic"/>
        </w:rPr>
        <w:t xml:space="preserve">audit </w:t>
      </w:r>
      <w:r w:rsidR="00C56F7D">
        <w:rPr>
          <w:rFonts w:ascii="Century Gothic" w:hAnsi="Century Gothic"/>
        </w:rPr>
        <w:t xml:space="preserve">from KPMG LLP </w:t>
      </w:r>
      <w:r w:rsidR="00C36CD7">
        <w:rPr>
          <w:rFonts w:ascii="Century Gothic" w:hAnsi="Century Gothic"/>
        </w:rPr>
        <w:t xml:space="preserve">to assure transparency </w:t>
      </w:r>
      <w:r w:rsidR="00C56F7D">
        <w:rPr>
          <w:rFonts w:ascii="Century Gothic" w:hAnsi="Century Gothic"/>
        </w:rPr>
        <w:t xml:space="preserve">to consumers and employees </w:t>
      </w:r>
      <w:r w:rsidR="00AB35EE">
        <w:rPr>
          <w:rFonts w:ascii="Century Gothic" w:hAnsi="Century Gothic"/>
        </w:rPr>
        <w:t xml:space="preserve">over their diversity and inclusivity </w:t>
      </w:r>
      <w:r w:rsidR="00950975">
        <w:rPr>
          <w:rFonts w:ascii="Century Gothic" w:hAnsi="Century Gothic"/>
        </w:rPr>
        <w:t>metrics (</w:t>
      </w:r>
      <w:r w:rsidR="00111890">
        <w:rPr>
          <w:rFonts w:ascii="Century Gothic" w:hAnsi="Century Gothic"/>
        </w:rPr>
        <w:t xml:space="preserve">Vodaphone Group Plc, 2024). By doing this, </w:t>
      </w:r>
      <w:r w:rsidR="00AC1B85">
        <w:rPr>
          <w:rFonts w:ascii="Century Gothic" w:hAnsi="Century Gothic"/>
        </w:rPr>
        <w:t xml:space="preserve">Vodaphone are ensuring their reputation </w:t>
      </w:r>
      <w:r w:rsidR="00B43E5F">
        <w:rPr>
          <w:rFonts w:ascii="Century Gothic" w:hAnsi="Century Gothic"/>
        </w:rPr>
        <w:t>stays</w:t>
      </w:r>
      <w:r w:rsidR="00AC1B85">
        <w:rPr>
          <w:rFonts w:ascii="Century Gothic" w:hAnsi="Century Gothic"/>
        </w:rPr>
        <w:t xml:space="preserve"> credible for </w:t>
      </w:r>
      <w:r w:rsidR="00E6642F">
        <w:rPr>
          <w:rFonts w:ascii="Century Gothic" w:hAnsi="Century Gothic"/>
        </w:rPr>
        <w:t xml:space="preserve">public data reporting. Deloitte opting for an external audit would offer the same rewards, such as credibility, accountability, </w:t>
      </w:r>
      <w:r w:rsidR="00835583">
        <w:rPr>
          <w:rFonts w:ascii="Century Gothic" w:hAnsi="Century Gothic"/>
        </w:rPr>
        <w:t xml:space="preserve">a true representation of data. </w:t>
      </w:r>
    </w:p>
    <w:p w14:paraId="1EC79C3D" w14:textId="77777777" w:rsidR="000B2361" w:rsidRDefault="000B2361" w:rsidP="00123F53">
      <w:pPr>
        <w:rPr>
          <w:rFonts w:ascii="Century Gothic" w:hAnsi="Century Gothic"/>
        </w:rPr>
      </w:pPr>
    </w:p>
    <w:p w14:paraId="1F67B8EC" w14:textId="77777777" w:rsidR="000B2361" w:rsidRDefault="000B2361" w:rsidP="00123F53">
      <w:pPr>
        <w:rPr>
          <w:rFonts w:ascii="Century Gothic" w:hAnsi="Century Gothic"/>
        </w:rPr>
      </w:pPr>
    </w:p>
    <w:p w14:paraId="63A77411" w14:textId="77777777" w:rsidR="00835583" w:rsidRDefault="00835583" w:rsidP="00123F53">
      <w:pPr>
        <w:rPr>
          <w:rFonts w:ascii="Century Gothic" w:hAnsi="Century Gothic"/>
        </w:rPr>
      </w:pPr>
    </w:p>
    <w:p w14:paraId="04D40FEE" w14:textId="0B71774D" w:rsidR="00A46251" w:rsidRDefault="0091751E" w:rsidP="00123F53">
      <w:pPr>
        <w:rPr>
          <w:rFonts w:ascii="Century Gothic" w:hAnsi="Century Gothic"/>
          <w:sz w:val="32"/>
          <w:szCs w:val="32"/>
        </w:rPr>
      </w:pPr>
      <w:r>
        <w:rPr>
          <w:rFonts w:ascii="Century Gothic" w:hAnsi="Century Gothic"/>
          <w:sz w:val="32"/>
          <w:szCs w:val="32"/>
        </w:rPr>
        <w:lastRenderedPageBreak/>
        <w:t xml:space="preserve">References: </w:t>
      </w:r>
    </w:p>
    <w:p w14:paraId="570E39E1" w14:textId="3C1B162A" w:rsidR="0091751E" w:rsidRDefault="0091751E" w:rsidP="00B43E5F">
      <w:pPr>
        <w:spacing w:line="480" w:lineRule="auto"/>
        <w:ind w:left="720" w:hanging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Ali, M., Baker, M., </w:t>
      </w:r>
      <w:proofErr w:type="spellStart"/>
      <w:r>
        <w:rPr>
          <w:rFonts w:ascii="Times New Roman" w:hAnsi="Times New Roman" w:cs="Times New Roman"/>
        </w:rPr>
        <w:t>Grabarski</w:t>
      </w:r>
      <w:proofErr w:type="spellEnd"/>
      <w:r>
        <w:rPr>
          <w:rFonts w:ascii="Times New Roman" w:hAnsi="Times New Roman" w:cs="Times New Roman"/>
        </w:rPr>
        <w:t xml:space="preserve">, M. K., &amp; Konrad, A. M. (2025). Influence of gender equality practices and work-life programs on women in leadership, management, and </w:t>
      </w:r>
      <w:proofErr w:type="spellStart"/>
      <w:r>
        <w:rPr>
          <w:rFonts w:ascii="Times New Roman" w:hAnsi="Times New Roman" w:cs="Times New Roman"/>
        </w:rPr>
        <w:t>nonmanagement</w:t>
      </w:r>
      <w:proofErr w:type="spellEnd"/>
      <w:r>
        <w:rPr>
          <w:rFonts w:ascii="Times New Roman" w:hAnsi="Times New Roman" w:cs="Times New Roman"/>
        </w:rPr>
        <w:t xml:space="preserve">: The role of industry gender composition. </w:t>
      </w:r>
      <w:r>
        <w:rPr>
          <w:rFonts w:ascii="Times New Roman" w:hAnsi="Times New Roman" w:cs="Times New Roman"/>
          <w:i/>
          <w:iCs/>
        </w:rPr>
        <w:t xml:space="preserve">European Management Journal. </w:t>
      </w:r>
      <w:hyperlink r:id="rId7" w:history="1">
        <w:r w:rsidRPr="00A806A7">
          <w:rPr>
            <w:rStyle w:val="Hyperlink"/>
            <w:rFonts w:ascii="Times New Roman" w:hAnsi="Times New Roman" w:cs="Times New Roman"/>
          </w:rPr>
          <w:t>https://doi.org/10.1016/j.emj.2025.12.010</w:t>
        </w:r>
      </w:hyperlink>
    </w:p>
    <w:p w14:paraId="09039E37" w14:textId="77777777" w:rsidR="00B43E5F" w:rsidRDefault="00B43E5F" w:rsidP="00B43E5F">
      <w:pPr>
        <w:spacing w:line="480" w:lineRule="auto"/>
        <w:ind w:left="720" w:hanging="720"/>
        <w:rPr>
          <w:rFonts w:ascii="Times New Roman" w:hAnsi="Times New Roman" w:cs="Times New Roman"/>
          <w:i/>
          <w:iCs/>
        </w:rPr>
      </w:pPr>
      <w:r>
        <w:rPr>
          <w:rFonts w:ascii="Times New Roman" w:hAnsi="Times New Roman" w:cs="Times New Roman"/>
        </w:rPr>
        <w:t xml:space="preserve">Ashcroft, S. (2022). Deloitte- a professional services timeline through history. </w:t>
      </w:r>
      <w:r>
        <w:rPr>
          <w:rFonts w:ascii="Times New Roman" w:hAnsi="Times New Roman" w:cs="Times New Roman"/>
          <w:i/>
          <w:iCs/>
        </w:rPr>
        <w:t xml:space="preserve">Supply Chain Risk Management. </w:t>
      </w:r>
      <w:hyperlink r:id="rId8" w:history="1">
        <w:r w:rsidRPr="00B43E5F">
          <w:rPr>
            <w:rStyle w:val="Hyperlink"/>
            <w:rFonts w:ascii="Times New Roman" w:hAnsi="Times New Roman" w:cs="Times New Roman"/>
          </w:rPr>
          <w:t>https://supplychaindigital.com/supply-chain-risk-management/deloitte-a-professional-services-timeline-through-history</w:t>
        </w:r>
      </w:hyperlink>
    </w:p>
    <w:p w14:paraId="569CF09F" w14:textId="77777777" w:rsidR="00B43E5F" w:rsidRDefault="00B43E5F" w:rsidP="00B43E5F">
      <w:pPr>
        <w:spacing w:line="480" w:lineRule="auto"/>
        <w:ind w:left="720" w:hanging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Ashley, L. &amp; </w:t>
      </w:r>
      <w:proofErr w:type="spellStart"/>
      <w:r>
        <w:rPr>
          <w:rFonts w:ascii="Times New Roman" w:hAnsi="Times New Roman" w:cs="Times New Roman"/>
        </w:rPr>
        <w:t>Empson</w:t>
      </w:r>
      <w:proofErr w:type="spellEnd"/>
      <w:r>
        <w:rPr>
          <w:rFonts w:ascii="Times New Roman" w:hAnsi="Times New Roman" w:cs="Times New Roman"/>
        </w:rPr>
        <w:t xml:space="preserve">, L. (2016). Understanding social exclusion in elite professional service firms: field level dynamics and the ‘professional project’. </w:t>
      </w:r>
      <w:r>
        <w:rPr>
          <w:rFonts w:ascii="Times New Roman" w:hAnsi="Times New Roman" w:cs="Times New Roman"/>
          <w:i/>
          <w:iCs/>
        </w:rPr>
        <w:t>Work, Employment and Society. 31</w:t>
      </w:r>
      <w:r>
        <w:rPr>
          <w:rFonts w:ascii="Times New Roman" w:hAnsi="Times New Roman" w:cs="Times New Roman"/>
        </w:rPr>
        <w:t xml:space="preserve">(2) 211-229. </w:t>
      </w:r>
      <w:hyperlink r:id="rId9" w:history="1">
        <w:r w:rsidRPr="00A806A7">
          <w:rPr>
            <w:rStyle w:val="Hyperlink"/>
            <w:rFonts w:ascii="Times New Roman" w:hAnsi="Times New Roman" w:cs="Times New Roman"/>
          </w:rPr>
          <w:t>https://doi.org/10.1177/0950017015621480</w:t>
        </w:r>
      </w:hyperlink>
    </w:p>
    <w:p w14:paraId="09760E83" w14:textId="555E9E3C" w:rsidR="00B43E5F" w:rsidRDefault="00B43E5F" w:rsidP="00B43E5F">
      <w:pPr>
        <w:spacing w:line="480" w:lineRule="auto"/>
        <w:ind w:left="720" w:hanging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Barak, M. E., </w:t>
      </w:r>
      <w:proofErr w:type="spellStart"/>
      <w:r>
        <w:rPr>
          <w:rFonts w:ascii="Times New Roman" w:hAnsi="Times New Roman" w:cs="Times New Roman"/>
        </w:rPr>
        <w:t>Lizano</w:t>
      </w:r>
      <w:proofErr w:type="spellEnd"/>
      <w:r>
        <w:rPr>
          <w:rFonts w:ascii="Times New Roman" w:hAnsi="Times New Roman" w:cs="Times New Roman"/>
        </w:rPr>
        <w:t xml:space="preserve">, E. L., Kim, A., </w:t>
      </w:r>
      <w:proofErr w:type="spellStart"/>
      <w:r>
        <w:rPr>
          <w:rFonts w:ascii="Times New Roman" w:hAnsi="Times New Roman" w:cs="Times New Roman"/>
        </w:rPr>
        <w:t>Duan</w:t>
      </w:r>
      <w:proofErr w:type="spellEnd"/>
      <w:r>
        <w:rPr>
          <w:rFonts w:ascii="Times New Roman" w:hAnsi="Times New Roman" w:cs="Times New Roman"/>
        </w:rPr>
        <w:t xml:space="preserve">, L., Rhee, M., </w:t>
      </w:r>
      <w:proofErr w:type="spellStart"/>
      <w:r>
        <w:rPr>
          <w:rFonts w:ascii="Times New Roman" w:hAnsi="Times New Roman" w:cs="Times New Roman"/>
        </w:rPr>
        <w:t>Hsiao</w:t>
      </w:r>
      <w:proofErr w:type="spellEnd"/>
      <w:r>
        <w:rPr>
          <w:rFonts w:ascii="Times New Roman" w:hAnsi="Times New Roman" w:cs="Times New Roman"/>
        </w:rPr>
        <w:t xml:space="preserve">, H., &amp; </w:t>
      </w:r>
      <w:proofErr w:type="spellStart"/>
      <w:r>
        <w:rPr>
          <w:rFonts w:ascii="Times New Roman" w:hAnsi="Times New Roman" w:cs="Times New Roman"/>
        </w:rPr>
        <w:t>Brimhall</w:t>
      </w:r>
      <w:proofErr w:type="spellEnd"/>
      <w:r>
        <w:rPr>
          <w:rFonts w:ascii="Times New Roman" w:hAnsi="Times New Roman" w:cs="Times New Roman"/>
        </w:rPr>
        <w:t xml:space="preserve">, K. C. (2016). The promise of diversity management for climate of inclusion: a state-of-the-art review and Meta-analysis. </w:t>
      </w:r>
      <w:r>
        <w:rPr>
          <w:rFonts w:ascii="Times New Roman" w:hAnsi="Times New Roman" w:cs="Times New Roman"/>
          <w:i/>
          <w:iCs/>
        </w:rPr>
        <w:t xml:space="preserve">Human Service </w:t>
      </w:r>
      <w:proofErr w:type="spellStart"/>
      <w:r>
        <w:rPr>
          <w:rFonts w:ascii="Times New Roman" w:hAnsi="Times New Roman" w:cs="Times New Roman"/>
          <w:i/>
          <w:iCs/>
        </w:rPr>
        <w:t>Organizations</w:t>
      </w:r>
      <w:proofErr w:type="spellEnd"/>
      <w:r>
        <w:rPr>
          <w:rFonts w:ascii="Times New Roman" w:hAnsi="Times New Roman" w:cs="Times New Roman"/>
          <w:i/>
          <w:iCs/>
        </w:rPr>
        <w:t>: Management, Leadership &amp; Governance. 40</w:t>
      </w:r>
      <w:r>
        <w:rPr>
          <w:rFonts w:ascii="Times New Roman" w:hAnsi="Times New Roman" w:cs="Times New Roman"/>
        </w:rPr>
        <w:t xml:space="preserve">(4) 305-333. </w:t>
      </w:r>
      <w:hyperlink r:id="rId10" w:history="1">
        <w:r w:rsidRPr="00A806A7">
          <w:rPr>
            <w:rStyle w:val="Hyperlink"/>
            <w:rFonts w:ascii="Times New Roman" w:hAnsi="Times New Roman" w:cs="Times New Roman"/>
          </w:rPr>
          <w:t>https://dx.doi.org/10.1080/23303131.2016.1138915</w:t>
        </w:r>
      </w:hyperlink>
    </w:p>
    <w:p w14:paraId="68F4B591" w14:textId="369B430B" w:rsidR="00B43E5F" w:rsidRDefault="00B43E5F" w:rsidP="00B43E5F">
      <w:pPr>
        <w:spacing w:line="480" w:lineRule="auto"/>
        <w:ind w:left="720" w:hanging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Barnett </w:t>
      </w:r>
      <w:proofErr w:type="spellStart"/>
      <w:r>
        <w:rPr>
          <w:rFonts w:ascii="Times New Roman" w:hAnsi="Times New Roman" w:cs="Times New Roman"/>
        </w:rPr>
        <w:t>Waddingham</w:t>
      </w:r>
      <w:proofErr w:type="spellEnd"/>
      <w:r>
        <w:rPr>
          <w:rFonts w:ascii="Times New Roman" w:hAnsi="Times New Roman" w:cs="Times New Roman"/>
        </w:rPr>
        <w:t xml:space="preserve">. (2025). Flexible working and work-life balance: how to support your people. </w:t>
      </w:r>
      <w:hyperlink r:id="rId11" w:history="1">
        <w:r w:rsidRPr="00A806A7">
          <w:rPr>
            <w:rStyle w:val="Hyperlink"/>
            <w:rFonts w:ascii="Times New Roman" w:hAnsi="Times New Roman" w:cs="Times New Roman"/>
          </w:rPr>
          <w:t>https://www.barnett-waddingham.co.uk/comment-insight/blog/flexible-working-and-work-life-balance-how-to-support-your-people/</w:t>
        </w:r>
      </w:hyperlink>
    </w:p>
    <w:p w14:paraId="1B9CF0E5" w14:textId="77777777" w:rsidR="00B43E5F" w:rsidRDefault="00B43E5F" w:rsidP="00B43E5F">
      <w:pPr>
        <w:spacing w:line="480" w:lineRule="auto"/>
        <w:ind w:left="720" w:hanging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Bright Network. (2024). What are the differences between the Big Four accounting firms?. </w:t>
      </w:r>
      <w:hyperlink r:id="rId12" w:history="1">
        <w:r w:rsidRPr="00A806A7">
          <w:rPr>
            <w:rStyle w:val="Hyperlink"/>
            <w:rFonts w:ascii="Times New Roman" w:hAnsi="Times New Roman" w:cs="Times New Roman"/>
          </w:rPr>
          <w:t>https://www.brightnetwork.co.uk/career-path-guides/accounting-audit-tax/differences-big-four-firms/</w:t>
        </w:r>
      </w:hyperlink>
    </w:p>
    <w:p w14:paraId="73FFA71C" w14:textId="77777777" w:rsidR="00B43E5F" w:rsidRDefault="00B43E5F" w:rsidP="00B43E5F">
      <w:pPr>
        <w:spacing w:line="480" w:lineRule="auto"/>
        <w:ind w:left="720" w:hanging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 xml:space="preserve">Bryan, J. (2026). Why culture undermines change more than strategy- and what HR must do about it. </w:t>
      </w:r>
      <w:r>
        <w:rPr>
          <w:rFonts w:ascii="Times New Roman" w:hAnsi="Times New Roman" w:cs="Times New Roman"/>
          <w:i/>
          <w:iCs/>
        </w:rPr>
        <w:t xml:space="preserve">The People Space. </w:t>
      </w:r>
      <w:hyperlink r:id="rId13" w:history="1">
        <w:r w:rsidRPr="0091751E">
          <w:rPr>
            <w:rStyle w:val="Hyperlink"/>
            <w:rFonts w:ascii="Times New Roman" w:hAnsi="Times New Roman" w:cs="Times New Roman"/>
          </w:rPr>
          <w:t>https://www.thepeoplespace.com/insights/ideas/why-culture-undermines-change-more-strategy-and-what-hr-must-do-about-it</w:t>
        </w:r>
      </w:hyperlink>
    </w:p>
    <w:p w14:paraId="1CF85404" w14:textId="77777777" w:rsidR="00B43E5F" w:rsidRDefault="00B43E5F" w:rsidP="00B43E5F">
      <w:pPr>
        <w:spacing w:line="480" w:lineRule="auto"/>
        <w:ind w:left="720" w:hanging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Burt, A. (2025). 10 Inspiring case studies of successful inclusion strategies that drive results. </w:t>
      </w:r>
      <w:proofErr w:type="spellStart"/>
      <w:r>
        <w:rPr>
          <w:rFonts w:ascii="Times New Roman" w:hAnsi="Times New Roman" w:cs="Times New Roman"/>
          <w:i/>
          <w:iCs/>
        </w:rPr>
        <w:t>Edtech</w:t>
      </w:r>
      <w:proofErr w:type="spellEnd"/>
      <w:r>
        <w:rPr>
          <w:rFonts w:ascii="Times New Roman" w:hAnsi="Times New Roman" w:cs="Times New Roman"/>
          <w:i/>
          <w:iCs/>
        </w:rPr>
        <w:t xml:space="preserve"> Mate. </w:t>
      </w:r>
      <w:hyperlink r:id="rId14" w:history="1">
        <w:r w:rsidRPr="00A806A7">
          <w:rPr>
            <w:rStyle w:val="Hyperlink"/>
            <w:rFonts w:ascii="Times New Roman" w:hAnsi="Times New Roman" w:cs="Times New Roman"/>
          </w:rPr>
          <w:t>https://edtechmate.com/10-inspiring-case-studies-of-successful-inclusion-strategies-that-drive-results</w:t>
        </w:r>
      </w:hyperlink>
    </w:p>
    <w:p w14:paraId="30A4CF5D" w14:textId="77777777" w:rsidR="00B43E5F" w:rsidRDefault="00B43E5F" w:rsidP="00B43E5F">
      <w:pPr>
        <w:spacing w:line="480" w:lineRule="auto"/>
        <w:ind w:left="720" w:hanging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CIPD. (2025). Flexible and hybrid working practices in 2025. </w:t>
      </w:r>
      <w:r>
        <w:rPr>
          <w:rFonts w:ascii="Times New Roman" w:hAnsi="Times New Roman" w:cs="Times New Roman"/>
          <w:i/>
          <w:iCs/>
        </w:rPr>
        <w:t xml:space="preserve">Reports. </w:t>
      </w:r>
      <w:hyperlink r:id="rId15" w:history="1">
        <w:r w:rsidRPr="00A806A7">
          <w:rPr>
            <w:rStyle w:val="Hyperlink"/>
            <w:rFonts w:ascii="Times New Roman" w:hAnsi="Times New Roman" w:cs="Times New Roman"/>
          </w:rPr>
          <w:t>https://www.cipd.org/uk/knowledge/reports/flexible-hybrid-working/</w:t>
        </w:r>
      </w:hyperlink>
    </w:p>
    <w:p w14:paraId="743020EF" w14:textId="44B15D05" w:rsidR="00B43E5F" w:rsidRPr="00B43E5F" w:rsidRDefault="00B43E5F" w:rsidP="00B43E5F">
      <w:pPr>
        <w:spacing w:line="480" w:lineRule="auto"/>
        <w:ind w:left="720" w:hanging="720"/>
        <w:rPr>
          <w:rFonts w:ascii="Times New Roman" w:hAnsi="Times New Roman" w:cs="Times New Roman"/>
          <w:i/>
          <w:iCs/>
        </w:rPr>
      </w:pPr>
      <w:r>
        <w:rPr>
          <w:rFonts w:ascii="Times New Roman" w:hAnsi="Times New Roman" w:cs="Times New Roman"/>
        </w:rPr>
        <w:t xml:space="preserve">Deloitte. (2022). 2022 Global impact report. </w:t>
      </w:r>
      <w:r>
        <w:rPr>
          <w:rFonts w:ascii="Times New Roman" w:hAnsi="Times New Roman" w:cs="Times New Roman"/>
          <w:i/>
          <w:iCs/>
        </w:rPr>
        <w:t xml:space="preserve">Gender Balance. </w:t>
      </w:r>
      <w:hyperlink r:id="rId16" w:history="1">
        <w:r w:rsidRPr="00A806A7">
          <w:rPr>
            <w:rStyle w:val="Hyperlink"/>
            <w:rFonts w:ascii="Times New Roman" w:hAnsi="Times New Roman" w:cs="Times New Roman"/>
            <w:i/>
            <w:iCs/>
          </w:rPr>
          <w:t>https://www.deloitte.com/global/en/about/story/purpose-values/gender-balance-gir.html</w:t>
        </w:r>
      </w:hyperlink>
    </w:p>
    <w:p w14:paraId="36574221" w14:textId="77777777" w:rsidR="00B43E5F" w:rsidRDefault="00B43E5F" w:rsidP="00B43E5F">
      <w:pPr>
        <w:spacing w:line="480" w:lineRule="auto"/>
        <w:ind w:left="720" w:hanging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Deloitte. (2022). Has hybrid working changed your life for the better?. </w:t>
      </w:r>
      <w:hyperlink r:id="rId17" w:history="1">
        <w:r w:rsidRPr="00A806A7">
          <w:rPr>
            <w:rStyle w:val="Hyperlink"/>
            <w:rFonts w:ascii="Times New Roman" w:hAnsi="Times New Roman" w:cs="Times New Roman"/>
          </w:rPr>
          <w:t>https://www.deloitte.com/uk/en/about/story/impact/hybrid-working.html</w:t>
        </w:r>
      </w:hyperlink>
    </w:p>
    <w:p w14:paraId="459BC393" w14:textId="668E49F2" w:rsidR="00B43E5F" w:rsidRDefault="00B43E5F" w:rsidP="00B43E5F">
      <w:pPr>
        <w:spacing w:line="480" w:lineRule="auto"/>
        <w:ind w:left="720" w:hanging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Deloitte. (2024). Disability inclusion at work. </w:t>
      </w:r>
      <w:r>
        <w:rPr>
          <w:rFonts w:ascii="Times New Roman" w:hAnsi="Times New Roman" w:cs="Times New Roman"/>
          <w:i/>
          <w:iCs/>
        </w:rPr>
        <w:t xml:space="preserve">News. </w:t>
      </w:r>
      <w:hyperlink r:id="rId18" w:history="1">
        <w:r w:rsidRPr="0091751E">
          <w:rPr>
            <w:rStyle w:val="Hyperlink"/>
            <w:rFonts w:ascii="Times New Roman" w:hAnsi="Times New Roman" w:cs="Times New Roman"/>
          </w:rPr>
          <w:t>https://www.deloitte.com/uk/en/about/press-room/deloitte-first-disability-inclusion-at-work-report.html</w:t>
        </w:r>
      </w:hyperlink>
    </w:p>
    <w:p w14:paraId="32CC0489" w14:textId="77777777" w:rsidR="00B43E5F" w:rsidRDefault="00B43E5F" w:rsidP="00B43E5F">
      <w:pPr>
        <w:spacing w:line="480" w:lineRule="auto"/>
        <w:ind w:left="720" w:hanging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Deloitte. (2024). Poor mental health costs UK employers £51 billion a year for employees. </w:t>
      </w:r>
      <w:r>
        <w:rPr>
          <w:rFonts w:ascii="Times New Roman" w:hAnsi="Times New Roman" w:cs="Times New Roman"/>
          <w:i/>
          <w:iCs/>
        </w:rPr>
        <w:t xml:space="preserve">News. </w:t>
      </w:r>
      <w:hyperlink r:id="rId19" w:history="1">
        <w:r w:rsidRPr="00A806A7">
          <w:rPr>
            <w:rStyle w:val="Hyperlink"/>
            <w:rFonts w:ascii="Times New Roman" w:hAnsi="Times New Roman" w:cs="Times New Roman"/>
          </w:rPr>
          <w:t>https://www.deloitte.com/uk/en/about/press-room/poor-mental-health-costs-uk-employers-51-billion-a-year-for-employees.html</w:t>
        </w:r>
      </w:hyperlink>
    </w:p>
    <w:p w14:paraId="4F82265F" w14:textId="3C40E8D1" w:rsidR="00B43E5F" w:rsidRDefault="00B43E5F" w:rsidP="00B43E5F">
      <w:pPr>
        <w:spacing w:line="480" w:lineRule="auto"/>
        <w:ind w:left="720" w:hanging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Deloitte. (2025). Deloitte UK: pay &amp; inclusion report 2025. </w:t>
      </w:r>
      <w:hyperlink r:id="rId20" w:history="1">
        <w:r w:rsidRPr="00A806A7">
          <w:rPr>
            <w:rStyle w:val="Hyperlink"/>
            <w:rFonts w:ascii="Times New Roman" w:hAnsi="Times New Roman" w:cs="Times New Roman"/>
          </w:rPr>
          <w:t>https://www.deloitte.com/content/dam/assets-zone2/uk/en/docs/about/2025/deloitte-uk-annual-review-2025-pay-report.pdf</w:t>
        </w:r>
      </w:hyperlink>
    </w:p>
    <w:p w14:paraId="484EB5CB" w14:textId="77777777" w:rsidR="00B43E5F" w:rsidRDefault="00B43E5F" w:rsidP="00B43E5F">
      <w:pPr>
        <w:spacing w:line="480" w:lineRule="auto"/>
        <w:ind w:left="720" w:hanging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 xml:space="preserve">Deloitte. (2025). 2025 Gen Z and millennial survey. </w:t>
      </w:r>
      <w:hyperlink r:id="rId21" w:history="1">
        <w:r w:rsidRPr="00A806A7">
          <w:rPr>
            <w:rStyle w:val="Hyperlink"/>
            <w:rFonts w:ascii="Times New Roman" w:hAnsi="Times New Roman" w:cs="Times New Roman"/>
          </w:rPr>
          <w:t>https://www.deloitte.com/global/en/issues/work/genz-millennial-survey.html</w:t>
        </w:r>
      </w:hyperlink>
    </w:p>
    <w:p w14:paraId="59A265B6" w14:textId="77777777" w:rsidR="00B43E5F" w:rsidRDefault="00B43E5F" w:rsidP="00B43E5F">
      <w:pPr>
        <w:spacing w:line="480" w:lineRule="auto"/>
        <w:ind w:left="720" w:hanging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Deloitte. (2026). Diversity inclusion at Deloitte. </w:t>
      </w:r>
      <w:hyperlink r:id="rId22" w:history="1">
        <w:r w:rsidRPr="00A806A7">
          <w:rPr>
            <w:rStyle w:val="Hyperlink"/>
            <w:rFonts w:ascii="Times New Roman" w:hAnsi="Times New Roman" w:cs="Times New Roman"/>
          </w:rPr>
          <w:t>https://www.deloitte.com/uk/en/about/people/social-responsibility/disability-inclusion-at-deloitte.html</w:t>
        </w:r>
      </w:hyperlink>
    </w:p>
    <w:p w14:paraId="076B410D" w14:textId="77777777" w:rsidR="00B43E5F" w:rsidRDefault="00B43E5F" w:rsidP="00B43E5F">
      <w:pPr>
        <w:spacing w:line="480" w:lineRule="auto"/>
        <w:ind w:left="720" w:hanging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Deloitte. (2026). Diversity, inclusion &amp; wellbeing. </w:t>
      </w:r>
      <w:hyperlink r:id="rId23" w:history="1">
        <w:r w:rsidRPr="00A806A7">
          <w:rPr>
            <w:rStyle w:val="Hyperlink"/>
            <w:rFonts w:ascii="Times New Roman" w:hAnsi="Times New Roman" w:cs="Times New Roman"/>
          </w:rPr>
          <w:t>https://www.deloitte.com/uk/en/careers/discover-deloitte/careers-diversity-and-inclusion.html</w:t>
        </w:r>
      </w:hyperlink>
    </w:p>
    <w:p w14:paraId="2A6FE71A" w14:textId="4421CFE6" w:rsidR="00B43E5F" w:rsidRDefault="00B43E5F" w:rsidP="00B43E5F">
      <w:pPr>
        <w:spacing w:line="480" w:lineRule="auto"/>
        <w:ind w:left="720" w:hanging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Deloitte. (2026). Facts and figures. </w:t>
      </w:r>
      <w:hyperlink r:id="rId24" w:history="1">
        <w:r w:rsidRPr="00A806A7">
          <w:rPr>
            <w:rStyle w:val="Hyperlink"/>
            <w:rFonts w:ascii="Times New Roman" w:hAnsi="Times New Roman" w:cs="Times New Roman"/>
          </w:rPr>
          <w:t>https://www.deloitte.com/global/en/about/governance/facts-and-figures.html</w:t>
        </w:r>
      </w:hyperlink>
    </w:p>
    <w:p w14:paraId="2C9DCFF9" w14:textId="77777777" w:rsidR="00B43E5F" w:rsidRDefault="00B43E5F" w:rsidP="00B43E5F">
      <w:pPr>
        <w:spacing w:line="480" w:lineRule="auto"/>
        <w:ind w:left="720" w:hanging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Deloitte. (2026). Making an impact that matters, together. </w:t>
      </w:r>
      <w:hyperlink r:id="rId25" w:history="1">
        <w:r w:rsidRPr="00A806A7">
          <w:rPr>
            <w:rStyle w:val="Hyperlink"/>
            <w:rFonts w:ascii="Times New Roman" w:hAnsi="Times New Roman" w:cs="Times New Roman"/>
          </w:rPr>
          <w:t>https://www.deloitte.com/dk/en/about/story/purpose-values.html</w:t>
        </w:r>
      </w:hyperlink>
    </w:p>
    <w:p w14:paraId="677CFF2E" w14:textId="77777777" w:rsidR="00B43E5F" w:rsidRDefault="00B43E5F" w:rsidP="00B43E5F">
      <w:pPr>
        <w:spacing w:line="480" w:lineRule="auto"/>
        <w:ind w:left="720" w:hanging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Deloitte. (2026). Together makes progress. </w:t>
      </w:r>
      <w:hyperlink r:id="rId26" w:history="1">
        <w:r w:rsidRPr="00A806A7">
          <w:rPr>
            <w:rStyle w:val="Hyperlink"/>
            <w:rFonts w:ascii="Times New Roman" w:hAnsi="Times New Roman" w:cs="Times New Roman"/>
          </w:rPr>
          <w:t>https://www.deloitte.com/global/en/what-we-do.html</w:t>
        </w:r>
      </w:hyperlink>
    </w:p>
    <w:p w14:paraId="6870F4D1" w14:textId="77777777" w:rsidR="00B43E5F" w:rsidRDefault="00B43E5F" w:rsidP="00B43E5F">
      <w:pPr>
        <w:spacing w:line="480" w:lineRule="auto"/>
        <w:ind w:left="720" w:hanging="720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Foma</w:t>
      </w:r>
      <w:proofErr w:type="spellEnd"/>
      <w:r>
        <w:rPr>
          <w:rFonts w:ascii="Times New Roman" w:hAnsi="Times New Roman" w:cs="Times New Roman"/>
        </w:rPr>
        <w:t xml:space="preserve">, E. (2014). Impact of workplace diversity. </w:t>
      </w:r>
      <w:r>
        <w:rPr>
          <w:rFonts w:ascii="Times New Roman" w:hAnsi="Times New Roman" w:cs="Times New Roman"/>
          <w:i/>
          <w:iCs/>
        </w:rPr>
        <w:t>Review of Business &amp; Economics, 3</w:t>
      </w:r>
      <w:r>
        <w:rPr>
          <w:rFonts w:ascii="Times New Roman" w:hAnsi="Times New Roman" w:cs="Times New Roman"/>
        </w:rPr>
        <w:t xml:space="preserve">(1), 402-410. </w:t>
      </w:r>
      <w:hyperlink r:id="rId27" w:history="1">
        <w:r w:rsidRPr="00A806A7">
          <w:rPr>
            <w:rStyle w:val="Hyperlink"/>
            <w:rFonts w:ascii="Times New Roman" w:hAnsi="Times New Roman" w:cs="Times New Roman"/>
          </w:rPr>
          <w:t>https://buscompress.com/uploads/3/4/9/8/34980536/riber_sk14-026__402-410_.pdf</w:t>
        </w:r>
      </w:hyperlink>
    </w:p>
    <w:p w14:paraId="63405C0E" w14:textId="1B5232B8" w:rsidR="00B43E5F" w:rsidRDefault="00B43E5F" w:rsidP="00B43E5F">
      <w:pPr>
        <w:spacing w:line="480" w:lineRule="auto"/>
        <w:ind w:left="720" w:hanging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Florrison, R., Taylor, H., &amp; Spratt, L. (2021). Post-pandemic hybrid working poses new challenges to diversity and inclusion. </w:t>
      </w:r>
      <w:r>
        <w:rPr>
          <w:rFonts w:ascii="Times New Roman" w:hAnsi="Times New Roman" w:cs="Times New Roman"/>
          <w:i/>
          <w:iCs/>
        </w:rPr>
        <w:t xml:space="preserve">Work Foundation. </w:t>
      </w:r>
      <w:hyperlink r:id="rId28" w:history="1">
        <w:r w:rsidRPr="00B43E5F">
          <w:rPr>
            <w:rStyle w:val="Hyperlink"/>
            <w:rFonts w:ascii="Times New Roman" w:hAnsi="Times New Roman" w:cs="Times New Roman"/>
          </w:rPr>
          <w:t>https://www.lancaster.ac.uk/work-foundation/publications/post-pandemic-hybrid-working-poses-new-challenges-to-diversity-and-inclusion</w:t>
        </w:r>
      </w:hyperlink>
    </w:p>
    <w:p w14:paraId="1BB2C8E1" w14:textId="77777777" w:rsidR="00B43E5F" w:rsidRDefault="00B43E5F" w:rsidP="00B43E5F">
      <w:pPr>
        <w:spacing w:line="480" w:lineRule="auto"/>
        <w:ind w:left="720" w:hanging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GOV.UK. (2013). Equality Act 2010: guidance. </w:t>
      </w:r>
      <w:hyperlink r:id="rId29" w:history="1">
        <w:r w:rsidRPr="00A806A7">
          <w:rPr>
            <w:rStyle w:val="Hyperlink"/>
            <w:rFonts w:ascii="Times New Roman" w:hAnsi="Times New Roman" w:cs="Times New Roman"/>
          </w:rPr>
          <w:t>https://www.gov.uk/guidance/equality-act-2010-guidance</w:t>
        </w:r>
      </w:hyperlink>
    </w:p>
    <w:p w14:paraId="0A5CADB4" w14:textId="77777777" w:rsidR="00B43E5F" w:rsidRDefault="00B43E5F" w:rsidP="00B43E5F">
      <w:pPr>
        <w:spacing w:line="480" w:lineRule="auto"/>
        <w:ind w:left="720" w:hanging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 xml:space="preserve">GOV.UK. (2025). 2025 Gender pay gap report. </w:t>
      </w:r>
      <w:r>
        <w:rPr>
          <w:rFonts w:ascii="Times New Roman" w:hAnsi="Times New Roman" w:cs="Times New Roman"/>
          <w:i/>
          <w:iCs/>
        </w:rPr>
        <w:t>Department of health &amp; Social Care.</w:t>
      </w:r>
      <w:r w:rsidRPr="0091751E">
        <w:rPr>
          <w:rFonts w:ascii="Times New Roman" w:hAnsi="Times New Roman" w:cs="Times New Roman"/>
          <w:i/>
          <w:iCs/>
        </w:rPr>
        <w:t xml:space="preserve"> </w:t>
      </w:r>
      <w:hyperlink r:id="rId30" w:history="1">
        <w:r w:rsidRPr="0091751E">
          <w:rPr>
            <w:rStyle w:val="Hyperlink"/>
            <w:rFonts w:ascii="Times New Roman" w:hAnsi="Times New Roman" w:cs="Times New Roman"/>
          </w:rPr>
          <w:t>https://www.gov.uk/government/publications/dhsc-gender-pay-gap-report-and-data-2025/2025-gender-pay-gap-report</w:t>
        </w:r>
      </w:hyperlink>
    </w:p>
    <w:p w14:paraId="202C7426" w14:textId="77777777" w:rsidR="00B43E5F" w:rsidRDefault="00B43E5F" w:rsidP="00B43E5F">
      <w:pPr>
        <w:spacing w:line="480" w:lineRule="auto"/>
        <w:ind w:left="720" w:hanging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Government Equalities Office. (2018). Gender pay gap information regulations 2017. </w:t>
      </w:r>
      <w:hyperlink r:id="rId31" w:history="1">
        <w:r w:rsidRPr="00A806A7">
          <w:rPr>
            <w:rStyle w:val="Hyperlink"/>
            <w:rFonts w:ascii="Times New Roman" w:hAnsi="Times New Roman" w:cs="Times New Roman"/>
          </w:rPr>
          <w:t>https://assets.publishing.service.gov.uk/media/5bd0882ded915d78a0dc1009/GPG-Reporting-Portal-Report.pdf</w:t>
        </w:r>
      </w:hyperlink>
    </w:p>
    <w:p w14:paraId="1A7B1456" w14:textId="77777777" w:rsidR="00B43E5F" w:rsidRDefault="00B43E5F" w:rsidP="00B43E5F">
      <w:pPr>
        <w:spacing w:line="480" w:lineRule="auto"/>
        <w:ind w:left="720" w:hanging="720"/>
        <w:rPr>
          <w:rFonts w:ascii="Times New Roman" w:hAnsi="Times New Roman" w:cs="Times New Roman"/>
          <w:i/>
          <w:iCs/>
        </w:rPr>
      </w:pPr>
      <w:r>
        <w:rPr>
          <w:rFonts w:ascii="Times New Roman" w:hAnsi="Times New Roman" w:cs="Times New Roman"/>
        </w:rPr>
        <w:t xml:space="preserve">Hastwell, C. (2023). 8 Signs of a toxic company culture that drive employee turnover. </w:t>
      </w:r>
      <w:r>
        <w:rPr>
          <w:rFonts w:ascii="Times New Roman" w:hAnsi="Times New Roman" w:cs="Times New Roman"/>
          <w:i/>
          <w:iCs/>
        </w:rPr>
        <w:t xml:space="preserve">Great Place to Work. </w:t>
      </w:r>
      <w:hyperlink r:id="rId32" w:history="1">
        <w:r w:rsidRPr="00B43E5F">
          <w:rPr>
            <w:rStyle w:val="Hyperlink"/>
            <w:rFonts w:ascii="Times New Roman" w:hAnsi="Times New Roman" w:cs="Times New Roman"/>
          </w:rPr>
          <w:t>https://www.greatplacetowork.com/resources/blog/toxic-company-culture</w:t>
        </w:r>
      </w:hyperlink>
    </w:p>
    <w:p w14:paraId="3DF03CC9" w14:textId="77777777" w:rsidR="00B43E5F" w:rsidRDefault="00B43E5F" w:rsidP="00B43E5F">
      <w:pPr>
        <w:spacing w:line="480" w:lineRule="auto"/>
        <w:ind w:left="720" w:hanging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Haynes, K. (2013). Gender and diversity challenges in professional services firms. </w:t>
      </w:r>
      <w:r>
        <w:rPr>
          <w:rFonts w:ascii="Times New Roman" w:hAnsi="Times New Roman" w:cs="Times New Roman"/>
          <w:i/>
          <w:iCs/>
        </w:rPr>
        <w:t xml:space="preserve">Managing Services: Challenges and Innovation. </w:t>
      </w:r>
      <w:r>
        <w:rPr>
          <w:rFonts w:ascii="Times New Roman" w:hAnsi="Times New Roman" w:cs="Times New Roman"/>
        </w:rPr>
        <w:t xml:space="preserve">65-82. </w:t>
      </w:r>
      <w:hyperlink r:id="rId33" w:history="1">
        <w:r w:rsidRPr="00A806A7">
          <w:rPr>
            <w:rStyle w:val="Hyperlink"/>
            <w:rFonts w:ascii="Times New Roman" w:hAnsi="Times New Roman" w:cs="Times New Roman"/>
          </w:rPr>
          <w:t>https://doi.org/10.1093/ac93/acprof:oso/9780199696086.003.0005</w:t>
        </w:r>
      </w:hyperlink>
    </w:p>
    <w:p w14:paraId="6EC6D52B" w14:textId="5FE0B637" w:rsidR="00B43E5F" w:rsidRDefault="00B43E5F" w:rsidP="00B43E5F">
      <w:pPr>
        <w:spacing w:line="480" w:lineRule="auto"/>
        <w:ind w:left="720" w:hanging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Hong, L. &amp; Page, S. E. (2004). Groups of diverse problem solvers can outperform groups of high-ability problem solvers. </w:t>
      </w:r>
      <w:hyperlink r:id="rId34" w:history="1">
        <w:r w:rsidRPr="00A806A7">
          <w:rPr>
            <w:rStyle w:val="Hyperlink"/>
            <w:rFonts w:ascii="Times New Roman" w:hAnsi="Times New Roman" w:cs="Times New Roman"/>
          </w:rPr>
          <w:t>https://doi.org/10.1073/pnas.0403723101</w:t>
        </w:r>
      </w:hyperlink>
    </w:p>
    <w:p w14:paraId="29A04898" w14:textId="77777777" w:rsidR="00B43E5F" w:rsidRDefault="00B43E5F" w:rsidP="00B43E5F">
      <w:pPr>
        <w:spacing w:line="480" w:lineRule="auto"/>
        <w:ind w:left="720" w:hanging="720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Korkmaz</w:t>
      </w:r>
      <w:proofErr w:type="spellEnd"/>
      <w:r>
        <w:rPr>
          <w:rFonts w:ascii="Times New Roman" w:hAnsi="Times New Roman" w:cs="Times New Roman"/>
        </w:rPr>
        <w:t xml:space="preserve">, A.V., </w:t>
      </w:r>
      <w:proofErr w:type="spellStart"/>
      <w:r>
        <w:rPr>
          <w:rFonts w:ascii="Times New Roman" w:hAnsi="Times New Roman" w:cs="Times New Roman"/>
        </w:rPr>
        <w:t>Engen</w:t>
      </w:r>
      <w:proofErr w:type="spellEnd"/>
      <w:r>
        <w:rPr>
          <w:rFonts w:ascii="Times New Roman" w:hAnsi="Times New Roman" w:cs="Times New Roman"/>
        </w:rPr>
        <w:t xml:space="preserve">, M. L., </w:t>
      </w:r>
      <w:proofErr w:type="spellStart"/>
      <w:r>
        <w:rPr>
          <w:rFonts w:ascii="Times New Roman" w:hAnsi="Times New Roman" w:cs="Times New Roman"/>
        </w:rPr>
        <w:t>Knappert</w:t>
      </w:r>
      <w:proofErr w:type="spellEnd"/>
      <w:r>
        <w:rPr>
          <w:rFonts w:ascii="Times New Roman" w:hAnsi="Times New Roman" w:cs="Times New Roman"/>
        </w:rPr>
        <w:t xml:space="preserve">, L., &amp; </w:t>
      </w:r>
      <w:proofErr w:type="spellStart"/>
      <w:r>
        <w:rPr>
          <w:rFonts w:ascii="Times New Roman" w:hAnsi="Times New Roman" w:cs="Times New Roman"/>
        </w:rPr>
        <w:t>Schalk</w:t>
      </w:r>
      <w:proofErr w:type="spellEnd"/>
      <w:r>
        <w:rPr>
          <w:rFonts w:ascii="Times New Roman" w:hAnsi="Times New Roman" w:cs="Times New Roman"/>
        </w:rPr>
        <w:t xml:space="preserve">, R. (2022). About and beyond leading uniqueness and belongingness: A systematic review of inclusive leadership research. </w:t>
      </w:r>
      <w:r>
        <w:rPr>
          <w:rFonts w:ascii="Times New Roman" w:hAnsi="Times New Roman" w:cs="Times New Roman"/>
          <w:i/>
          <w:iCs/>
        </w:rPr>
        <w:t>Human Resource Management Review. 32</w:t>
      </w:r>
      <w:r>
        <w:rPr>
          <w:rFonts w:ascii="Times New Roman" w:hAnsi="Times New Roman" w:cs="Times New Roman"/>
        </w:rPr>
        <w:t xml:space="preserve">(4). </w:t>
      </w:r>
      <w:hyperlink r:id="rId35" w:history="1">
        <w:r w:rsidRPr="00A806A7">
          <w:rPr>
            <w:rStyle w:val="Hyperlink"/>
            <w:rFonts w:ascii="Times New Roman" w:hAnsi="Times New Roman" w:cs="Times New Roman"/>
          </w:rPr>
          <w:t>https://doi.org/10.1016/j.hrmr.2022.100894</w:t>
        </w:r>
      </w:hyperlink>
    </w:p>
    <w:p w14:paraId="36C31FC5" w14:textId="77777777" w:rsidR="00B43E5F" w:rsidRDefault="00B43E5F" w:rsidP="00B43E5F">
      <w:pPr>
        <w:spacing w:line="480" w:lineRule="auto"/>
        <w:ind w:left="720" w:hanging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Malik, Q., &amp; Clarke, K. (2024). Tools for challenging bias and discrimination. </w:t>
      </w:r>
      <w:r>
        <w:rPr>
          <w:rFonts w:ascii="Times New Roman" w:hAnsi="Times New Roman" w:cs="Times New Roman"/>
          <w:i/>
          <w:iCs/>
        </w:rPr>
        <w:t xml:space="preserve">The Royal College of Radiologists. </w:t>
      </w:r>
      <w:hyperlink r:id="rId36" w:history="1">
        <w:r w:rsidRPr="00A806A7">
          <w:rPr>
            <w:rStyle w:val="Hyperlink"/>
            <w:rFonts w:ascii="Times New Roman" w:hAnsi="Times New Roman" w:cs="Times New Roman"/>
          </w:rPr>
          <w:t>https://www.rcr.ac.uk/media/tpwjncbr/session-3-dr-qaiser-malik.pdf</w:t>
        </w:r>
      </w:hyperlink>
    </w:p>
    <w:p w14:paraId="1D29DD06" w14:textId="77777777" w:rsidR="00B43E5F" w:rsidRDefault="00B43E5F" w:rsidP="00B43E5F">
      <w:pPr>
        <w:spacing w:line="480" w:lineRule="auto"/>
        <w:ind w:left="720" w:hanging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 xml:space="preserve">McKinsey &amp; Company. (2023). Diversity matters even more: The case for holistic impact. </w:t>
      </w:r>
      <w:r>
        <w:rPr>
          <w:rFonts w:ascii="Times New Roman" w:hAnsi="Times New Roman" w:cs="Times New Roman"/>
          <w:i/>
          <w:iCs/>
        </w:rPr>
        <w:t xml:space="preserve">Report. </w:t>
      </w:r>
      <w:hyperlink r:id="rId37" w:history="1">
        <w:r w:rsidRPr="00A806A7">
          <w:rPr>
            <w:rStyle w:val="Hyperlink"/>
            <w:rFonts w:ascii="Times New Roman" w:hAnsi="Times New Roman" w:cs="Times New Roman"/>
          </w:rPr>
          <w:t>https://www.mckinsey.com/featured-insights/diversity-and-inclusion/diversity-matters-even-more-the-case-for-holistic-impact</w:t>
        </w:r>
      </w:hyperlink>
    </w:p>
    <w:p w14:paraId="4BC4585E" w14:textId="77777777" w:rsidR="00B43E5F" w:rsidRDefault="00B43E5F" w:rsidP="00B43E5F">
      <w:pPr>
        <w:spacing w:line="480" w:lineRule="auto"/>
        <w:ind w:left="720" w:hanging="720"/>
        <w:rPr>
          <w:rFonts w:ascii="Times New Roman" w:hAnsi="Times New Roman" w:cs="Times New Roman"/>
          <w:i/>
          <w:iCs/>
        </w:rPr>
      </w:pPr>
      <w:r>
        <w:rPr>
          <w:rFonts w:ascii="Times New Roman" w:hAnsi="Times New Roman" w:cs="Times New Roman"/>
        </w:rPr>
        <w:t xml:space="preserve">Moore, E. (2026). The emotional investment of reward and recognition. </w:t>
      </w:r>
      <w:r>
        <w:rPr>
          <w:rFonts w:ascii="Times New Roman" w:hAnsi="Times New Roman" w:cs="Times New Roman"/>
          <w:i/>
          <w:iCs/>
        </w:rPr>
        <w:t xml:space="preserve">Red Blaze. </w:t>
      </w:r>
      <w:hyperlink r:id="rId38" w:history="1">
        <w:r w:rsidRPr="00B43E5F">
          <w:rPr>
            <w:rStyle w:val="Hyperlink"/>
            <w:rFonts w:ascii="Times New Roman" w:hAnsi="Times New Roman" w:cs="Times New Roman"/>
          </w:rPr>
          <w:t>https://redblaze.co.uk/the-emotional-investment-of-reward-and-recognition/</w:t>
        </w:r>
      </w:hyperlink>
    </w:p>
    <w:p w14:paraId="1F35D536" w14:textId="77777777" w:rsidR="00B43E5F" w:rsidRDefault="00B43E5F" w:rsidP="00B43E5F">
      <w:pPr>
        <w:spacing w:line="480" w:lineRule="auto"/>
        <w:ind w:left="720" w:hanging="720"/>
        <w:rPr>
          <w:rFonts w:ascii="Times New Roman" w:hAnsi="Times New Roman" w:cs="Times New Roman"/>
          <w:i/>
          <w:iCs/>
        </w:rPr>
      </w:pPr>
      <w:r>
        <w:rPr>
          <w:rFonts w:ascii="Times New Roman" w:hAnsi="Times New Roman" w:cs="Times New Roman"/>
        </w:rPr>
        <w:t xml:space="preserve">Office for National Statistics. (2023). Our poverty and equality statistics. </w:t>
      </w:r>
      <w:r>
        <w:rPr>
          <w:rFonts w:ascii="Times New Roman" w:hAnsi="Times New Roman" w:cs="Times New Roman"/>
          <w:i/>
          <w:iCs/>
        </w:rPr>
        <w:t xml:space="preserve">Data and Analysis from Census 2021. </w:t>
      </w:r>
      <w:hyperlink r:id="rId39" w:history="1">
        <w:r w:rsidRPr="00B43E5F">
          <w:rPr>
            <w:rStyle w:val="Hyperlink"/>
            <w:rFonts w:ascii="Times New Roman" w:hAnsi="Times New Roman" w:cs="Times New Roman"/>
          </w:rPr>
          <w:t>https://www.ons.gov.uk/aboutus/usingpublicdatatoproducestatistics/examplesofhowdataandstatisticsbenefityou/ourpovertyandequalitystatistics</w:t>
        </w:r>
      </w:hyperlink>
    </w:p>
    <w:p w14:paraId="173FC66B" w14:textId="77777777" w:rsidR="00B43E5F" w:rsidRDefault="00B43E5F" w:rsidP="00B43E5F">
      <w:pPr>
        <w:spacing w:line="480" w:lineRule="auto"/>
        <w:ind w:left="720" w:hanging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Prism. (2023). Why a diverse workforce is best for your business. </w:t>
      </w:r>
      <w:hyperlink r:id="rId40" w:history="1">
        <w:r w:rsidRPr="00A806A7">
          <w:rPr>
            <w:rStyle w:val="Hyperlink"/>
            <w:rFonts w:ascii="Times New Roman" w:hAnsi="Times New Roman" w:cs="Times New Roman"/>
          </w:rPr>
          <w:t>https://prism7resourcing.co.uk/why-a-diverse-workforce-is-best-for-your-business/</w:t>
        </w:r>
      </w:hyperlink>
    </w:p>
    <w:p w14:paraId="53510F58" w14:textId="77777777" w:rsidR="00B43E5F" w:rsidRDefault="00B43E5F" w:rsidP="00B43E5F">
      <w:pPr>
        <w:spacing w:line="480" w:lineRule="auto"/>
        <w:ind w:left="720" w:hanging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Roberson, Q. M. (2006). Disentangling the meanings of diversity and inclusion in organisations. </w:t>
      </w:r>
      <w:r>
        <w:rPr>
          <w:rFonts w:ascii="Times New Roman" w:hAnsi="Times New Roman" w:cs="Times New Roman"/>
          <w:i/>
          <w:iCs/>
        </w:rPr>
        <w:t>Group &amp; Organisation Management, 31</w:t>
      </w:r>
      <w:r>
        <w:rPr>
          <w:rFonts w:ascii="Times New Roman" w:hAnsi="Times New Roman" w:cs="Times New Roman"/>
        </w:rPr>
        <w:t xml:space="preserve">(2), 212-236. </w:t>
      </w:r>
      <w:hyperlink r:id="rId41" w:history="1">
        <w:r w:rsidRPr="00A806A7">
          <w:rPr>
            <w:rStyle w:val="Hyperlink"/>
            <w:rFonts w:ascii="Times New Roman" w:hAnsi="Times New Roman" w:cs="Times New Roman"/>
          </w:rPr>
          <w:t>https://doi.org/10.1177/1059601104273064</w:t>
        </w:r>
      </w:hyperlink>
    </w:p>
    <w:p w14:paraId="6FFD2679" w14:textId="77777777" w:rsidR="00B43E5F" w:rsidRDefault="00B43E5F" w:rsidP="00B43E5F">
      <w:pPr>
        <w:spacing w:line="480" w:lineRule="auto"/>
        <w:ind w:left="720" w:hanging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Santos, R. S., </w:t>
      </w:r>
      <w:proofErr w:type="spellStart"/>
      <w:r>
        <w:rPr>
          <w:rFonts w:ascii="Times New Roman" w:hAnsi="Times New Roman" w:cs="Times New Roman"/>
        </w:rPr>
        <w:t>Magalhes</w:t>
      </w:r>
      <w:proofErr w:type="spellEnd"/>
      <w:r>
        <w:rPr>
          <w:rFonts w:ascii="Times New Roman" w:hAnsi="Times New Roman" w:cs="Times New Roman"/>
        </w:rPr>
        <w:t xml:space="preserve">, C., Santons, R., &amp; Correa-Nato, J. (2024). Exploring hybrid work realities: A case study with software professionals from underrepresented groups. </w:t>
      </w:r>
      <w:r>
        <w:rPr>
          <w:rFonts w:ascii="Times New Roman" w:hAnsi="Times New Roman" w:cs="Times New Roman"/>
          <w:i/>
          <w:iCs/>
        </w:rPr>
        <w:t xml:space="preserve">Cornell University. </w:t>
      </w:r>
      <w:hyperlink r:id="rId42" w:history="1">
        <w:r w:rsidRPr="00A806A7">
          <w:rPr>
            <w:rStyle w:val="Hyperlink"/>
            <w:rFonts w:ascii="Times New Roman" w:hAnsi="Times New Roman" w:cs="Times New Roman"/>
          </w:rPr>
          <w:t>https://doi.org/10.48550/arXiv.2404.13462</w:t>
        </w:r>
      </w:hyperlink>
    </w:p>
    <w:p w14:paraId="55EF7BF3" w14:textId="77777777" w:rsidR="00B43E5F" w:rsidRDefault="00B43E5F" w:rsidP="00B43E5F">
      <w:pPr>
        <w:spacing w:line="480" w:lineRule="auto"/>
        <w:ind w:left="720" w:hanging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Shore, L. M., </w:t>
      </w:r>
      <w:proofErr w:type="spellStart"/>
      <w:r>
        <w:rPr>
          <w:rFonts w:ascii="Times New Roman" w:hAnsi="Times New Roman" w:cs="Times New Roman"/>
        </w:rPr>
        <w:t>Randel</w:t>
      </w:r>
      <w:proofErr w:type="spellEnd"/>
      <w:r>
        <w:rPr>
          <w:rFonts w:ascii="Times New Roman" w:hAnsi="Times New Roman" w:cs="Times New Roman"/>
        </w:rPr>
        <w:t xml:space="preserve">, A. E., Chung, B. G., Dean, M. A., </w:t>
      </w:r>
      <w:proofErr w:type="spellStart"/>
      <w:r>
        <w:rPr>
          <w:rFonts w:ascii="Times New Roman" w:hAnsi="Times New Roman" w:cs="Times New Roman"/>
        </w:rPr>
        <w:t>Ehrhart</w:t>
      </w:r>
      <w:proofErr w:type="spellEnd"/>
      <w:r>
        <w:rPr>
          <w:rFonts w:ascii="Times New Roman" w:hAnsi="Times New Roman" w:cs="Times New Roman"/>
        </w:rPr>
        <w:t xml:space="preserve">, K. H., &amp; Singh, G. (2011). Inclusion and diversity in work groups: a review and model for future research. </w:t>
      </w:r>
      <w:r>
        <w:rPr>
          <w:rFonts w:ascii="Times New Roman" w:hAnsi="Times New Roman" w:cs="Times New Roman"/>
          <w:i/>
          <w:iCs/>
        </w:rPr>
        <w:t>Journal of Management. 37</w:t>
      </w:r>
      <w:r>
        <w:rPr>
          <w:rFonts w:ascii="Times New Roman" w:hAnsi="Times New Roman" w:cs="Times New Roman"/>
        </w:rPr>
        <w:t xml:space="preserve">(4) 1262-1289. </w:t>
      </w:r>
      <w:hyperlink r:id="rId43" w:history="1">
        <w:r w:rsidRPr="00A806A7">
          <w:rPr>
            <w:rStyle w:val="Hyperlink"/>
            <w:rFonts w:ascii="Times New Roman" w:hAnsi="Times New Roman" w:cs="Times New Roman"/>
          </w:rPr>
          <w:t>https://doi.org/10.1177/0149206310385943</w:t>
        </w:r>
      </w:hyperlink>
    </w:p>
    <w:p w14:paraId="506F844F" w14:textId="77777777" w:rsidR="00B43E5F" w:rsidRDefault="00B43E5F" w:rsidP="00B43E5F">
      <w:pPr>
        <w:spacing w:line="480" w:lineRule="auto"/>
        <w:ind w:left="720" w:hanging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 xml:space="preserve">Trinkenreich, B., Britto, R., </w:t>
      </w:r>
      <w:proofErr w:type="spellStart"/>
      <w:r>
        <w:rPr>
          <w:rFonts w:ascii="Times New Roman" w:hAnsi="Times New Roman" w:cs="Times New Roman"/>
        </w:rPr>
        <w:t>Gerosa</w:t>
      </w:r>
      <w:proofErr w:type="spellEnd"/>
      <w:r>
        <w:rPr>
          <w:rFonts w:ascii="Times New Roman" w:hAnsi="Times New Roman" w:cs="Times New Roman"/>
        </w:rPr>
        <w:t xml:space="preserve">, M. A., &amp; </w:t>
      </w:r>
      <w:proofErr w:type="spellStart"/>
      <w:r>
        <w:rPr>
          <w:rFonts w:ascii="Times New Roman" w:hAnsi="Times New Roman" w:cs="Times New Roman"/>
        </w:rPr>
        <w:t>Steinmacher</w:t>
      </w:r>
      <w:proofErr w:type="spellEnd"/>
      <w:r>
        <w:rPr>
          <w:rFonts w:ascii="Times New Roman" w:hAnsi="Times New Roman" w:cs="Times New Roman"/>
        </w:rPr>
        <w:t xml:space="preserve">, I. (2022). An empirical investigation on the challenges faced by women in the software industry: A case study. </w:t>
      </w:r>
      <w:r>
        <w:rPr>
          <w:rFonts w:ascii="Times New Roman" w:hAnsi="Times New Roman" w:cs="Times New Roman"/>
          <w:i/>
          <w:iCs/>
        </w:rPr>
        <w:t xml:space="preserve">Cornell University. </w:t>
      </w:r>
      <w:hyperlink r:id="rId44" w:history="1">
        <w:r w:rsidRPr="00A806A7">
          <w:rPr>
            <w:rStyle w:val="Hyperlink"/>
            <w:rFonts w:ascii="Times New Roman" w:hAnsi="Times New Roman" w:cs="Times New Roman"/>
          </w:rPr>
          <w:t>https://doi.org/10.48550/arXiv.2203.10555</w:t>
        </w:r>
      </w:hyperlink>
    </w:p>
    <w:p w14:paraId="1860DBDC" w14:textId="77777777" w:rsidR="00B43E5F" w:rsidRDefault="00B43E5F" w:rsidP="00B43E5F">
      <w:pPr>
        <w:spacing w:line="480" w:lineRule="auto"/>
        <w:ind w:left="720" w:hanging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Vodaphone Group plc. (2024). Vodaphone 2024 summary. </w:t>
      </w:r>
      <w:hyperlink r:id="rId45" w:history="1">
        <w:r w:rsidRPr="00A806A7">
          <w:rPr>
            <w:rStyle w:val="Hyperlink"/>
            <w:rFonts w:ascii="Times New Roman" w:hAnsi="Times New Roman" w:cs="Times New Roman"/>
          </w:rPr>
          <w:t>https://reports.investors.vodafone.com/view/504459497/II/</w:t>
        </w:r>
      </w:hyperlink>
    </w:p>
    <w:p w14:paraId="7C46AE4B" w14:textId="77777777" w:rsidR="00B43E5F" w:rsidRDefault="00B43E5F" w:rsidP="00B43E5F">
      <w:pPr>
        <w:spacing w:line="480" w:lineRule="auto"/>
        <w:ind w:left="720" w:hanging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Weaver, A. K., Libby, N. E, </w:t>
      </w:r>
      <w:proofErr w:type="spellStart"/>
      <w:r>
        <w:rPr>
          <w:rFonts w:ascii="Times New Roman" w:hAnsi="Times New Roman" w:cs="Times New Roman"/>
        </w:rPr>
        <w:t>Goodale</w:t>
      </w:r>
      <w:proofErr w:type="spellEnd"/>
      <w:r>
        <w:rPr>
          <w:rFonts w:ascii="Times New Roman" w:hAnsi="Times New Roman" w:cs="Times New Roman"/>
        </w:rPr>
        <w:t xml:space="preserve">, G., &amp; Alexander, S. (2025). Workplace diversity initiatives: More than ticking a box. </w:t>
      </w:r>
      <w:r>
        <w:rPr>
          <w:rFonts w:ascii="Times New Roman" w:hAnsi="Times New Roman" w:cs="Times New Roman"/>
          <w:i/>
          <w:iCs/>
        </w:rPr>
        <w:t>Discover Social Science and Health. 5</w:t>
      </w:r>
      <w:r>
        <w:rPr>
          <w:rFonts w:ascii="Times New Roman" w:hAnsi="Times New Roman" w:cs="Times New Roman"/>
        </w:rPr>
        <w:t xml:space="preserve">(33). </w:t>
      </w:r>
      <w:hyperlink r:id="rId46" w:history="1">
        <w:r w:rsidRPr="00A806A7">
          <w:rPr>
            <w:rStyle w:val="Hyperlink"/>
            <w:rFonts w:ascii="Times New Roman" w:hAnsi="Times New Roman" w:cs="Times New Roman"/>
          </w:rPr>
          <w:t>https://doi.org/10.1007/s44155-025-00176-7</w:t>
        </w:r>
      </w:hyperlink>
    </w:p>
    <w:p w14:paraId="1660AE72" w14:textId="6615FE07" w:rsidR="0091751E" w:rsidRDefault="00B43E5F" w:rsidP="00B43E5F">
      <w:pPr>
        <w:spacing w:line="480" w:lineRule="auto"/>
        <w:ind w:left="720" w:hanging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Woffindin, L. (2024). Case study: Organisations leading the way in equality initiatives. </w:t>
      </w:r>
      <w:r>
        <w:rPr>
          <w:rFonts w:ascii="Times New Roman" w:hAnsi="Times New Roman" w:cs="Times New Roman"/>
          <w:i/>
          <w:iCs/>
        </w:rPr>
        <w:t xml:space="preserve">CPD Online College. </w:t>
      </w:r>
      <w:hyperlink r:id="rId47" w:history="1">
        <w:r w:rsidRPr="00B43E5F">
          <w:rPr>
            <w:rStyle w:val="Hyperlink"/>
            <w:rFonts w:ascii="Times New Roman" w:hAnsi="Times New Roman" w:cs="Times New Roman"/>
          </w:rPr>
          <w:t>https://cpdonline.co.uk/knowledge-base/business/organisations-leading-way-equality-initiatives</w:t>
        </w:r>
      </w:hyperlink>
    </w:p>
    <w:p w14:paraId="68A5B446" w14:textId="77777777" w:rsidR="00B43E5F" w:rsidRPr="00B43E5F" w:rsidRDefault="00B43E5F" w:rsidP="00B43E5F">
      <w:pPr>
        <w:ind w:left="720" w:hanging="720"/>
        <w:rPr>
          <w:rFonts w:ascii="Times New Roman" w:hAnsi="Times New Roman" w:cs="Times New Roman"/>
        </w:rPr>
      </w:pPr>
    </w:p>
    <w:sectPr w:rsidR="00B43E5F" w:rsidRPr="00B43E5F">
      <w:footerReference w:type="even" r:id="rId48"/>
      <w:footerReference w:type="default" r:id="rId4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D346F8D" w14:textId="77777777" w:rsidR="005A47CC" w:rsidRDefault="005A47CC" w:rsidP="00714F93">
      <w:pPr>
        <w:spacing w:after="0" w:line="240" w:lineRule="auto"/>
      </w:pPr>
      <w:r>
        <w:separator/>
      </w:r>
    </w:p>
  </w:endnote>
  <w:endnote w:type="continuationSeparator" w:id="0">
    <w:p w14:paraId="29B8AB9A" w14:textId="77777777" w:rsidR="005A47CC" w:rsidRDefault="005A47CC" w:rsidP="00714F9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944801873"/>
      <w:docPartObj>
        <w:docPartGallery w:val="Page Numbers (Bottom of Page)"/>
        <w:docPartUnique/>
      </w:docPartObj>
    </w:sdtPr>
    <w:sdtContent>
      <w:p w14:paraId="03AEDFB8" w14:textId="53BDF892" w:rsidR="003C1020" w:rsidRDefault="003C1020" w:rsidP="00A806A7">
        <w:pPr>
          <w:pStyle w:val="Footer"/>
          <w:framePr w:wrap="none" w:vAnchor="text" w:hAnchor="margin" w:xAlign="center" w:y="1"/>
          <w:jc w:val="center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961B842" w14:textId="77777777" w:rsidR="003C1020" w:rsidRDefault="003C102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664749127"/>
      <w:docPartObj>
        <w:docPartGallery w:val="Page Numbers (Bottom of Page)"/>
        <w:docPartUnique/>
      </w:docPartObj>
    </w:sdtPr>
    <w:sdtContent>
      <w:p w14:paraId="1EBC7A27" w14:textId="13B768D9" w:rsidR="003C1020" w:rsidRDefault="003C1020" w:rsidP="00A806A7">
        <w:pPr>
          <w:pStyle w:val="Footer"/>
          <w:framePr w:wrap="none" w:vAnchor="text" w:hAnchor="margin" w:xAlign="center" w:y="1"/>
          <w:jc w:val="center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4E8F7344" w14:textId="77777777" w:rsidR="003C1020" w:rsidRDefault="003C102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23BA91C" w14:textId="77777777" w:rsidR="005A47CC" w:rsidRDefault="005A47CC" w:rsidP="00714F93">
      <w:pPr>
        <w:spacing w:after="0" w:line="240" w:lineRule="auto"/>
      </w:pPr>
      <w:r>
        <w:separator/>
      </w:r>
    </w:p>
  </w:footnote>
  <w:footnote w:type="continuationSeparator" w:id="0">
    <w:p w14:paraId="0C050D5E" w14:textId="77777777" w:rsidR="005A47CC" w:rsidRDefault="005A47CC" w:rsidP="00714F93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Ymg5ueYe" int2:invalidationBookmarkName="" int2:hashCode="SMFwPIHakRGYAb" int2:id="DsmqP7Yk">
      <int2:state int2:value="Rejected" int2:type="style"/>
    </int2:bookmark>
    <int2:bookmark int2:bookmarkName="_Int_d7Od1iCW" int2:invalidationBookmarkName="" int2:hashCode="yJV07ijneSP6Sw" int2:id="DuZBtuOv">
      <int2:state int2:value="Rejected" int2:type="style"/>
    </int2:bookmark>
    <int2:bookmark int2:bookmarkName="_Int_PuykU3mN" int2:invalidationBookmarkName="" int2:hashCode="o9s5qaB2pEWUUc" int2:id="eyDwQioG">
      <int2:state int2:value="Rejected" int2:type="style"/>
    </int2:bookmark>
    <int2:bookmark int2:bookmarkName="_Int_PyfhsT0H" int2:invalidationBookmarkName="" int2:hashCode="ISQDfKZqM8FMSE" int2:id="0cQcyhq6">
      <int2:state int2:value="Rejected" int2:type="style"/>
    </int2:bookmark>
    <int2:bookmark int2:bookmarkName="_Int_hXYqkQed" int2:invalidationBookmarkName="" int2:hashCode="lYDxgaT6QVo2Hp" int2:id="Yg9VCkIv">
      <int2:state int2:value="Rejected" int2:type="style"/>
    </int2:bookmark>
    <int2:bookmark int2:bookmarkName="_Int_52M4okQj" int2:invalidationBookmarkName="" int2:hashCode="2VCKDl9K9HQ8Vh" int2:id="y5oTxiY7">
      <int2:state int2:value="Rejected" int2:type="gram"/>
    </int2:bookmark>
    <int2:bookmark int2:bookmarkName="_Int_rZpvci2e" int2:invalidationBookmarkName="" int2:hashCode="7WXA1NsxbjowQE" int2:id="XjzcEHot">
      <int2:state int2:value="Rejected" int2:type="style"/>
    </int2:bookmark>
    <int2:bookmark int2:bookmarkName="_Int_lhesYdXo" int2:invalidationBookmarkName="" int2:hashCode="wauZJOzaG+r4u6" int2:id="ifGOQuU6">
      <int2:state int2:value="Rejected" int2:type="style"/>
    </int2:bookmark>
    <int2:bookmark int2:bookmarkName="_Int_gnE9L8Gl" int2:invalidationBookmarkName="" int2:hashCode="/p/42Ve89ZIz6q" int2:id="sFvMoIMe">
      <int2:state int2:value="Rejected" int2:type="style"/>
    </int2:bookmark>
    <int2:bookmark int2:bookmarkName="_Int_hEkTYJY8" int2:invalidationBookmarkName="" int2:hashCode="lYDxgaT6QVo2Hp" int2:id="bcEL3YqO">
      <int2:state int2:value="Rejected" int2:type="style"/>
    </int2:bookmark>
    <int2:bookmark int2:bookmarkName="_Int_VSfbX5as" int2:invalidationBookmarkName="" int2:hashCode="i1wS7chpbgrMZC" int2:id="DuwyMV0K">
      <int2:state int2:value="Rejected" int2:type="style"/>
    </int2:bookmark>
    <int2:bookmark int2:bookmarkName="_Int_3mntaWJb" int2:invalidationBookmarkName="" int2:hashCode="T9/VSma30qN89o" int2:id="8TuOrLE1">
      <int2:state int2:value="Rejected" int2:type="style"/>
    </int2:bookmark>
    <int2:bookmark int2:bookmarkName="_Int_jr3NBjwN" int2:invalidationBookmarkName="" int2:hashCode="6eCTr2hKDvOwL4" int2:id="8sVI3qlP">
      <int2:state int2:value="Rejected" int2:type="style"/>
    </int2:bookmark>
    <int2:bookmark int2:bookmarkName="_Int_Po8JrRh1" int2:invalidationBookmarkName="" int2:hashCode="pAiXs/rMdCfmrZ" int2:id="tGQr8tDj">
      <int2:state int2:value="Rejected" int2:type="style"/>
    </int2:bookmark>
    <int2:bookmark int2:bookmarkName="_Int_vKoFnyLb" int2:invalidationBookmarkName="" int2:hashCode="B4kn4shvAYTvty" int2:id="gcDFZo8N">
      <int2:state int2:value="Rejected" int2:type="gram"/>
    </int2:bookmark>
    <int2:bookmark int2:bookmarkName="_Int_RYBwwcxP" int2:invalidationBookmarkName="" int2:hashCode="SLGLFARhzcGrh6" int2:id="TFJp1dFt">
      <int2:state int2:value="Rejected" int2:type="style"/>
    </int2:bookmark>
    <int2:bookmark int2:bookmarkName="_Int_LsQDdSpz" int2:invalidationBookmarkName="" int2:hashCode="dalNooyseA++F1" int2:id="1FhEXf81">
      <int2:state int2:value="Rejected" int2:type="style"/>
    </int2:bookmark>
    <int2:bookmark int2:bookmarkName="_Int_hJgU4Zdm" int2:invalidationBookmarkName="" int2:hashCode="2VCKDl9K9HQ8Vh" int2:id="zMmRLcQm">
      <int2:state int2:value="Rejected" int2:type="gram"/>
    </int2:bookmark>
    <int2:bookmark int2:bookmarkName="_Int_44mk6xhx" int2:invalidationBookmarkName="" int2:hashCode="351r0XWD+hEdsL" int2:id="TswMlgSt">
      <int2:state int2:value="Rejected" int2:type="style"/>
    </int2:bookmark>
    <int2:bookmark int2:bookmarkName="_Int_7fYpSNSi" int2:invalidationBookmarkName="" int2:hashCode="/5aGncXwjRgebT" int2:id="RROQIcio">
      <int2:state int2:value="Rejected" int2:type="style"/>
    </int2:bookmark>
    <int2:bookmark int2:bookmarkName="_Int_R4TAVAzj" int2:invalidationBookmarkName="" int2:hashCode="l5aAn32uSC0xI8" int2:id="fNSTVSKz">
      <int2:state int2:value="Rejected" int2:type="style"/>
    </int2:bookmark>
    <int2:bookmark int2:bookmarkName="_Int_RqRKg4qb" int2:invalidationBookmarkName="" int2:hashCode="GnfUFiJMu+d6Q5" int2:id="ow5FwdFg">
      <int2:state int2:value="Rejected" int2:type="style"/>
    </int2:bookmark>
    <int2:bookmark int2:bookmarkName="_Int_tWKFmlYA" int2:invalidationBookmarkName="" int2:hashCode="SLGLFARhzcGrh6" int2:id="R9bq08VQ">
      <int2:state int2:value="Rejected" int2:type="style"/>
    </int2:bookmark>
    <int2:bookmark int2:bookmarkName="_Int_03VHu2n9" int2:invalidationBookmarkName="" int2:hashCode="NkPdJ9i9g1wpGP" int2:id="1xwHrMl8">
      <int2:state int2:value="Rejected" int2:type="style"/>
    </int2:bookmark>
    <int2:bookmark int2:bookmarkName="_Int_90tgPD8s" int2:invalidationBookmarkName="" int2:hashCode="7d6FDksqtNekOY" int2:id="WfmWVxfD">
      <int2:state int2:value="Rejected" int2:type="style"/>
    </int2:bookmark>
    <int2:bookmark int2:bookmarkName="_Int_UkAMXoth" int2:invalidationBookmarkName="" int2:hashCode="o9s5qaB2pEWUUc" int2:id="Hpj0L24f">
      <int2:state int2:value="Rejected" int2:type="style"/>
    </int2:bookmark>
    <int2:bookmark int2:bookmarkName="_Int_YgvV1h7K" int2:invalidationBookmarkName="" int2:hashCode="2VCKDl9K9HQ8Vh" int2:id="l7fwUto7">
      <int2:state int2:value="Rejected" int2:type="gram"/>
    </int2:bookmark>
    <int2:bookmark int2:bookmarkName="_Int_jvqBZWHv" int2:invalidationBookmarkName="" int2:hashCode="agxCLWDTygHSgM" int2:id="7aVLdsyv">
      <int2:state int2:value="Rejected" int2:type="style"/>
    </int2:bookmark>
    <int2:bookmark int2:bookmarkName="_Int_kk8Oc86y" int2:invalidationBookmarkName="" int2:hashCode="u7n1IPJwv9oCs0" int2:id="dY8yG8cw">
      <int2:state int2:value="Rejected" int2:type="style"/>
    </int2:bookmark>
    <int2:bookmark int2:bookmarkName="_Int_RZFm0pkK" int2:invalidationBookmarkName="" int2:hashCode="dalNooyseA++F1" int2:id="rGGF7tPw">
      <int2:state int2:value="Rejected" int2:type="style"/>
    </int2:bookmark>
    <int2:bookmark int2:bookmarkName="_Int_e6grrQIh" int2:invalidationBookmarkName="" int2:hashCode="SMFwPIHakRGYAb" int2:id="l6fhttWm">
      <int2:state int2:value="Rejected" int2:type="style"/>
    </int2:bookmark>
    <int2:bookmark int2:bookmarkName="_Int_fNASfAW5" int2:invalidationBookmarkName="" int2:hashCode="a62FJoEJTbi94b" int2:id="tgLkf0dA">
      <int2:state int2:value="Rejected" int2:type="style"/>
    </int2:bookmark>
    <int2:bookmark int2:bookmarkName="_Int_X1TCR7FT" int2:invalidationBookmarkName="" int2:hashCode="pljuTCRWMcIJhp" int2:id="RBq5wOwh">
      <int2:state int2:value="Rejected" int2:type="style"/>
    </int2:bookmark>
    <int2:bookmark int2:bookmarkName="_Int_Enj8IqOV" int2:invalidationBookmarkName="" int2:hashCode="OFYXKXAfBAKJwz" int2:id="kbSdc6xn">
      <int2:state int2:value="Rejected" int2:type="style"/>
    </int2:bookmark>
    <int2:bookmark int2:bookmarkName="_Int_wCIrzRhS" int2:invalidationBookmarkName="" int2:hashCode="4x0dk1pDdsD9fx" int2:id="O97hz9VS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61509A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63260FE"/>
    <w:multiLevelType w:val="multilevel"/>
    <w:tmpl w:val="5BCE8AA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D505AC6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BBB1E41"/>
    <w:multiLevelType w:val="multilevel"/>
    <w:tmpl w:val="FFFFFFFF"/>
    <w:lvl w:ilvl="0">
      <w:start w:val="1"/>
      <w:numFmt w:val="decimal"/>
      <w:lvlText w:val="%1"/>
      <w:lvlJc w:val="left"/>
      <w:pPr>
        <w:ind w:left="460" w:hanging="4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080" w:hanging="108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800" w:hanging="180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2160" w:hanging="216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216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520" w:hanging="2520"/>
      </w:pPr>
      <w:rPr>
        <w:rFonts w:hint="default"/>
      </w:rPr>
    </w:lvl>
  </w:abstractNum>
  <w:abstractNum w:abstractNumId="4" w15:restartNumberingAfterBreak="0">
    <w:nsid w:val="1E7C2863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FC50A36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4161692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50970A5"/>
    <w:multiLevelType w:val="multilevel"/>
    <w:tmpl w:val="3E7687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ind w:left="1440" w:hanging="360"/>
      </w:pPr>
      <w:rPr>
        <w:rFonts w:hint="default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E4E30B5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317E6411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3BC06377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4E420D19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4E487854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5BB50913"/>
    <w:multiLevelType w:val="multilevel"/>
    <w:tmpl w:val="4FB408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ind w:left="1440" w:hanging="360"/>
      </w:pPr>
      <w:rPr>
        <w:rFonts w:hint="default"/>
        <w:sz w:val="32"/>
        <w:szCs w:val="32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8526FD8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B986989"/>
    <w:multiLevelType w:val="multilevel"/>
    <w:tmpl w:val="47E8E5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ind w:left="1440" w:hanging="360"/>
      </w:pPr>
      <w:rPr>
        <w:rFonts w:hint="default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94A650A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B3D22BF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078479718">
    <w:abstractNumId w:val="1"/>
    <w:lvlOverride w:ilvl="0">
      <w:startOverride w:val="1"/>
    </w:lvlOverride>
    <w:lvlOverride w:ilvl="1"/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1722708463">
    <w:abstractNumId w:val="1"/>
    <w:lvlOverride w:ilvl="0">
      <w:startOverride w:val="1"/>
      <w:lvl w:ilvl="0">
        <w:start w:val="1"/>
        <w:numFmt w:val="decimal"/>
        <w:lvlText w:val=""/>
        <w:lvlJc w:val="left"/>
      </w:lvl>
    </w:lvlOverride>
    <w:lvlOverride w:ilvl="1">
      <w:startOverride w:val="1"/>
      <w:lvl w:ilvl="1">
        <w:start w:val="1"/>
        <w:numFmt w:val="decimal"/>
        <w:lvlText w:val=""/>
        <w:lvlJc w:val="left"/>
        <w:pPr>
          <w:tabs>
            <w:tab w:val="num" w:pos="1440"/>
          </w:tabs>
          <w:ind w:left="1440" w:hanging="360"/>
        </w:pPr>
        <w:rPr>
          <w:rFonts w:ascii="Symbol" w:hAnsi="Symbol" w:cs="Times New Roman" w:hint="default"/>
          <w:sz w:val="20"/>
        </w:rPr>
      </w:lvl>
    </w:lvlOverride>
    <w:lvlOverride w:ilvl="2">
      <w:startOverride w:val="1"/>
      <w:lvl w:ilvl="2">
        <w:start w:val="1"/>
        <w:numFmt w:val="decimal"/>
        <w:lvlText w:val=""/>
        <w:lvlJc w:val="left"/>
      </w:lvl>
    </w:lvlOverride>
    <w:lvlOverride w:ilvl="3">
      <w:startOverride w:val="1"/>
      <w:lvl w:ilvl="3">
        <w:start w:val="1"/>
        <w:numFmt w:val="decimal"/>
        <w:lvlText w:val=""/>
        <w:lvlJc w:val="left"/>
      </w:lvl>
    </w:lvlOverride>
    <w:lvlOverride w:ilvl="4">
      <w:startOverride w:val="1"/>
      <w:lvl w:ilvl="4">
        <w:start w:val="1"/>
        <w:numFmt w:val="decimal"/>
        <w:lvlText w:val=""/>
        <w:lvlJc w:val="left"/>
      </w:lvl>
    </w:lvlOverride>
    <w:lvlOverride w:ilvl="5">
      <w:startOverride w:val="1"/>
      <w:lvl w:ilvl="5">
        <w:start w:val="1"/>
        <w:numFmt w:val="decimal"/>
        <w:lvlText w:val=""/>
        <w:lvlJc w:val="left"/>
      </w:lvl>
    </w:lvlOverride>
    <w:lvlOverride w:ilvl="6">
      <w:startOverride w:val="1"/>
      <w:lvl w:ilvl="6">
        <w:start w:val="1"/>
        <w:numFmt w:val="decimal"/>
        <w:lvlText w:val=""/>
        <w:lvlJc w:val="left"/>
      </w:lvl>
    </w:lvlOverride>
    <w:lvlOverride w:ilvl="7">
      <w:startOverride w:val="1"/>
      <w:lvl w:ilvl="7">
        <w:start w:val="1"/>
        <w:numFmt w:val="decimal"/>
        <w:lvlText w:val=""/>
        <w:lvlJc w:val="left"/>
      </w:lvl>
    </w:lvlOverride>
    <w:lvlOverride w:ilvl="8">
      <w:startOverride w:val="1"/>
      <w:lvl w:ilvl="8">
        <w:start w:val="1"/>
        <w:numFmt w:val="decimal"/>
        <w:lvlText w:val=""/>
        <w:lvlJc w:val="left"/>
      </w:lvl>
    </w:lvlOverride>
  </w:num>
  <w:num w:numId="3" w16cid:durableId="1207453060">
    <w:abstractNumId w:val="1"/>
    <w:lvlOverride w:ilvl="0">
      <w:startOverride w:val="1"/>
      <w:lvl w:ilvl="0">
        <w:start w:val="1"/>
        <w:numFmt w:val="decimal"/>
        <w:lvlText w:val=""/>
        <w:lvlJc w:val="left"/>
      </w:lvl>
    </w:lvlOverride>
    <w:lvlOverride w:ilvl="1">
      <w:startOverride w:val="1"/>
      <w:lvl w:ilvl="1">
        <w:start w:val="1"/>
        <w:numFmt w:val="decimal"/>
        <w:lvlText w:val=""/>
        <w:lvlJc w:val="left"/>
        <w:pPr>
          <w:tabs>
            <w:tab w:val="num" w:pos="1440"/>
          </w:tabs>
          <w:ind w:left="1440" w:hanging="360"/>
        </w:pPr>
        <w:rPr>
          <w:rFonts w:ascii="Symbol" w:hAnsi="Symbol" w:cs="Times New Roman" w:hint="default"/>
          <w:sz w:val="20"/>
        </w:rPr>
      </w:lvl>
    </w:lvlOverride>
    <w:lvlOverride w:ilvl="2">
      <w:startOverride w:val="1"/>
      <w:lvl w:ilvl="2">
        <w:start w:val="1"/>
        <w:numFmt w:val="decimal"/>
        <w:lvlText w:val=""/>
        <w:lvlJc w:val="left"/>
      </w:lvl>
    </w:lvlOverride>
    <w:lvlOverride w:ilvl="3">
      <w:startOverride w:val="1"/>
      <w:lvl w:ilvl="3">
        <w:start w:val="1"/>
        <w:numFmt w:val="decimal"/>
        <w:lvlText w:val=""/>
        <w:lvlJc w:val="left"/>
      </w:lvl>
    </w:lvlOverride>
    <w:lvlOverride w:ilvl="4">
      <w:startOverride w:val="1"/>
      <w:lvl w:ilvl="4">
        <w:start w:val="1"/>
        <w:numFmt w:val="decimal"/>
        <w:lvlText w:val=""/>
        <w:lvlJc w:val="left"/>
      </w:lvl>
    </w:lvlOverride>
    <w:lvlOverride w:ilvl="5">
      <w:startOverride w:val="1"/>
      <w:lvl w:ilvl="5">
        <w:start w:val="1"/>
        <w:numFmt w:val="decimal"/>
        <w:lvlText w:val=""/>
        <w:lvlJc w:val="left"/>
      </w:lvl>
    </w:lvlOverride>
    <w:lvlOverride w:ilvl="6">
      <w:startOverride w:val="1"/>
      <w:lvl w:ilvl="6">
        <w:start w:val="1"/>
        <w:numFmt w:val="decimal"/>
        <w:lvlText w:val=""/>
        <w:lvlJc w:val="left"/>
      </w:lvl>
    </w:lvlOverride>
    <w:lvlOverride w:ilvl="7">
      <w:startOverride w:val="1"/>
      <w:lvl w:ilvl="7">
        <w:start w:val="1"/>
        <w:numFmt w:val="decimal"/>
        <w:lvlText w:val=""/>
        <w:lvlJc w:val="left"/>
      </w:lvl>
    </w:lvlOverride>
    <w:lvlOverride w:ilvl="8">
      <w:startOverride w:val="1"/>
      <w:lvl w:ilvl="8">
        <w:start w:val="1"/>
        <w:numFmt w:val="decimal"/>
        <w:lvlText w:val=""/>
        <w:lvlJc w:val="left"/>
      </w:lvl>
    </w:lvlOverride>
  </w:num>
  <w:num w:numId="4" w16cid:durableId="1578396893">
    <w:abstractNumId w:val="1"/>
    <w:lvlOverride w:ilvl="0">
      <w:startOverride w:val="1"/>
      <w:lvl w:ilvl="0">
        <w:start w:val="1"/>
        <w:numFmt w:val="decimal"/>
        <w:lvlText w:val=""/>
        <w:lvlJc w:val="left"/>
      </w:lvl>
    </w:lvlOverride>
    <w:lvlOverride w:ilvl="1">
      <w:startOverride w:val="1"/>
      <w:lvl w:ilvl="1">
        <w:start w:val="1"/>
        <w:numFmt w:val="decimal"/>
        <w:lvlText w:val=""/>
        <w:lvlJc w:val="left"/>
        <w:pPr>
          <w:tabs>
            <w:tab w:val="num" w:pos="1440"/>
          </w:tabs>
          <w:ind w:left="1440" w:hanging="360"/>
        </w:pPr>
        <w:rPr>
          <w:rFonts w:ascii="Symbol" w:hAnsi="Symbol" w:cs="Times New Roman" w:hint="default"/>
          <w:sz w:val="20"/>
        </w:rPr>
      </w:lvl>
    </w:lvlOverride>
    <w:lvlOverride w:ilvl="2">
      <w:startOverride w:val="1"/>
      <w:lvl w:ilvl="2">
        <w:start w:val="1"/>
        <w:numFmt w:val="decimal"/>
        <w:lvlText w:val=""/>
        <w:lvlJc w:val="left"/>
      </w:lvl>
    </w:lvlOverride>
    <w:lvlOverride w:ilvl="3">
      <w:startOverride w:val="1"/>
      <w:lvl w:ilvl="3">
        <w:start w:val="1"/>
        <w:numFmt w:val="decimal"/>
        <w:lvlText w:val=""/>
        <w:lvlJc w:val="left"/>
      </w:lvl>
    </w:lvlOverride>
    <w:lvlOverride w:ilvl="4">
      <w:startOverride w:val="1"/>
      <w:lvl w:ilvl="4">
        <w:start w:val="1"/>
        <w:numFmt w:val="decimal"/>
        <w:lvlText w:val=""/>
        <w:lvlJc w:val="left"/>
      </w:lvl>
    </w:lvlOverride>
    <w:lvlOverride w:ilvl="5">
      <w:startOverride w:val="1"/>
      <w:lvl w:ilvl="5">
        <w:start w:val="1"/>
        <w:numFmt w:val="decimal"/>
        <w:lvlText w:val=""/>
        <w:lvlJc w:val="left"/>
      </w:lvl>
    </w:lvlOverride>
    <w:lvlOverride w:ilvl="6">
      <w:startOverride w:val="1"/>
      <w:lvl w:ilvl="6">
        <w:start w:val="1"/>
        <w:numFmt w:val="decimal"/>
        <w:lvlText w:val=""/>
        <w:lvlJc w:val="left"/>
      </w:lvl>
    </w:lvlOverride>
    <w:lvlOverride w:ilvl="7">
      <w:startOverride w:val="1"/>
      <w:lvl w:ilvl="7">
        <w:start w:val="1"/>
        <w:numFmt w:val="decimal"/>
        <w:lvlText w:val=""/>
        <w:lvlJc w:val="left"/>
      </w:lvl>
    </w:lvlOverride>
    <w:lvlOverride w:ilvl="8">
      <w:startOverride w:val="1"/>
      <w:lvl w:ilvl="8">
        <w:start w:val="1"/>
        <w:numFmt w:val="decimal"/>
        <w:lvlText w:val=""/>
        <w:lvlJc w:val="left"/>
      </w:lvl>
    </w:lvlOverride>
  </w:num>
  <w:num w:numId="5" w16cid:durableId="966936607">
    <w:abstractNumId w:val="1"/>
    <w:lvlOverride w:ilvl="0">
      <w:startOverride w:val="1"/>
      <w:lvl w:ilvl="0">
        <w:start w:val="1"/>
        <w:numFmt w:val="decimal"/>
        <w:lvlText w:val=""/>
        <w:lvlJc w:val="left"/>
      </w:lvl>
    </w:lvlOverride>
    <w:lvlOverride w:ilvl="1">
      <w:startOverride w:val="1"/>
      <w:lvl w:ilvl="1">
        <w:start w:val="1"/>
        <w:numFmt w:val="decimal"/>
        <w:lvlText w:val=""/>
        <w:lvlJc w:val="left"/>
        <w:pPr>
          <w:tabs>
            <w:tab w:val="num" w:pos="1440"/>
          </w:tabs>
          <w:ind w:left="1440" w:hanging="360"/>
        </w:pPr>
        <w:rPr>
          <w:rFonts w:ascii="Symbol" w:hAnsi="Symbol" w:cs="Times New Roman" w:hint="default"/>
          <w:sz w:val="20"/>
        </w:rPr>
      </w:lvl>
    </w:lvlOverride>
    <w:lvlOverride w:ilvl="2">
      <w:startOverride w:val="1"/>
      <w:lvl w:ilvl="2">
        <w:start w:val="1"/>
        <w:numFmt w:val="decimal"/>
        <w:lvlText w:val=""/>
        <w:lvlJc w:val="left"/>
      </w:lvl>
    </w:lvlOverride>
    <w:lvlOverride w:ilvl="3">
      <w:startOverride w:val="1"/>
      <w:lvl w:ilvl="3">
        <w:start w:val="1"/>
        <w:numFmt w:val="decimal"/>
        <w:lvlText w:val=""/>
        <w:lvlJc w:val="left"/>
      </w:lvl>
    </w:lvlOverride>
    <w:lvlOverride w:ilvl="4">
      <w:startOverride w:val="1"/>
      <w:lvl w:ilvl="4">
        <w:start w:val="1"/>
        <w:numFmt w:val="decimal"/>
        <w:lvlText w:val=""/>
        <w:lvlJc w:val="left"/>
      </w:lvl>
    </w:lvlOverride>
    <w:lvlOverride w:ilvl="5">
      <w:startOverride w:val="1"/>
      <w:lvl w:ilvl="5">
        <w:start w:val="1"/>
        <w:numFmt w:val="decimal"/>
        <w:lvlText w:val=""/>
        <w:lvlJc w:val="left"/>
      </w:lvl>
    </w:lvlOverride>
    <w:lvlOverride w:ilvl="6">
      <w:startOverride w:val="1"/>
      <w:lvl w:ilvl="6">
        <w:start w:val="1"/>
        <w:numFmt w:val="decimal"/>
        <w:lvlText w:val=""/>
        <w:lvlJc w:val="left"/>
      </w:lvl>
    </w:lvlOverride>
    <w:lvlOverride w:ilvl="7">
      <w:startOverride w:val="1"/>
      <w:lvl w:ilvl="7">
        <w:start w:val="1"/>
        <w:numFmt w:val="decimal"/>
        <w:lvlText w:val=""/>
        <w:lvlJc w:val="left"/>
      </w:lvl>
    </w:lvlOverride>
    <w:lvlOverride w:ilvl="8">
      <w:startOverride w:val="1"/>
      <w:lvl w:ilvl="8">
        <w:start w:val="1"/>
        <w:numFmt w:val="decimal"/>
        <w:lvlText w:val=""/>
        <w:lvlJc w:val="left"/>
      </w:lvl>
    </w:lvlOverride>
  </w:num>
  <w:num w:numId="6" w16cid:durableId="644822460">
    <w:abstractNumId w:val="1"/>
    <w:lvlOverride w:ilvl="0">
      <w:startOverride w:val="1"/>
      <w:lvl w:ilvl="0">
        <w:start w:val="1"/>
        <w:numFmt w:val="decimal"/>
        <w:lvlText w:val=""/>
        <w:lvlJc w:val="left"/>
      </w:lvl>
    </w:lvlOverride>
    <w:lvlOverride w:ilvl="1">
      <w:startOverride w:val="1"/>
      <w:lvl w:ilvl="1">
        <w:start w:val="1"/>
        <w:numFmt w:val="decimal"/>
        <w:lvlText w:val=""/>
        <w:lvlJc w:val="left"/>
        <w:pPr>
          <w:tabs>
            <w:tab w:val="num" w:pos="1440"/>
          </w:tabs>
          <w:ind w:left="1440" w:hanging="360"/>
        </w:pPr>
        <w:rPr>
          <w:rFonts w:ascii="Symbol" w:hAnsi="Symbol" w:cs="Times New Roman" w:hint="default"/>
          <w:sz w:val="20"/>
        </w:rPr>
      </w:lvl>
    </w:lvlOverride>
    <w:lvlOverride w:ilvl="2">
      <w:startOverride w:val="1"/>
      <w:lvl w:ilvl="2">
        <w:start w:val="1"/>
        <w:numFmt w:val="decimal"/>
        <w:lvlText w:val=""/>
        <w:lvlJc w:val="left"/>
      </w:lvl>
    </w:lvlOverride>
    <w:lvlOverride w:ilvl="3">
      <w:startOverride w:val="1"/>
      <w:lvl w:ilvl="3">
        <w:start w:val="1"/>
        <w:numFmt w:val="decimal"/>
        <w:lvlText w:val=""/>
        <w:lvlJc w:val="left"/>
      </w:lvl>
    </w:lvlOverride>
    <w:lvlOverride w:ilvl="4">
      <w:startOverride w:val="1"/>
      <w:lvl w:ilvl="4">
        <w:start w:val="1"/>
        <w:numFmt w:val="decimal"/>
        <w:lvlText w:val=""/>
        <w:lvlJc w:val="left"/>
      </w:lvl>
    </w:lvlOverride>
    <w:lvlOverride w:ilvl="5">
      <w:startOverride w:val="1"/>
      <w:lvl w:ilvl="5">
        <w:start w:val="1"/>
        <w:numFmt w:val="decimal"/>
        <w:lvlText w:val=""/>
        <w:lvlJc w:val="left"/>
      </w:lvl>
    </w:lvlOverride>
    <w:lvlOverride w:ilvl="6">
      <w:startOverride w:val="1"/>
      <w:lvl w:ilvl="6">
        <w:start w:val="1"/>
        <w:numFmt w:val="decimal"/>
        <w:lvlText w:val=""/>
        <w:lvlJc w:val="left"/>
      </w:lvl>
    </w:lvlOverride>
    <w:lvlOverride w:ilvl="7">
      <w:startOverride w:val="1"/>
      <w:lvl w:ilvl="7">
        <w:start w:val="1"/>
        <w:numFmt w:val="decimal"/>
        <w:lvlText w:val=""/>
        <w:lvlJc w:val="left"/>
      </w:lvl>
    </w:lvlOverride>
    <w:lvlOverride w:ilvl="8">
      <w:startOverride w:val="1"/>
      <w:lvl w:ilvl="8">
        <w:start w:val="1"/>
        <w:numFmt w:val="decimal"/>
        <w:lvlText w:val=""/>
        <w:lvlJc w:val="left"/>
      </w:lvl>
    </w:lvlOverride>
  </w:num>
  <w:num w:numId="7" w16cid:durableId="1296832288">
    <w:abstractNumId w:val="1"/>
    <w:lvlOverride w:ilvl="0">
      <w:startOverride w:val="1"/>
      <w:lvl w:ilvl="0">
        <w:start w:val="1"/>
        <w:numFmt w:val="decimal"/>
        <w:lvlText w:val=""/>
        <w:lvlJc w:val="left"/>
      </w:lvl>
    </w:lvlOverride>
    <w:lvlOverride w:ilvl="1">
      <w:startOverride w:val="1"/>
      <w:lvl w:ilvl="1">
        <w:start w:val="1"/>
        <w:numFmt w:val="decimal"/>
        <w:lvlText w:val=""/>
        <w:lvlJc w:val="left"/>
        <w:pPr>
          <w:tabs>
            <w:tab w:val="num" w:pos="1440"/>
          </w:tabs>
          <w:ind w:left="1440" w:hanging="360"/>
        </w:pPr>
        <w:rPr>
          <w:rFonts w:ascii="Symbol" w:hAnsi="Symbol" w:cs="Times New Roman" w:hint="default"/>
          <w:sz w:val="20"/>
        </w:rPr>
      </w:lvl>
    </w:lvlOverride>
    <w:lvlOverride w:ilvl="2">
      <w:startOverride w:val="1"/>
      <w:lvl w:ilvl="2">
        <w:start w:val="1"/>
        <w:numFmt w:val="decimal"/>
        <w:lvlText w:val=""/>
        <w:lvlJc w:val="left"/>
      </w:lvl>
    </w:lvlOverride>
    <w:lvlOverride w:ilvl="3">
      <w:startOverride w:val="1"/>
      <w:lvl w:ilvl="3">
        <w:start w:val="1"/>
        <w:numFmt w:val="decimal"/>
        <w:lvlText w:val=""/>
        <w:lvlJc w:val="left"/>
      </w:lvl>
    </w:lvlOverride>
    <w:lvlOverride w:ilvl="4">
      <w:startOverride w:val="1"/>
      <w:lvl w:ilvl="4">
        <w:start w:val="1"/>
        <w:numFmt w:val="decimal"/>
        <w:lvlText w:val=""/>
        <w:lvlJc w:val="left"/>
      </w:lvl>
    </w:lvlOverride>
    <w:lvlOverride w:ilvl="5">
      <w:startOverride w:val="1"/>
      <w:lvl w:ilvl="5">
        <w:start w:val="1"/>
        <w:numFmt w:val="decimal"/>
        <w:lvlText w:val=""/>
        <w:lvlJc w:val="left"/>
      </w:lvl>
    </w:lvlOverride>
    <w:lvlOverride w:ilvl="6">
      <w:startOverride w:val="1"/>
      <w:lvl w:ilvl="6">
        <w:start w:val="1"/>
        <w:numFmt w:val="decimal"/>
        <w:lvlText w:val=""/>
        <w:lvlJc w:val="left"/>
      </w:lvl>
    </w:lvlOverride>
    <w:lvlOverride w:ilvl="7">
      <w:startOverride w:val="1"/>
      <w:lvl w:ilvl="7">
        <w:start w:val="1"/>
        <w:numFmt w:val="decimal"/>
        <w:lvlText w:val=""/>
        <w:lvlJc w:val="left"/>
      </w:lvl>
    </w:lvlOverride>
    <w:lvlOverride w:ilvl="8">
      <w:startOverride w:val="1"/>
      <w:lvl w:ilvl="8">
        <w:start w:val="1"/>
        <w:numFmt w:val="decimal"/>
        <w:lvlText w:val=""/>
        <w:lvlJc w:val="left"/>
      </w:lvl>
    </w:lvlOverride>
  </w:num>
  <w:num w:numId="8" w16cid:durableId="1635872125">
    <w:abstractNumId w:val="1"/>
    <w:lvlOverride w:ilvl="0">
      <w:startOverride w:val="1"/>
      <w:lvl w:ilvl="0">
        <w:start w:val="1"/>
        <w:numFmt w:val="decimal"/>
        <w:lvlText w:val=""/>
        <w:lvlJc w:val="left"/>
      </w:lvl>
    </w:lvlOverride>
    <w:lvlOverride w:ilvl="1">
      <w:startOverride w:val="1"/>
      <w:lvl w:ilvl="1">
        <w:start w:val="1"/>
        <w:numFmt w:val="decimal"/>
        <w:lvlText w:val=""/>
        <w:lvlJc w:val="left"/>
        <w:pPr>
          <w:tabs>
            <w:tab w:val="num" w:pos="1440"/>
          </w:tabs>
          <w:ind w:left="1440" w:hanging="360"/>
        </w:pPr>
        <w:rPr>
          <w:rFonts w:ascii="Symbol" w:hAnsi="Symbol" w:cs="Times New Roman" w:hint="default"/>
          <w:sz w:val="20"/>
        </w:rPr>
      </w:lvl>
    </w:lvlOverride>
    <w:lvlOverride w:ilvl="2">
      <w:startOverride w:val="1"/>
      <w:lvl w:ilvl="2">
        <w:start w:val="1"/>
        <w:numFmt w:val="decimal"/>
        <w:lvlText w:val=""/>
        <w:lvlJc w:val="left"/>
      </w:lvl>
    </w:lvlOverride>
    <w:lvlOverride w:ilvl="3">
      <w:startOverride w:val="1"/>
      <w:lvl w:ilvl="3">
        <w:start w:val="1"/>
        <w:numFmt w:val="decimal"/>
        <w:lvlText w:val=""/>
        <w:lvlJc w:val="left"/>
      </w:lvl>
    </w:lvlOverride>
    <w:lvlOverride w:ilvl="4">
      <w:startOverride w:val="1"/>
      <w:lvl w:ilvl="4">
        <w:start w:val="1"/>
        <w:numFmt w:val="decimal"/>
        <w:lvlText w:val=""/>
        <w:lvlJc w:val="left"/>
      </w:lvl>
    </w:lvlOverride>
    <w:lvlOverride w:ilvl="5">
      <w:startOverride w:val="1"/>
      <w:lvl w:ilvl="5">
        <w:start w:val="1"/>
        <w:numFmt w:val="decimal"/>
        <w:lvlText w:val=""/>
        <w:lvlJc w:val="left"/>
      </w:lvl>
    </w:lvlOverride>
    <w:lvlOverride w:ilvl="6">
      <w:startOverride w:val="1"/>
      <w:lvl w:ilvl="6">
        <w:start w:val="1"/>
        <w:numFmt w:val="decimal"/>
        <w:lvlText w:val=""/>
        <w:lvlJc w:val="left"/>
      </w:lvl>
    </w:lvlOverride>
    <w:lvlOverride w:ilvl="7">
      <w:startOverride w:val="1"/>
      <w:lvl w:ilvl="7">
        <w:start w:val="1"/>
        <w:numFmt w:val="decimal"/>
        <w:lvlText w:val=""/>
        <w:lvlJc w:val="left"/>
      </w:lvl>
    </w:lvlOverride>
    <w:lvlOverride w:ilvl="8">
      <w:startOverride w:val="1"/>
      <w:lvl w:ilvl="8">
        <w:start w:val="1"/>
        <w:numFmt w:val="decimal"/>
        <w:lvlText w:val=""/>
        <w:lvlJc w:val="left"/>
      </w:lvl>
    </w:lvlOverride>
  </w:num>
  <w:num w:numId="9" w16cid:durableId="1449157853">
    <w:abstractNumId w:val="1"/>
    <w:lvlOverride w:ilvl="0">
      <w:startOverride w:val="1"/>
      <w:lvl w:ilvl="0">
        <w:start w:val="1"/>
        <w:numFmt w:val="decimal"/>
        <w:lvlText w:val=""/>
        <w:lvlJc w:val="left"/>
      </w:lvl>
    </w:lvlOverride>
    <w:lvlOverride w:ilvl="1">
      <w:startOverride w:val="1"/>
      <w:lvl w:ilvl="1">
        <w:start w:val="1"/>
        <w:numFmt w:val="decimal"/>
        <w:lvlText w:val=""/>
        <w:lvlJc w:val="left"/>
        <w:pPr>
          <w:tabs>
            <w:tab w:val="num" w:pos="1440"/>
          </w:tabs>
          <w:ind w:left="1440" w:hanging="360"/>
        </w:pPr>
        <w:rPr>
          <w:rFonts w:ascii="Symbol" w:hAnsi="Symbol" w:cs="Times New Roman" w:hint="default"/>
          <w:sz w:val="20"/>
        </w:rPr>
      </w:lvl>
    </w:lvlOverride>
    <w:lvlOverride w:ilvl="2">
      <w:startOverride w:val="1"/>
      <w:lvl w:ilvl="2">
        <w:start w:val="1"/>
        <w:numFmt w:val="decimal"/>
        <w:lvlText w:val=""/>
        <w:lvlJc w:val="left"/>
      </w:lvl>
    </w:lvlOverride>
    <w:lvlOverride w:ilvl="3">
      <w:startOverride w:val="1"/>
      <w:lvl w:ilvl="3">
        <w:start w:val="1"/>
        <w:numFmt w:val="decimal"/>
        <w:lvlText w:val=""/>
        <w:lvlJc w:val="left"/>
      </w:lvl>
    </w:lvlOverride>
    <w:lvlOverride w:ilvl="4">
      <w:startOverride w:val="1"/>
      <w:lvl w:ilvl="4">
        <w:start w:val="1"/>
        <w:numFmt w:val="decimal"/>
        <w:lvlText w:val=""/>
        <w:lvlJc w:val="left"/>
      </w:lvl>
    </w:lvlOverride>
    <w:lvlOverride w:ilvl="5">
      <w:startOverride w:val="1"/>
      <w:lvl w:ilvl="5">
        <w:start w:val="1"/>
        <w:numFmt w:val="decimal"/>
        <w:lvlText w:val=""/>
        <w:lvlJc w:val="left"/>
      </w:lvl>
    </w:lvlOverride>
    <w:lvlOverride w:ilvl="6">
      <w:startOverride w:val="1"/>
      <w:lvl w:ilvl="6">
        <w:start w:val="1"/>
        <w:numFmt w:val="decimal"/>
        <w:lvlText w:val=""/>
        <w:lvlJc w:val="left"/>
      </w:lvl>
    </w:lvlOverride>
    <w:lvlOverride w:ilvl="7">
      <w:startOverride w:val="1"/>
      <w:lvl w:ilvl="7">
        <w:start w:val="1"/>
        <w:numFmt w:val="decimal"/>
        <w:lvlText w:val=""/>
        <w:lvlJc w:val="left"/>
      </w:lvl>
    </w:lvlOverride>
    <w:lvlOverride w:ilvl="8">
      <w:startOverride w:val="1"/>
      <w:lvl w:ilvl="8">
        <w:start w:val="1"/>
        <w:numFmt w:val="decimal"/>
        <w:lvlText w:val=""/>
        <w:lvlJc w:val="left"/>
      </w:lvl>
    </w:lvlOverride>
  </w:num>
  <w:num w:numId="10" w16cid:durableId="1746143959">
    <w:abstractNumId w:val="1"/>
    <w:lvlOverride w:ilvl="0">
      <w:startOverride w:val="1"/>
      <w:lvl w:ilvl="0">
        <w:start w:val="1"/>
        <w:numFmt w:val="decimal"/>
        <w:lvlText w:val=""/>
        <w:lvlJc w:val="left"/>
      </w:lvl>
    </w:lvlOverride>
    <w:lvlOverride w:ilvl="1">
      <w:startOverride w:val="1"/>
      <w:lvl w:ilvl="1">
        <w:start w:val="1"/>
        <w:numFmt w:val="decimal"/>
        <w:lvlText w:val=""/>
        <w:lvlJc w:val="left"/>
        <w:pPr>
          <w:tabs>
            <w:tab w:val="num" w:pos="1440"/>
          </w:tabs>
          <w:ind w:left="1440" w:hanging="360"/>
        </w:pPr>
        <w:rPr>
          <w:rFonts w:ascii="Symbol" w:hAnsi="Symbol" w:cs="Times New Roman" w:hint="default"/>
          <w:sz w:val="20"/>
        </w:rPr>
      </w:lvl>
    </w:lvlOverride>
    <w:lvlOverride w:ilvl="2">
      <w:startOverride w:val="1"/>
      <w:lvl w:ilvl="2">
        <w:start w:val="1"/>
        <w:numFmt w:val="decimal"/>
        <w:lvlText w:val=""/>
        <w:lvlJc w:val="left"/>
      </w:lvl>
    </w:lvlOverride>
    <w:lvlOverride w:ilvl="3">
      <w:startOverride w:val="1"/>
      <w:lvl w:ilvl="3">
        <w:start w:val="1"/>
        <w:numFmt w:val="decimal"/>
        <w:lvlText w:val=""/>
        <w:lvlJc w:val="left"/>
      </w:lvl>
    </w:lvlOverride>
    <w:lvlOverride w:ilvl="4">
      <w:startOverride w:val="1"/>
      <w:lvl w:ilvl="4">
        <w:start w:val="1"/>
        <w:numFmt w:val="decimal"/>
        <w:lvlText w:val=""/>
        <w:lvlJc w:val="left"/>
      </w:lvl>
    </w:lvlOverride>
    <w:lvlOverride w:ilvl="5">
      <w:startOverride w:val="1"/>
      <w:lvl w:ilvl="5">
        <w:start w:val="1"/>
        <w:numFmt w:val="decimal"/>
        <w:lvlText w:val=""/>
        <w:lvlJc w:val="left"/>
      </w:lvl>
    </w:lvlOverride>
    <w:lvlOverride w:ilvl="6">
      <w:startOverride w:val="1"/>
      <w:lvl w:ilvl="6">
        <w:start w:val="1"/>
        <w:numFmt w:val="decimal"/>
        <w:lvlText w:val=""/>
        <w:lvlJc w:val="left"/>
      </w:lvl>
    </w:lvlOverride>
    <w:lvlOverride w:ilvl="7">
      <w:startOverride w:val="1"/>
      <w:lvl w:ilvl="7">
        <w:start w:val="1"/>
        <w:numFmt w:val="decimal"/>
        <w:lvlText w:val=""/>
        <w:lvlJc w:val="left"/>
      </w:lvl>
    </w:lvlOverride>
    <w:lvlOverride w:ilvl="8">
      <w:startOverride w:val="1"/>
      <w:lvl w:ilvl="8">
        <w:start w:val="1"/>
        <w:numFmt w:val="decimal"/>
        <w:lvlText w:val=""/>
        <w:lvlJc w:val="left"/>
      </w:lvl>
    </w:lvlOverride>
  </w:num>
  <w:num w:numId="11" w16cid:durableId="125704609">
    <w:abstractNumId w:val="1"/>
    <w:lvlOverride w:ilvl="0">
      <w:startOverride w:val="1"/>
      <w:lvl w:ilvl="0">
        <w:start w:val="1"/>
        <w:numFmt w:val="decimal"/>
        <w:lvlText w:val=""/>
        <w:lvlJc w:val="left"/>
      </w:lvl>
    </w:lvlOverride>
    <w:lvlOverride w:ilvl="1">
      <w:startOverride w:val="1"/>
      <w:lvl w:ilvl="1">
        <w:start w:val="1"/>
        <w:numFmt w:val="decimal"/>
        <w:lvlText w:val=""/>
        <w:lvlJc w:val="left"/>
        <w:pPr>
          <w:tabs>
            <w:tab w:val="num" w:pos="1440"/>
          </w:tabs>
          <w:ind w:left="1440" w:hanging="360"/>
        </w:pPr>
        <w:rPr>
          <w:rFonts w:ascii="Symbol" w:hAnsi="Symbol" w:cs="Times New Roman" w:hint="default"/>
          <w:sz w:val="20"/>
        </w:rPr>
      </w:lvl>
    </w:lvlOverride>
    <w:lvlOverride w:ilvl="2">
      <w:startOverride w:val="1"/>
      <w:lvl w:ilvl="2">
        <w:start w:val="1"/>
        <w:numFmt w:val="decimal"/>
        <w:lvlText w:val=""/>
        <w:lvlJc w:val="left"/>
      </w:lvl>
    </w:lvlOverride>
    <w:lvlOverride w:ilvl="3">
      <w:startOverride w:val="1"/>
      <w:lvl w:ilvl="3">
        <w:start w:val="1"/>
        <w:numFmt w:val="decimal"/>
        <w:lvlText w:val=""/>
        <w:lvlJc w:val="left"/>
      </w:lvl>
    </w:lvlOverride>
    <w:lvlOverride w:ilvl="4">
      <w:startOverride w:val="1"/>
      <w:lvl w:ilvl="4">
        <w:start w:val="1"/>
        <w:numFmt w:val="decimal"/>
        <w:lvlText w:val=""/>
        <w:lvlJc w:val="left"/>
      </w:lvl>
    </w:lvlOverride>
    <w:lvlOverride w:ilvl="5">
      <w:startOverride w:val="1"/>
      <w:lvl w:ilvl="5">
        <w:start w:val="1"/>
        <w:numFmt w:val="decimal"/>
        <w:lvlText w:val=""/>
        <w:lvlJc w:val="left"/>
      </w:lvl>
    </w:lvlOverride>
    <w:lvlOverride w:ilvl="6">
      <w:startOverride w:val="1"/>
      <w:lvl w:ilvl="6">
        <w:start w:val="1"/>
        <w:numFmt w:val="decimal"/>
        <w:lvlText w:val=""/>
        <w:lvlJc w:val="left"/>
      </w:lvl>
    </w:lvlOverride>
    <w:lvlOverride w:ilvl="7">
      <w:startOverride w:val="1"/>
      <w:lvl w:ilvl="7">
        <w:start w:val="1"/>
        <w:numFmt w:val="decimal"/>
        <w:lvlText w:val=""/>
        <w:lvlJc w:val="left"/>
      </w:lvl>
    </w:lvlOverride>
    <w:lvlOverride w:ilvl="8">
      <w:startOverride w:val="1"/>
      <w:lvl w:ilvl="8">
        <w:start w:val="1"/>
        <w:numFmt w:val="decimal"/>
        <w:lvlText w:val=""/>
        <w:lvlJc w:val="left"/>
      </w:lvl>
    </w:lvlOverride>
  </w:num>
  <w:num w:numId="12" w16cid:durableId="1935701707">
    <w:abstractNumId w:val="1"/>
    <w:lvlOverride w:ilvl="0">
      <w:startOverride w:val="1"/>
      <w:lvl w:ilvl="0">
        <w:start w:val="1"/>
        <w:numFmt w:val="decimal"/>
        <w:lvlText w:val=""/>
        <w:lvlJc w:val="left"/>
      </w:lvl>
    </w:lvlOverride>
    <w:lvlOverride w:ilvl="1">
      <w:startOverride w:val="1"/>
      <w:lvl w:ilvl="1">
        <w:start w:val="1"/>
        <w:numFmt w:val="decimal"/>
        <w:lvlText w:val=""/>
        <w:lvlJc w:val="left"/>
        <w:pPr>
          <w:tabs>
            <w:tab w:val="num" w:pos="1440"/>
          </w:tabs>
          <w:ind w:left="1440" w:hanging="360"/>
        </w:pPr>
        <w:rPr>
          <w:rFonts w:ascii="Symbol" w:hAnsi="Symbol" w:cs="Times New Roman" w:hint="default"/>
          <w:sz w:val="20"/>
        </w:rPr>
      </w:lvl>
    </w:lvlOverride>
    <w:lvlOverride w:ilvl="2">
      <w:startOverride w:val="1"/>
      <w:lvl w:ilvl="2">
        <w:start w:val="1"/>
        <w:numFmt w:val="decimal"/>
        <w:lvlText w:val=""/>
        <w:lvlJc w:val="left"/>
      </w:lvl>
    </w:lvlOverride>
    <w:lvlOverride w:ilvl="3">
      <w:startOverride w:val="1"/>
      <w:lvl w:ilvl="3">
        <w:start w:val="1"/>
        <w:numFmt w:val="decimal"/>
        <w:lvlText w:val=""/>
        <w:lvlJc w:val="left"/>
      </w:lvl>
    </w:lvlOverride>
    <w:lvlOverride w:ilvl="4">
      <w:startOverride w:val="1"/>
      <w:lvl w:ilvl="4">
        <w:start w:val="1"/>
        <w:numFmt w:val="decimal"/>
        <w:lvlText w:val=""/>
        <w:lvlJc w:val="left"/>
      </w:lvl>
    </w:lvlOverride>
    <w:lvlOverride w:ilvl="5">
      <w:startOverride w:val="1"/>
      <w:lvl w:ilvl="5">
        <w:start w:val="1"/>
        <w:numFmt w:val="decimal"/>
        <w:lvlText w:val=""/>
        <w:lvlJc w:val="left"/>
      </w:lvl>
    </w:lvlOverride>
    <w:lvlOverride w:ilvl="6">
      <w:startOverride w:val="1"/>
      <w:lvl w:ilvl="6">
        <w:start w:val="1"/>
        <w:numFmt w:val="decimal"/>
        <w:lvlText w:val=""/>
        <w:lvlJc w:val="left"/>
      </w:lvl>
    </w:lvlOverride>
    <w:lvlOverride w:ilvl="7">
      <w:startOverride w:val="1"/>
      <w:lvl w:ilvl="7">
        <w:start w:val="1"/>
        <w:numFmt w:val="decimal"/>
        <w:lvlText w:val=""/>
        <w:lvlJc w:val="left"/>
      </w:lvl>
    </w:lvlOverride>
    <w:lvlOverride w:ilvl="8">
      <w:startOverride w:val="1"/>
      <w:lvl w:ilvl="8">
        <w:start w:val="1"/>
        <w:numFmt w:val="decimal"/>
        <w:lvlText w:val=""/>
        <w:lvlJc w:val="left"/>
      </w:lvl>
    </w:lvlOverride>
  </w:num>
  <w:num w:numId="13" w16cid:durableId="1672173322">
    <w:abstractNumId w:val="1"/>
    <w:lvlOverride w:ilvl="0">
      <w:startOverride w:val="1"/>
      <w:lvl w:ilvl="0">
        <w:start w:val="1"/>
        <w:numFmt w:val="decimal"/>
        <w:lvlText w:val=""/>
        <w:lvlJc w:val="left"/>
      </w:lvl>
    </w:lvlOverride>
    <w:lvlOverride w:ilvl="1">
      <w:startOverride w:val="1"/>
      <w:lvl w:ilvl="1">
        <w:start w:val="1"/>
        <w:numFmt w:val="decimal"/>
        <w:lvlText w:val=""/>
        <w:lvlJc w:val="left"/>
        <w:pPr>
          <w:tabs>
            <w:tab w:val="num" w:pos="1440"/>
          </w:tabs>
          <w:ind w:left="1440" w:hanging="360"/>
        </w:pPr>
        <w:rPr>
          <w:rFonts w:ascii="Symbol" w:hAnsi="Symbol" w:cs="Times New Roman" w:hint="default"/>
          <w:sz w:val="20"/>
        </w:rPr>
      </w:lvl>
    </w:lvlOverride>
    <w:lvlOverride w:ilvl="2">
      <w:startOverride w:val="1"/>
      <w:lvl w:ilvl="2">
        <w:start w:val="1"/>
        <w:numFmt w:val="decimal"/>
        <w:lvlText w:val=""/>
        <w:lvlJc w:val="left"/>
      </w:lvl>
    </w:lvlOverride>
    <w:lvlOverride w:ilvl="3">
      <w:startOverride w:val="1"/>
      <w:lvl w:ilvl="3">
        <w:start w:val="1"/>
        <w:numFmt w:val="decimal"/>
        <w:lvlText w:val=""/>
        <w:lvlJc w:val="left"/>
      </w:lvl>
    </w:lvlOverride>
    <w:lvlOverride w:ilvl="4">
      <w:startOverride w:val="1"/>
      <w:lvl w:ilvl="4">
        <w:start w:val="1"/>
        <w:numFmt w:val="decimal"/>
        <w:lvlText w:val=""/>
        <w:lvlJc w:val="left"/>
      </w:lvl>
    </w:lvlOverride>
    <w:lvlOverride w:ilvl="5">
      <w:startOverride w:val="1"/>
      <w:lvl w:ilvl="5">
        <w:start w:val="1"/>
        <w:numFmt w:val="decimal"/>
        <w:lvlText w:val=""/>
        <w:lvlJc w:val="left"/>
      </w:lvl>
    </w:lvlOverride>
    <w:lvlOverride w:ilvl="6">
      <w:startOverride w:val="1"/>
      <w:lvl w:ilvl="6">
        <w:start w:val="1"/>
        <w:numFmt w:val="decimal"/>
        <w:lvlText w:val=""/>
        <w:lvlJc w:val="left"/>
      </w:lvl>
    </w:lvlOverride>
    <w:lvlOverride w:ilvl="7">
      <w:startOverride w:val="1"/>
      <w:lvl w:ilvl="7">
        <w:start w:val="1"/>
        <w:numFmt w:val="decimal"/>
        <w:lvlText w:val=""/>
        <w:lvlJc w:val="left"/>
      </w:lvl>
    </w:lvlOverride>
    <w:lvlOverride w:ilvl="8">
      <w:startOverride w:val="1"/>
      <w:lvl w:ilvl="8">
        <w:start w:val="1"/>
        <w:numFmt w:val="decimal"/>
        <w:lvlText w:val=""/>
        <w:lvlJc w:val="left"/>
      </w:lvl>
    </w:lvlOverride>
  </w:num>
  <w:num w:numId="14" w16cid:durableId="102967219">
    <w:abstractNumId w:val="1"/>
    <w:lvlOverride w:ilvl="0">
      <w:startOverride w:val="1"/>
      <w:lvl w:ilvl="0">
        <w:start w:val="1"/>
        <w:numFmt w:val="decimal"/>
        <w:lvlText w:val=""/>
        <w:lvlJc w:val="left"/>
      </w:lvl>
    </w:lvlOverride>
    <w:lvlOverride w:ilvl="1">
      <w:startOverride w:val="1"/>
      <w:lvl w:ilvl="1">
        <w:start w:val="1"/>
        <w:numFmt w:val="decimal"/>
        <w:lvlText w:val=""/>
        <w:lvlJc w:val="left"/>
        <w:pPr>
          <w:tabs>
            <w:tab w:val="num" w:pos="1440"/>
          </w:tabs>
          <w:ind w:left="1440" w:hanging="360"/>
        </w:pPr>
        <w:rPr>
          <w:rFonts w:ascii="Symbol" w:hAnsi="Symbol" w:cs="Times New Roman" w:hint="default"/>
          <w:sz w:val="20"/>
        </w:rPr>
      </w:lvl>
    </w:lvlOverride>
    <w:lvlOverride w:ilvl="2">
      <w:startOverride w:val="1"/>
      <w:lvl w:ilvl="2">
        <w:start w:val="1"/>
        <w:numFmt w:val="decimal"/>
        <w:lvlText w:val=""/>
        <w:lvlJc w:val="left"/>
      </w:lvl>
    </w:lvlOverride>
    <w:lvlOverride w:ilvl="3">
      <w:startOverride w:val="1"/>
      <w:lvl w:ilvl="3">
        <w:start w:val="1"/>
        <w:numFmt w:val="decimal"/>
        <w:lvlText w:val=""/>
        <w:lvlJc w:val="left"/>
      </w:lvl>
    </w:lvlOverride>
    <w:lvlOverride w:ilvl="4">
      <w:startOverride w:val="1"/>
      <w:lvl w:ilvl="4">
        <w:start w:val="1"/>
        <w:numFmt w:val="decimal"/>
        <w:lvlText w:val=""/>
        <w:lvlJc w:val="left"/>
      </w:lvl>
    </w:lvlOverride>
    <w:lvlOverride w:ilvl="5">
      <w:startOverride w:val="1"/>
      <w:lvl w:ilvl="5">
        <w:start w:val="1"/>
        <w:numFmt w:val="decimal"/>
        <w:lvlText w:val=""/>
        <w:lvlJc w:val="left"/>
      </w:lvl>
    </w:lvlOverride>
    <w:lvlOverride w:ilvl="6">
      <w:startOverride w:val="1"/>
      <w:lvl w:ilvl="6">
        <w:start w:val="1"/>
        <w:numFmt w:val="decimal"/>
        <w:lvlText w:val=""/>
        <w:lvlJc w:val="left"/>
      </w:lvl>
    </w:lvlOverride>
    <w:lvlOverride w:ilvl="7">
      <w:startOverride w:val="1"/>
      <w:lvl w:ilvl="7">
        <w:start w:val="1"/>
        <w:numFmt w:val="decimal"/>
        <w:lvlText w:val=""/>
        <w:lvlJc w:val="left"/>
      </w:lvl>
    </w:lvlOverride>
    <w:lvlOverride w:ilvl="8">
      <w:startOverride w:val="1"/>
      <w:lvl w:ilvl="8">
        <w:start w:val="1"/>
        <w:numFmt w:val="decimal"/>
        <w:lvlText w:val=""/>
        <w:lvlJc w:val="left"/>
      </w:lvl>
    </w:lvlOverride>
  </w:num>
  <w:num w:numId="15" w16cid:durableId="564729213">
    <w:abstractNumId w:val="1"/>
    <w:lvlOverride w:ilvl="0">
      <w:startOverride w:val="1"/>
      <w:lvl w:ilvl="0">
        <w:start w:val="1"/>
        <w:numFmt w:val="decimal"/>
        <w:lvlText w:val=""/>
        <w:lvlJc w:val="left"/>
      </w:lvl>
    </w:lvlOverride>
    <w:lvlOverride w:ilvl="1">
      <w:startOverride w:val="1"/>
      <w:lvl w:ilvl="1">
        <w:start w:val="1"/>
        <w:numFmt w:val="decimal"/>
        <w:lvlText w:val=""/>
        <w:lvlJc w:val="left"/>
        <w:pPr>
          <w:tabs>
            <w:tab w:val="num" w:pos="1440"/>
          </w:tabs>
          <w:ind w:left="1440" w:hanging="360"/>
        </w:pPr>
        <w:rPr>
          <w:rFonts w:ascii="Symbol" w:hAnsi="Symbol" w:cs="Times New Roman" w:hint="default"/>
          <w:sz w:val="20"/>
        </w:rPr>
      </w:lvl>
    </w:lvlOverride>
    <w:lvlOverride w:ilvl="2">
      <w:startOverride w:val="1"/>
      <w:lvl w:ilvl="2">
        <w:start w:val="1"/>
        <w:numFmt w:val="decimal"/>
        <w:lvlText w:val=""/>
        <w:lvlJc w:val="left"/>
      </w:lvl>
    </w:lvlOverride>
    <w:lvlOverride w:ilvl="3">
      <w:startOverride w:val="1"/>
      <w:lvl w:ilvl="3">
        <w:start w:val="1"/>
        <w:numFmt w:val="decimal"/>
        <w:lvlText w:val=""/>
        <w:lvlJc w:val="left"/>
      </w:lvl>
    </w:lvlOverride>
    <w:lvlOverride w:ilvl="4">
      <w:startOverride w:val="1"/>
      <w:lvl w:ilvl="4">
        <w:start w:val="1"/>
        <w:numFmt w:val="decimal"/>
        <w:lvlText w:val=""/>
        <w:lvlJc w:val="left"/>
      </w:lvl>
    </w:lvlOverride>
    <w:lvlOverride w:ilvl="5">
      <w:startOverride w:val="1"/>
      <w:lvl w:ilvl="5">
        <w:start w:val="1"/>
        <w:numFmt w:val="decimal"/>
        <w:lvlText w:val=""/>
        <w:lvlJc w:val="left"/>
      </w:lvl>
    </w:lvlOverride>
    <w:lvlOverride w:ilvl="6">
      <w:startOverride w:val="1"/>
      <w:lvl w:ilvl="6">
        <w:start w:val="1"/>
        <w:numFmt w:val="decimal"/>
        <w:lvlText w:val=""/>
        <w:lvlJc w:val="left"/>
      </w:lvl>
    </w:lvlOverride>
    <w:lvlOverride w:ilvl="7">
      <w:startOverride w:val="1"/>
      <w:lvl w:ilvl="7">
        <w:start w:val="1"/>
        <w:numFmt w:val="decimal"/>
        <w:lvlText w:val=""/>
        <w:lvlJc w:val="left"/>
      </w:lvl>
    </w:lvlOverride>
    <w:lvlOverride w:ilvl="8">
      <w:startOverride w:val="1"/>
      <w:lvl w:ilvl="8">
        <w:start w:val="1"/>
        <w:numFmt w:val="decimal"/>
        <w:lvlText w:val=""/>
        <w:lvlJc w:val="left"/>
      </w:lvl>
    </w:lvlOverride>
  </w:num>
  <w:num w:numId="16" w16cid:durableId="592667073">
    <w:abstractNumId w:val="11"/>
  </w:num>
  <w:num w:numId="17" w16cid:durableId="124543572">
    <w:abstractNumId w:val="14"/>
  </w:num>
  <w:num w:numId="18" w16cid:durableId="875314771">
    <w:abstractNumId w:val="17"/>
  </w:num>
  <w:num w:numId="19" w16cid:durableId="349259073">
    <w:abstractNumId w:val="10"/>
  </w:num>
  <w:num w:numId="20" w16cid:durableId="472530203">
    <w:abstractNumId w:val="6"/>
  </w:num>
  <w:num w:numId="21" w16cid:durableId="1856841397">
    <w:abstractNumId w:val="16"/>
  </w:num>
  <w:num w:numId="22" w16cid:durableId="540901191">
    <w:abstractNumId w:val="9"/>
  </w:num>
  <w:num w:numId="23" w16cid:durableId="1853565596">
    <w:abstractNumId w:val="5"/>
  </w:num>
  <w:num w:numId="24" w16cid:durableId="1954168166">
    <w:abstractNumId w:val="12"/>
  </w:num>
  <w:num w:numId="25" w16cid:durableId="827674227">
    <w:abstractNumId w:val="7"/>
  </w:num>
  <w:num w:numId="26" w16cid:durableId="1258907448">
    <w:abstractNumId w:val="13"/>
  </w:num>
  <w:num w:numId="27" w16cid:durableId="1316763641">
    <w:abstractNumId w:val="8"/>
  </w:num>
  <w:num w:numId="28" w16cid:durableId="1827547257">
    <w:abstractNumId w:val="0"/>
  </w:num>
  <w:num w:numId="29" w16cid:durableId="1957519867">
    <w:abstractNumId w:val="15"/>
  </w:num>
  <w:num w:numId="30" w16cid:durableId="223565312">
    <w:abstractNumId w:val="4"/>
  </w:num>
  <w:num w:numId="31" w16cid:durableId="420764596">
    <w:abstractNumId w:val="2"/>
  </w:num>
  <w:num w:numId="32" w16cid:durableId="128064406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1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33F2"/>
    <w:rsid w:val="00003CF3"/>
    <w:rsid w:val="00003DD9"/>
    <w:rsid w:val="00003E91"/>
    <w:rsid w:val="0000588F"/>
    <w:rsid w:val="0001260B"/>
    <w:rsid w:val="0001497B"/>
    <w:rsid w:val="00014F24"/>
    <w:rsid w:val="00025A38"/>
    <w:rsid w:val="00026186"/>
    <w:rsid w:val="00026F82"/>
    <w:rsid w:val="00030D5B"/>
    <w:rsid w:val="0003789D"/>
    <w:rsid w:val="00042899"/>
    <w:rsid w:val="0005122D"/>
    <w:rsid w:val="00052115"/>
    <w:rsid w:val="00055EFC"/>
    <w:rsid w:val="0006652E"/>
    <w:rsid w:val="00067DA3"/>
    <w:rsid w:val="000717FC"/>
    <w:rsid w:val="0007372E"/>
    <w:rsid w:val="00074F48"/>
    <w:rsid w:val="00082BF4"/>
    <w:rsid w:val="00087070"/>
    <w:rsid w:val="00087DEB"/>
    <w:rsid w:val="00091ED7"/>
    <w:rsid w:val="00094A76"/>
    <w:rsid w:val="000A1446"/>
    <w:rsid w:val="000A5121"/>
    <w:rsid w:val="000B0F52"/>
    <w:rsid w:val="000B2361"/>
    <w:rsid w:val="000B2AD8"/>
    <w:rsid w:val="000B446A"/>
    <w:rsid w:val="000B455A"/>
    <w:rsid w:val="000B4810"/>
    <w:rsid w:val="000C1505"/>
    <w:rsid w:val="000C3710"/>
    <w:rsid w:val="000C46A0"/>
    <w:rsid w:val="000C4AA8"/>
    <w:rsid w:val="000C7F10"/>
    <w:rsid w:val="000D0560"/>
    <w:rsid w:val="000D3F5B"/>
    <w:rsid w:val="000E2F92"/>
    <w:rsid w:val="000E3F6C"/>
    <w:rsid w:val="000E537E"/>
    <w:rsid w:val="000E54BF"/>
    <w:rsid w:val="000F1387"/>
    <w:rsid w:val="000F3BDF"/>
    <w:rsid w:val="000F4A17"/>
    <w:rsid w:val="0010140F"/>
    <w:rsid w:val="001014CF"/>
    <w:rsid w:val="00106794"/>
    <w:rsid w:val="00111595"/>
    <w:rsid w:val="00111890"/>
    <w:rsid w:val="00114E56"/>
    <w:rsid w:val="00116BA0"/>
    <w:rsid w:val="00117898"/>
    <w:rsid w:val="001238EA"/>
    <w:rsid w:val="00123F53"/>
    <w:rsid w:val="00135109"/>
    <w:rsid w:val="001375BA"/>
    <w:rsid w:val="00137B4D"/>
    <w:rsid w:val="00137B5D"/>
    <w:rsid w:val="00140508"/>
    <w:rsid w:val="00140938"/>
    <w:rsid w:val="00141094"/>
    <w:rsid w:val="001433A3"/>
    <w:rsid w:val="00150DFF"/>
    <w:rsid w:val="00152AA8"/>
    <w:rsid w:val="001572F1"/>
    <w:rsid w:val="00161A4E"/>
    <w:rsid w:val="00163630"/>
    <w:rsid w:val="001667EB"/>
    <w:rsid w:val="00172654"/>
    <w:rsid w:val="00174EEC"/>
    <w:rsid w:val="00180F28"/>
    <w:rsid w:val="0018296B"/>
    <w:rsid w:val="00185269"/>
    <w:rsid w:val="00185414"/>
    <w:rsid w:val="00190519"/>
    <w:rsid w:val="0019058E"/>
    <w:rsid w:val="001917F9"/>
    <w:rsid w:val="00192D34"/>
    <w:rsid w:val="00195419"/>
    <w:rsid w:val="00195F8B"/>
    <w:rsid w:val="0019701B"/>
    <w:rsid w:val="00197696"/>
    <w:rsid w:val="001A16A8"/>
    <w:rsid w:val="001A3927"/>
    <w:rsid w:val="001A43B2"/>
    <w:rsid w:val="001A69ED"/>
    <w:rsid w:val="001B3F93"/>
    <w:rsid w:val="001B6441"/>
    <w:rsid w:val="001C0594"/>
    <w:rsid w:val="001C1C72"/>
    <w:rsid w:val="001C5A31"/>
    <w:rsid w:val="001C763A"/>
    <w:rsid w:val="001D084F"/>
    <w:rsid w:val="001D5783"/>
    <w:rsid w:val="001D642C"/>
    <w:rsid w:val="001D753F"/>
    <w:rsid w:val="001E1841"/>
    <w:rsid w:val="001E47B4"/>
    <w:rsid w:val="001E4C6F"/>
    <w:rsid w:val="001E72C2"/>
    <w:rsid w:val="001E76CC"/>
    <w:rsid w:val="001F6061"/>
    <w:rsid w:val="00200371"/>
    <w:rsid w:val="00212E51"/>
    <w:rsid w:val="002142C0"/>
    <w:rsid w:val="00216C9C"/>
    <w:rsid w:val="00220633"/>
    <w:rsid w:val="00222C98"/>
    <w:rsid w:val="00226F3D"/>
    <w:rsid w:val="002319F3"/>
    <w:rsid w:val="00237D3A"/>
    <w:rsid w:val="00241613"/>
    <w:rsid w:val="00242092"/>
    <w:rsid w:val="00245636"/>
    <w:rsid w:val="00245EBF"/>
    <w:rsid w:val="00251AFA"/>
    <w:rsid w:val="00254082"/>
    <w:rsid w:val="00254275"/>
    <w:rsid w:val="00261F56"/>
    <w:rsid w:val="002648F7"/>
    <w:rsid w:val="00267767"/>
    <w:rsid w:val="002733C3"/>
    <w:rsid w:val="002738EC"/>
    <w:rsid w:val="002742C8"/>
    <w:rsid w:val="00275977"/>
    <w:rsid w:val="002816E4"/>
    <w:rsid w:val="0028295B"/>
    <w:rsid w:val="0028310A"/>
    <w:rsid w:val="0028527D"/>
    <w:rsid w:val="002866BC"/>
    <w:rsid w:val="0029799F"/>
    <w:rsid w:val="002A310B"/>
    <w:rsid w:val="002A35BA"/>
    <w:rsid w:val="002A3DFC"/>
    <w:rsid w:val="002B3708"/>
    <w:rsid w:val="002B7273"/>
    <w:rsid w:val="002C17D2"/>
    <w:rsid w:val="002C38E7"/>
    <w:rsid w:val="002D1DA2"/>
    <w:rsid w:val="002E658D"/>
    <w:rsid w:val="002E659E"/>
    <w:rsid w:val="002E65EB"/>
    <w:rsid w:val="002F3CFB"/>
    <w:rsid w:val="002F77C9"/>
    <w:rsid w:val="00300581"/>
    <w:rsid w:val="003034D4"/>
    <w:rsid w:val="00303889"/>
    <w:rsid w:val="003045AF"/>
    <w:rsid w:val="003056AD"/>
    <w:rsid w:val="00305CF2"/>
    <w:rsid w:val="00306B25"/>
    <w:rsid w:val="00317D18"/>
    <w:rsid w:val="003202DC"/>
    <w:rsid w:val="00321084"/>
    <w:rsid w:val="003211DF"/>
    <w:rsid w:val="00323149"/>
    <w:rsid w:val="00323DF2"/>
    <w:rsid w:val="003258C3"/>
    <w:rsid w:val="00330731"/>
    <w:rsid w:val="003311BD"/>
    <w:rsid w:val="00332D4D"/>
    <w:rsid w:val="0033334E"/>
    <w:rsid w:val="003339C9"/>
    <w:rsid w:val="00340E50"/>
    <w:rsid w:val="00350798"/>
    <w:rsid w:val="00351403"/>
    <w:rsid w:val="00367D42"/>
    <w:rsid w:val="003730FA"/>
    <w:rsid w:val="00374F82"/>
    <w:rsid w:val="003760B6"/>
    <w:rsid w:val="00377AB5"/>
    <w:rsid w:val="00380EC5"/>
    <w:rsid w:val="003834E8"/>
    <w:rsid w:val="00386C53"/>
    <w:rsid w:val="00387604"/>
    <w:rsid w:val="003902E9"/>
    <w:rsid w:val="00395D00"/>
    <w:rsid w:val="003A043B"/>
    <w:rsid w:val="003A0D19"/>
    <w:rsid w:val="003A35A4"/>
    <w:rsid w:val="003A3BFE"/>
    <w:rsid w:val="003A7268"/>
    <w:rsid w:val="003A732D"/>
    <w:rsid w:val="003B528D"/>
    <w:rsid w:val="003B78AA"/>
    <w:rsid w:val="003C1020"/>
    <w:rsid w:val="003C2326"/>
    <w:rsid w:val="003C3A06"/>
    <w:rsid w:val="003C4366"/>
    <w:rsid w:val="003C67C0"/>
    <w:rsid w:val="003D0B90"/>
    <w:rsid w:val="003D1088"/>
    <w:rsid w:val="003D15E4"/>
    <w:rsid w:val="003D17F9"/>
    <w:rsid w:val="003D4507"/>
    <w:rsid w:val="003D64A5"/>
    <w:rsid w:val="003E3431"/>
    <w:rsid w:val="003E5BFE"/>
    <w:rsid w:val="003E6DEF"/>
    <w:rsid w:val="003F04EC"/>
    <w:rsid w:val="003F5ED8"/>
    <w:rsid w:val="003F63D2"/>
    <w:rsid w:val="00404873"/>
    <w:rsid w:val="00406137"/>
    <w:rsid w:val="00407FC7"/>
    <w:rsid w:val="004105C6"/>
    <w:rsid w:val="00410AF1"/>
    <w:rsid w:val="00412714"/>
    <w:rsid w:val="004158D8"/>
    <w:rsid w:val="00416571"/>
    <w:rsid w:val="004214F3"/>
    <w:rsid w:val="004215F6"/>
    <w:rsid w:val="00422D3B"/>
    <w:rsid w:val="00424107"/>
    <w:rsid w:val="004252EF"/>
    <w:rsid w:val="004304EE"/>
    <w:rsid w:val="00436092"/>
    <w:rsid w:val="00437D42"/>
    <w:rsid w:val="00442CE8"/>
    <w:rsid w:val="0044316D"/>
    <w:rsid w:val="00460669"/>
    <w:rsid w:val="00461B9D"/>
    <w:rsid w:val="00463838"/>
    <w:rsid w:val="00472809"/>
    <w:rsid w:val="004816A4"/>
    <w:rsid w:val="00483855"/>
    <w:rsid w:val="00483B3C"/>
    <w:rsid w:val="004856A1"/>
    <w:rsid w:val="00485A95"/>
    <w:rsid w:val="00485EBE"/>
    <w:rsid w:val="00487099"/>
    <w:rsid w:val="00490D9D"/>
    <w:rsid w:val="00492867"/>
    <w:rsid w:val="004935C9"/>
    <w:rsid w:val="004938B8"/>
    <w:rsid w:val="0049398E"/>
    <w:rsid w:val="00494E27"/>
    <w:rsid w:val="00497B39"/>
    <w:rsid w:val="004A077B"/>
    <w:rsid w:val="004A1963"/>
    <w:rsid w:val="004A4AF5"/>
    <w:rsid w:val="004B0184"/>
    <w:rsid w:val="004B21A2"/>
    <w:rsid w:val="004B2E95"/>
    <w:rsid w:val="004B3238"/>
    <w:rsid w:val="004B3EEE"/>
    <w:rsid w:val="004B4F11"/>
    <w:rsid w:val="004B73E0"/>
    <w:rsid w:val="004C038B"/>
    <w:rsid w:val="004C2CAF"/>
    <w:rsid w:val="004D48AC"/>
    <w:rsid w:val="004D54C7"/>
    <w:rsid w:val="004D6AA5"/>
    <w:rsid w:val="004E5B7C"/>
    <w:rsid w:val="004E7E39"/>
    <w:rsid w:val="004F112D"/>
    <w:rsid w:val="004F38E0"/>
    <w:rsid w:val="004F4C46"/>
    <w:rsid w:val="00500AAA"/>
    <w:rsid w:val="00501D78"/>
    <w:rsid w:val="00507494"/>
    <w:rsid w:val="00507579"/>
    <w:rsid w:val="00510B1F"/>
    <w:rsid w:val="00511882"/>
    <w:rsid w:val="00511F45"/>
    <w:rsid w:val="0051580F"/>
    <w:rsid w:val="00515BDF"/>
    <w:rsid w:val="00523E55"/>
    <w:rsid w:val="00524177"/>
    <w:rsid w:val="00524ADC"/>
    <w:rsid w:val="00526707"/>
    <w:rsid w:val="00527E62"/>
    <w:rsid w:val="00530BB7"/>
    <w:rsid w:val="00532FB0"/>
    <w:rsid w:val="00534984"/>
    <w:rsid w:val="0054052E"/>
    <w:rsid w:val="00541D0E"/>
    <w:rsid w:val="00543287"/>
    <w:rsid w:val="005450C7"/>
    <w:rsid w:val="00545343"/>
    <w:rsid w:val="0055002E"/>
    <w:rsid w:val="0055162D"/>
    <w:rsid w:val="00552171"/>
    <w:rsid w:val="00560BDB"/>
    <w:rsid w:val="00561851"/>
    <w:rsid w:val="00565658"/>
    <w:rsid w:val="00567DCE"/>
    <w:rsid w:val="00567FC0"/>
    <w:rsid w:val="005742B2"/>
    <w:rsid w:val="00576541"/>
    <w:rsid w:val="0057788F"/>
    <w:rsid w:val="00580E81"/>
    <w:rsid w:val="0058188A"/>
    <w:rsid w:val="00581D4E"/>
    <w:rsid w:val="00585569"/>
    <w:rsid w:val="005878E9"/>
    <w:rsid w:val="00587AFB"/>
    <w:rsid w:val="00587D19"/>
    <w:rsid w:val="005A39C0"/>
    <w:rsid w:val="005A44DF"/>
    <w:rsid w:val="005A47CC"/>
    <w:rsid w:val="005A7046"/>
    <w:rsid w:val="005B1959"/>
    <w:rsid w:val="005B3D04"/>
    <w:rsid w:val="005B606A"/>
    <w:rsid w:val="005C5247"/>
    <w:rsid w:val="005C5EF7"/>
    <w:rsid w:val="005C70AB"/>
    <w:rsid w:val="005D1667"/>
    <w:rsid w:val="005D18F3"/>
    <w:rsid w:val="005D7BF0"/>
    <w:rsid w:val="005E101C"/>
    <w:rsid w:val="005E4CF7"/>
    <w:rsid w:val="005E7E08"/>
    <w:rsid w:val="005F0532"/>
    <w:rsid w:val="005F2E0C"/>
    <w:rsid w:val="005F2F97"/>
    <w:rsid w:val="005F60FC"/>
    <w:rsid w:val="005F79D1"/>
    <w:rsid w:val="00604317"/>
    <w:rsid w:val="00620269"/>
    <w:rsid w:val="00634007"/>
    <w:rsid w:val="00634A7C"/>
    <w:rsid w:val="00637DBD"/>
    <w:rsid w:val="00643ECF"/>
    <w:rsid w:val="0065037F"/>
    <w:rsid w:val="006507F8"/>
    <w:rsid w:val="0065482A"/>
    <w:rsid w:val="00655911"/>
    <w:rsid w:val="00656B22"/>
    <w:rsid w:val="00657454"/>
    <w:rsid w:val="006578A2"/>
    <w:rsid w:val="00663132"/>
    <w:rsid w:val="00663F35"/>
    <w:rsid w:val="00667339"/>
    <w:rsid w:val="00674BA0"/>
    <w:rsid w:val="0067582D"/>
    <w:rsid w:val="006776A7"/>
    <w:rsid w:val="00681137"/>
    <w:rsid w:val="00682CD5"/>
    <w:rsid w:val="0068465D"/>
    <w:rsid w:val="00684D99"/>
    <w:rsid w:val="00687CE0"/>
    <w:rsid w:val="006900E6"/>
    <w:rsid w:val="006969A7"/>
    <w:rsid w:val="00696E76"/>
    <w:rsid w:val="00697E27"/>
    <w:rsid w:val="006B0DAB"/>
    <w:rsid w:val="006B16ED"/>
    <w:rsid w:val="006B209C"/>
    <w:rsid w:val="006B4BA7"/>
    <w:rsid w:val="006B68EE"/>
    <w:rsid w:val="006B6E1E"/>
    <w:rsid w:val="006B6F7D"/>
    <w:rsid w:val="006C0468"/>
    <w:rsid w:val="006C3B88"/>
    <w:rsid w:val="006C4A10"/>
    <w:rsid w:val="006D0847"/>
    <w:rsid w:val="006D1589"/>
    <w:rsid w:val="006D1914"/>
    <w:rsid w:val="006E32CB"/>
    <w:rsid w:val="006E4C6A"/>
    <w:rsid w:val="006E4DEB"/>
    <w:rsid w:val="006E55D2"/>
    <w:rsid w:val="006F0809"/>
    <w:rsid w:val="006F1247"/>
    <w:rsid w:val="006F1AD3"/>
    <w:rsid w:val="0070500B"/>
    <w:rsid w:val="00714F93"/>
    <w:rsid w:val="0071593F"/>
    <w:rsid w:val="00716542"/>
    <w:rsid w:val="00723975"/>
    <w:rsid w:val="0073004A"/>
    <w:rsid w:val="00730B32"/>
    <w:rsid w:val="00732896"/>
    <w:rsid w:val="0074068D"/>
    <w:rsid w:val="007439E7"/>
    <w:rsid w:val="00747A80"/>
    <w:rsid w:val="00747B61"/>
    <w:rsid w:val="007524DE"/>
    <w:rsid w:val="00753E36"/>
    <w:rsid w:val="007549F6"/>
    <w:rsid w:val="00755AC4"/>
    <w:rsid w:val="007562F5"/>
    <w:rsid w:val="00761480"/>
    <w:rsid w:val="00764278"/>
    <w:rsid w:val="00764358"/>
    <w:rsid w:val="007655D6"/>
    <w:rsid w:val="00767069"/>
    <w:rsid w:val="00767F99"/>
    <w:rsid w:val="00770C7E"/>
    <w:rsid w:val="00771398"/>
    <w:rsid w:val="00771D27"/>
    <w:rsid w:val="00780AA1"/>
    <w:rsid w:val="00781B94"/>
    <w:rsid w:val="0078254F"/>
    <w:rsid w:val="0078386F"/>
    <w:rsid w:val="00783D22"/>
    <w:rsid w:val="00785B1D"/>
    <w:rsid w:val="00786374"/>
    <w:rsid w:val="0079191E"/>
    <w:rsid w:val="00793655"/>
    <w:rsid w:val="00793EE1"/>
    <w:rsid w:val="00794612"/>
    <w:rsid w:val="007959F3"/>
    <w:rsid w:val="00795D5E"/>
    <w:rsid w:val="007970F7"/>
    <w:rsid w:val="00797CB0"/>
    <w:rsid w:val="007A23AF"/>
    <w:rsid w:val="007A2EF9"/>
    <w:rsid w:val="007A33F2"/>
    <w:rsid w:val="007A3A65"/>
    <w:rsid w:val="007B38DC"/>
    <w:rsid w:val="007B60E0"/>
    <w:rsid w:val="007B6F01"/>
    <w:rsid w:val="007C1FB1"/>
    <w:rsid w:val="007C2635"/>
    <w:rsid w:val="007C3E04"/>
    <w:rsid w:val="007C78D4"/>
    <w:rsid w:val="007D3272"/>
    <w:rsid w:val="007D4246"/>
    <w:rsid w:val="007D5394"/>
    <w:rsid w:val="007D5A5F"/>
    <w:rsid w:val="007D726C"/>
    <w:rsid w:val="007E188B"/>
    <w:rsid w:val="007E5932"/>
    <w:rsid w:val="007E637A"/>
    <w:rsid w:val="007E6F9A"/>
    <w:rsid w:val="007E7114"/>
    <w:rsid w:val="007F2970"/>
    <w:rsid w:val="007F4CF8"/>
    <w:rsid w:val="007F7B3A"/>
    <w:rsid w:val="00800209"/>
    <w:rsid w:val="00802467"/>
    <w:rsid w:val="00803987"/>
    <w:rsid w:val="00805E2B"/>
    <w:rsid w:val="00806B04"/>
    <w:rsid w:val="00812403"/>
    <w:rsid w:val="008159E6"/>
    <w:rsid w:val="0082051A"/>
    <w:rsid w:val="008255AE"/>
    <w:rsid w:val="00832AAE"/>
    <w:rsid w:val="00833227"/>
    <w:rsid w:val="00834783"/>
    <w:rsid w:val="00834E20"/>
    <w:rsid w:val="00835583"/>
    <w:rsid w:val="00835D2D"/>
    <w:rsid w:val="008379F2"/>
    <w:rsid w:val="00840E43"/>
    <w:rsid w:val="008422B3"/>
    <w:rsid w:val="0084371B"/>
    <w:rsid w:val="0085005C"/>
    <w:rsid w:val="00850F4A"/>
    <w:rsid w:val="00851266"/>
    <w:rsid w:val="00853568"/>
    <w:rsid w:val="00856F27"/>
    <w:rsid w:val="00860FB5"/>
    <w:rsid w:val="00865C42"/>
    <w:rsid w:val="00873FFB"/>
    <w:rsid w:val="00875C0C"/>
    <w:rsid w:val="008776F3"/>
    <w:rsid w:val="0087785F"/>
    <w:rsid w:val="00877E26"/>
    <w:rsid w:val="00877EFF"/>
    <w:rsid w:val="00881617"/>
    <w:rsid w:val="00882578"/>
    <w:rsid w:val="00886AFB"/>
    <w:rsid w:val="00887E43"/>
    <w:rsid w:val="0089017C"/>
    <w:rsid w:val="00892CB7"/>
    <w:rsid w:val="0089471F"/>
    <w:rsid w:val="00895A4A"/>
    <w:rsid w:val="00896B58"/>
    <w:rsid w:val="008B0726"/>
    <w:rsid w:val="008B1EE1"/>
    <w:rsid w:val="008B21C1"/>
    <w:rsid w:val="008B4564"/>
    <w:rsid w:val="008B5721"/>
    <w:rsid w:val="008B673B"/>
    <w:rsid w:val="008B6EAD"/>
    <w:rsid w:val="008C26E7"/>
    <w:rsid w:val="008D5C36"/>
    <w:rsid w:val="008E1F0B"/>
    <w:rsid w:val="008E210F"/>
    <w:rsid w:val="008E5EAA"/>
    <w:rsid w:val="008F069C"/>
    <w:rsid w:val="008F0986"/>
    <w:rsid w:val="008F1869"/>
    <w:rsid w:val="008F1945"/>
    <w:rsid w:val="008F3211"/>
    <w:rsid w:val="008F4975"/>
    <w:rsid w:val="008F5B58"/>
    <w:rsid w:val="008F755A"/>
    <w:rsid w:val="0090613F"/>
    <w:rsid w:val="00911AC8"/>
    <w:rsid w:val="00917176"/>
    <w:rsid w:val="0091751E"/>
    <w:rsid w:val="009209A9"/>
    <w:rsid w:val="00920BD2"/>
    <w:rsid w:val="009217DF"/>
    <w:rsid w:val="0092761C"/>
    <w:rsid w:val="0093312D"/>
    <w:rsid w:val="009334A7"/>
    <w:rsid w:val="009413EB"/>
    <w:rsid w:val="009437EA"/>
    <w:rsid w:val="00950975"/>
    <w:rsid w:val="00950DF6"/>
    <w:rsid w:val="00951E12"/>
    <w:rsid w:val="00953485"/>
    <w:rsid w:val="00953AFF"/>
    <w:rsid w:val="00953FF9"/>
    <w:rsid w:val="00961542"/>
    <w:rsid w:val="00961635"/>
    <w:rsid w:val="009616E2"/>
    <w:rsid w:val="009618B1"/>
    <w:rsid w:val="00970D1D"/>
    <w:rsid w:val="00971DAF"/>
    <w:rsid w:val="00973449"/>
    <w:rsid w:val="00973916"/>
    <w:rsid w:val="00977833"/>
    <w:rsid w:val="009836FF"/>
    <w:rsid w:val="0099188A"/>
    <w:rsid w:val="00993DE2"/>
    <w:rsid w:val="009947E3"/>
    <w:rsid w:val="00995D43"/>
    <w:rsid w:val="009977E2"/>
    <w:rsid w:val="009A1120"/>
    <w:rsid w:val="009A226F"/>
    <w:rsid w:val="009A2365"/>
    <w:rsid w:val="009A2514"/>
    <w:rsid w:val="009A4E88"/>
    <w:rsid w:val="009A5674"/>
    <w:rsid w:val="009B146F"/>
    <w:rsid w:val="009B1B06"/>
    <w:rsid w:val="009B4DC1"/>
    <w:rsid w:val="009C0F54"/>
    <w:rsid w:val="009C2697"/>
    <w:rsid w:val="009D404F"/>
    <w:rsid w:val="009D5E1C"/>
    <w:rsid w:val="009D7192"/>
    <w:rsid w:val="009E0ABC"/>
    <w:rsid w:val="009E0DA1"/>
    <w:rsid w:val="009E11CF"/>
    <w:rsid w:val="009E2346"/>
    <w:rsid w:val="009E29B0"/>
    <w:rsid w:val="009E3BFA"/>
    <w:rsid w:val="009E73A0"/>
    <w:rsid w:val="009F3D26"/>
    <w:rsid w:val="00A00F65"/>
    <w:rsid w:val="00A01953"/>
    <w:rsid w:val="00A031FE"/>
    <w:rsid w:val="00A036F2"/>
    <w:rsid w:val="00A0644F"/>
    <w:rsid w:val="00A06AA6"/>
    <w:rsid w:val="00A06ED3"/>
    <w:rsid w:val="00A07D66"/>
    <w:rsid w:val="00A07ECE"/>
    <w:rsid w:val="00A11766"/>
    <w:rsid w:val="00A1462C"/>
    <w:rsid w:val="00A15C7E"/>
    <w:rsid w:val="00A17331"/>
    <w:rsid w:val="00A21DD5"/>
    <w:rsid w:val="00A21E8A"/>
    <w:rsid w:val="00A2244A"/>
    <w:rsid w:val="00A23117"/>
    <w:rsid w:val="00A2519B"/>
    <w:rsid w:val="00A2562D"/>
    <w:rsid w:val="00A25797"/>
    <w:rsid w:val="00A4202A"/>
    <w:rsid w:val="00A427EE"/>
    <w:rsid w:val="00A46251"/>
    <w:rsid w:val="00A46B46"/>
    <w:rsid w:val="00A470AF"/>
    <w:rsid w:val="00A47C84"/>
    <w:rsid w:val="00A5197B"/>
    <w:rsid w:val="00A51E2B"/>
    <w:rsid w:val="00A54252"/>
    <w:rsid w:val="00A62AA0"/>
    <w:rsid w:val="00A67B06"/>
    <w:rsid w:val="00A75393"/>
    <w:rsid w:val="00A75CEE"/>
    <w:rsid w:val="00A765B9"/>
    <w:rsid w:val="00A76E33"/>
    <w:rsid w:val="00A802AA"/>
    <w:rsid w:val="00A80BFD"/>
    <w:rsid w:val="00A81FAF"/>
    <w:rsid w:val="00A82711"/>
    <w:rsid w:val="00A846F7"/>
    <w:rsid w:val="00A85D73"/>
    <w:rsid w:val="00A87519"/>
    <w:rsid w:val="00A92B1F"/>
    <w:rsid w:val="00A94B80"/>
    <w:rsid w:val="00A9573E"/>
    <w:rsid w:val="00A95A35"/>
    <w:rsid w:val="00A96A33"/>
    <w:rsid w:val="00AA0C30"/>
    <w:rsid w:val="00AA1AF3"/>
    <w:rsid w:val="00AA1FC8"/>
    <w:rsid w:val="00AA3212"/>
    <w:rsid w:val="00AA3AC8"/>
    <w:rsid w:val="00AA5244"/>
    <w:rsid w:val="00AA54DD"/>
    <w:rsid w:val="00AA5D88"/>
    <w:rsid w:val="00AA62EF"/>
    <w:rsid w:val="00AA7374"/>
    <w:rsid w:val="00AA7A41"/>
    <w:rsid w:val="00AB1FF1"/>
    <w:rsid w:val="00AB27C9"/>
    <w:rsid w:val="00AB29CB"/>
    <w:rsid w:val="00AB35EE"/>
    <w:rsid w:val="00AB5524"/>
    <w:rsid w:val="00AB714B"/>
    <w:rsid w:val="00AC1B85"/>
    <w:rsid w:val="00AC2E4A"/>
    <w:rsid w:val="00AC4BE4"/>
    <w:rsid w:val="00AC571E"/>
    <w:rsid w:val="00AC69F9"/>
    <w:rsid w:val="00AD2C8D"/>
    <w:rsid w:val="00AD4CE2"/>
    <w:rsid w:val="00AD4FFC"/>
    <w:rsid w:val="00AD7019"/>
    <w:rsid w:val="00AE0CB4"/>
    <w:rsid w:val="00AE3B18"/>
    <w:rsid w:val="00AE4F94"/>
    <w:rsid w:val="00AE5AA1"/>
    <w:rsid w:val="00AF15A4"/>
    <w:rsid w:val="00AF2E23"/>
    <w:rsid w:val="00AF42BE"/>
    <w:rsid w:val="00B03718"/>
    <w:rsid w:val="00B060EC"/>
    <w:rsid w:val="00B1003F"/>
    <w:rsid w:val="00B10086"/>
    <w:rsid w:val="00B10213"/>
    <w:rsid w:val="00B13E7A"/>
    <w:rsid w:val="00B14B6E"/>
    <w:rsid w:val="00B2550F"/>
    <w:rsid w:val="00B30B59"/>
    <w:rsid w:val="00B30CA4"/>
    <w:rsid w:val="00B33325"/>
    <w:rsid w:val="00B40DCB"/>
    <w:rsid w:val="00B42560"/>
    <w:rsid w:val="00B43E5F"/>
    <w:rsid w:val="00B461A4"/>
    <w:rsid w:val="00B46486"/>
    <w:rsid w:val="00B464F1"/>
    <w:rsid w:val="00B5248E"/>
    <w:rsid w:val="00B533F9"/>
    <w:rsid w:val="00B55E1B"/>
    <w:rsid w:val="00B56A77"/>
    <w:rsid w:val="00B5737C"/>
    <w:rsid w:val="00B63F54"/>
    <w:rsid w:val="00B64C3C"/>
    <w:rsid w:val="00B65602"/>
    <w:rsid w:val="00B75D34"/>
    <w:rsid w:val="00B75F0F"/>
    <w:rsid w:val="00B80262"/>
    <w:rsid w:val="00B81B61"/>
    <w:rsid w:val="00B8455A"/>
    <w:rsid w:val="00B9154E"/>
    <w:rsid w:val="00B94058"/>
    <w:rsid w:val="00B945D6"/>
    <w:rsid w:val="00B94C04"/>
    <w:rsid w:val="00BA53D5"/>
    <w:rsid w:val="00BA618E"/>
    <w:rsid w:val="00BB787D"/>
    <w:rsid w:val="00BB7F1D"/>
    <w:rsid w:val="00BC4204"/>
    <w:rsid w:val="00BC4CFD"/>
    <w:rsid w:val="00BC628F"/>
    <w:rsid w:val="00BC6AA7"/>
    <w:rsid w:val="00BC7BB0"/>
    <w:rsid w:val="00BD008D"/>
    <w:rsid w:val="00BD086B"/>
    <w:rsid w:val="00BD59AE"/>
    <w:rsid w:val="00BD7E85"/>
    <w:rsid w:val="00BE3CA9"/>
    <w:rsid w:val="00BE6ABC"/>
    <w:rsid w:val="00BE72D7"/>
    <w:rsid w:val="00BE7537"/>
    <w:rsid w:val="00BE79BA"/>
    <w:rsid w:val="00BE7A4F"/>
    <w:rsid w:val="00BF3A2F"/>
    <w:rsid w:val="00BF7AB7"/>
    <w:rsid w:val="00C03694"/>
    <w:rsid w:val="00C038D5"/>
    <w:rsid w:val="00C03FF3"/>
    <w:rsid w:val="00C06188"/>
    <w:rsid w:val="00C16BFB"/>
    <w:rsid w:val="00C171D4"/>
    <w:rsid w:val="00C24153"/>
    <w:rsid w:val="00C247F4"/>
    <w:rsid w:val="00C266E5"/>
    <w:rsid w:val="00C2713F"/>
    <w:rsid w:val="00C32EBC"/>
    <w:rsid w:val="00C33170"/>
    <w:rsid w:val="00C354BF"/>
    <w:rsid w:val="00C357D6"/>
    <w:rsid w:val="00C36CD7"/>
    <w:rsid w:val="00C3704C"/>
    <w:rsid w:val="00C37464"/>
    <w:rsid w:val="00C45A3E"/>
    <w:rsid w:val="00C46A28"/>
    <w:rsid w:val="00C523C0"/>
    <w:rsid w:val="00C524B6"/>
    <w:rsid w:val="00C53B26"/>
    <w:rsid w:val="00C56F7D"/>
    <w:rsid w:val="00C5767E"/>
    <w:rsid w:val="00C62A05"/>
    <w:rsid w:val="00C71BAE"/>
    <w:rsid w:val="00C72A3C"/>
    <w:rsid w:val="00C741C7"/>
    <w:rsid w:val="00C75038"/>
    <w:rsid w:val="00C75421"/>
    <w:rsid w:val="00C75D5F"/>
    <w:rsid w:val="00C76D3A"/>
    <w:rsid w:val="00C7752E"/>
    <w:rsid w:val="00C77C20"/>
    <w:rsid w:val="00C80758"/>
    <w:rsid w:val="00C813EF"/>
    <w:rsid w:val="00CA0B37"/>
    <w:rsid w:val="00CA279F"/>
    <w:rsid w:val="00CA2BF0"/>
    <w:rsid w:val="00CB19FD"/>
    <w:rsid w:val="00CC4F3F"/>
    <w:rsid w:val="00CC65C0"/>
    <w:rsid w:val="00CD15DD"/>
    <w:rsid w:val="00CE2101"/>
    <w:rsid w:val="00CE3D5F"/>
    <w:rsid w:val="00CE725D"/>
    <w:rsid w:val="00CF1062"/>
    <w:rsid w:val="00CF5DBD"/>
    <w:rsid w:val="00CF6EF3"/>
    <w:rsid w:val="00CF7590"/>
    <w:rsid w:val="00CF7F40"/>
    <w:rsid w:val="00D00BEA"/>
    <w:rsid w:val="00D02B1A"/>
    <w:rsid w:val="00D0399C"/>
    <w:rsid w:val="00D0458A"/>
    <w:rsid w:val="00D050AA"/>
    <w:rsid w:val="00D074A0"/>
    <w:rsid w:val="00D076F3"/>
    <w:rsid w:val="00D07C5E"/>
    <w:rsid w:val="00D11723"/>
    <w:rsid w:val="00D15AD2"/>
    <w:rsid w:val="00D1743A"/>
    <w:rsid w:val="00D2261F"/>
    <w:rsid w:val="00D23AB3"/>
    <w:rsid w:val="00D25285"/>
    <w:rsid w:val="00D2533A"/>
    <w:rsid w:val="00D26E4A"/>
    <w:rsid w:val="00D2725B"/>
    <w:rsid w:val="00D2770C"/>
    <w:rsid w:val="00D30055"/>
    <w:rsid w:val="00D33837"/>
    <w:rsid w:val="00D33EB5"/>
    <w:rsid w:val="00D40546"/>
    <w:rsid w:val="00D422F5"/>
    <w:rsid w:val="00D453AC"/>
    <w:rsid w:val="00D47944"/>
    <w:rsid w:val="00D611B8"/>
    <w:rsid w:val="00D618DC"/>
    <w:rsid w:val="00D624FD"/>
    <w:rsid w:val="00D6315B"/>
    <w:rsid w:val="00D6731B"/>
    <w:rsid w:val="00D71E0C"/>
    <w:rsid w:val="00D73167"/>
    <w:rsid w:val="00D73237"/>
    <w:rsid w:val="00D733D7"/>
    <w:rsid w:val="00D747BE"/>
    <w:rsid w:val="00D74D51"/>
    <w:rsid w:val="00D80748"/>
    <w:rsid w:val="00D86DE9"/>
    <w:rsid w:val="00D90329"/>
    <w:rsid w:val="00DB0486"/>
    <w:rsid w:val="00DB1265"/>
    <w:rsid w:val="00DB17EE"/>
    <w:rsid w:val="00DB1ADD"/>
    <w:rsid w:val="00DB4F41"/>
    <w:rsid w:val="00DB5ECC"/>
    <w:rsid w:val="00DB6AE6"/>
    <w:rsid w:val="00DB6E6E"/>
    <w:rsid w:val="00DC311D"/>
    <w:rsid w:val="00DC3280"/>
    <w:rsid w:val="00DC32CA"/>
    <w:rsid w:val="00DC411E"/>
    <w:rsid w:val="00DC4275"/>
    <w:rsid w:val="00DC6D37"/>
    <w:rsid w:val="00DC6FBE"/>
    <w:rsid w:val="00DC71D0"/>
    <w:rsid w:val="00DC77F2"/>
    <w:rsid w:val="00DD06C3"/>
    <w:rsid w:val="00DD6B88"/>
    <w:rsid w:val="00DD7AF8"/>
    <w:rsid w:val="00DE1027"/>
    <w:rsid w:val="00DE4B4C"/>
    <w:rsid w:val="00DE6AFB"/>
    <w:rsid w:val="00DF134D"/>
    <w:rsid w:val="00DF2EEE"/>
    <w:rsid w:val="00DF40F1"/>
    <w:rsid w:val="00DF4D71"/>
    <w:rsid w:val="00DF593B"/>
    <w:rsid w:val="00DF7EE4"/>
    <w:rsid w:val="00E0093B"/>
    <w:rsid w:val="00E02D71"/>
    <w:rsid w:val="00E10E56"/>
    <w:rsid w:val="00E13918"/>
    <w:rsid w:val="00E14283"/>
    <w:rsid w:val="00E173AB"/>
    <w:rsid w:val="00E17D8E"/>
    <w:rsid w:val="00E22577"/>
    <w:rsid w:val="00E254A8"/>
    <w:rsid w:val="00E2623F"/>
    <w:rsid w:val="00E30E7D"/>
    <w:rsid w:val="00E332D5"/>
    <w:rsid w:val="00E34B8B"/>
    <w:rsid w:val="00E350E0"/>
    <w:rsid w:val="00E372E6"/>
    <w:rsid w:val="00E43851"/>
    <w:rsid w:val="00E4397F"/>
    <w:rsid w:val="00E5039E"/>
    <w:rsid w:val="00E52D35"/>
    <w:rsid w:val="00E54FDB"/>
    <w:rsid w:val="00E605F4"/>
    <w:rsid w:val="00E63522"/>
    <w:rsid w:val="00E6455B"/>
    <w:rsid w:val="00E6642F"/>
    <w:rsid w:val="00E70AB9"/>
    <w:rsid w:val="00E73819"/>
    <w:rsid w:val="00E75180"/>
    <w:rsid w:val="00E763F8"/>
    <w:rsid w:val="00E80965"/>
    <w:rsid w:val="00E83FFF"/>
    <w:rsid w:val="00E87686"/>
    <w:rsid w:val="00E91763"/>
    <w:rsid w:val="00E946AF"/>
    <w:rsid w:val="00EA045F"/>
    <w:rsid w:val="00EA1AE6"/>
    <w:rsid w:val="00EA4038"/>
    <w:rsid w:val="00EA5380"/>
    <w:rsid w:val="00EA77C7"/>
    <w:rsid w:val="00EC108E"/>
    <w:rsid w:val="00EC3A8F"/>
    <w:rsid w:val="00EC3F4A"/>
    <w:rsid w:val="00EC5D8E"/>
    <w:rsid w:val="00EC5F47"/>
    <w:rsid w:val="00ED079E"/>
    <w:rsid w:val="00ED1CCD"/>
    <w:rsid w:val="00ED5302"/>
    <w:rsid w:val="00EE040B"/>
    <w:rsid w:val="00EE6D36"/>
    <w:rsid w:val="00EE75CE"/>
    <w:rsid w:val="00EF1144"/>
    <w:rsid w:val="00EF55C2"/>
    <w:rsid w:val="00EF6A7F"/>
    <w:rsid w:val="00F019DB"/>
    <w:rsid w:val="00F01EB5"/>
    <w:rsid w:val="00F05C29"/>
    <w:rsid w:val="00F12A96"/>
    <w:rsid w:val="00F1430E"/>
    <w:rsid w:val="00F14F60"/>
    <w:rsid w:val="00F17DCF"/>
    <w:rsid w:val="00F226DA"/>
    <w:rsid w:val="00F32541"/>
    <w:rsid w:val="00F33940"/>
    <w:rsid w:val="00F354B0"/>
    <w:rsid w:val="00F363EA"/>
    <w:rsid w:val="00F37DBB"/>
    <w:rsid w:val="00F42E4F"/>
    <w:rsid w:val="00F45019"/>
    <w:rsid w:val="00F47459"/>
    <w:rsid w:val="00F52406"/>
    <w:rsid w:val="00F53B03"/>
    <w:rsid w:val="00F65DF3"/>
    <w:rsid w:val="00F66ADD"/>
    <w:rsid w:val="00F72B8C"/>
    <w:rsid w:val="00F74A0A"/>
    <w:rsid w:val="00F75C6C"/>
    <w:rsid w:val="00F8009C"/>
    <w:rsid w:val="00F80F67"/>
    <w:rsid w:val="00F815B0"/>
    <w:rsid w:val="00F8225B"/>
    <w:rsid w:val="00F84C37"/>
    <w:rsid w:val="00F92292"/>
    <w:rsid w:val="00F94EF0"/>
    <w:rsid w:val="00F95F88"/>
    <w:rsid w:val="00F96959"/>
    <w:rsid w:val="00FA1AF9"/>
    <w:rsid w:val="00FA723F"/>
    <w:rsid w:val="00FA78EF"/>
    <w:rsid w:val="00FB0EFD"/>
    <w:rsid w:val="00FB4A03"/>
    <w:rsid w:val="00FB4AA5"/>
    <w:rsid w:val="00FB4CD8"/>
    <w:rsid w:val="00FC09D9"/>
    <w:rsid w:val="00FC2698"/>
    <w:rsid w:val="00FC2B60"/>
    <w:rsid w:val="00FC40C4"/>
    <w:rsid w:val="00FC5CF3"/>
    <w:rsid w:val="00FD21DB"/>
    <w:rsid w:val="00FD505C"/>
    <w:rsid w:val="00FD6126"/>
    <w:rsid w:val="00FD768A"/>
    <w:rsid w:val="00FD7C90"/>
    <w:rsid w:val="00FE0FEB"/>
    <w:rsid w:val="00FE665F"/>
    <w:rsid w:val="00FF06EE"/>
    <w:rsid w:val="00FF68F9"/>
    <w:rsid w:val="00FF69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6AF21B9"/>
  <w15:chartTrackingRefBased/>
  <w15:docId w15:val="{66167328-8912-2843-97AB-8ED5E9C532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A33F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A33F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A33F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A33F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A33F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A33F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A33F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A33F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A33F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A33F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A33F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A33F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A33F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A33F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A33F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A33F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A33F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A33F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A33F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A33F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A33F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A33F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A33F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A33F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A33F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A33F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A33F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A33F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A33F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0020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0020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00209"/>
    <w:rPr>
      <w:color w:val="96607D" w:themeColor="followedHyperlink"/>
      <w:u w:val="single"/>
    </w:rPr>
  </w:style>
  <w:style w:type="character" w:styleId="Strong">
    <w:name w:val="Strong"/>
    <w:basedOn w:val="DefaultParagraphFont"/>
    <w:uiPriority w:val="22"/>
    <w:qFormat/>
    <w:rsid w:val="00800209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800209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apple-converted-space">
    <w:name w:val="apple-converted-space"/>
    <w:basedOn w:val="DefaultParagraphFont"/>
    <w:rsid w:val="00800209"/>
  </w:style>
  <w:style w:type="table" w:styleId="TableGrid">
    <w:name w:val="Table Grid"/>
    <w:basedOn w:val="TableNormal"/>
    <w:uiPriority w:val="39"/>
    <w:rsid w:val="00E332D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14F9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14F93"/>
  </w:style>
  <w:style w:type="paragraph" w:styleId="Footer">
    <w:name w:val="footer"/>
    <w:basedOn w:val="Normal"/>
    <w:link w:val="FooterChar"/>
    <w:uiPriority w:val="99"/>
    <w:unhideWhenUsed/>
    <w:rsid w:val="00714F9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14F93"/>
  </w:style>
  <w:style w:type="character" w:styleId="PageNumber">
    <w:name w:val="page number"/>
    <w:basedOn w:val="DefaultParagraphFont"/>
    <w:uiPriority w:val="99"/>
    <w:semiHidden/>
    <w:unhideWhenUsed/>
    <w:rsid w:val="003C102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thepeoplespace.com/insights/ideas/why-culture-undermines-change-more-strategy-and-what-hr-must-do-about-it" TargetMode="External"/><Relationship Id="rId18" Type="http://schemas.openxmlformats.org/officeDocument/2006/relationships/hyperlink" Target="https://www.deloitte.com/uk/en/about/press-room/deloitte-first-disability-inclusion-at-work-report.html" TargetMode="External"/><Relationship Id="rId26" Type="http://schemas.openxmlformats.org/officeDocument/2006/relationships/hyperlink" Target="https://www.deloitte.com/global/en/what-we-do.html" TargetMode="External"/><Relationship Id="rId39" Type="http://schemas.openxmlformats.org/officeDocument/2006/relationships/hyperlink" Target="https://www.ons.gov.uk/aboutus/usingpublicdatatoproducestatistics/examplesofhowdataandstatisticsbenefityou/ourpovertyandequalitystatistics" TargetMode="External"/><Relationship Id="rId21" Type="http://schemas.openxmlformats.org/officeDocument/2006/relationships/hyperlink" Target="https://www.deloitte.com/global/en/issues/work/genz-millennial-survey.html" TargetMode="External"/><Relationship Id="rId34" Type="http://schemas.openxmlformats.org/officeDocument/2006/relationships/hyperlink" Target="https://doi.org/10.1073/pnas.0403723101" TargetMode="External"/><Relationship Id="rId42" Type="http://schemas.openxmlformats.org/officeDocument/2006/relationships/hyperlink" Target="https://doi.org/10.48550/arXiv.2404.13462" TargetMode="External"/><Relationship Id="rId47" Type="http://schemas.openxmlformats.org/officeDocument/2006/relationships/hyperlink" Target="https://cpdonline.co.uk/knowledge-base/business/organisations-leading-way-equality-initiatives" TargetMode="External"/><Relationship Id="rId50" Type="http://schemas.openxmlformats.org/officeDocument/2006/relationships/fontTable" Target="fontTable.xml"/><Relationship Id="rId7" Type="http://schemas.openxmlformats.org/officeDocument/2006/relationships/hyperlink" Target="https://doi.org/10.1016/j.emj.2025.12.010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deloitte.com/global/en/about/story/purpose-values/gender-balance-gir.html" TargetMode="External"/><Relationship Id="rId29" Type="http://schemas.openxmlformats.org/officeDocument/2006/relationships/hyperlink" Target="https://www.gov.uk/guidance/equality-act-2010-guidance" TargetMode="External"/><Relationship Id="rId11" Type="http://schemas.openxmlformats.org/officeDocument/2006/relationships/hyperlink" Target="https://www.barnett-waddingham.co.uk/comment-insight/blog/flexible-working-and-work-life-balance-how-to-support-your-people/" TargetMode="External"/><Relationship Id="rId24" Type="http://schemas.openxmlformats.org/officeDocument/2006/relationships/hyperlink" Target="https://www.deloitte.com/global/en/about/governance/facts-and-figures.html" TargetMode="External"/><Relationship Id="rId32" Type="http://schemas.openxmlformats.org/officeDocument/2006/relationships/hyperlink" Target="https://www.greatplacetowork.com/resources/blog/toxic-company-culture" TargetMode="External"/><Relationship Id="rId37" Type="http://schemas.openxmlformats.org/officeDocument/2006/relationships/hyperlink" Target="https://www.mckinsey.com/featured-insights/diversity-and-inclusion/diversity-matters-even-more-the-case-for-holistic-impact" TargetMode="External"/><Relationship Id="rId40" Type="http://schemas.openxmlformats.org/officeDocument/2006/relationships/hyperlink" Target="https://prism7resourcing.co.uk/why-a-diverse-workforce-is-best-for-your-business/" TargetMode="External"/><Relationship Id="rId45" Type="http://schemas.openxmlformats.org/officeDocument/2006/relationships/hyperlink" Target="https://reports.investors.vodafone.com/view/504459497/II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cipd.org/uk/knowledge/reports/flexible-hybrid-working/" TargetMode="External"/><Relationship Id="rId23" Type="http://schemas.openxmlformats.org/officeDocument/2006/relationships/hyperlink" Target="https://www.deloitte.com/uk/en/careers/discover-deloitte/careers-diversity-and-inclusion.html" TargetMode="External"/><Relationship Id="rId28" Type="http://schemas.openxmlformats.org/officeDocument/2006/relationships/hyperlink" Target="https://www.lancaster.ac.uk/work-foundation/publications/post-pandemic-hybrid-working-poses-new-challenges-to-diversity-and-inclusion" TargetMode="External"/><Relationship Id="rId36" Type="http://schemas.openxmlformats.org/officeDocument/2006/relationships/hyperlink" Target="https://www.rcr.ac.uk/media/tpwjncbr/session-3-dr-qaiser-malik.pdf" TargetMode="External"/><Relationship Id="rId49" Type="http://schemas.openxmlformats.org/officeDocument/2006/relationships/footer" Target="footer2.xml"/><Relationship Id="rId10" Type="http://schemas.openxmlformats.org/officeDocument/2006/relationships/hyperlink" Target="https://dx.doi.org/10.1080/23303131.2016.1138915" TargetMode="External"/><Relationship Id="rId19" Type="http://schemas.openxmlformats.org/officeDocument/2006/relationships/hyperlink" Target="https://www.deloitte.com/uk/en/about/press-room/poor-mental-health-costs-uk-employers-51-billion-a-year-for-employees.html" TargetMode="External"/><Relationship Id="rId31" Type="http://schemas.openxmlformats.org/officeDocument/2006/relationships/hyperlink" Target="https://assets.publishing.service.gov.uk/media/5bd0882ded915d78a0dc1009/GPG-Reporting-Portal-Report.pdf" TargetMode="External"/><Relationship Id="rId44" Type="http://schemas.openxmlformats.org/officeDocument/2006/relationships/hyperlink" Target="https://doi.org/10.48550/arXiv.2203.10555" TargetMode="External"/><Relationship Id="rId52" Type="http://schemas.microsoft.com/office/2020/10/relationships/intelligence" Target="intelligence2.xml"/><Relationship Id="rId4" Type="http://schemas.openxmlformats.org/officeDocument/2006/relationships/webSettings" Target="webSettings.xml"/><Relationship Id="rId9" Type="http://schemas.openxmlformats.org/officeDocument/2006/relationships/hyperlink" Target="https://doi.org/10.1177/0950017015621480" TargetMode="External"/><Relationship Id="rId14" Type="http://schemas.openxmlformats.org/officeDocument/2006/relationships/hyperlink" Target="https://edtechmate.com/10-inspiring-case-studies-of-successful-inclusion-strategies-that-drive-results" TargetMode="External"/><Relationship Id="rId22" Type="http://schemas.openxmlformats.org/officeDocument/2006/relationships/hyperlink" Target="https://www.deloitte.com/uk/en/about/people/social-responsibility/disability-inclusion-at-deloitte.html" TargetMode="External"/><Relationship Id="rId27" Type="http://schemas.openxmlformats.org/officeDocument/2006/relationships/hyperlink" Target="https://buscompress.com/uploads/3/4/9/8/34980536/riber_sk14-026__402-410_.pdf" TargetMode="External"/><Relationship Id="rId30" Type="http://schemas.openxmlformats.org/officeDocument/2006/relationships/hyperlink" Target="https://www.gov.uk/government/publications/dhsc-gender-pay-gap-report-and-data-2025/2025-gender-pay-gap-report" TargetMode="External"/><Relationship Id="rId35" Type="http://schemas.openxmlformats.org/officeDocument/2006/relationships/hyperlink" Target="https://doi.org/10.1016/j.hrmr.2022.100894" TargetMode="External"/><Relationship Id="rId43" Type="http://schemas.openxmlformats.org/officeDocument/2006/relationships/hyperlink" Target="https://doi.org/10.1177/0149206310385943" TargetMode="External"/><Relationship Id="rId48" Type="http://schemas.openxmlformats.org/officeDocument/2006/relationships/footer" Target="footer1.xml"/><Relationship Id="rId8" Type="http://schemas.openxmlformats.org/officeDocument/2006/relationships/hyperlink" Target="https://supplychaindigital.com/supply-chain-risk-management/deloitte-a-professional-services-timeline-through-history" TargetMode="External"/><Relationship Id="rId51" Type="http://schemas.openxmlformats.org/officeDocument/2006/relationships/theme" Target="theme/theme1.xml"/><Relationship Id="rId3" Type="http://schemas.openxmlformats.org/officeDocument/2006/relationships/settings" Target="settings.xml"/><Relationship Id="rId12" Type="http://schemas.openxmlformats.org/officeDocument/2006/relationships/hyperlink" Target="https://www.brightnetwork.co.uk/career-path-guides/accounting-audit-tax/differences-big-four-firms/" TargetMode="External"/><Relationship Id="rId17" Type="http://schemas.openxmlformats.org/officeDocument/2006/relationships/hyperlink" Target="https://www.deloitte.com/uk/en/about/story/impact/hybrid-working.html" TargetMode="External"/><Relationship Id="rId25" Type="http://schemas.openxmlformats.org/officeDocument/2006/relationships/hyperlink" Target="https://www.deloitte.com/dk/en/about/story/purpose-values.html" TargetMode="External"/><Relationship Id="rId33" Type="http://schemas.openxmlformats.org/officeDocument/2006/relationships/hyperlink" Target="https://doi.org/10.1093/ac93/acprof:oso/9780199696086.003.0005" TargetMode="External"/><Relationship Id="rId38" Type="http://schemas.openxmlformats.org/officeDocument/2006/relationships/hyperlink" Target="https://redblaze.co.uk/the-emotional-investment-of-reward-and-recognition/" TargetMode="External"/><Relationship Id="rId46" Type="http://schemas.openxmlformats.org/officeDocument/2006/relationships/hyperlink" Target="https://doi.org/10.1007/s44155-025-00176-7" TargetMode="External"/><Relationship Id="rId20" Type="http://schemas.openxmlformats.org/officeDocument/2006/relationships/hyperlink" Target="https://www.deloitte.com/content/dam/assets-zone2/uk/en/docs/about/2025/deloitte-uk-annual-review-2025-pay-report.pdf" TargetMode="External"/><Relationship Id="rId41" Type="http://schemas.openxmlformats.org/officeDocument/2006/relationships/hyperlink" Target="https://doi.org/10.1177/1059601104273064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2361</TotalTime>
  <Pages>21</Pages>
  <Words>5316</Words>
  <Characters>30307</Characters>
  <Application>Microsoft Office Word</Application>
  <DocSecurity>0</DocSecurity>
  <Lines>252</Lines>
  <Paragraphs>71</Paragraphs>
  <ScaleCrop>false</ScaleCrop>
  <Company/>
  <LinksUpToDate>false</LinksUpToDate>
  <CharactersWithSpaces>35552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Lissy Frampton (2327857)</dc:creator>
  <cp:keywords/>
  <dc:description/>
  <cp:lastModifiedBy>Lissy Frampton (2327857)</cp:lastModifiedBy>
  <cp:revision>902</cp:revision>
  <dcterms:created xsi:type="dcterms:W3CDTF">2026-02-11T11:14:00Z</dcterms:created>
  <dcterms:modified xsi:type="dcterms:W3CDTF">2026-02-27T15:25:00Z</dcterms:modified>
</cp:coreProperties>
</file>