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10.xml" ContentType="application/vnd.ms-office.chartcolorstyle+xml"/>
  <Override PartName="/word/charts/colors11.xml" ContentType="application/vnd.ms-office.chartcolorstyle+xml"/>
  <Override PartName="/word/charts/colors12.xml" ContentType="application/vnd.ms-office.chartcolorstyle+xml"/>
  <Override PartName="/word/charts/colors13.xml" ContentType="application/vnd.ms-office.chartcolorstyle+xml"/>
  <Override PartName="/word/charts/colors14.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10.xml" ContentType="application/vnd.ms-office.chartstyle+xml"/>
  <Override PartName="/word/charts/style11.xml" ContentType="application/vnd.ms-office.chartstyle+xml"/>
  <Override PartName="/word/charts/style12.xml" ContentType="application/vnd.ms-office.chartstyle+xml"/>
  <Override PartName="/word/charts/style13.xml" ContentType="application/vnd.ms-office.chartstyle+xml"/>
  <Override PartName="/word/charts/style14.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 JULIAN" w:hAnsi="AR JULIAN" w:cs="AR JULIAN"/>
          <w:sz w:val="52"/>
          <w:szCs w:val="52"/>
          <w:lang w:val="en-GB"/>
        </w:rPr>
      </w:pPr>
      <w:r>
        <w:rPr>
          <w:rFonts w:ascii="AR JULIAN" w:hAnsi="AR JULIAN" w:cs="AR JULIAN"/>
          <w:sz w:val="52"/>
          <w:szCs w:val="52"/>
        </w:rPr>
        <w:drawing>
          <wp:anchor distT="0" distB="0" distL="114300" distR="114300" simplePos="0" relativeHeight="251659264" behindDoc="0" locked="0" layoutInCell="1" allowOverlap="1">
            <wp:simplePos x="0" y="0"/>
            <wp:positionH relativeFrom="margin">
              <wp:posOffset>1208405</wp:posOffset>
            </wp:positionH>
            <wp:positionV relativeFrom="paragraph">
              <wp:posOffset>790575</wp:posOffset>
            </wp:positionV>
            <wp:extent cx="2857500" cy="3171825"/>
            <wp:effectExtent l="0" t="0" r="0" b="9525"/>
            <wp:wrapTopAndBottom/>
            <wp:docPr id="1" name="Picture 1" descr="Image result for UWTSD coat of 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UWTSD coat of arm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57500" cy="3171825"/>
                    </a:xfrm>
                    <a:prstGeom prst="rect">
                      <a:avLst/>
                    </a:prstGeom>
                    <a:noFill/>
                    <a:ln>
                      <a:noFill/>
                    </a:ln>
                  </pic:spPr>
                </pic:pic>
              </a:graphicData>
            </a:graphic>
          </wp:anchor>
        </w:drawing>
      </w:r>
      <w:r>
        <w:rPr>
          <w:rFonts w:ascii="AR JULIAN" w:hAnsi="AR JULIAN" w:cs="AR JULIAN"/>
          <w:sz w:val="52"/>
          <w:szCs w:val="52"/>
          <w:lang w:val="en-GB"/>
        </w:rPr>
        <w:t>University of Wales Trinity Saint David</w:t>
      </w:r>
    </w:p>
    <w:p>
      <w:pPr>
        <w:jc w:val="center"/>
        <w:rPr>
          <w:rFonts w:ascii="Cambria Math" w:hAnsi="Cambria Math" w:cs="Cambria Math"/>
          <w:sz w:val="52"/>
          <w:szCs w:val="52"/>
          <w:lang w:val="en-GB"/>
        </w:rPr>
      </w:pPr>
    </w:p>
    <w:p>
      <w:pPr>
        <w:jc w:val="center"/>
        <w:rPr>
          <w:rFonts w:ascii="Cambria Math" w:hAnsi="Cambria Math" w:cs="Cambria Math"/>
          <w:sz w:val="52"/>
          <w:szCs w:val="52"/>
          <w:lang w:val="en-GB"/>
        </w:rPr>
      </w:pPr>
      <w:r>
        <w:rPr>
          <w:rFonts w:ascii="Cambria Math" w:hAnsi="Cambria Math" w:cs="Cambria Math"/>
          <w:sz w:val="52"/>
          <w:szCs w:val="52"/>
          <w:lang w:val="en-GB"/>
        </w:rPr>
        <w:t>M4X02198</w:t>
      </w:r>
    </w:p>
    <w:p>
      <w:pPr>
        <w:jc w:val="center"/>
        <w:rPr>
          <w:rFonts w:ascii="Cambria Math" w:hAnsi="Cambria Math" w:cs="Cambria Math"/>
          <w:sz w:val="52"/>
          <w:szCs w:val="52"/>
          <w:lang w:val="en-GB"/>
        </w:rPr>
      </w:pPr>
      <w:r>
        <w:rPr>
          <w:rFonts w:ascii="Cambria Math" w:hAnsi="Cambria Math" w:cs="Cambria Math"/>
          <w:sz w:val="52"/>
          <w:szCs w:val="52"/>
          <w:lang w:val="en-GB"/>
        </w:rPr>
        <w:t>Vehicle Systems</w:t>
      </w:r>
    </w:p>
    <w:p>
      <w:pPr>
        <w:jc w:val="center"/>
        <w:rPr>
          <w:rFonts w:ascii="Cambria Math" w:hAnsi="Cambria Math" w:cs="Cambria Math"/>
          <w:sz w:val="52"/>
          <w:szCs w:val="52"/>
          <w:lang w:val="en-GB"/>
        </w:rPr>
      </w:pPr>
    </w:p>
    <w:p>
      <w:pPr>
        <w:jc w:val="center"/>
        <w:rPr>
          <w:rFonts w:ascii="Cambria Math" w:hAnsi="Cambria Math" w:cs="Cambria Math"/>
          <w:sz w:val="52"/>
          <w:szCs w:val="52"/>
          <w:lang w:val="en-GB"/>
        </w:rPr>
      </w:pPr>
      <w:r>
        <w:rPr>
          <w:rFonts w:ascii="Cambria Math" w:hAnsi="Cambria Math" w:cs="Cambria Math"/>
          <w:sz w:val="52"/>
          <w:szCs w:val="52"/>
          <w:lang w:val="en-GB"/>
        </w:rPr>
        <w:t>2020</w:t>
      </w:r>
    </w:p>
    <w:p>
      <w:pPr>
        <w:jc w:val="center"/>
        <w:rPr>
          <w:rFonts w:ascii="Cambria Math" w:hAnsi="Cambria Math" w:cs="Cambria Math"/>
          <w:sz w:val="52"/>
          <w:szCs w:val="52"/>
          <w:lang w:val="en-GB"/>
        </w:rPr>
      </w:pPr>
    </w:p>
    <w:p>
      <w:pPr>
        <w:jc w:val="center"/>
        <w:rPr>
          <w:rFonts w:ascii="Cambria Math" w:hAnsi="Cambria Math" w:cs="Cambria Math"/>
          <w:sz w:val="52"/>
          <w:szCs w:val="52"/>
          <w:lang w:val="en-GB"/>
        </w:rPr>
      </w:pPr>
      <w:r>
        <w:rPr>
          <w:rFonts w:ascii="Cambria Math" w:hAnsi="Cambria Math" w:cs="Cambria Math"/>
          <w:sz w:val="52"/>
          <w:szCs w:val="52"/>
          <w:lang w:val="en-GB"/>
        </w:rPr>
        <w:t>Ethan Johnson</w:t>
      </w:r>
    </w:p>
    <w:p>
      <w:pPr>
        <w:spacing w:after="160" w:line="259" w:lineRule="auto"/>
        <w:rPr>
          <w:rFonts w:ascii="Cambria Math" w:hAnsi="Cambria Math" w:cs="Cambria Math"/>
          <w:sz w:val="52"/>
          <w:szCs w:val="52"/>
          <w:lang w:val="en-GB"/>
        </w:rPr>
      </w:pPr>
      <w:r>
        <w:rPr>
          <w:rFonts w:ascii="Cambria Math" w:hAnsi="Cambria Math" w:cs="Cambria Math"/>
          <w:sz w:val="52"/>
          <w:szCs w:val="52"/>
          <w:lang w:val="en-GB"/>
        </w:rPr>
        <w:br w:type="page"/>
      </w:r>
    </w:p>
    <w:sdt>
      <w:sdtPr>
        <w:rPr>
          <w:rFonts w:ascii="SimSun" w:hAnsi="SimSun" w:eastAsia="SimSun" w:cs="Times New Roman"/>
          <w:sz w:val="21"/>
          <w:szCs w:val="20"/>
          <w:lang w:val="en-US" w:eastAsia="zh-CN" w:bidi="ar-SA"/>
        </w:rPr>
        <w:id w:val="147453791"/>
        <w15:color w:val="DBDBDB"/>
        <w:docPartObj>
          <w:docPartGallery w:val="Table of Contents"/>
          <w:docPartUnique/>
        </w:docPartObj>
      </w:sdtPr>
      <w:sdtEndPr>
        <w:rPr>
          <w:rFonts w:hint="default" w:ascii="Calibri" w:hAnsi="Calibri" w:eastAsia="SimSun" w:cs="Times New Roman"/>
          <w:sz w:val="20"/>
          <w:szCs w:val="20"/>
          <w:lang w:val="en-GB" w:eastAsia="zh-CN" w:bidi="ar-SA"/>
        </w:rPr>
      </w:sdtEndPr>
      <w:sdtContent>
        <w:p>
          <w:pPr>
            <w:spacing w:before="0" w:beforeLines="0" w:after="0" w:afterLines="0" w:line="240" w:lineRule="auto"/>
            <w:ind w:left="0" w:leftChars="0" w:right="0" w:rightChars="0" w:firstLine="0" w:firstLineChars="0"/>
            <w:jc w:val="center"/>
          </w:pPr>
          <w:r>
            <w:rPr>
              <w:rFonts w:ascii="SimSun" w:hAnsi="SimSun" w:eastAsia="SimSun"/>
              <w:sz w:val="21"/>
            </w:rPr>
            <w:t>Table of Contents</w:t>
          </w:r>
        </w:p>
        <w:p>
          <w:pPr>
            <w:pStyle w:val="12"/>
            <w:tabs>
              <w:tab w:val="right" w:leader="dot" w:pos="9026"/>
            </w:tabs>
          </w:pPr>
          <w:r>
            <w:rPr>
              <w:rFonts w:hint="default"/>
              <w:lang w:val="en-GB"/>
            </w:rPr>
            <w:fldChar w:fldCharType="begin"/>
          </w:r>
          <w:r>
            <w:rPr>
              <w:rFonts w:hint="default"/>
              <w:lang w:val="en-GB"/>
            </w:rPr>
            <w:instrText xml:space="preserve">TOC \o "1-1" \h \u </w:instrText>
          </w:r>
          <w:r>
            <w:rPr>
              <w:rFonts w:hint="default"/>
              <w:lang w:val="en-GB"/>
            </w:rPr>
            <w:fldChar w:fldCharType="separate"/>
          </w:r>
          <w:r>
            <w:rPr>
              <w:rFonts w:hint="default"/>
              <w:lang w:val="en-GB"/>
            </w:rPr>
            <w:fldChar w:fldCharType="begin"/>
          </w:r>
          <w:r>
            <w:rPr>
              <w:rFonts w:hint="default"/>
              <w:lang w:val="en-GB"/>
            </w:rPr>
            <w:instrText xml:space="preserve"> HYPERLINK \l _Toc2644 </w:instrText>
          </w:r>
          <w:r>
            <w:rPr>
              <w:rFonts w:hint="default"/>
              <w:lang w:val="en-GB"/>
            </w:rPr>
            <w:fldChar w:fldCharType="separate"/>
          </w:r>
          <w:r>
            <w:rPr>
              <w:rFonts w:hint="default"/>
              <w:szCs w:val="20"/>
              <w:lang w:val="en-GB"/>
            </w:rPr>
            <w:t>Introduction</w:t>
          </w:r>
          <w:r>
            <w:tab/>
          </w:r>
          <w:r>
            <w:fldChar w:fldCharType="begin"/>
          </w:r>
          <w:r>
            <w:instrText xml:space="preserve"> PAGEREF _Toc2644 </w:instrText>
          </w:r>
          <w:r>
            <w:fldChar w:fldCharType="separate"/>
          </w:r>
          <w:r>
            <w:t>3</w:t>
          </w:r>
          <w:r>
            <w:fldChar w:fldCharType="end"/>
          </w:r>
          <w:r>
            <w:rPr>
              <w:rFonts w:hint="default"/>
              <w:lang w:val="en-GB"/>
            </w:rPr>
            <w:fldChar w:fldCharType="end"/>
          </w:r>
        </w:p>
        <w:p>
          <w:pPr>
            <w:pStyle w:val="12"/>
            <w:tabs>
              <w:tab w:val="right" w:leader="dot" w:pos="9026"/>
            </w:tabs>
          </w:pPr>
          <w:r>
            <w:rPr>
              <w:rFonts w:hint="default"/>
              <w:lang w:val="en-GB"/>
            </w:rPr>
            <w:fldChar w:fldCharType="begin"/>
          </w:r>
          <w:r>
            <w:rPr>
              <w:rFonts w:hint="default"/>
              <w:lang w:val="en-GB"/>
            </w:rPr>
            <w:instrText xml:space="preserve"> HYPERLINK \l _Toc13719 </w:instrText>
          </w:r>
          <w:r>
            <w:rPr>
              <w:rFonts w:hint="default"/>
              <w:lang w:val="en-GB"/>
            </w:rPr>
            <w:fldChar w:fldCharType="separate"/>
          </w:r>
          <w:r>
            <w:rPr>
              <w:rFonts w:hint="default"/>
              <w:szCs w:val="20"/>
              <w:lang w:val="en-GB"/>
            </w:rPr>
            <w:t>Research</w:t>
          </w:r>
          <w:r>
            <w:tab/>
          </w:r>
          <w:r>
            <w:fldChar w:fldCharType="begin"/>
          </w:r>
          <w:r>
            <w:instrText xml:space="preserve"> PAGEREF _Toc13719 </w:instrText>
          </w:r>
          <w:r>
            <w:fldChar w:fldCharType="separate"/>
          </w:r>
          <w:r>
            <w:t>4</w:t>
          </w:r>
          <w:r>
            <w:fldChar w:fldCharType="end"/>
          </w:r>
          <w:r>
            <w:rPr>
              <w:rFonts w:hint="default"/>
              <w:lang w:val="en-GB"/>
            </w:rPr>
            <w:fldChar w:fldCharType="end"/>
          </w:r>
        </w:p>
        <w:p>
          <w:pPr>
            <w:pStyle w:val="12"/>
            <w:tabs>
              <w:tab w:val="right" w:leader="dot" w:pos="9026"/>
            </w:tabs>
          </w:pPr>
          <w:r>
            <w:rPr>
              <w:rFonts w:hint="default"/>
              <w:lang w:val="en-GB"/>
            </w:rPr>
            <w:fldChar w:fldCharType="begin"/>
          </w:r>
          <w:r>
            <w:rPr>
              <w:rFonts w:hint="default"/>
              <w:lang w:val="en-GB"/>
            </w:rPr>
            <w:instrText xml:space="preserve"> HYPERLINK \l _Toc17175 </w:instrText>
          </w:r>
          <w:r>
            <w:rPr>
              <w:rFonts w:hint="default"/>
              <w:lang w:val="en-GB"/>
            </w:rPr>
            <w:fldChar w:fldCharType="separate"/>
          </w:r>
          <w:r>
            <w:rPr>
              <w:rFonts w:hint="default"/>
              <w:szCs w:val="20"/>
              <w:lang w:val="en-GB"/>
            </w:rPr>
            <w:t>Results</w:t>
          </w:r>
          <w:r>
            <w:tab/>
          </w:r>
          <w:r>
            <w:fldChar w:fldCharType="begin"/>
          </w:r>
          <w:r>
            <w:instrText xml:space="preserve"> PAGEREF _Toc17175 </w:instrText>
          </w:r>
          <w:r>
            <w:fldChar w:fldCharType="separate"/>
          </w:r>
          <w:r>
            <w:t>6</w:t>
          </w:r>
          <w:r>
            <w:fldChar w:fldCharType="end"/>
          </w:r>
          <w:r>
            <w:rPr>
              <w:rFonts w:hint="default"/>
              <w:lang w:val="en-GB"/>
            </w:rPr>
            <w:fldChar w:fldCharType="end"/>
          </w:r>
        </w:p>
        <w:p>
          <w:pPr>
            <w:pStyle w:val="12"/>
            <w:tabs>
              <w:tab w:val="right" w:leader="dot" w:pos="9026"/>
            </w:tabs>
          </w:pPr>
          <w:r>
            <w:rPr>
              <w:rFonts w:hint="default"/>
              <w:lang w:val="en-GB"/>
            </w:rPr>
            <w:fldChar w:fldCharType="begin"/>
          </w:r>
          <w:r>
            <w:rPr>
              <w:rFonts w:hint="default"/>
              <w:lang w:val="en-GB"/>
            </w:rPr>
            <w:instrText xml:space="preserve"> HYPERLINK \l _Toc3248 </w:instrText>
          </w:r>
          <w:r>
            <w:rPr>
              <w:rFonts w:hint="default"/>
              <w:lang w:val="en-GB"/>
            </w:rPr>
            <w:fldChar w:fldCharType="separate"/>
          </w:r>
          <w:r>
            <w:rPr>
              <w:szCs w:val="20"/>
            </w:rPr>
            <w:t>Analysis</w:t>
          </w:r>
          <w:r>
            <w:tab/>
          </w:r>
          <w:r>
            <w:fldChar w:fldCharType="begin"/>
          </w:r>
          <w:r>
            <w:instrText xml:space="preserve"> PAGEREF _Toc3248 </w:instrText>
          </w:r>
          <w:r>
            <w:fldChar w:fldCharType="separate"/>
          </w:r>
          <w:r>
            <w:t>12</w:t>
          </w:r>
          <w:r>
            <w:fldChar w:fldCharType="end"/>
          </w:r>
          <w:r>
            <w:rPr>
              <w:rFonts w:hint="default"/>
              <w:lang w:val="en-GB"/>
            </w:rPr>
            <w:fldChar w:fldCharType="end"/>
          </w:r>
        </w:p>
        <w:p>
          <w:pPr>
            <w:pStyle w:val="12"/>
            <w:tabs>
              <w:tab w:val="right" w:leader="dot" w:pos="9026"/>
            </w:tabs>
          </w:pPr>
          <w:r>
            <w:rPr>
              <w:rFonts w:hint="default"/>
              <w:lang w:val="en-GB"/>
            </w:rPr>
            <w:fldChar w:fldCharType="begin"/>
          </w:r>
          <w:r>
            <w:rPr>
              <w:rFonts w:hint="default"/>
              <w:lang w:val="en-GB"/>
            </w:rPr>
            <w:instrText xml:space="preserve"> HYPERLINK \l _Toc14789 </w:instrText>
          </w:r>
          <w:r>
            <w:rPr>
              <w:rFonts w:hint="default"/>
              <w:lang w:val="en-GB"/>
            </w:rPr>
            <w:fldChar w:fldCharType="separate"/>
          </w:r>
          <w:r>
            <w:rPr>
              <w:rFonts w:hint="default"/>
              <w:szCs w:val="20"/>
              <w:lang w:val="en-GB"/>
            </w:rPr>
            <w:t>Conclusion</w:t>
          </w:r>
          <w:r>
            <w:tab/>
          </w:r>
          <w:r>
            <w:fldChar w:fldCharType="begin"/>
          </w:r>
          <w:r>
            <w:instrText xml:space="preserve"> PAGEREF _Toc14789 </w:instrText>
          </w:r>
          <w:r>
            <w:fldChar w:fldCharType="separate"/>
          </w:r>
          <w:r>
            <w:t>13</w:t>
          </w:r>
          <w:r>
            <w:fldChar w:fldCharType="end"/>
          </w:r>
          <w:r>
            <w:rPr>
              <w:rFonts w:hint="default"/>
              <w:lang w:val="en-GB"/>
            </w:rPr>
            <w:fldChar w:fldCharType="end"/>
          </w:r>
        </w:p>
        <w:p>
          <w:pPr>
            <w:pStyle w:val="12"/>
            <w:tabs>
              <w:tab w:val="right" w:leader="dot" w:pos="9026"/>
            </w:tabs>
          </w:pPr>
          <w:r>
            <w:rPr>
              <w:rFonts w:hint="default"/>
              <w:lang w:val="en-GB"/>
            </w:rPr>
            <w:fldChar w:fldCharType="begin"/>
          </w:r>
          <w:r>
            <w:rPr>
              <w:rFonts w:hint="default"/>
              <w:lang w:val="en-GB"/>
            </w:rPr>
            <w:instrText xml:space="preserve"> HYPERLINK \l _Toc13395 </w:instrText>
          </w:r>
          <w:r>
            <w:rPr>
              <w:rFonts w:hint="default"/>
              <w:lang w:val="en-GB"/>
            </w:rPr>
            <w:fldChar w:fldCharType="separate"/>
          </w:r>
          <w:r>
            <w:rPr>
              <w:rFonts w:hint="default"/>
              <w:szCs w:val="20"/>
              <w:lang w:val="en-GB"/>
            </w:rPr>
            <w:t>Bibliography</w:t>
          </w:r>
          <w:r>
            <w:tab/>
          </w:r>
          <w:r>
            <w:fldChar w:fldCharType="begin"/>
          </w:r>
          <w:r>
            <w:instrText xml:space="preserve"> PAGEREF _Toc13395 </w:instrText>
          </w:r>
          <w:r>
            <w:fldChar w:fldCharType="separate"/>
          </w:r>
          <w:r>
            <w:t>14</w:t>
          </w:r>
          <w:r>
            <w:fldChar w:fldCharType="end"/>
          </w:r>
          <w:r>
            <w:rPr>
              <w:rFonts w:hint="default"/>
              <w:lang w:val="en-GB"/>
            </w:rPr>
            <w:fldChar w:fldCharType="end"/>
          </w:r>
        </w:p>
        <w:p>
          <w:pPr>
            <w:jc w:val="both"/>
            <w:rPr>
              <w:rFonts w:hint="default" w:ascii="Calibri" w:hAnsi="Calibri" w:eastAsia="SimSun" w:cs="Times New Roman"/>
              <w:sz w:val="20"/>
              <w:szCs w:val="20"/>
              <w:lang w:val="en-GB" w:eastAsia="zh-CN" w:bidi="ar-SA"/>
            </w:rPr>
          </w:pPr>
          <w:r>
            <w:rPr>
              <w:rFonts w:hint="default"/>
              <w:lang w:val="en-GB"/>
            </w:rPr>
            <w:fldChar w:fldCharType="end"/>
          </w:r>
        </w:p>
      </w:sdtContent>
    </w:sdt>
    <w:p>
      <w:pPr>
        <w:pStyle w:val="8"/>
        <w:tabs>
          <w:tab w:val="right" w:leader="dot" w:pos="9026"/>
        </w:tabs>
      </w:pPr>
      <w:r>
        <w:rPr>
          <w:rFonts w:hint="default" w:ascii="Calibri" w:hAnsi="Calibri" w:eastAsia="SimSun" w:cs="Times New Roman"/>
          <w:sz w:val="20"/>
          <w:szCs w:val="20"/>
          <w:lang w:val="en-GB" w:eastAsia="zh-CN" w:bidi="ar-SA"/>
        </w:rPr>
        <w:fldChar w:fldCharType="begin"/>
      </w:r>
      <w:r>
        <w:rPr>
          <w:rFonts w:hint="default" w:ascii="Calibri" w:hAnsi="Calibri" w:eastAsia="SimSun" w:cs="Times New Roman"/>
          <w:sz w:val="20"/>
          <w:szCs w:val="20"/>
          <w:lang w:val="en-GB" w:eastAsia="zh-CN" w:bidi="ar-SA"/>
        </w:rPr>
        <w:instrText xml:space="preserve">TOC \h \c "Figure"</w:instrText>
      </w:r>
      <w:r>
        <w:rPr>
          <w:rFonts w:hint="default" w:ascii="Calibri" w:hAnsi="Calibri" w:eastAsia="SimSun" w:cs="Times New Roman"/>
          <w:sz w:val="20"/>
          <w:szCs w:val="20"/>
          <w:lang w:val="en-GB" w:eastAsia="zh-CN" w:bidi="ar-SA"/>
        </w:rPr>
        <w:fldChar w:fldCharType="separate"/>
      </w: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_Toc6359 </w:instrText>
      </w:r>
      <w:r>
        <w:rPr>
          <w:rFonts w:hint="default" w:ascii="Calibri" w:hAnsi="Calibri" w:eastAsia="SimSun" w:cs="Times New Roman"/>
          <w:szCs w:val="20"/>
          <w:lang w:val="en-GB" w:eastAsia="zh-CN" w:bidi="ar-SA"/>
        </w:rPr>
        <w:fldChar w:fldCharType="separate"/>
      </w:r>
      <w:r>
        <w:t xml:space="preserve">Figure 1 </w:t>
      </w:r>
      <w:r>
        <w:rPr>
          <w:lang w:val="en-GB"/>
        </w:rPr>
        <w:t>:Traction Circle</w:t>
      </w:r>
      <w:r>
        <w:tab/>
      </w:r>
      <w:r>
        <w:fldChar w:fldCharType="begin"/>
      </w:r>
      <w:r>
        <w:instrText xml:space="preserve"> PAGEREF _Toc6359 </w:instrText>
      </w:r>
      <w:r>
        <w:fldChar w:fldCharType="separate"/>
      </w:r>
      <w:r>
        <w:t>5</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_Toc7234 </w:instrText>
      </w:r>
      <w:r>
        <w:rPr>
          <w:rFonts w:hint="default" w:ascii="Calibri" w:hAnsi="Calibri" w:eastAsia="SimSun" w:cs="Times New Roman"/>
          <w:szCs w:val="20"/>
          <w:lang w:val="en-GB" w:eastAsia="zh-CN" w:bidi="ar-SA"/>
        </w:rPr>
        <w:fldChar w:fldCharType="separate"/>
      </w:r>
      <w:r>
        <w:t xml:space="preserve">Figure 2 </w:t>
      </w:r>
      <w:r>
        <w:rPr>
          <w:lang w:val="en-GB"/>
        </w:rPr>
        <w:t xml:space="preserve">: Front Left </w:t>
      </w:r>
      <w:r>
        <w:rPr>
          <w:rFonts w:hint="default"/>
          <w:lang w:val="en-GB"/>
        </w:rPr>
        <w:t xml:space="preserve">&amp; </w:t>
      </w:r>
      <w:r>
        <w:rPr>
          <w:lang w:val="en-GB"/>
        </w:rPr>
        <w:t>Front Right Lateral Weight Transfer</w:t>
      </w:r>
      <w:r>
        <w:tab/>
      </w:r>
      <w:r>
        <w:fldChar w:fldCharType="begin"/>
      </w:r>
      <w:r>
        <w:instrText xml:space="preserve"> PAGEREF _Toc7234 </w:instrText>
      </w:r>
      <w:r>
        <w:fldChar w:fldCharType="separate"/>
      </w:r>
      <w:r>
        <w:t>6</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_Toc11201 </w:instrText>
      </w:r>
      <w:r>
        <w:rPr>
          <w:rFonts w:hint="default" w:ascii="Calibri" w:hAnsi="Calibri" w:eastAsia="SimSun" w:cs="Times New Roman"/>
          <w:szCs w:val="20"/>
          <w:lang w:val="en-GB" w:eastAsia="zh-CN" w:bidi="ar-SA"/>
        </w:rPr>
        <w:fldChar w:fldCharType="separate"/>
      </w:r>
      <w:r>
        <w:t xml:space="preserve">Figure 3 </w:t>
      </w:r>
      <w:r>
        <w:rPr>
          <w:lang w:val="en-GB"/>
        </w:rPr>
        <w:t>:Front Left &amp; Front right Longitudinal Weight Transfer</w:t>
      </w:r>
      <w:r>
        <w:tab/>
      </w:r>
      <w:r>
        <w:fldChar w:fldCharType="begin"/>
      </w:r>
      <w:r>
        <w:instrText xml:space="preserve"> PAGEREF _Toc11201 </w:instrText>
      </w:r>
      <w:r>
        <w:fldChar w:fldCharType="separate"/>
      </w:r>
      <w:r>
        <w:t>6</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_Toc21593 </w:instrText>
      </w:r>
      <w:r>
        <w:rPr>
          <w:rFonts w:hint="default" w:ascii="Calibri" w:hAnsi="Calibri" w:eastAsia="SimSun" w:cs="Times New Roman"/>
          <w:szCs w:val="20"/>
          <w:lang w:val="en-GB" w:eastAsia="zh-CN" w:bidi="ar-SA"/>
        </w:rPr>
        <w:fldChar w:fldCharType="separate"/>
      </w:r>
      <w:r>
        <w:t xml:space="preserve">Figure 4 </w:t>
      </w:r>
      <w:r>
        <w:rPr>
          <w:lang w:val="en-GB"/>
        </w:rPr>
        <w:t>:Rear Left &amp; rear right Lateral Weight Transfer</w:t>
      </w:r>
      <w:r>
        <w:tab/>
      </w:r>
      <w:r>
        <w:fldChar w:fldCharType="begin"/>
      </w:r>
      <w:r>
        <w:instrText xml:space="preserve"> PAGEREF _Toc21593 </w:instrText>
      </w:r>
      <w:r>
        <w:fldChar w:fldCharType="separate"/>
      </w:r>
      <w:r>
        <w:t>7</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_Toc8754 </w:instrText>
      </w:r>
      <w:r>
        <w:rPr>
          <w:rFonts w:hint="default" w:ascii="Calibri" w:hAnsi="Calibri" w:eastAsia="SimSun" w:cs="Times New Roman"/>
          <w:szCs w:val="20"/>
          <w:lang w:val="en-GB" w:eastAsia="zh-CN" w:bidi="ar-SA"/>
        </w:rPr>
        <w:fldChar w:fldCharType="separate"/>
      </w:r>
      <w:r>
        <w:t xml:space="preserve">Figure 5 </w:t>
      </w:r>
      <w:r>
        <w:rPr>
          <w:lang w:val="en-GB"/>
        </w:rPr>
        <w:t>:Rear Left &amp; rear right longitudinal Weight Transfer</w:t>
      </w:r>
      <w:r>
        <w:tab/>
      </w:r>
      <w:r>
        <w:fldChar w:fldCharType="begin"/>
      </w:r>
      <w:r>
        <w:instrText xml:space="preserve"> PAGEREF _Toc8754 </w:instrText>
      </w:r>
      <w:r>
        <w:fldChar w:fldCharType="separate"/>
      </w:r>
      <w:r>
        <w:t>8</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_Toc29144 </w:instrText>
      </w:r>
      <w:r>
        <w:rPr>
          <w:rFonts w:hint="default" w:ascii="Calibri" w:hAnsi="Calibri" w:eastAsia="SimSun" w:cs="Times New Roman"/>
          <w:szCs w:val="20"/>
          <w:lang w:val="en-GB" w:eastAsia="zh-CN" w:bidi="ar-SA"/>
        </w:rPr>
        <w:fldChar w:fldCharType="separate"/>
      </w:r>
      <w:r>
        <w:t xml:space="preserve">Figure 6 </w:t>
      </w:r>
      <w:r>
        <w:rPr>
          <w:lang w:val="en-GB"/>
        </w:rPr>
        <w:t>:Velocity Weight transfer</w:t>
      </w:r>
      <w:r>
        <w:tab/>
      </w:r>
      <w:r>
        <w:fldChar w:fldCharType="begin"/>
      </w:r>
      <w:r>
        <w:instrText xml:space="preserve"> PAGEREF _Toc29144 </w:instrText>
      </w:r>
      <w:r>
        <w:fldChar w:fldCharType="separate"/>
      </w:r>
      <w:r>
        <w:t>8</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_Toc3202 </w:instrText>
      </w:r>
      <w:r>
        <w:rPr>
          <w:rFonts w:hint="default" w:ascii="Calibri" w:hAnsi="Calibri" w:eastAsia="SimSun" w:cs="Times New Roman"/>
          <w:szCs w:val="20"/>
          <w:lang w:val="en-GB" w:eastAsia="zh-CN" w:bidi="ar-SA"/>
        </w:rPr>
        <w:fldChar w:fldCharType="separate"/>
      </w:r>
      <w:r>
        <w:t xml:space="preserve">Figure 7 </w:t>
      </w:r>
      <w:r>
        <w:rPr>
          <w:lang w:val="en-GB"/>
        </w:rPr>
        <w:t>:velocity weight transfer</w:t>
      </w:r>
      <w:r>
        <w:tab/>
      </w:r>
      <w:r>
        <w:fldChar w:fldCharType="begin"/>
      </w:r>
      <w:r>
        <w:instrText xml:space="preserve"> PAGEREF _Toc3202 </w:instrText>
      </w:r>
      <w:r>
        <w:fldChar w:fldCharType="separate"/>
      </w:r>
      <w:r>
        <w:t>9</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_Toc28549 </w:instrText>
      </w:r>
      <w:r>
        <w:rPr>
          <w:rFonts w:hint="default" w:ascii="Calibri" w:hAnsi="Calibri" w:eastAsia="SimSun" w:cs="Times New Roman"/>
          <w:szCs w:val="20"/>
          <w:lang w:val="en-GB" w:eastAsia="zh-CN" w:bidi="ar-SA"/>
        </w:rPr>
        <w:fldChar w:fldCharType="separate"/>
      </w:r>
      <w:r>
        <w:t xml:space="preserve">Figure 8 </w:t>
      </w:r>
      <w:r>
        <w:rPr>
          <w:lang w:val="en-GB"/>
        </w:rPr>
        <w:t>:Weight Transfer For 1m Track Width vs Original Track Width</w:t>
      </w:r>
      <w:r>
        <w:tab/>
      </w:r>
      <w:r>
        <w:fldChar w:fldCharType="begin"/>
      </w:r>
      <w:r>
        <w:instrText xml:space="preserve"> PAGEREF _Toc28549 </w:instrText>
      </w:r>
      <w:r>
        <w:fldChar w:fldCharType="separate"/>
      </w:r>
      <w:r>
        <w:t>10</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_Toc24665 </w:instrText>
      </w:r>
      <w:r>
        <w:rPr>
          <w:rFonts w:hint="default" w:ascii="Calibri" w:hAnsi="Calibri" w:eastAsia="SimSun" w:cs="Times New Roman"/>
          <w:szCs w:val="20"/>
          <w:lang w:val="en-GB" w:eastAsia="zh-CN" w:bidi="ar-SA"/>
        </w:rPr>
        <w:fldChar w:fldCharType="separate"/>
      </w:r>
      <w:r>
        <w:t xml:space="preserve">Figure 9 </w:t>
      </w:r>
      <w:r>
        <w:rPr>
          <w:lang w:val="en-GB"/>
        </w:rPr>
        <w:t>:Weight Transfer For 1.5m Track Width vs Original Track Width</w:t>
      </w:r>
      <w:r>
        <w:tab/>
      </w:r>
      <w:r>
        <w:fldChar w:fldCharType="begin"/>
      </w:r>
      <w:r>
        <w:instrText xml:space="preserve"> PAGEREF _Toc24665 </w:instrText>
      </w:r>
      <w:r>
        <w:fldChar w:fldCharType="separate"/>
      </w:r>
      <w:r>
        <w:t>10</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_Toc14816 </w:instrText>
      </w:r>
      <w:r>
        <w:rPr>
          <w:rFonts w:hint="default" w:ascii="Calibri" w:hAnsi="Calibri" w:eastAsia="SimSun" w:cs="Times New Roman"/>
          <w:szCs w:val="20"/>
          <w:lang w:val="en-GB" w:eastAsia="zh-CN" w:bidi="ar-SA"/>
        </w:rPr>
        <w:fldChar w:fldCharType="separate"/>
      </w:r>
      <w:r>
        <w:t xml:space="preserve">Figure 10 </w:t>
      </w:r>
      <w:r>
        <w:rPr>
          <w:lang w:val="en-GB"/>
        </w:rPr>
        <w:t>:Weight Transfer For 2m Track Width vs Original Track Width</w:t>
      </w:r>
      <w:r>
        <w:tab/>
      </w:r>
      <w:r>
        <w:fldChar w:fldCharType="begin"/>
      </w:r>
      <w:r>
        <w:instrText xml:space="preserve"> PAGEREF _Toc14816 </w:instrText>
      </w:r>
      <w:r>
        <w:fldChar w:fldCharType="separate"/>
      </w:r>
      <w:r>
        <w:t>11</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_Toc1230 </w:instrText>
      </w:r>
      <w:r>
        <w:rPr>
          <w:rFonts w:hint="default" w:ascii="Calibri" w:hAnsi="Calibri" w:eastAsia="SimSun" w:cs="Times New Roman"/>
          <w:szCs w:val="20"/>
          <w:lang w:val="en-GB" w:eastAsia="zh-CN" w:bidi="ar-SA"/>
        </w:rPr>
        <w:fldChar w:fldCharType="separate"/>
      </w:r>
      <w:r>
        <w:t xml:space="preserve">Figure 11 </w:t>
      </w:r>
      <w:r>
        <w:rPr>
          <w:lang w:val="en-GB"/>
        </w:rPr>
        <w:t>:Weight Transfer For 0.2m COGH vs Original COGH</w:t>
      </w:r>
      <w:r>
        <w:tab/>
      </w:r>
      <w:r>
        <w:fldChar w:fldCharType="begin"/>
      </w:r>
      <w:r>
        <w:instrText xml:space="preserve"> PAGEREF _Toc1230 </w:instrText>
      </w:r>
      <w:r>
        <w:fldChar w:fldCharType="separate"/>
      </w:r>
      <w:r>
        <w:t>12</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_Toc15459 </w:instrText>
      </w:r>
      <w:r>
        <w:rPr>
          <w:rFonts w:hint="default" w:ascii="Calibri" w:hAnsi="Calibri" w:eastAsia="SimSun" w:cs="Times New Roman"/>
          <w:szCs w:val="20"/>
          <w:lang w:val="en-GB" w:eastAsia="zh-CN" w:bidi="ar-SA"/>
        </w:rPr>
        <w:fldChar w:fldCharType="separate"/>
      </w:r>
      <w:r>
        <w:t xml:space="preserve">Figure 12 </w:t>
      </w:r>
      <w:r>
        <w:rPr>
          <w:lang w:val="en-GB"/>
        </w:rPr>
        <w:t>:Weight Transfer For 0.4m COGH vs Original COGH</w:t>
      </w:r>
      <w:r>
        <w:tab/>
      </w:r>
      <w:r>
        <w:fldChar w:fldCharType="begin"/>
      </w:r>
      <w:r>
        <w:instrText xml:space="preserve"> PAGEREF _Toc15459 </w:instrText>
      </w:r>
      <w:r>
        <w:fldChar w:fldCharType="separate"/>
      </w:r>
      <w:r>
        <w:t>12</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_Toc27088 </w:instrText>
      </w:r>
      <w:r>
        <w:rPr>
          <w:rFonts w:hint="default" w:ascii="Calibri" w:hAnsi="Calibri" w:eastAsia="SimSun" w:cs="Times New Roman"/>
          <w:szCs w:val="20"/>
          <w:lang w:val="en-GB" w:eastAsia="zh-CN" w:bidi="ar-SA"/>
        </w:rPr>
        <w:fldChar w:fldCharType="separate"/>
      </w:r>
      <w:r>
        <w:t xml:space="preserve">Figure 13 </w:t>
      </w:r>
      <w:r>
        <w:rPr>
          <w:lang w:val="en-GB"/>
        </w:rPr>
        <w:t>:Weight Transfer For 0.6m COGH vs Original COGH</w:t>
      </w:r>
      <w:r>
        <w:tab/>
      </w:r>
      <w:r>
        <w:fldChar w:fldCharType="begin"/>
      </w:r>
      <w:r>
        <w:instrText xml:space="preserve"> PAGEREF _Toc27088 </w:instrText>
      </w:r>
      <w:r>
        <w:fldChar w:fldCharType="separate"/>
      </w:r>
      <w:r>
        <w:t>12</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_Toc21512 </w:instrText>
      </w:r>
      <w:r>
        <w:rPr>
          <w:rFonts w:hint="default" w:ascii="Calibri" w:hAnsi="Calibri" w:eastAsia="SimSun" w:cs="Times New Roman"/>
          <w:szCs w:val="20"/>
          <w:lang w:val="en-GB" w:eastAsia="zh-CN" w:bidi="ar-SA"/>
        </w:rPr>
        <w:fldChar w:fldCharType="separate"/>
      </w:r>
      <w:r>
        <w:t xml:space="preserve">Figure 14 </w:t>
      </w:r>
      <w:r>
        <w:rPr>
          <w:lang w:val="en-GB"/>
        </w:rPr>
        <w:t>:Front Left and Front Right Weight Transfer Under Maximum Combined G Force</w:t>
      </w:r>
      <w:r>
        <w:tab/>
      </w:r>
      <w:r>
        <w:fldChar w:fldCharType="begin"/>
      </w:r>
      <w:r>
        <w:instrText xml:space="preserve"> PAGEREF _Toc21512 </w:instrText>
      </w:r>
      <w:r>
        <w:fldChar w:fldCharType="separate"/>
      </w:r>
      <w:r>
        <w:t>13</w:t>
      </w:r>
      <w:r>
        <w:fldChar w:fldCharType="end"/>
      </w:r>
      <w:r>
        <w:rPr>
          <w:rFonts w:hint="default" w:ascii="Calibri" w:hAnsi="Calibri" w:eastAsia="SimSun" w:cs="Times New Roman"/>
          <w:szCs w:val="20"/>
          <w:lang w:val="en-GB" w:eastAsia="zh-CN" w:bidi="ar-SA"/>
        </w:rPr>
        <w:fldChar w:fldCharType="end"/>
      </w:r>
    </w:p>
    <w:p>
      <w:pPr>
        <w:pStyle w:val="8"/>
        <w:tabs>
          <w:tab w:val="right" w:leader="dot" w:pos="9026"/>
        </w:tabs>
      </w:pPr>
      <w:r>
        <w:rPr>
          <w:rFonts w:hint="default" w:ascii="Calibri" w:hAnsi="Calibri" w:eastAsia="SimSun" w:cs="Times New Roman"/>
          <w:szCs w:val="20"/>
          <w:lang w:val="en-GB" w:eastAsia="zh-CN" w:bidi="ar-SA"/>
        </w:rPr>
        <w:fldChar w:fldCharType="begin"/>
      </w:r>
      <w:r>
        <w:rPr>
          <w:rFonts w:hint="default" w:ascii="Calibri" w:hAnsi="Calibri" w:eastAsia="SimSun" w:cs="Times New Roman"/>
          <w:szCs w:val="20"/>
          <w:lang w:val="en-GB" w:eastAsia="zh-CN" w:bidi="ar-SA"/>
        </w:rPr>
        <w:instrText xml:space="preserve"> HYPERLINK \l _Toc11973 </w:instrText>
      </w:r>
      <w:r>
        <w:rPr>
          <w:rFonts w:hint="default" w:ascii="Calibri" w:hAnsi="Calibri" w:eastAsia="SimSun" w:cs="Times New Roman"/>
          <w:szCs w:val="20"/>
          <w:lang w:val="en-GB" w:eastAsia="zh-CN" w:bidi="ar-SA"/>
        </w:rPr>
        <w:fldChar w:fldCharType="separate"/>
      </w:r>
      <w:r>
        <w:t xml:space="preserve">Figure 15 </w:t>
      </w:r>
      <w:r>
        <w:rPr>
          <w:lang w:val="en-GB"/>
        </w:rPr>
        <w:t>:Rear Left and Rear Right weight transfer Under Maximum Combined G Force</w:t>
      </w:r>
      <w:r>
        <w:tab/>
      </w:r>
      <w:r>
        <w:fldChar w:fldCharType="begin"/>
      </w:r>
      <w:r>
        <w:instrText xml:space="preserve"> PAGEREF _Toc11973 </w:instrText>
      </w:r>
      <w:r>
        <w:fldChar w:fldCharType="separate"/>
      </w:r>
      <w:r>
        <w:t>13</w:t>
      </w:r>
      <w:r>
        <w:fldChar w:fldCharType="end"/>
      </w:r>
      <w:r>
        <w:rPr>
          <w:rFonts w:hint="default" w:ascii="Calibri" w:hAnsi="Calibri" w:eastAsia="SimSun" w:cs="Times New Roman"/>
          <w:szCs w:val="20"/>
          <w:lang w:val="en-GB" w:eastAsia="zh-CN" w:bidi="ar-SA"/>
        </w:rPr>
        <w:fldChar w:fldCharType="end"/>
      </w:r>
    </w:p>
    <w:p>
      <w:pPr>
        <w:jc w:val="both"/>
        <w:rPr>
          <w:rFonts w:hint="default" w:ascii="Calibri" w:hAnsi="Calibri" w:eastAsia="SimSun" w:cs="Times New Roman"/>
          <w:sz w:val="20"/>
          <w:szCs w:val="20"/>
          <w:lang w:val="en-GB" w:eastAsia="zh-CN" w:bidi="ar-SA"/>
        </w:rPr>
        <w:sectPr>
          <w:footerReference r:id="rId3" w:type="default"/>
          <w:pgSz w:w="11906" w:h="16838"/>
          <w:pgMar w:top="1440" w:right="1440" w:bottom="1440" w:left="1440" w:header="708" w:footer="708" w:gutter="0"/>
          <w:pgNumType w:fmt="decimal"/>
          <w:cols w:space="708" w:num="1"/>
          <w:docGrid w:linePitch="360" w:charSpace="0"/>
        </w:sectPr>
      </w:pPr>
      <w:r>
        <w:rPr>
          <w:rFonts w:hint="default" w:ascii="Calibri" w:hAnsi="Calibri" w:eastAsia="SimSun" w:cs="Times New Roman"/>
          <w:szCs w:val="20"/>
          <w:lang w:val="en-GB" w:eastAsia="zh-CN" w:bidi="ar-SA"/>
        </w:rPr>
        <w:fldChar w:fldCharType="end"/>
      </w:r>
    </w:p>
    <w:p>
      <w:pPr>
        <w:pStyle w:val="2"/>
        <w:bidi w:val="0"/>
        <w:rPr>
          <w:rFonts w:hint="default"/>
          <w:sz w:val="20"/>
          <w:szCs w:val="20"/>
          <w:lang w:val="en-GB"/>
        </w:rPr>
      </w:pPr>
      <w:bookmarkStart w:id="0" w:name="_Toc2644"/>
      <w:r>
        <w:rPr>
          <w:rFonts w:hint="default"/>
          <w:sz w:val="20"/>
          <w:szCs w:val="20"/>
          <w:lang w:val="en-GB"/>
        </w:rPr>
        <w:t>Introduction</w:t>
      </w:r>
      <w:bookmarkEnd w:id="0"/>
    </w:p>
    <w:p>
      <w:pPr>
        <w:jc w:val="both"/>
      </w:pPr>
    </w:p>
    <w:p>
      <w:pPr>
        <w:jc w:val="both"/>
      </w:pPr>
      <w:r>
        <w:t>As quoted by the author of R</w:t>
      </w:r>
      <w:r>
        <w:rPr>
          <w:rFonts w:hint="default"/>
          <w:lang w:val="en-GB"/>
        </w:rPr>
        <w:t>ace Car Engineering &amp; Mechanics</w:t>
      </w:r>
      <w:r>
        <w:t>;</w:t>
      </w:r>
    </w:p>
    <w:p>
      <w:pPr>
        <w:jc w:val="both"/>
      </w:pPr>
    </w:p>
    <w:p>
      <w:pPr>
        <w:jc w:val="center"/>
      </w:pPr>
      <w:r>
        <w:t>“The torques and rotations are the secrets of winning races”</w:t>
      </w:r>
    </w:p>
    <w:p>
      <w:pPr>
        <w:jc w:val="both"/>
        <w:rPr>
          <w:rFonts w:ascii="Verdana" w:hAnsi="Verdana" w:eastAsia="SimSun" w:cs="Verdana"/>
          <w:i w:val="0"/>
          <w:caps w:val="0"/>
          <w:color w:val="000000"/>
          <w:spacing w:val="0"/>
          <w:sz w:val="20"/>
          <w:szCs w:val="20"/>
          <w:u w:val="none"/>
          <w:shd w:val="clear" w:fill="FFFFFF"/>
        </w:rPr>
      </w:pPr>
    </w:p>
    <w:p>
      <w:pPr>
        <w:jc w:val="right"/>
        <w:rPr>
          <w:rFonts w:ascii="Verdana" w:hAnsi="Verdana" w:eastAsia="SimSun" w:cs="Verdana"/>
          <w:i w:val="0"/>
          <w:caps w:val="0"/>
          <w:color w:val="000000"/>
          <w:spacing w:val="0"/>
          <w:sz w:val="16"/>
          <w:szCs w:val="16"/>
          <w:u w:val="none"/>
          <w:shd w:val="clear" w:fill="FFFFFF"/>
        </w:rPr>
      </w:pPr>
    </w:p>
    <w:p>
      <w:pPr>
        <w:jc w:val="right"/>
        <w:rPr>
          <w:rFonts w:hint="default" w:ascii="Verdana" w:hAnsi="Verdana" w:cs="Verdana"/>
          <w:i/>
          <w:caps w:val="0"/>
          <w:color w:val="000000"/>
          <w:spacing w:val="0"/>
          <w:sz w:val="16"/>
          <w:szCs w:val="16"/>
          <w:u w:val="none"/>
          <w:lang w:val="en-GB"/>
        </w:rPr>
      </w:pPr>
      <w:r>
        <w:rPr>
          <w:rFonts w:ascii="Verdana" w:hAnsi="Verdana" w:eastAsia="SimSun" w:cs="Verdana"/>
          <w:i w:val="0"/>
          <w:caps w:val="0"/>
          <w:color w:val="000000"/>
          <w:spacing w:val="0"/>
          <w:sz w:val="16"/>
          <w:szCs w:val="16"/>
          <w:u w:val="none"/>
          <w:shd w:val="clear" w:fill="FFFFFF"/>
        </w:rPr>
        <w:t xml:space="preserve">Van Valkenburg, P (1976). </w:t>
      </w:r>
      <w:r>
        <w:rPr>
          <w:rFonts w:hint="default" w:ascii="Verdana" w:hAnsi="Verdana" w:eastAsia="SimSun" w:cs="Verdana"/>
          <w:i/>
          <w:caps w:val="0"/>
          <w:color w:val="000000"/>
          <w:spacing w:val="0"/>
          <w:sz w:val="16"/>
          <w:szCs w:val="16"/>
          <w:u w:val="none"/>
        </w:rPr>
        <w:t>Race Car Engineering &amp; Mechanics</w:t>
      </w:r>
      <w:r>
        <w:rPr>
          <w:rFonts w:hint="default" w:ascii="Verdana" w:hAnsi="Verdana" w:cs="Verdana"/>
          <w:i/>
          <w:caps w:val="0"/>
          <w:color w:val="000000"/>
          <w:spacing w:val="0"/>
          <w:sz w:val="16"/>
          <w:szCs w:val="16"/>
          <w:u w:val="none"/>
          <w:lang w:val="en-GB"/>
        </w:rPr>
        <w:t xml:space="preserve"> pg40</w:t>
      </w:r>
    </w:p>
    <w:p>
      <w:pPr>
        <w:jc w:val="right"/>
        <w:rPr>
          <w:rFonts w:hint="default" w:ascii="Verdana" w:hAnsi="Verdana" w:cs="Verdana"/>
          <w:i/>
          <w:caps w:val="0"/>
          <w:color w:val="000000"/>
          <w:spacing w:val="0"/>
          <w:sz w:val="16"/>
          <w:szCs w:val="16"/>
          <w:u w:val="none"/>
          <w:lang w:val="en-GB"/>
        </w:rPr>
      </w:pPr>
    </w:p>
    <w:p>
      <w:pPr>
        <w:jc w:val="left"/>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Vehicle balancing has been around since the first vehicle produced, vehicle balancing is used in a number of disciplines, racing and consumer cars will be the focus of this investigation. Vehicles react in many different ways when driving, a few of these movements include;</w:t>
      </w:r>
    </w:p>
    <w:p>
      <w:pPr>
        <w:jc w:val="left"/>
        <w:rPr>
          <w:rFonts w:hint="default" w:hAnsi="Verdana" w:cs="Verdana" w:asciiTheme="minorAscii"/>
          <w:i w:val="0"/>
          <w:iCs/>
          <w:caps w:val="0"/>
          <w:color w:val="000000"/>
          <w:spacing w:val="0"/>
          <w:sz w:val="20"/>
          <w:szCs w:val="20"/>
          <w:u w:val="none"/>
          <w:lang w:val="en-GB"/>
        </w:rPr>
      </w:pPr>
    </w:p>
    <w:p>
      <w:pPr>
        <w:jc w:val="left"/>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Squatting (rear lowers front raises)</w:t>
      </w:r>
    </w:p>
    <w:p>
      <w:pPr>
        <w:jc w:val="left"/>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Diving (Front lowers rear raises)</w:t>
      </w:r>
    </w:p>
    <w:p>
      <w:pPr>
        <w:jc w:val="left"/>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Rolling</w:t>
      </w:r>
    </w:p>
    <w:p>
      <w:pPr>
        <w:jc w:val="left"/>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Jacking (vertical movement)</w:t>
      </w:r>
    </w:p>
    <w:p>
      <w:pPr>
        <w:jc w:val="left"/>
        <w:rPr>
          <w:rFonts w:hint="default" w:hAnsi="Verdana" w:cs="Verdana" w:asciiTheme="minorAscii"/>
          <w:i w:val="0"/>
          <w:iCs/>
          <w:caps w:val="0"/>
          <w:color w:val="000000"/>
          <w:spacing w:val="0"/>
          <w:sz w:val="20"/>
          <w:szCs w:val="20"/>
          <w:u w:val="none"/>
          <w:lang w:val="en-GB"/>
        </w:rPr>
      </w:pPr>
    </w:p>
    <w:p>
      <w:pPr>
        <w:jc w:val="left"/>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All of these movements are controllable, in this investigation, weight transfer will be harnessed to see what can be changed to improve performance through the corners.</w:t>
      </w:r>
    </w:p>
    <w:p>
      <w:pPr>
        <w:jc w:val="left"/>
        <w:rPr>
          <w:rFonts w:hint="default" w:hAnsi="Verdana" w:cs="Verdana" w:asciiTheme="minorAscii"/>
          <w:i w:val="0"/>
          <w:iCs/>
          <w:caps w:val="0"/>
          <w:color w:val="000000"/>
          <w:spacing w:val="0"/>
          <w:sz w:val="20"/>
          <w:szCs w:val="20"/>
          <w:u w:val="none"/>
          <w:lang w:val="en-GB"/>
        </w:rPr>
      </w:pPr>
    </w:p>
    <w:p>
      <w:pPr>
        <w:pStyle w:val="2"/>
        <w:bidi w:val="0"/>
        <w:outlineLvl w:val="9"/>
        <w:rPr>
          <w:rFonts w:hint="default"/>
          <w:lang w:val="en-GB"/>
        </w:rPr>
        <w:sectPr>
          <w:pgSz w:w="11906" w:h="16838"/>
          <w:pgMar w:top="1440" w:right="1440" w:bottom="1440" w:left="1440" w:header="708" w:footer="708" w:gutter="0"/>
          <w:pgNumType w:fmt="decimal"/>
          <w:cols w:space="708" w:num="1"/>
          <w:docGrid w:linePitch="360" w:charSpace="0"/>
        </w:sectPr>
      </w:pPr>
    </w:p>
    <w:p>
      <w:pPr>
        <w:pStyle w:val="2"/>
        <w:bidi w:val="0"/>
        <w:rPr>
          <w:rFonts w:hint="default"/>
          <w:sz w:val="20"/>
          <w:szCs w:val="20"/>
          <w:lang w:val="en-GB"/>
        </w:rPr>
      </w:pPr>
      <w:bookmarkStart w:id="1" w:name="_Toc13719"/>
      <w:r>
        <w:rPr>
          <w:rFonts w:hint="default"/>
          <w:sz w:val="20"/>
          <w:szCs w:val="20"/>
          <w:lang w:val="en-GB"/>
        </w:rPr>
        <w:t>Research</w:t>
      </w:r>
      <w:bookmarkEnd w:id="1"/>
    </w:p>
    <w:p>
      <w:pPr>
        <w:jc w:val="both"/>
        <w:rPr>
          <w:rFonts w:hint="default"/>
          <w:lang w:val="en-GB"/>
        </w:rPr>
      </w:pPr>
    </w:p>
    <w:p>
      <w:pPr>
        <w:jc w:val="both"/>
      </w:pPr>
      <w:r>
        <w:rPr>
          <w:rFonts w:hint="default"/>
          <w:lang w:val="en-GB"/>
        </w:rPr>
        <w:t>TYRES</w:t>
      </w:r>
      <w:r>
        <w:t xml:space="preserve"> </w:t>
      </w:r>
    </w:p>
    <w:p>
      <w:pPr>
        <w:jc w:val="both"/>
      </w:pPr>
      <w:r>
        <w:tab/>
      </w:r>
      <w:r>
        <w:t xml:space="preserve">Racing and commercial are two polar opposites in vehicle design. Racing is an optimization process to make a vehicle perform for the fastest time on the track. However, commercial design is focused on ergonomics, comfort and safety. </w:t>
      </w:r>
    </w:p>
    <w:p>
      <w:pPr>
        <w:jc w:val="both"/>
      </w:pPr>
    </w:p>
    <w:p>
      <w:pPr>
        <w:jc w:val="both"/>
        <w:rPr>
          <w:rFonts w:hint="default"/>
          <w:lang w:val="en-GB"/>
        </w:rPr>
      </w:pPr>
      <w:r>
        <w:tab/>
      </w:r>
      <w:r>
        <w:t>Different systems can be changed to affect vehicle handling and comfort</w:t>
      </w:r>
      <w:r>
        <w:rPr>
          <w:rFonts w:hint="default"/>
          <w:lang w:val="en-GB"/>
        </w:rPr>
        <w:t xml:space="preserve">, The first of these is the tyre choice. Tyres are the only contact the vehicle has with the road, therefore a great detail of optimization has been put into them by companies. One of the most important aspects of tyre design is the coefficient of friction, this coefficient dictates how much force the tyre can exert on the road before losing traction. </w:t>
      </w:r>
    </w:p>
    <w:p>
      <w:pPr>
        <w:jc w:val="both"/>
        <w:rPr>
          <w:rFonts w:hint="default"/>
          <w:lang w:val="en-GB"/>
        </w:rPr>
      </w:pPr>
    </w:p>
    <w:p>
      <w:pPr>
        <w:jc w:val="both"/>
        <w:rPr>
          <w:rFonts w:hint="default"/>
          <w:lang w:val="en-GB"/>
        </w:rPr>
      </w:pPr>
      <w:r>
        <w:rPr>
          <w:rFonts w:hint="default"/>
          <w:lang w:val="en-GB"/>
        </w:rPr>
        <w:t>Standard Tyre Coefficient: 0.8 - 1.0</w:t>
      </w:r>
    </w:p>
    <w:p>
      <w:pPr>
        <w:jc w:val="both"/>
        <w:rPr>
          <w:rFonts w:hint="default"/>
          <w:lang w:val="en-GB"/>
        </w:rPr>
      </w:pPr>
      <w:r>
        <w:rPr>
          <w:rFonts w:hint="default"/>
          <w:lang w:val="en-GB"/>
        </w:rPr>
        <w:t>Race Tyre Coefficient: 1.0 - 1.4</w:t>
      </w:r>
    </w:p>
    <w:p>
      <w:pPr>
        <w:wordWrap/>
        <w:jc w:val="both"/>
        <w:rPr>
          <w:rFonts w:ascii="Verdana" w:hAnsi="Verdana" w:eastAsia="SimSun" w:cs="Verdana"/>
          <w:i w:val="0"/>
          <w:caps w:val="0"/>
          <w:color w:val="000000"/>
          <w:spacing w:val="0"/>
          <w:sz w:val="20"/>
          <w:szCs w:val="20"/>
          <w:u w:val="none"/>
          <w:shd w:val="clear" w:fill="FFFFFF"/>
        </w:rPr>
      </w:pPr>
    </w:p>
    <w:p>
      <w:pPr>
        <w:wordWrap/>
        <w:jc w:val="right"/>
        <w:rPr>
          <w:rFonts w:hint="default" w:ascii="Verdana" w:hAnsi="Verdana" w:cs="Verdana"/>
          <w:i/>
          <w:caps w:val="0"/>
          <w:color w:val="000000"/>
          <w:spacing w:val="0"/>
          <w:sz w:val="16"/>
          <w:szCs w:val="16"/>
          <w:u w:val="none"/>
          <w:lang w:val="en-GB"/>
        </w:rPr>
      </w:pPr>
      <w:r>
        <w:rPr>
          <w:rFonts w:ascii="Verdana" w:hAnsi="Verdana" w:eastAsia="SimSun" w:cs="Verdana"/>
          <w:i w:val="0"/>
          <w:caps w:val="0"/>
          <w:color w:val="000000"/>
          <w:spacing w:val="0"/>
          <w:sz w:val="16"/>
          <w:szCs w:val="16"/>
          <w:u w:val="none"/>
          <w:shd w:val="clear" w:fill="FFFFFF"/>
        </w:rPr>
        <w:t xml:space="preserve">Van Valkenburg, P (1976). </w:t>
      </w:r>
      <w:r>
        <w:rPr>
          <w:rFonts w:hint="default" w:ascii="Verdana" w:hAnsi="Verdana" w:eastAsia="SimSun" w:cs="Verdana"/>
          <w:i/>
          <w:caps w:val="0"/>
          <w:color w:val="000000"/>
          <w:spacing w:val="0"/>
          <w:sz w:val="16"/>
          <w:szCs w:val="16"/>
          <w:u w:val="none"/>
        </w:rPr>
        <w:t>Race Car Engineering &amp; Mechanics</w:t>
      </w:r>
      <w:r>
        <w:rPr>
          <w:rFonts w:hint="default" w:ascii="Verdana" w:hAnsi="Verdana" w:cs="Verdana"/>
          <w:i/>
          <w:caps w:val="0"/>
          <w:color w:val="000000"/>
          <w:spacing w:val="0"/>
          <w:sz w:val="16"/>
          <w:szCs w:val="16"/>
          <w:u w:val="none"/>
          <w:lang w:val="en-GB"/>
        </w:rPr>
        <w:t xml:space="preserve"> pg8</w:t>
      </w:r>
    </w:p>
    <w:p>
      <w:pPr>
        <w:wordWrap/>
        <w:jc w:val="both"/>
        <w:rPr>
          <w:rFonts w:hint="default" w:ascii="Verdana" w:hAnsi="Verdana" w:cs="Verdana"/>
          <w:i/>
          <w:caps w:val="0"/>
          <w:color w:val="000000"/>
          <w:spacing w:val="0"/>
          <w:sz w:val="16"/>
          <w:szCs w:val="16"/>
          <w:u w:val="none"/>
          <w:lang w:val="en-GB"/>
        </w:rPr>
      </w:pPr>
    </w:p>
    <w:p>
      <w:pPr>
        <w:wordWrap/>
        <w:jc w:val="both"/>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When a wheel is rotating on the tarmac, the friction generates heat, and this heat is washed out by the airflow until the heat generation and dissipation are equal. This equilibrium is where “the tyre compounder tries to design the tyre to have its highest Cf” (Coefficient of Friction).</w:t>
      </w:r>
    </w:p>
    <w:p>
      <w:pPr>
        <w:wordWrap/>
        <w:jc w:val="both"/>
        <w:rPr>
          <w:rFonts w:ascii="Verdana" w:hAnsi="Verdana" w:eastAsia="SimSun" w:cs="Verdana"/>
          <w:i w:val="0"/>
          <w:caps w:val="0"/>
          <w:color w:val="000000"/>
          <w:spacing w:val="0"/>
          <w:sz w:val="16"/>
          <w:szCs w:val="16"/>
          <w:u w:val="none"/>
          <w:shd w:val="clear" w:fill="FFFFFF"/>
        </w:rPr>
      </w:pPr>
    </w:p>
    <w:p>
      <w:pPr>
        <w:wordWrap/>
        <w:jc w:val="right"/>
        <w:rPr>
          <w:rFonts w:hint="default" w:ascii="Verdana" w:hAnsi="Verdana" w:cs="Verdana"/>
          <w:i/>
          <w:caps w:val="0"/>
          <w:color w:val="000000"/>
          <w:spacing w:val="0"/>
          <w:sz w:val="16"/>
          <w:szCs w:val="16"/>
          <w:u w:val="none"/>
          <w:lang w:val="en-GB"/>
        </w:rPr>
      </w:pPr>
      <w:r>
        <w:rPr>
          <w:rFonts w:ascii="Verdana" w:hAnsi="Verdana" w:eastAsia="SimSun" w:cs="Verdana"/>
          <w:i w:val="0"/>
          <w:caps w:val="0"/>
          <w:color w:val="000000"/>
          <w:spacing w:val="0"/>
          <w:sz w:val="16"/>
          <w:szCs w:val="16"/>
          <w:u w:val="none"/>
          <w:shd w:val="clear" w:fill="FFFFFF"/>
        </w:rPr>
        <w:t xml:space="preserve">Van Valkenburg, P (1976). </w:t>
      </w:r>
      <w:r>
        <w:rPr>
          <w:rFonts w:hint="default" w:ascii="Verdana" w:hAnsi="Verdana" w:eastAsia="SimSun" w:cs="Verdana"/>
          <w:i/>
          <w:caps w:val="0"/>
          <w:color w:val="000000"/>
          <w:spacing w:val="0"/>
          <w:sz w:val="16"/>
          <w:szCs w:val="16"/>
          <w:u w:val="none"/>
        </w:rPr>
        <w:t>Race Car Engineering &amp; Mechanics</w:t>
      </w:r>
      <w:r>
        <w:rPr>
          <w:rFonts w:hint="default" w:ascii="Verdana" w:hAnsi="Verdana" w:cs="Verdana"/>
          <w:i/>
          <w:caps w:val="0"/>
          <w:color w:val="000000"/>
          <w:spacing w:val="0"/>
          <w:sz w:val="16"/>
          <w:szCs w:val="16"/>
          <w:u w:val="none"/>
          <w:lang w:val="en-GB"/>
        </w:rPr>
        <w:t xml:space="preserve"> pg9</w:t>
      </w:r>
    </w:p>
    <w:p>
      <w:pPr>
        <w:wordWrap/>
        <w:jc w:val="both"/>
        <w:rPr>
          <w:rFonts w:hint="default" w:hAnsi="Verdana" w:cs="Verdana" w:asciiTheme="minorAscii"/>
          <w:i w:val="0"/>
          <w:iCs/>
          <w:caps w:val="0"/>
          <w:color w:val="000000"/>
          <w:spacing w:val="0"/>
          <w:sz w:val="20"/>
          <w:szCs w:val="20"/>
          <w:u w:val="none"/>
          <w:lang w:val="en-GB"/>
        </w:rPr>
      </w:pPr>
    </w:p>
    <w:p>
      <w:pPr>
        <w:wordWrap/>
        <w:jc w:val="both"/>
        <w:rPr>
          <w:rFonts w:hint="default" w:hAnsi="Verdana" w:cs="Verdana" w:asciiTheme="minorAscii"/>
          <w:i w:val="0"/>
          <w:iCs/>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 xml:space="preserve">Having the coefficient of friction at the heat transfer equilibrium is good, for racing, where tyres reach high temperatures. But for a road car, this is </w:t>
      </w:r>
      <w:r>
        <w:rPr>
          <w:rFonts w:hint="default" w:hAnsi="Verdana" w:cs="Verdana" w:asciiTheme="minorAscii"/>
          <w:i w:val="0"/>
          <w:iCs/>
          <w:color w:val="000000"/>
          <w:spacing w:val="0"/>
          <w:sz w:val="20"/>
          <w:szCs w:val="20"/>
          <w:u w:val="none"/>
          <w:lang w:val="en-GB"/>
        </w:rPr>
        <w:t>inadequate</w:t>
      </w:r>
      <w:r>
        <w:rPr>
          <w:rFonts w:hint="default" w:hAnsi="Verdana" w:cs="Verdana" w:asciiTheme="minorAscii"/>
          <w:i w:val="0"/>
          <w:iCs/>
          <w:caps w:val="0"/>
          <w:color w:val="000000"/>
          <w:spacing w:val="0"/>
          <w:sz w:val="20"/>
          <w:szCs w:val="20"/>
          <w:u w:val="none"/>
          <w:lang w:val="en-GB"/>
        </w:rPr>
        <w:t xml:space="preserve"> since a road car will only be taking slow turns and slow </w:t>
      </w:r>
      <w:r>
        <w:rPr>
          <w:rFonts w:hint="default" w:hAnsi="Verdana" w:cs="Verdana" w:asciiTheme="minorAscii"/>
          <w:i w:val="0"/>
          <w:iCs/>
          <w:color w:val="000000"/>
          <w:spacing w:val="0"/>
          <w:sz w:val="20"/>
          <w:szCs w:val="20"/>
          <w:u w:val="none"/>
          <w:lang w:val="en-GB"/>
        </w:rPr>
        <w:t>accelerations. Therefore road tyre’s friction coefficients are at a lower temperature range, to better help with traction in colder situations. The tread pattern is also a factor in handling for road and race cars alike. A race car will attempt to have the lowest tread profile, this is to reduce the stored heat in the tyre, heat energy is lost energy. On the contrary a road tyre will be designed to have a high tread profile to assist in rain water displacement, and cold grip. In some instances the higher tread profile may help absorb impacts to an extent.</w:t>
      </w:r>
    </w:p>
    <w:p>
      <w:pPr>
        <w:jc w:val="both"/>
        <w:rPr>
          <w:rFonts w:hint="default"/>
          <w:lang w:val="en-GB"/>
        </w:rPr>
      </w:pPr>
    </w:p>
    <w:p>
      <w:pPr>
        <w:jc w:val="both"/>
        <w:rPr>
          <w:rFonts w:hint="default"/>
          <w:lang w:val="en-GB"/>
        </w:rPr>
      </w:pPr>
      <w:r>
        <w:rPr>
          <w:rFonts w:hint="default"/>
          <w:lang w:val="en-GB"/>
        </w:rPr>
        <w:t>SUSPENSION GEOMETRY</w:t>
      </w:r>
    </w:p>
    <w:p>
      <w:pPr>
        <w:jc w:val="both"/>
        <w:rPr>
          <w:rFonts w:hint="default"/>
          <w:lang w:val="en-GB"/>
        </w:rPr>
      </w:pPr>
    </w:p>
    <w:p>
      <w:pPr>
        <w:jc w:val="both"/>
        <w:rPr>
          <w:rFonts w:hint="default"/>
          <w:lang w:val="en-GB"/>
        </w:rPr>
      </w:pPr>
      <w:r>
        <w:rPr>
          <w:rFonts w:hint="default"/>
          <w:lang w:val="en-GB"/>
        </w:rPr>
        <w:t>Certain suspension adjustments affect handling and comfort of a vehicle.</w:t>
      </w:r>
    </w:p>
    <w:p>
      <w:pPr>
        <w:jc w:val="both"/>
        <w:rPr>
          <w:rFonts w:hint="default"/>
          <w:lang w:val="en-GB"/>
        </w:rPr>
      </w:pPr>
    </w:p>
    <w:p>
      <w:pPr>
        <w:ind w:firstLine="720" w:firstLineChars="0"/>
        <w:jc w:val="both"/>
        <w:rPr>
          <w:rFonts w:hint="default"/>
          <w:lang w:val="en-GB"/>
        </w:rPr>
      </w:pPr>
      <w:r>
        <w:rPr>
          <w:rFonts w:hint="default"/>
          <w:lang w:val="en-GB"/>
        </w:rPr>
        <w:t>Squat and dive are two rotational-longitudinal forces that act on a vehicle. Squat happens when a vehicle accelerates and dive occurs under braking/deceleration. In a racing fraternity, squat and dive can cause instabilities in a vehicle, this is unwanted. Some interesting physics phenomenons can be used to combat squat and dive.</w:t>
      </w:r>
    </w:p>
    <w:p>
      <w:pPr>
        <w:ind w:firstLine="720" w:firstLineChars="0"/>
        <w:jc w:val="both"/>
        <w:rPr>
          <w:rFonts w:hint="default"/>
          <w:lang w:val="en-GB"/>
        </w:rPr>
      </w:pPr>
      <w:r>
        <w:rPr>
          <w:rFonts w:hint="default"/>
          <w:lang w:val="en-GB"/>
        </w:rPr>
        <w:t>For a trailing arm setup, the axle is pivoted and sprung. When the vehicle accelerates, the torque travelling through the axle tries to rotate the pivot arm upwards. when this happens the torque generated meets the load transfer squat, in turn the two forces largely cancel each other out. This negates the effect of squat on acceleration, the anti dive effect on this would be the opposite, the brake torque canceling out the dive effect.</w:t>
      </w:r>
    </w:p>
    <w:p>
      <w:pPr>
        <w:ind w:firstLine="720" w:firstLineChars="0"/>
        <w:jc w:val="both"/>
        <w:rPr>
          <w:rFonts w:hint="default"/>
          <w:lang w:val="en-GB"/>
        </w:rPr>
      </w:pPr>
      <w:r>
        <w:rPr>
          <w:rFonts w:hint="default"/>
          <w:lang w:val="en-GB"/>
        </w:rPr>
        <w:t>For double wishbone suspension, it is essentially the same setup as the trailing arm. This time however, the pivot point is an imaginary one, located at the intersect between two lines drawn from the wishbone longitudinal angles. The same canceling effect now happens during squat and dive.</w:t>
      </w:r>
    </w:p>
    <w:p>
      <w:pPr>
        <w:ind w:firstLine="720" w:firstLineChars="0"/>
        <w:jc w:val="both"/>
        <w:rPr>
          <w:rFonts w:hint="default"/>
          <w:lang w:val="en-GB"/>
        </w:rPr>
      </w:pPr>
    </w:p>
    <w:p>
      <w:pPr>
        <w:ind w:firstLine="720" w:firstLineChars="0"/>
        <w:jc w:val="both"/>
        <w:rPr>
          <w:rFonts w:hint="default" w:hAnsi="Verdana" w:cs="Verdana" w:asciiTheme="minorAscii"/>
          <w:i w:val="0"/>
          <w:iCs/>
          <w:caps w:val="0"/>
          <w:color w:val="000000"/>
          <w:spacing w:val="0"/>
          <w:sz w:val="20"/>
          <w:szCs w:val="20"/>
          <w:u w:val="none"/>
          <w:lang w:val="en-GB"/>
        </w:rPr>
      </w:pPr>
      <w:r>
        <w:rPr>
          <w:rFonts w:hint="default"/>
          <w:lang w:val="en-GB"/>
        </w:rPr>
        <w:t xml:space="preserve">Anti-squat and anti-dive both are optimal for racing, but also transmit all of the forces to the driver. A consumer car is built for passenger comfort therefore “many passenger car suspensions (…) amplify the dive in search for softness” </w:t>
      </w:r>
      <w:r>
        <w:rPr>
          <w:rFonts w:ascii="Verdana" w:hAnsi="Verdana" w:eastAsia="SimSun" w:cs="Verdana"/>
          <w:i w:val="0"/>
          <w:caps w:val="0"/>
          <w:color w:val="000000"/>
          <w:spacing w:val="0"/>
          <w:sz w:val="16"/>
          <w:szCs w:val="16"/>
          <w:u w:val="none"/>
          <w:shd w:val="clear" w:fill="FFFFFF"/>
        </w:rPr>
        <w:t xml:space="preserve">Van Valkenburg, P (1976). </w:t>
      </w:r>
      <w:r>
        <w:rPr>
          <w:rFonts w:hint="default" w:ascii="Verdana" w:hAnsi="Verdana" w:eastAsia="SimSun" w:cs="Verdana"/>
          <w:i/>
          <w:caps w:val="0"/>
          <w:color w:val="000000"/>
          <w:spacing w:val="0"/>
          <w:sz w:val="16"/>
          <w:szCs w:val="16"/>
          <w:u w:val="none"/>
        </w:rPr>
        <w:t>Race Car Engineering &amp; Mechanics</w:t>
      </w:r>
      <w:r>
        <w:rPr>
          <w:rFonts w:hint="default" w:ascii="Verdana" w:hAnsi="Verdana" w:cs="Verdana"/>
          <w:i/>
          <w:caps w:val="0"/>
          <w:color w:val="000000"/>
          <w:spacing w:val="0"/>
          <w:sz w:val="16"/>
          <w:szCs w:val="16"/>
          <w:u w:val="none"/>
          <w:lang w:val="en-GB"/>
        </w:rPr>
        <w:t xml:space="preserve"> pg40. </w:t>
      </w:r>
      <w:r>
        <w:rPr>
          <w:rFonts w:hint="default" w:hAnsi="Verdana" w:cs="Verdana" w:asciiTheme="minorAscii"/>
          <w:i w:val="0"/>
          <w:iCs/>
          <w:caps w:val="0"/>
          <w:color w:val="000000"/>
          <w:spacing w:val="0"/>
          <w:sz w:val="20"/>
          <w:szCs w:val="20"/>
          <w:u w:val="none"/>
          <w:lang w:val="en-GB"/>
        </w:rPr>
        <w:t>Softness is a large area in vehicle design, therefore compromises on handling can be made to support comfort.</w:t>
      </w:r>
    </w:p>
    <w:p>
      <w:pPr>
        <w:ind w:firstLine="720" w:firstLineChars="0"/>
        <w:jc w:val="both"/>
        <w:rPr>
          <w:rFonts w:hint="default" w:hAnsi="Verdana" w:cs="Verdana" w:asciiTheme="minorAscii"/>
          <w:i w:val="0"/>
          <w:iCs/>
          <w:caps w:val="0"/>
          <w:color w:val="000000"/>
          <w:spacing w:val="0"/>
          <w:sz w:val="20"/>
          <w:szCs w:val="20"/>
          <w:u w:val="none"/>
          <w:lang w:val="en-GB"/>
        </w:rPr>
      </w:pPr>
    </w:p>
    <w:p>
      <w:pPr>
        <w:ind w:firstLine="720" w:firstLineChars="0"/>
        <w:jc w:val="both"/>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 xml:space="preserve">Shock absorbers also play a role in the handling of a vehicle, The shock absorber maintains control over the contact patch during bumps and ruts. If a shock absorber is too soft, it can allow for the chassis to bounce when the wheels go over bumps. If the absorber is too soft, the tyres may leave the ground when travelling over bumps. </w:t>
      </w:r>
    </w:p>
    <w:p>
      <w:pPr>
        <w:jc w:val="both"/>
        <w:rPr>
          <w:rFonts w:hint="default" w:hAnsi="Verdana" w:cs="Verdana" w:asciiTheme="minorAscii"/>
          <w:i w:val="0"/>
          <w:iCs/>
          <w:caps w:val="0"/>
          <w:color w:val="000000"/>
          <w:spacing w:val="0"/>
          <w:sz w:val="20"/>
          <w:szCs w:val="20"/>
          <w:u w:val="none"/>
          <w:lang w:val="en-GB"/>
        </w:rPr>
      </w:pPr>
    </w:p>
    <w:p>
      <w:pPr>
        <w:jc w:val="both"/>
        <w:rPr>
          <w:rFonts w:hint="default" w:hAnsi="Verdana" w:cs="Verdana" w:asciiTheme="minorAscii"/>
          <w:i w:val="0"/>
          <w:iCs/>
          <w:caps w:val="0"/>
          <w:color w:val="000000"/>
          <w:spacing w:val="0"/>
          <w:sz w:val="20"/>
          <w:szCs w:val="20"/>
          <w:u w:val="none"/>
          <w:lang w:val="en-GB"/>
        </w:rPr>
      </w:pPr>
      <w:r>
        <w:rPr>
          <w:rFonts w:hint="default" w:hAnsi="Verdana" w:cs="Verdana" w:asciiTheme="minorAscii"/>
          <w:i w:val="0"/>
          <w:iCs/>
          <w:caps w:val="0"/>
          <w:color w:val="000000"/>
          <w:spacing w:val="0"/>
          <w:sz w:val="20"/>
          <w:szCs w:val="20"/>
          <w:u w:val="none"/>
          <w:lang w:val="en-GB"/>
        </w:rPr>
        <w:t>Traction Circle Theory</w:t>
      </w:r>
    </w:p>
    <w:p>
      <w:pPr>
        <w:jc w:val="both"/>
        <w:rPr>
          <w:rFonts w:hint="default" w:hAnsi="Verdana" w:cs="Verdana" w:asciiTheme="minorAscii"/>
          <w:i w:val="0"/>
          <w:iCs/>
          <w:caps w:val="0"/>
          <w:color w:val="000000"/>
          <w:spacing w:val="0"/>
          <w:sz w:val="20"/>
          <w:szCs w:val="20"/>
          <w:u w:val="none"/>
          <w:lang w:val="en-GB"/>
        </w:rPr>
      </w:pPr>
    </w:p>
    <w:p>
      <w:pPr>
        <w:jc w:val="both"/>
        <w:rPr>
          <w:rFonts w:hint="default" w:hAnsi="Verdana" w:cs="Verdana" w:asciiTheme="minorAscii"/>
          <w:i w:val="0"/>
          <w:caps w:val="0"/>
          <w:color w:val="000000"/>
          <w:spacing w:val="0"/>
          <w:sz w:val="20"/>
          <w:szCs w:val="20"/>
          <w:shd w:val="clear" w:fill="FFFFFF"/>
          <w:lang w:val="en-GB"/>
        </w:rPr>
      </w:pPr>
      <w:r>
        <w:rPr>
          <w:rFonts w:hint="default" w:asciiTheme="minorAscii"/>
          <w:sz w:val="20"/>
          <w:szCs w:val="20"/>
          <w:lang w:val="en-GB"/>
        </w:rPr>
        <w:t xml:space="preserve"> the traction circle is a “</w:t>
      </w:r>
      <w:r>
        <w:rPr>
          <w:rFonts w:hint="default" w:hAnsi="Verdana" w:cs="Verdana" w:asciiTheme="minorAscii"/>
          <w:i w:val="0"/>
          <w:caps w:val="0"/>
          <w:color w:val="000000"/>
          <w:spacing w:val="0"/>
          <w:sz w:val="20"/>
          <w:szCs w:val="20"/>
          <w:shd w:val="clear" w:fill="FFFFFF"/>
        </w:rPr>
        <w:t>way of thinking about the </w:t>
      </w:r>
      <w:r>
        <w:rPr>
          <w:rFonts w:hint="default" w:hAnsi="Verdana" w:cs="Verdana" w:asciiTheme="minorAscii"/>
          <w:i w:val="0"/>
          <w:caps w:val="0"/>
          <w:color w:val="000000"/>
          <w:spacing w:val="0"/>
          <w:sz w:val="20"/>
          <w:szCs w:val="20"/>
          <w:shd w:val="clear" w:fill="FFFFFF"/>
          <w:lang w:val="en-GB"/>
        </w:rPr>
        <w:t>grip</w:t>
      </w:r>
      <w:r>
        <w:rPr>
          <w:rFonts w:hint="default" w:hAnsi="Verdana" w:cs="Verdana" w:asciiTheme="minorAscii"/>
          <w:i w:val="0"/>
          <w:caps w:val="0"/>
          <w:color w:val="000000"/>
          <w:spacing w:val="0"/>
          <w:sz w:val="20"/>
          <w:szCs w:val="20"/>
          <w:shd w:val="clear" w:fill="FFFFFF"/>
        </w:rPr>
        <w:t> that a particular </w:t>
      </w:r>
      <w:r>
        <w:rPr>
          <w:rFonts w:hint="default" w:hAnsi="Verdana" w:cs="Verdana" w:asciiTheme="minorAscii"/>
          <w:i w:val="0"/>
          <w:caps w:val="0"/>
          <w:color w:val="000000"/>
          <w:spacing w:val="0"/>
          <w:sz w:val="20"/>
          <w:szCs w:val="20"/>
          <w:shd w:val="clear" w:fill="FFFFFF"/>
          <w:lang w:val="en-GB"/>
        </w:rPr>
        <w:t>tyre</w:t>
      </w:r>
      <w:r>
        <w:rPr>
          <w:rFonts w:hint="default" w:hAnsi="Verdana" w:cs="Verdana" w:asciiTheme="minorAscii"/>
          <w:i w:val="0"/>
          <w:caps w:val="0"/>
          <w:color w:val="000000"/>
          <w:spacing w:val="0"/>
          <w:sz w:val="20"/>
          <w:szCs w:val="20"/>
          <w:shd w:val="clear" w:fill="FFFFFF"/>
        </w:rPr>
        <w:t> has on the road, how much of it, and how you can use it.</w:t>
      </w:r>
      <w:r>
        <w:rPr>
          <w:rFonts w:hint="default" w:hAnsi="Verdana" w:cs="Verdana" w:asciiTheme="minorAscii"/>
          <w:i w:val="0"/>
          <w:caps w:val="0"/>
          <w:color w:val="000000"/>
          <w:spacing w:val="0"/>
          <w:sz w:val="20"/>
          <w:szCs w:val="20"/>
          <w:shd w:val="clear" w:fill="FFFFFF"/>
          <w:lang w:val="en-GB"/>
        </w:rPr>
        <w:t xml:space="preserve">” </w:t>
      </w:r>
      <w:r>
        <w:rPr>
          <w:rFonts w:ascii="Verdana" w:hAnsi="Verdana" w:eastAsia="SimSun" w:cs="Verdana"/>
          <w:i w:val="0"/>
          <w:caps w:val="0"/>
          <w:color w:val="000000"/>
          <w:spacing w:val="0"/>
          <w:sz w:val="20"/>
          <w:szCs w:val="20"/>
        </w:rPr>
        <w:t>Technical F1 Dictionary. (2011).</w:t>
      </w:r>
      <w:r>
        <w:rPr>
          <w:rFonts w:hint="default" w:ascii="Verdana" w:hAnsi="Verdana" w:eastAsia="SimSun" w:cs="Verdana"/>
          <w:i w:val="0"/>
          <w:caps w:val="0"/>
          <w:color w:val="000000"/>
          <w:spacing w:val="0"/>
          <w:sz w:val="20"/>
          <w:szCs w:val="20"/>
        </w:rPr>
        <w:t> </w:t>
      </w:r>
      <w:r>
        <w:rPr>
          <w:rFonts w:hint="default" w:ascii="Verdana" w:hAnsi="Verdana" w:eastAsia="SimSun" w:cs="Verdana"/>
          <w:i/>
          <w:caps w:val="0"/>
          <w:color w:val="000000"/>
          <w:spacing w:val="0"/>
          <w:sz w:val="20"/>
          <w:szCs w:val="20"/>
        </w:rPr>
        <w:t>Traction Circle.</w:t>
      </w:r>
      <w:r>
        <w:rPr>
          <w:rFonts w:hint="default" w:hAnsi="Verdana" w:cs="Verdana" w:asciiTheme="minorAscii"/>
          <w:i w:val="0"/>
          <w:caps w:val="0"/>
          <w:color w:val="000000"/>
          <w:spacing w:val="0"/>
          <w:sz w:val="20"/>
          <w:szCs w:val="20"/>
          <w:shd w:val="clear" w:fill="FFFFFF"/>
          <w:lang w:val="en-GB"/>
        </w:rPr>
        <w:t xml:space="preserve"> Fig 1 shows a typical traction circle, the circle represents the maximum traction the tyre can hold with the road before slipping. The two directional arrows represent acceleration/deceleration and left turn/right turn. By drawing a directional arrow from the centre to the outside, a vector can be denoted. Using pythagoras theorem, the maximum lateral and longitudinal G force can be calculated.</w:t>
      </w:r>
    </w:p>
    <w:p>
      <w:pPr>
        <w:jc w:val="both"/>
      </w:pPr>
    </w:p>
    <w:p>
      <w:pPr>
        <w:jc w:val="center"/>
      </w:pPr>
      <w:r>
        <w:drawing>
          <wp:inline distT="0" distB="0" distL="114300" distR="114300">
            <wp:extent cx="3749675" cy="2865755"/>
            <wp:effectExtent l="0" t="0" r="3175" b="10795"/>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
                    <pic:cNvPicPr>
                      <a:picLocks noChangeAspect="1"/>
                    </pic:cNvPicPr>
                  </pic:nvPicPr>
                  <pic:blipFill>
                    <a:blip r:embed="rId6"/>
                    <a:srcRect l="18534" t="18564" r="30801" b="12567"/>
                    <a:stretch>
                      <a:fillRect/>
                    </a:stretch>
                  </pic:blipFill>
                  <pic:spPr>
                    <a:xfrm>
                      <a:off x="0" y="0"/>
                      <a:ext cx="3749675" cy="2865755"/>
                    </a:xfrm>
                    <a:prstGeom prst="rect">
                      <a:avLst/>
                    </a:prstGeom>
                    <a:noFill/>
                    <a:ln>
                      <a:noFill/>
                    </a:ln>
                  </pic:spPr>
                </pic:pic>
              </a:graphicData>
            </a:graphic>
          </wp:inline>
        </w:drawing>
      </w:r>
    </w:p>
    <w:p>
      <w:pPr>
        <w:pStyle w:val="4"/>
        <w:jc w:val="center"/>
        <w:rPr>
          <w:lang w:val="en-GB"/>
        </w:rPr>
      </w:pPr>
      <w:r>
        <w:t xml:space="preserve">Figure </w:t>
      </w:r>
      <w:r>
        <w:fldChar w:fldCharType="begin"/>
      </w:r>
      <w:r>
        <w:instrText xml:space="preserve"> SEQ Figure \* ARABIC </w:instrText>
      </w:r>
      <w:r>
        <w:fldChar w:fldCharType="separate"/>
      </w:r>
      <w:r>
        <w:t>1</w:t>
      </w:r>
      <w:r>
        <w:fldChar w:fldCharType="end"/>
      </w:r>
      <w:bookmarkStart w:id="2" w:name="_Toc6359"/>
      <w:r>
        <w:rPr>
          <w:lang w:val="en-GB"/>
        </w:rPr>
        <w:t>:Traction Circle</w:t>
      </w:r>
      <w:bookmarkEnd w:id="2"/>
    </w:p>
    <w:p>
      <w:pPr>
        <w:jc w:val="both"/>
        <w:rPr>
          <w:rFonts w:hint="default"/>
          <w:lang w:val="en-GB"/>
        </w:rPr>
      </w:pPr>
    </w:p>
    <w:p>
      <w:pPr>
        <w:jc w:val="both"/>
        <w:rPr>
          <w:rFonts w:hint="default"/>
          <w:lang w:val="en-GB"/>
        </w:rPr>
      </w:pPr>
      <w:r>
        <w:rPr>
          <w:rFonts w:hint="default"/>
          <w:lang w:val="en-GB"/>
        </w:rPr>
        <w:t>This is the equation used for the weight transfer calculations</w:t>
      </w:r>
    </w:p>
    <w:p>
      <w:pPr>
        <w:jc w:val="right"/>
        <w:rPr>
          <w:rFonts w:hint="default"/>
          <w:lang w:val="en-GB"/>
        </w:rPr>
      </w:pPr>
      <w:r>
        <w:rPr>
          <w:rFonts w:hint="default"/>
          <w:position w:val="-24"/>
          <w:lang w:val="en-GB"/>
        </w:rPr>
        <w:object>
          <v:shape id="_x0000_i1026" o:spt="75" type="#_x0000_t75" style="height:29.5pt;width:484.45pt;" o:ole="t" filled="f" o:preferrelative="t" stroked="f" coordsize="21600,21600">
            <v:path/>
            <v:fill on="f" focussize="0,0"/>
            <v:stroke on="f"/>
            <v:imagedata r:id="rId8" o:title=""/>
            <o:lock v:ext="edit" aspectratio="t"/>
            <w10:wrap type="none"/>
            <w10:anchorlock/>
          </v:shape>
          <o:OLEObject Type="Embed" ProgID="Equation.KSEE3" ShapeID="_x0000_i1026" DrawAspect="Content" ObjectID="_1468075725" r:id="rId7">
            <o:LockedField>false</o:LockedField>
          </o:OLEObject>
        </w:object>
      </w:r>
      <w:r>
        <w:rPr>
          <w:rFonts w:ascii="Verdana" w:hAnsi="Verdana" w:eastAsia="SimSun" w:cs="Verdana"/>
          <w:i w:val="0"/>
          <w:caps w:val="0"/>
          <w:color w:val="000000"/>
          <w:spacing w:val="0"/>
          <w:sz w:val="20"/>
          <w:szCs w:val="20"/>
          <w:u w:val="none"/>
          <w:shd w:val="clear" w:fill="FFFFFF"/>
        </w:rPr>
        <w:t xml:space="preserve">Geaney, A (2017). </w:t>
      </w:r>
      <w:r>
        <w:rPr>
          <w:rFonts w:hint="default" w:ascii="Verdana" w:hAnsi="Verdana" w:eastAsia="SimSun" w:cs="Verdana"/>
          <w:i/>
          <w:caps w:val="0"/>
          <w:color w:val="000000"/>
          <w:spacing w:val="0"/>
          <w:sz w:val="20"/>
          <w:szCs w:val="20"/>
          <w:u w:val="none"/>
        </w:rPr>
        <w:t>Vehicle Dynamics - Race Car Set-Up &amp; Suspension</w:t>
      </w:r>
      <w:r>
        <w:rPr>
          <w:rFonts w:hint="default" w:ascii="Verdana" w:hAnsi="Verdana" w:eastAsia="SimSun" w:cs="Verdana"/>
          <w:i w:val="0"/>
          <w:caps w:val="0"/>
          <w:color w:val="000000"/>
          <w:spacing w:val="0"/>
          <w:sz w:val="20"/>
          <w:szCs w:val="20"/>
          <w:u w:val="none"/>
          <w:shd w:val="clear" w:fill="FFFFFF"/>
        </w:rPr>
        <w:t>.</w:t>
      </w:r>
    </w:p>
    <w:p>
      <w:pPr>
        <w:jc w:val="both"/>
        <w:rPr>
          <w:rFonts w:hint="default"/>
          <w:lang w:val="en-GB"/>
        </w:rPr>
        <w:sectPr>
          <w:pgSz w:w="11906" w:h="16838"/>
          <w:pgMar w:top="1440" w:right="1440" w:bottom="1440" w:left="1440" w:header="708" w:footer="708" w:gutter="0"/>
          <w:pgNumType w:fmt="decimal"/>
          <w:cols w:space="708" w:num="1"/>
          <w:docGrid w:linePitch="360" w:charSpace="0"/>
        </w:sectPr>
      </w:pPr>
    </w:p>
    <w:p>
      <w:pPr>
        <w:pStyle w:val="2"/>
        <w:bidi w:val="0"/>
        <w:rPr>
          <w:rFonts w:hint="default"/>
          <w:sz w:val="20"/>
          <w:szCs w:val="20"/>
          <w:lang w:val="en-GB"/>
        </w:rPr>
      </w:pPr>
      <w:bookmarkStart w:id="3" w:name="_Toc17175"/>
      <w:r>
        <w:rPr>
          <w:rFonts w:hint="default"/>
          <w:sz w:val="20"/>
          <w:szCs w:val="20"/>
          <w:lang w:val="en-GB"/>
        </w:rPr>
        <w:t>Results</w:t>
      </w:r>
      <w:bookmarkEnd w:id="3"/>
    </w:p>
    <w:p>
      <w:pPr>
        <w:rPr>
          <w:rFonts w:hint="default"/>
          <w:lang w:val="en-GB"/>
        </w:rPr>
      </w:pPr>
    </w:p>
    <w:p>
      <w:pPr>
        <w:jc w:val="center"/>
      </w:pPr>
      <w:r>
        <w:drawing>
          <wp:inline distT="0" distB="0" distL="114300" distR="114300">
            <wp:extent cx="4550410" cy="2933700"/>
            <wp:effectExtent l="5080" t="4445" r="16510" b="14605"/>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2</w:t>
      </w:r>
      <w:r>
        <w:fldChar w:fldCharType="end"/>
      </w:r>
      <w:bookmarkStart w:id="4" w:name="_Toc7234"/>
      <w:r>
        <w:rPr>
          <w:lang w:val="en-GB"/>
        </w:rPr>
        <w:t xml:space="preserve">: Front Left </w:t>
      </w:r>
      <w:r>
        <w:rPr>
          <w:rFonts w:hint="default"/>
          <w:lang w:val="en-GB"/>
        </w:rPr>
        <w:t xml:space="preserve">&amp; </w:t>
      </w:r>
      <w:r>
        <w:rPr>
          <w:lang w:val="en-GB"/>
        </w:rPr>
        <w:t>Front Right Lateral Weight Transfer</w:t>
      </w:r>
      <w:bookmarkEnd w:id="4"/>
    </w:p>
    <w:p>
      <w:pPr>
        <w:jc w:val="center"/>
      </w:pPr>
      <w:r>
        <w:drawing>
          <wp:inline distT="0" distB="0" distL="114300" distR="114300">
            <wp:extent cx="4550410" cy="2743200"/>
            <wp:effectExtent l="4445" t="4445" r="17145" b="14605"/>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3</w:t>
      </w:r>
      <w:r>
        <w:fldChar w:fldCharType="end"/>
      </w:r>
      <w:bookmarkStart w:id="5" w:name="_Toc11201"/>
      <w:r>
        <w:rPr>
          <w:lang w:val="en-GB"/>
        </w:rPr>
        <w:t>:Front Left &amp; Front right Longitudinal Weight Transfer</w:t>
      </w:r>
      <w:bookmarkEnd w:id="5"/>
    </w:p>
    <w:p>
      <w:pPr>
        <w:jc w:val="center"/>
      </w:pPr>
      <w:r>
        <w:drawing>
          <wp:inline distT="0" distB="0" distL="114300" distR="114300">
            <wp:extent cx="4550410" cy="2743200"/>
            <wp:effectExtent l="4445" t="4445" r="17145" b="14605"/>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pStyle w:val="4"/>
        <w:jc w:val="center"/>
        <w:rPr>
          <w:rFonts w:hint="default"/>
          <w:lang w:val="en-GB"/>
        </w:rPr>
        <w:sectPr>
          <w:pgSz w:w="11906" w:h="16838"/>
          <w:pgMar w:top="1440" w:right="1440" w:bottom="1440" w:left="1440" w:header="708" w:footer="708" w:gutter="0"/>
          <w:pgNumType w:fmt="decimal"/>
          <w:cols w:space="708" w:num="1"/>
          <w:docGrid w:linePitch="360" w:charSpace="0"/>
        </w:sectPr>
      </w:pPr>
      <w:r>
        <w:t xml:space="preserve">Figure </w:t>
      </w:r>
      <w:r>
        <w:fldChar w:fldCharType="begin"/>
      </w:r>
      <w:r>
        <w:instrText xml:space="preserve"> SEQ Figure \* ARABIC </w:instrText>
      </w:r>
      <w:r>
        <w:fldChar w:fldCharType="separate"/>
      </w:r>
      <w:r>
        <w:t>4</w:t>
      </w:r>
      <w:r>
        <w:fldChar w:fldCharType="end"/>
      </w:r>
      <w:bookmarkStart w:id="6" w:name="_Toc21593"/>
      <w:r>
        <w:rPr>
          <w:lang w:val="en-GB"/>
        </w:rPr>
        <w:t>:Rear Left &amp; rear right Lateral Weight Transfer</w:t>
      </w:r>
      <w:bookmarkEnd w:id="6"/>
    </w:p>
    <w:p>
      <w:pPr>
        <w:jc w:val="center"/>
      </w:pPr>
      <w:r>
        <w:drawing>
          <wp:inline distT="0" distB="0" distL="114300" distR="114300">
            <wp:extent cx="4514850" cy="2743200"/>
            <wp:effectExtent l="4445" t="4445" r="14605" b="14605"/>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5</w:t>
      </w:r>
      <w:r>
        <w:fldChar w:fldCharType="end"/>
      </w:r>
      <w:bookmarkStart w:id="7" w:name="_Toc8754"/>
      <w:r>
        <w:rPr>
          <w:lang w:val="en-GB"/>
        </w:rPr>
        <w:t>:Rear Left &amp; rear right longitudinal Weight Transfer</w:t>
      </w:r>
      <w:bookmarkEnd w:id="7"/>
    </w:p>
    <w:p>
      <w:pPr>
        <w:jc w:val="center"/>
      </w:pPr>
      <w:r>
        <w:drawing>
          <wp:inline distT="0" distB="0" distL="114300" distR="114300">
            <wp:extent cx="4573270" cy="2743200"/>
            <wp:effectExtent l="4445" t="4445" r="13335" b="14605"/>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pStyle w:val="4"/>
        <w:jc w:val="center"/>
        <w:rPr>
          <w:lang w:val="en-GB"/>
        </w:rPr>
      </w:pPr>
      <w:r>
        <w:t xml:space="preserve">Figure </w:t>
      </w:r>
      <w:r>
        <w:fldChar w:fldCharType="begin"/>
      </w:r>
      <w:r>
        <w:instrText xml:space="preserve"> SEQ Figure \* ARABIC </w:instrText>
      </w:r>
      <w:r>
        <w:fldChar w:fldCharType="separate"/>
      </w:r>
      <w:r>
        <w:t>6</w:t>
      </w:r>
      <w:r>
        <w:fldChar w:fldCharType="end"/>
      </w:r>
      <w:bookmarkStart w:id="8" w:name="_Toc29144"/>
      <w:r>
        <w:rPr>
          <w:lang w:val="en-GB"/>
        </w:rPr>
        <w:t>:Velocity Weight transfer</w:t>
      </w:r>
      <w:bookmarkEnd w:id="8"/>
    </w:p>
    <w:p>
      <w:pPr>
        <w:jc w:val="center"/>
        <w:rPr>
          <w:rFonts w:hint="default"/>
          <w:lang w:val="en-GB"/>
        </w:rPr>
      </w:pPr>
      <w:r>
        <w:rPr>
          <w:lang w:val="en-GB"/>
        </w:rPr>
        <w:t>front right &amp; left</w:t>
      </w:r>
    </w:p>
    <w:p>
      <w:pPr>
        <w:jc w:val="center"/>
      </w:pPr>
      <w:r>
        <w:drawing>
          <wp:inline distT="0" distB="0" distL="114300" distR="114300">
            <wp:extent cx="4572000" cy="2743200"/>
            <wp:effectExtent l="4445" t="4445" r="14605" b="14605"/>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pPr>
        <w:pStyle w:val="4"/>
        <w:jc w:val="center"/>
        <w:rPr>
          <w:lang w:val="en-GB"/>
        </w:rPr>
      </w:pPr>
      <w:r>
        <w:t xml:space="preserve">Figure </w:t>
      </w:r>
      <w:r>
        <w:fldChar w:fldCharType="begin"/>
      </w:r>
      <w:r>
        <w:instrText xml:space="preserve"> SEQ Figure \* ARABIC </w:instrText>
      </w:r>
      <w:r>
        <w:fldChar w:fldCharType="separate"/>
      </w:r>
      <w:r>
        <w:t>7</w:t>
      </w:r>
      <w:r>
        <w:fldChar w:fldCharType="end"/>
      </w:r>
      <w:bookmarkStart w:id="9" w:name="_Toc3202"/>
      <w:r>
        <w:rPr>
          <w:lang w:val="en-GB"/>
        </w:rPr>
        <w:t>:velocity weight transfer</w:t>
      </w:r>
      <w:bookmarkEnd w:id="9"/>
    </w:p>
    <w:p>
      <w:pPr>
        <w:jc w:val="center"/>
        <w:rPr>
          <w:lang w:val="en-GB"/>
        </w:rPr>
      </w:pPr>
      <w:r>
        <w:rPr>
          <w:lang w:val="en-GB"/>
        </w:rPr>
        <w:t>rear left and right</w:t>
      </w:r>
    </w:p>
    <w:p>
      <w:pPr>
        <w:jc w:val="center"/>
        <w:rPr>
          <w:rFonts w:hint="default"/>
          <w:lang w:val="en-GB"/>
        </w:rPr>
        <w:sectPr>
          <w:pgSz w:w="11906" w:h="16838"/>
          <w:pgMar w:top="1440" w:right="1440" w:bottom="1440" w:left="1440" w:header="708" w:footer="708" w:gutter="0"/>
          <w:pgNumType w:fmt="decimal"/>
          <w:cols w:space="708" w:num="1"/>
          <w:docGrid w:linePitch="360" w:charSpace="0"/>
        </w:sectPr>
      </w:pPr>
    </w:p>
    <w:p>
      <w:pPr>
        <w:jc w:val="center"/>
      </w:pPr>
      <w:r>
        <w:drawing>
          <wp:inline distT="0" distB="0" distL="114300" distR="114300">
            <wp:extent cx="4587875" cy="2743200"/>
            <wp:effectExtent l="4445" t="5080" r="17780" b="13970"/>
            <wp:docPr id="1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pPr>
        <w:pStyle w:val="4"/>
        <w:jc w:val="center"/>
        <w:rPr>
          <w:lang w:val="en-GB"/>
        </w:rPr>
      </w:pPr>
      <w:r>
        <w:t xml:space="preserve">Figure </w:t>
      </w:r>
      <w:r>
        <w:fldChar w:fldCharType="begin"/>
      </w:r>
      <w:r>
        <w:instrText xml:space="preserve"> SEQ Figure \* ARABIC </w:instrText>
      </w:r>
      <w:r>
        <w:fldChar w:fldCharType="separate"/>
      </w:r>
      <w:r>
        <w:t>8</w:t>
      </w:r>
      <w:r>
        <w:fldChar w:fldCharType="end"/>
      </w:r>
      <w:bookmarkStart w:id="10" w:name="_Toc28549"/>
      <w:r>
        <w:rPr>
          <w:lang w:val="en-GB"/>
        </w:rPr>
        <w:t>:Weight Transfer For 1m Track Width vs Original Track Width</w:t>
      </w:r>
      <w:bookmarkEnd w:id="10"/>
    </w:p>
    <w:p>
      <w:pPr>
        <w:jc w:val="center"/>
        <w:rPr>
          <w:rFonts w:hint="default"/>
          <w:lang w:val="en-GB"/>
        </w:rPr>
      </w:pPr>
    </w:p>
    <w:p>
      <w:pPr>
        <w:jc w:val="center"/>
      </w:pPr>
      <w:r>
        <w:drawing>
          <wp:inline distT="0" distB="0" distL="114300" distR="114300">
            <wp:extent cx="4581525" cy="2743200"/>
            <wp:effectExtent l="4445" t="4445" r="5080" b="14605"/>
            <wp:docPr id="16"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9</w:t>
      </w:r>
      <w:r>
        <w:fldChar w:fldCharType="end"/>
      </w:r>
      <w:bookmarkStart w:id="11" w:name="_Toc24665"/>
      <w:r>
        <w:rPr>
          <w:lang w:val="en-GB"/>
        </w:rPr>
        <w:t>:Weight Transfer For 1.5m Track Width vs Original Track Width</w:t>
      </w:r>
      <w:bookmarkEnd w:id="11"/>
    </w:p>
    <w:p>
      <w:pPr>
        <w:jc w:val="center"/>
      </w:pPr>
      <w:r>
        <w:drawing>
          <wp:inline distT="0" distB="0" distL="114300" distR="114300">
            <wp:extent cx="4529455" cy="2743200"/>
            <wp:effectExtent l="4445" t="4445" r="19050" b="14605"/>
            <wp:docPr id="17"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pPr>
        <w:pStyle w:val="4"/>
        <w:jc w:val="center"/>
        <w:rPr>
          <w:rFonts w:hint="default"/>
          <w:lang w:val="en-GB"/>
        </w:rPr>
        <w:sectPr>
          <w:pgSz w:w="11906" w:h="16838"/>
          <w:pgMar w:top="1440" w:right="1440" w:bottom="1440" w:left="1440" w:header="708" w:footer="708" w:gutter="0"/>
          <w:pgNumType w:fmt="decimal"/>
          <w:cols w:space="708" w:num="1"/>
          <w:docGrid w:linePitch="360" w:charSpace="0"/>
        </w:sectPr>
      </w:pPr>
      <w:r>
        <w:t xml:space="preserve">Figure </w:t>
      </w:r>
      <w:r>
        <w:fldChar w:fldCharType="begin"/>
      </w:r>
      <w:r>
        <w:instrText xml:space="preserve"> SEQ Figure \* ARABIC </w:instrText>
      </w:r>
      <w:r>
        <w:fldChar w:fldCharType="separate"/>
      </w:r>
      <w:r>
        <w:t>10</w:t>
      </w:r>
      <w:r>
        <w:fldChar w:fldCharType="end"/>
      </w:r>
      <w:bookmarkStart w:id="12" w:name="_Toc14816"/>
      <w:r>
        <w:rPr>
          <w:lang w:val="en-GB"/>
        </w:rPr>
        <w:t>:Weight Transfer For 2m Track Width vs Original Track Width</w:t>
      </w:r>
      <w:bookmarkEnd w:id="12"/>
    </w:p>
    <w:p>
      <w:pPr>
        <w:jc w:val="center"/>
      </w:pPr>
      <w:r>
        <w:drawing>
          <wp:inline distT="0" distB="0" distL="114300" distR="114300">
            <wp:extent cx="4582795" cy="2743200"/>
            <wp:effectExtent l="4445" t="4445" r="22860" b="14605"/>
            <wp:docPr id="19"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11</w:t>
      </w:r>
      <w:r>
        <w:fldChar w:fldCharType="end"/>
      </w:r>
      <w:bookmarkStart w:id="13" w:name="_Toc1230"/>
      <w:r>
        <w:rPr>
          <w:lang w:val="en-GB"/>
        </w:rPr>
        <w:t>:Weight Transfer For 0.2m COGH vs Original COGH</w:t>
      </w:r>
      <w:bookmarkEnd w:id="13"/>
    </w:p>
    <w:p>
      <w:pPr>
        <w:jc w:val="center"/>
      </w:pPr>
      <w:r>
        <w:drawing>
          <wp:inline distT="0" distB="0" distL="114300" distR="114300">
            <wp:extent cx="4531360" cy="2743200"/>
            <wp:effectExtent l="4445" t="4445" r="17145" b="14605"/>
            <wp:docPr id="22"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12</w:t>
      </w:r>
      <w:r>
        <w:fldChar w:fldCharType="end"/>
      </w:r>
      <w:bookmarkStart w:id="14" w:name="_Toc15459"/>
      <w:r>
        <w:rPr>
          <w:lang w:val="en-GB"/>
        </w:rPr>
        <w:t>:Weight Transfer For 0.4m COGH vs Original COGH</w:t>
      </w:r>
      <w:bookmarkEnd w:id="14"/>
    </w:p>
    <w:p>
      <w:pPr>
        <w:jc w:val="center"/>
      </w:pPr>
      <w:r>
        <w:drawing>
          <wp:inline distT="0" distB="0" distL="114300" distR="114300">
            <wp:extent cx="4531995" cy="2743200"/>
            <wp:effectExtent l="4445" t="4445" r="16510" b="14605"/>
            <wp:docPr id="23"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pPr>
        <w:pStyle w:val="4"/>
        <w:jc w:val="center"/>
        <w:rPr>
          <w:rFonts w:hint="default"/>
          <w:lang w:val="en-GB"/>
        </w:rPr>
        <w:sectPr>
          <w:pgSz w:w="11906" w:h="16838"/>
          <w:pgMar w:top="1440" w:right="1440" w:bottom="1440" w:left="1440" w:header="708" w:footer="708" w:gutter="0"/>
          <w:pgNumType w:fmt="decimal"/>
          <w:cols w:space="708" w:num="1"/>
          <w:docGrid w:linePitch="360" w:charSpace="0"/>
        </w:sectPr>
      </w:pPr>
      <w:r>
        <w:t xml:space="preserve">Figure </w:t>
      </w:r>
      <w:r>
        <w:fldChar w:fldCharType="begin"/>
      </w:r>
      <w:r>
        <w:instrText xml:space="preserve"> SEQ Figure \* ARABIC </w:instrText>
      </w:r>
      <w:r>
        <w:fldChar w:fldCharType="separate"/>
      </w:r>
      <w:r>
        <w:t>13</w:t>
      </w:r>
      <w:r>
        <w:fldChar w:fldCharType="end"/>
      </w:r>
      <w:bookmarkStart w:id="15" w:name="_Toc27088"/>
      <w:r>
        <w:rPr>
          <w:lang w:val="en-GB"/>
        </w:rPr>
        <w:t>:Weight Transfer For 0.6m COGH vs Original COGH</w:t>
      </w:r>
      <w:bookmarkEnd w:id="15"/>
    </w:p>
    <w:p>
      <w:pPr>
        <w:jc w:val="center"/>
      </w:pPr>
      <w:r>
        <w:drawing>
          <wp:inline distT="0" distB="0" distL="114300" distR="114300">
            <wp:extent cx="4572000" cy="2743200"/>
            <wp:effectExtent l="4445" t="4445" r="14605" b="14605"/>
            <wp:docPr id="12"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pPr>
        <w:pStyle w:val="4"/>
        <w:jc w:val="center"/>
        <w:rPr>
          <w:rFonts w:hint="default"/>
          <w:lang w:val="en-GB"/>
        </w:rPr>
      </w:pPr>
      <w:r>
        <w:t xml:space="preserve">Figure </w:t>
      </w:r>
      <w:r>
        <w:fldChar w:fldCharType="begin"/>
      </w:r>
      <w:r>
        <w:instrText xml:space="preserve"> SEQ Figure \* ARABIC </w:instrText>
      </w:r>
      <w:r>
        <w:fldChar w:fldCharType="separate"/>
      </w:r>
      <w:r>
        <w:t>14</w:t>
      </w:r>
      <w:r>
        <w:fldChar w:fldCharType="end"/>
      </w:r>
      <w:bookmarkStart w:id="16" w:name="_Toc21512"/>
      <w:r>
        <w:rPr>
          <w:lang w:val="en-GB"/>
        </w:rPr>
        <w:t>:Front Left and Front Right Weight Transfer Under Maximum Combined G Force</w:t>
      </w:r>
      <w:bookmarkEnd w:id="16"/>
    </w:p>
    <w:p>
      <w:pPr>
        <w:jc w:val="center"/>
      </w:pPr>
      <w:r>
        <w:drawing>
          <wp:inline distT="0" distB="0" distL="114300" distR="114300">
            <wp:extent cx="4572000" cy="2743200"/>
            <wp:effectExtent l="4445" t="4445" r="14605" b="14605"/>
            <wp:docPr id="1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pPr>
        <w:pStyle w:val="4"/>
        <w:jc w:val="center"/>
        <w:rPr>
          <w:rFonts w:hint="default"/>
          <w:lang w:val="en-GB"/>
        </w:rPr>
        <w:sectPr>
          <w:pgSz w:w="11906" w:h="16838"/>
          <w:pgMar w:top="1440" w:right="1440" w:bottom="1440" w:left="1440" w:header="708" w:footer="708" w:gutter="0"/>
          <w:pgNumType w:fmt="decimal"/>
          <w:cols w:space="708" w:num="1"/>
          <w:docGrid w:linePitch="360" w:charSpace="0"/>
        </w:sectPr>
      </w:pPr>
      <w:r>
        <w:t xml:space="preserve">Figure </w:t>
      </w:r>
      <w:r>
        <w:fldChar w:fldCharType="begin"/>
      </w:r>
      <w:r>
        <w:instrText xml:space="preserve"> SEQ Figure \* ARABIC </w:instrText>
      </w:r>
      <w:r>
        <w:fldChar w:fldCharType="separate"/>
      </w:r>
      <w:r>
        <w:t>15</w:t>
      </w:r>
      <w:r>
        <w:fldChar w:fldCharType="end"/>
      </w:r>
      <w:bookmarkStart w:id="17" w:name="_Toc11973"/>
      <w:r>
        <w:rPr>
          <w:lang w:val="en-GB"/>
        </w:rPr>
        <w:t>:Rear Left and Rear Right weight transfer Under Maximum Combined G Force</w:t>
      </w:r>
      <w:bookmarkEnd w:id="17"/>
    </w:p>
    <w:p>
      <w:pPr>
        <w:pStyle w:val="2"/>
        <w:bidi w:val="0"/>
        <w:rPr>
          <w:sz w:val="20"/>
          <w:szCs w:val="20"/>
        </w:rPr>
      </w:pPr>
      <w:bookmarkStart w:id="18" w:name="_Toc3248"/>
      <w:r>
        <w:rPr>
          <w:sz w:val="20"/>
          <w:szCs w:val="20"/>
        </w:rPr>
        <w:t>Analysis</w:t>
      </w:r>
      <w:bookmarkEnd w:id="18"/>
    </w:p>
    <w:p/>
    <w:p>
      <w:pPr>
        <w:ind w:firstLine="720" w:firstLineChars="0"/>
      </w:pPr>
      <w:r>
        <w:t>In th</w:t>
      </w:r>
      <w:r>
        <w:rPr>
          <w:rFonts w:hint="default"/>
          <w:lang w:val="en-GB"/>
        </w:rPr>
        <w:t>e</w:t>
      </w:r>
      <w:r>
        <w:t xml:space="preserve"> moment of weight transfer</w:t>
      </w:r>
      <w:r>
        <w:rPr>
          <w:rFonts w:hint="default"/>
          <w:lang w:val="en-GB"/>
        </w:rPr>
        <w:t xml:space="preserve"> for Fig 2</w:t>
      </w:r>
      <w:r>
        <w:t xml:space="preserve">, the vehicle is negotiating a right-hand turn, this is therefore causing a weight transfer from right to left. As the graph shows, there is a fairly linear trend in the increase and decrease of weight for each wheel. These figures mirror each other, this is evidence that the weight removed from one wheel, is directly proportional to the weight gained by the other. This is also demonstrated my Figs </w:t>
      </w:r>
      <w:r>
        <w:rPr>
          <w:rFonts w:hint="default"/>
          <w:lang w:val="en-GB"/>
        </w:rPr>
        <w:t>3,4&amp;5</w:t>
      </w:r>
      <w:r>
        <w:t>. There is an increased difference between each two corner weights when comparing the first two data points with the last.</w:t>
      </w:r>
    </w:p>
    <w:p/>
    <w:p>
      <w:pPr>
        <w:ind w:firstLine="720" w:firstLineChars="0"/>
      </w:pPr>
      <w:r>
        <w:t>The velocity variable weight transfer graphs</w:t>
      </w:r>
      <w:r>
        <w:rPr>
          <w:rFonts w:hint="default"/>
          <w:lang w:val="en-GB"/>
        </w:rPr>
        <w:t xml:space="preserve"> (Fig6&amp;7)</w:t>
      </w:r>
      <w:r>
        <w:t xml:space="preserve"> show a much different pattern, the weight on all four corners increases when the velocity increases. This would be impossible had it not been for the aero lift calculations included. This means that the aero lift is pushing down on the vehicle as the velocity is increasing. The weight of the right side of the vehicle matches the original weight of the left once at the extremities.</w:t>
      </w:r>
    </w:p>
    <w:p>
      <w:pPr>
        <w:rPr>
          <w:rFonts w:hint="default"/>
          <w:lang w:val="en-GB"/>
        </w:rPr>
      </w:pPr>
    </w:p>
    <w:p>
      <w:pPr>
        <w:ind w:firstLine="720" w:firstLineChars="0"/>
        <w:rPr>
          <w:rFonts w:hint="default"/>
          <w:lang w:val="en-GB"/>
        </w:rPr>
      </w:pPr>
      <w:r>
        <w:rPr>
          <w:rFonts w:hint="default"/>
          <w:lang w:val="en-GB"/>
        </w:rPr>
        <w:t>Figs 8,9&amp;10 show how the weight transfer is affected by narrowing or widening the wheelbase. Starting with fig8, it is evident that narrowing the wheelbase to 1m has increased weight transfer significantly. It is to be expected however, a narrow base of an object decreases stability, since the centre of gravity has less to overcome  to roll. Fig9 shows the track increased to 1.5m, since the original track is 1.62m, it is unsurprising that the weight transfer is not much higher. Fig10 shows a 2m track width, this width would only be used in the most extreme of race cars. The graph shows a marginal improvement over the original weight transfer, but unlike what may be expected to be an opposite to Fig8, is actually only a slight improvement on the weight transfer. This shows that the track is not directly correlated to the transfer of weight.</w:t>
      </w:r>
    </w:p>
    <w:p>
      <w:pPr>
        <w:ind w:firstLine="720" w:firstLineChars="0"/>
        <w:rPr>
          <w:rFonts w:hint="default"/>
          <w:lang w:val="en-GB"/>
        </w:rPr>
      </w:pPr>
      <w:r>
        <w:rPr>
          <w:rFonts w:hint="default"/>
          <w:lang w:val="en-GB"/>
        </w:rPr>
        <w:t xml:space="preserve">Figs 11,12&amp;13 all show the effects of changing the centre of gravity height have on the weight transfer of the vehicle. Fig 10 shows an impressive reduction in weight transfer from right to left when the centre of gravity is only 0.2m from the ground. Fig12 similar to Fig9 is very similar due to the COGH value being almost the same. Fig13 shows a proportionally opposite increase to weight transfer as to that of Fig11, hence showing a linear proportion between centre of gravity height, and weight transfer. </w:t>
      </w:r>
    </w:p>
    <w:p>
      <w:pPr>
        <w:ind w:firstLine="720" w:firstLineChars="0"/>
        <w:rPr>
          <w:rFonts w:hint="default"/>
          <w:lang w:val="en-GB"/>
        </w:rPr>
      </w:pPr>
    </w:p>
    <w:p>
      <w:pPr>
        <w:pStyle w:val="7"/>
        <w:keepNext w:val="0"/>
        <w:keepLines w:val="0"/>
        <w:widowControl/>
        <w:suppressLineNumbers w:val="0"/>
        <w:pBdr>
          <w:left w:val="none" w:color="auto" w:sz="0" w:space="0"/>
          <w:right w:val="none" w:color="auto" w:sz="0" w:space="0"/>
        </w:pBdr>
        <w:shd w:val="clear" w:fill="FFFFFF"/>
        <w:spacing w:before="0" w:beforeAutospacing="0"/>
        <w:ind w:left="0" w:firstLine="0"/>
        <w:jc w:val="left"/>
        <w:rPr>
          <w:rFonts w:hint="default" w:hAnsi="Verdana" w:cs="Verdana" w:asciiTheme="minorAscii"/>
          <w:i w:val="0"/>
          <w:caps w:val="0"/>
          <w:color w:val="000000"/>
          <w:spacing w:val="0"/>
          <w:sz w:val="20"/>
          <w:szCs w:val="20"/>
          <w:lang w:val="en-GB"/>
        </w:rPr>
      </w:pPr>
      <w:r>
        <w:rPr>
          <w:rFonts w:hint="default" w:asciiTheme="minorAscii"/>
          <w:sz w:val="20"/>
          <w:szCs w:val="20"/>
          <w:lang w:val="en-GB"/>
        </w:rPr>
        <w:t>Figs 14 &amp; 15 are related to the traction circle theory explained previously, As the maximum combined G force</w:t>
      </w:r>
      <w:r>
        <w:rPr>
          <w:rFonts w:hint="default" w:hAnsi="Verdana" w:cs="Verdana" w:asciiTheme="minorAscii"/>
          <w:i w:val="0"/>
          <w:caps w:val="0"/>
          <w:color w:val="000000"/>
          <w:spacing w:val="0"/>
          <w:sz w:val="20"/>
          <w:szCs w:val="20"/>
          <w:bdr w:val="none" w:color="auto" w:sz="0" w:space="0"/>
          <w:shd w:val="clear" w:fill="FFFFFF"/>
          <w:lang w:val="en-GB"/>
        </w:rPr>
        <w:t xml:space="preserve"> is 1.5 the variable will be changing from 0 to 1.5G in 0.1G steps. In Fig 14 the weight transfer is arround 200N from right to left around 50N less than the lateral transfer calculations. Fig 14 is similar to Fig 2 since the weight transfer pattern is the same. It is expected that the two graphs would be very similar since the longitudinal and lateralG forces were equal.</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pStyle w:val="2"/>
        <w:bidi w:val="0"/>
        <w:rPr>
          <w:rFonts w:hint="default"/>
          <w:sz w:val="20"/>
          <w:szCs w:val="20"/>
          <w:lang w:val="en-GB"/>
        </w:rPr>
      </w:pPr>
      <w:bookmarkStart w:id="19" w:name="_Toc14789"/>
      <w:r>
        <w:rPr>
          <w:rFonts w:hint="default"/>
          <w:sz w:val="20"/>
          <w:szCs w:val="20"/>
          <w:lang w:val="en-GB"/>
        </w:rPr>
        <w:t>Conclusion</w:t>
      </w:r>
      <w:bookmarkEnd w:id="19"/>
    </w:p>
    <w:p>
      <w:pPr>
        <w:rPr>
          <w:rFonts w:hint="default"/>
          <w:lang w:val="en-GB"/>
        </w:rPr>
      </w:pPr>
    </w:p>
    <w:p>
      <w:pPr>
        <w:ind w:firstLine="720" w:firstLineChars="0"/>
        <w:rPr>
          <w:rFonts w:hint="default"/>
          <w:lang w:val="en-GB"/>
        </w:rPr>
      </w:pPr>
      <w:r>
        <w:rPr>
          <w:rFonts w:hint="default"/>
          <w:lang w:val="en-GB"/>
        </w:rPr>
        <w:t>As demonstrated by the generated graphs, it is clear that changing the Height of the centre of gravity is more effective, thus more important to reduce weight transfer. By only reducing the COGH by 160mm, the total weight transfer lowered from 91N to only 26N. whereas widening the wheelbase by 500mm only reduced the weight transfer by 10N. This shows that it is more effective to adjust COGH than it is to widen the track width.</w:t>
      </w:r>
    </w:p>
    <w:p>
      <w:pPr>
        <w:ind w:firstLine="720" w:firstLineChars="0"/>
        <w:rPr>
          <w:rFonts w:hint="default"/>
          <w:lang w:val="en-GB"/>
        </w:rPr>
      </w:pPr>
      <w:r>
        <w:rPr>
          <w:rFonts w:hint="default"/>
          <w:lang w:val="en-GB"/>
        </w:rPr>
        <w:t>It is not possible to achieve 1.5G both longitudinally and laterally with this vehicle, as the maximum combined G is 1.5, to make a triangle showing the values of longitudinal and Lateral G force, Glong and Glat would have to equal &lt;1.5. If Glong and Glat were both at 1.5G that would result in the vector being greater than the friction coefficient. In real world terms, this results</w:t>
      </w:r>
      <w:bookmarkStart w:id="21" w:name="_GoBack"/>
      <w:bookmarkEnd w:id="21"/>
      <w:r>
        <w:rPr>
          <w:rFonts w:hint="default"/>
          <w:lang w:val="en-GB"/>
        </w:rPr>
        <w:t xml:space="preserve"> in the car losing grip and sliding off on a tangent to the bend.</w:t>
      </w:r>
    </w:p>
    <w:p>
      <w:pPr>
        <w:ind w:firstLine="720" w:firstLineChars="0"/>
        <w:rPr>
          <w:rFonts w:hint="default"/>
          <w:lang w:val="en-GB"/>
        </w:rPr>
      </w:pPr>
      <w:r>
        <w:rPr>
          <w:rFonts w:hint="default"/>
          <w:lang w:val="en-GB"/>
        </w:rPr>
        <w:t>This investigation has shown the large differences a minute change can make to a vehicle, there is great potential to tune a vehicle for comfort or racing. Industries are working to make the two polar setups work in consumer vehicles to give that performance edge to the driver.</w:t>
      </w:r>
    </w:p>
    <w:p>
      <w:pPr>
        <w:sectPr>
          <w:pgSz w:w="11906" w:h="16838"/>
          <w:pgMar w:top="1440" w:right="1440" w:bottom="1440" w:left="1440" w:header="708" w:footer="708" w:gutter="0"/>
          <w:pgNumType w:fmt="decimal"/>
          <w:cols w:space="708" w:num="1"/>
          <w:docGrid w:linePitch="360" w:charSpace="0"/>
        </w:sectPr>
      </w:pPr>
    </w:p>
    <w:p>
      <w:pPr>
        <w:pStyle w:val="2"/>
        <w:bidi w:val="0"/>
        <w:jc w:val="both"/>
        <w:rPr>
          <w:rFonts w:hint="default"/>
          <w:sz w:val="20"/>
          <w:szCs w:val="20"/>
          <w:lang w:val="en-GB"/>
        </w:rPr>
      </w:pPr>
      <w:bookmarkStart w:id="20" w:name="_Toc13395"/>
      <w:r>
        <w:rPr>
          <w:rFonts w:hint="default"/>
          <w:sz w:val="20"/>
          <w:szCs w:val="20"/>
          <w:lang w:val="en-GB"/>
        </w:rPr>
        <w:t>Bibliography</w:t>
      </w:r>
      <w:bookmarkEnd w:id="20"/>
    </w:p>
    <w:p>
      <w:pPr>
        <w:rPr>
          <w:rFonts w:ascii="Verdana" w:hAnsi="Verdana" w:eastAsia="SimSun" w:cs="Verdana"/>
          <w:i w:val="0"/>
          <w:caps w:val="0"/>
          <w:color w:val="000000"/>
          <w:spacing w:val="0"/>
          <w:sz w:val="20"/>
          <w:szCs w:val="20"/>
          <w:u w:val="none"/>
          <w:shd w:val="clear" w:fill="FFFFFF"/>
        </w:rPr>
      </w:pPr>
    </w:p>
    <w:p>
      <w:pPr>
        <w:jc w:val="center"/>
        <w:rPr>
          <w:rFonts w:hint="default" w:ascii="Verdana" w:hAnsi="Verdana" w:eastAsia="SimSun" w:cs="Verdana"/>
          <w:i w:val="0"/>
          <w:caps w:val="0"/>
          <w:color w:val="000000"/>
          <w:spacing w:val="0"/>
          <w:sz w:val="20"/>
          <w:szCs w:val="20"/>
          <w:u w:val="none"/>
          <w:shd w:val="clear" w:fill="FFFFFF"/>
        </w:rPr>
      </w:pPr>
      <w:r>
        <w:rPr>
          <w:rFonts w:ascii="Verdana" w:hAnsi="Verdana" w:eastAsia="SimSun" w:cs="Verdana"/>
          <w:i w:val="0"/>
          <w:caps w:val="0"/>
          <w:color w:val="000000"/>
          <w:spacing w:val="0"/>
          <w:sz w:val="20"/>
          <w:szCs w:val="20"/>
          <w:u w:val="none"/>
          <w:shd w:val="clear" w:fill="FFFFFF"/>
        </w:rPr>
        <w:t xml:space="preserve">Alexander, D. (2015). </w:t>
      </w:r>
      <w:r>
        <w:rPr>
          <w:rFonts w:hint="default" w:ascii="Verdana" w:hAnsi="Verdana" w:eastAsia="SimSun" w:cs="Verdana"/>
          <w:i/>
          <w:caps w:val="0"/>
          <w:color w:val="000000"/>
          <w:spacing w:val="0"/>
          <w:sz w:val="20"/>
          <w:szCs w:val="20"/>
          <w:u w:val="none"/>
        </w:rPr>
        <w:t>Chassis Tuning With Dampers – A hard look at shock absorbers and their effects on handling.</w:t>
      </w:r>
      <w:r>
        <w:rPr>
          <w:rFonts w:hint="default" w:ascii="Verdana" w:hAnsi="Verdana" w:eastAsia="SimSun" w:cs="Verdana"/>
          <w:i w:val="0"/>
          <w:caps w:val="0"/>
          <w:color w:val="000000"/>
          <w:spacing w:val="0"/>
          <w:sz w:val="20"/>
          <w:szCs w:val="20"/>
          <w:u w:val="none"/>
          <w:shd w:val="clear" w:fill="FFFFFF"/>
        </w:rPr>
        <w:t xml:space="preserve"> Available: https://nasaspeed.news/tech/suspension/chassis-tuning-with-dampers-a-hard-look-at-shock-absorbers-and-their-effects-on-handling/. Last accessed 18/03/20.</w:t>
      </w:r>
    </w:p>
    <w:p>
      <w:pPr>
        <w:jc w:val="center"/>
        <w:rPr>
          <w:rFonts w:hint="default" w:ascii="Verdana" w:hAnsi="Verdana" w:eastAsia="SimSun" w:cs="Verdana"/>
          <w:i w:val="0"/>
          <w:caps w:val="0"/>
          <w:color w:val="000000"/>
          <w:spacing w:val="0"/>
          <w:sz w:val="20"/>
          <w:szCs w:val="20"/>
          <w:u w:val="none"/>
          <w:shd w:val="clear" w:fill="FFFFFF"/>
        </w:rPr>
      </w:pPr>
    </w:p>
    <w:p>
      <w:pPr>
        <w:jc w:val="center"/>
        <w:rPr>
          <w:rFonts w:hint="default" w:ascii="Verdana" w:hAnsi="Verdana" w:eastAsia="SimSun" w:cs="Verdana"/>
          <w:i w:val="0"/>
          <w:caps w:val="0"/>
          <w:color w:val="000000"/>
          <w:spacing w:val="0"/>
          <w:sz w:val="20"/>
          <w:szCs w:val="20"/>
          <w:u w:val="none"/>
          <w:shd w:val="clear" w:fill="FFFFFF"/>
        </w:rPr>
      </w:pPr>
      <w:r>
        <w:rPr>
          <w:rFonts w:ascii="Verdana" w:hAnsi="Verdana" w:eastAsia="SimSun" w:cs="Verdana"/>
          <w:i w:val="0"/>
          <w:caps w:val="0"/>
          <w:color w:val="000000"/>
          <w:spacing w:val="0"/>
          <w:sz w:val="20"/>
          <w:szCs w:val="20"/>
          <w:u w:val="none"/>
          <w:shd w:val="clear" w:fill="FFFFFF"/>
        </w:rPr>
        <w:t xml:space="preserve">Van Valkenburg, P (1976). </w:t>
      </w:r>
      <w:r>
        <w:rPr>
          <w:rFonts w:hint="default" w:ascii="Verdana" w:hAnsi="Verdana" w:eastAsia="SimSun" w:cs="Verdana"/>
          <w:i/>
          <w:caps w:val="0"/>
          <w:color w:val="000000"/>
          <w:spacing w:val="0"/>
          <w:sz w:val="20"/>
          <w:szCs w:val="20"/>
          <w:u w:val="none"/>
        </w:rPr>
        <w:t>Race Car Engineering &amp; Mechanics</w:t>
      </w:r>
      <w:r>
        <w:rPr>
          <w:rFonts w:hint="default" w:ascii="Verdana" w:hAnsi="Verdana" w:eastAsia="SimSun" w:cs="Verdana"/>
          <w:i w:val="0"/>
          <w:caps w:val="0"/>
          <w:color w:val="000000"/>
          <w:spacing w:val="0"/>
          <w:sz w:val="20"/>
          <w:szCs w:val="20"/>
          <w:u w:val="none"/>
          <w:shd w:val="clear" w:fill="FFFFFF"/>
        </w:rPr>
        <w:t>. New York: Dodd, mead &amp; company.</w:t>
      </w:r>
    </w:p>
    <w:p>
      <w:pPr>
        <w:jc w:val="center"/>
        <w:rPr>
          <w:rFonts w:ascii="Verdana" w:hAnsi="Verdana" w:eastAsia="SimSun" w:cs="Verdana"/>
          <w:i w:val="0"/>
          <w:caps w:val="0"/>
          <w:color w:val="000000"/>
          <w:spacing w:val="0"/>
          <w:sz w:val="20"/>
          <w:szCs w:val="20"/>
          <w:u w:val="none"/>
          <w:shd w:val="clear" w:fill="FFFFFF"/>
        </w:rPr>
      </w:pPr>
    </w:p>
    <w:p>
      <w:pPr>
        <w:jc w:val="center"/>
        <w:rPr>
          <w:rFonts w:hint="default" w:ascii="Verdana" w:hAnsi="Verdana" w:eastAsia="SimSun" w:cs="Verdana"/>
          <w:i w:val="0"/>
          <w:caps w:val="0"/>
          <w:color w:val="000000"/>
          <w:spacing w:val="0"/>
          <w:sz w:val="20"/>
          <w:szCs w:val="20"/>
          <w:u w:val="none"/>
          <w:shd w:val="clear" w:fill="FFFFFF"/>
        </w:rPr>
      </w:pPr>
      <w:r>
        <w:rPr>
          <w:rFonts w:ascii="Verdana" w:hAnsi="Verdana" w:eastAsia="SimSun" w:cs="Verdana"/>
          <w:i w:val="0"/>
          <w:caps w:val="0"/>
          <w:color w:val="000000"/>
          <w:spacing w:val="0"/>
          <w:sz w:val="20"/>
          <w:szCs w:val="20"/>
          <w:u w:val="none"/>
          <w:shd w:val="clear" w:fill="FFFFFF"/>
        </w:rPr>
        <w:t xml:space="preserve">Geaney, A (2017). </w:t>
      </w:r>
      <w:r>
        <w:rPr>
          <w:rFonts w:hint="default" w:ascii="Verdana" w:hAnsi="Verdana" w:eastAsia="SimSun" w:cs="Verdana"/>
          <w:i/>
          <w:caps w:val="0"/>
          <w:color w:val="000000"/>
          <w:spacing w:val="0"/>
          <w:sz w:val="20"/>
          <w:szCs w:val="20"/>
          <w:u w:val="none"/>
        </w:rPr>
        <w:t>Vehicle Dynamics - Race Car Set-Up &amp; Suspension</w:t>
      </w:r>
      <w:r>
        <w:rPr>
          <w:rFonts w:hint="default" w:ascii="Verdana" w:hAnsi="Verdana" w:eastAsia="SimSun" w:cs="Verdana"/>
          <w:i w:val="0"/>
          <w:caps w:val="0"/>
          <w:color w:val="000000"/>
          <w:spacing w:val="0"/>
          <w:sz w:val="20"/>
          <w:szCs w:val="20"/>
          <w:u w:val="none"/>
          <w:shd w:val="clear" w:fill="FFFFFF"/>
        </w:rPr>
        <w:t>. Great Britain: Amazon.</w:t>
      </w:r>
    </w:p>
    <w:p>
      <w:pPr>
        <w:jc w:val="center"/>
        <w:rPr>
          <w:rFonts w:hint="default" w:ascii="Verdana" w:hAnsi="Verdana" w:eastAsia="SimSun" w:cs="Verdana"/>
          <w:i w:val="0"/>
          <w:caps w:val="0"/>
          <w:color w:val="000000"/>
          <w:spacing w:val="0"/>
          <w:sz w:val="20"/>
          <w:szCs w:val="20"/>
          <w:u w:val="none"/>
          <w:shd w:val="clear" w:fill="FFFFFF"/>
        </w:rPr>
      </w:pPr>
    </w:p>
    <w:p>
      <w:pPr>
        <w:jc w:val="center"/>
        <w:rPr>
          <w:rFonts w:hint="default" w:ascii="Verdana" w:hAnsi="Verdana" w:eastAsia="SimSun" w:cs="Verdana"/>
          <w:i w:val="0"/>
          <w:caps w:val="0"/>
          <w:color w:val="000000"/>
          <w:spacing w:val="0"/>
          <w:sz w:val="20"/>
          <w:szCs w:val="20"/>
          <w:u w:val="none"/>
          <w:shd w:val="clear" w:fill="FFFFFF"/>
        </w:rPr>
      </w:pPr>
      <w:r>
        <w:rPr>
          <w:rFonts w:ascii="Verdana" w:hAnsi="Verdana" w:eastAsia="SimSun" w:cs="Verdana"/>
          <w:i w:val="0"/>
          <w:caps w:val="0"/>
          <w:color w:val="000000"/>
          <w:spacing w:val="0"/>
          <w:sz w:val="20"/>
          <w:szCs w:val="20"/>
          <w:u w:val="none"/>
          <w:shd w:val="clear" w:fill="FFFFFF"/>
        </w:rPr>
        <w:t xml:space="preserve">Rex Keen (2016). </w:t>
      </w:r>
      <w:r>
        <w:rPr>
          <w:rFonts w:hint="default" w:ascii="Verdana" w:hAnsi="Verdana" w:eastAsia="SimSun" w:cs="Verdana"/>
          <w:i/>
          <w:caps w:val="0"/>
          <w:color w:val="000000"/>
          <w:spacing w:val="0"/>
          <w:sz w:val="20"/>
          <w:szCs w:val="20"/>
          <w:u w:val="none"/>
        </w:rPr>
        <w:t>How To Be A Race Engineer</w:t>
      </w:r>
      <w:r>
        <w:rPr>
          <w:rFonts w:hint="default" w:ascii="Verdana" w:hAnsi="Verdana" w:eastAsia="SimSun" w:cs="Verdana"/>
          <w:i w:val="0"/>
          <w:caps w:val="0"/>
          <w:color w:val="000000"/>
          <w:spacing w:val="0"/>
          <w:sz w:val="20"/>
          <w:szCs w:val="20"/>
          <w:u w:val="none"/>
          <w:shd w:val="clear" w:fill="FFFFFF"/>
        </w:rPr>
        <w:t>. Poland: Amazon Fulfilment.</w:t>
      </w:r>
    </w:p>
    <w:p>
      <w:pPr>
        <w:jc w:val="center"/>
        <w:rPr>
          <w:rFonts w:hint="default" w:ascii="Verdana" w:hAnsi="Verdana" w:eastAsia="SimSun" w:cs="Verdana"/>
          <w:i w:val="0"/>
          <w:caps w:val="0"/>
          <w:color w:val="000000"/>
          <w:spacing w:val="0"/>
          <w:sz w:val="20"/>
          <w:szCs w:val="20"/>
          <w:u w:val="none"/>
          <w:shd w:val="clear" w:fill="FFFFFF"/>
        </w:rPr>
      </w:pPr>
    </w:p>
    <w:p>
      <w:pPr>
        <w:jc w:val="center"/>
        <w:rPr>
          <w:rFonts w:hint="default" w:ascii="Verdana" w:hAnsi="Verdana" w:eastAsia="SimSun" w:cs="Verdana"/>
          <w:i w:val="0"/>
          <w:caps w:val="0"/>
          <w:color w:val="000000"/>
          <w:spacing w:val="0"/>
          <w:sz w:val="20"/>
          <w:szCs w:val="20"/>
          <w:u w:val="none"/>
          <w:shd w:val="clear" w:fill="FFFFFF"/>
        </w:rPr>
      </w:pPr>
      <w:r>
        <w:rPr>
          <w:rFonts w:ascii="Verdana" w:hAnsi="Verdana" w:eastAsia="SimSun" w:cs="Verdana"/>
          <w:i w:val="0"/>
          <w:caps w:val="0"/>
          <w:color w:val="000000"/>
          <w:spacing w:val="0"/>
          <w:sz w:val="20"/>
          <w:szCs w:val="20"/>
        </w:rPr>
        <w:t>Technical F1 Dictionary. (2011).</w:t>
      </w:r>
      <w:r>
        <w:rPr>
          <w:rFonts w:hint="default" w:ascii="Verdana" w:hAnsi="Verdana" w:eastAsia="SimSun" w:cs="Verdana"/>
          <w:i w:val="0"/>
          <w:caps w:val="0"/>
          <w:color w:val="000000"/>
          <w:spacing w:val="0"/>
          <w:sz w:val="20"/>
          <w:szCs w:val="20"/>
        </w:rPr>
        <w:t> </w:t>
      </w:r>
      <w:r>
        <w:rPr>
          <w:rFonts w:hint="default" w:ascii="Verdana" w:hAnsi="Verdana" w:eastAsia="SimSun" w:cs="Verdana"/>
          <w:i/>
          <w:caps w:val="0"/>
          <w:color w:val="000000"/>
          <w:spacing w:val="0"/>
          <w:sz w:val="20"/>
          <w:szCs w:val="20"/>
        </w:rPr>
        <w:t>Traction Circle.</w:t>
      </w:r>
      <w:r>
        <w:rPr>
          <w:rFonts w:hint="default" w:ascii="Verdana" w:hAnsi="Verdana" w:eastAsia="SimSun" w:cs="Verdana"/>
          <w:i w:val="0"/>
          <w:caps w:val="0"/>
          <w:color w:val="000000"/>
          <w:spacing w:val="0"/>
          <w:sz w:val="20"/>
          <w:szCs w:val="20"/>
        </w:rPr>
        <w:t> Available: http://www.formula1-dictionary.net/traction_circle.html. Last accessed 20/3/20.</w:t>
      </w:r>
    </w:p>
    <w:sectPr>
      <w:pgSz w:w="11906" w:h="16838"/>
      <w:pgMar w:top="1440" w:right="1440" w:bottom="1440" w:left="1440" w:header="708" w:footer="708" w:gutter="0"/>
      <w:pgNumType w:fmt="decimal"/>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AR JULIAN">
    <w:panose1 w:val="02000000000000000000"/>
    <w:charset w:val="00"/>
    <w:family w:val="auto"/>
    <w:pitch w:val="default"/>
    <w:sig w:usb0="8000002F" w:usb1="0000000A" w:usb2="00000000" w:usb3="00000000" w:csb0="00000001" w:csb1="00000000"/>
  </w:font>
  <w:font w:name="Cambria Math">
    <w:panose1 w:val="02040503050406030204"/>
    <w:charset w:val="00"/>
    <w:family w:val="roman"/>
    <w:pitch w:val="default"/>
    <w:sig w:usb0="E00006FF" w:usb1="420024FF" w:usb2="02000000" w:usb3="00000000" w:csb0="2000019F" w:csb1="00000000"/>
  </w:font>
  <w:font w:name="Verdana">
    <w:panose1 w:val="020B0604030504040204"/>
    <w:charset w:val="00"/>
    <w:family w:val="auto"/>
    <w:pitch w:val="default"/>
    <w:sig w:usb0="A00006FF" w:usb1="4000205B" w:usb2="0000001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JW+kfBAIAABIEAAAOAAAAAAAAAAEAIAAAAB8BAABkcnMvZTJv&#10;RG9jLnhtbFBLBQYAAAAABgAGAFkBAACVBQAAAAA=&#10;">
              <v:fill on="f" focussize="0,0"/>
              <v:stroke on="f" weight="0.5pt"/>
              <v:imagedata o:title=""/>
              <o:lock v:ext="edit" aspectratio="f"/>
              <v:textbox inset="0mm,0mm,0mm,0mm" style="mso-fit-shape-to-text:t;">
                <w:txbxContent>
                  <w:p>
                    <w:pPr>
                      <w:pStyle w:val="5"/>
                      <w:rPr>
                        <w:rFonts w:hint="default"/>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79A2"/>
    <w:rsid w:val="0020459D"/>
    <w:rsid w:val="00780B26"/>
    <w:rsid w:val="00882B18"/>
    <w:rsid w:val="009F1223"/>
    <w:rsid w:val="00A64DB3"/>
    <w:rsid w:val="00B05E46"/>
    <w:rsid w:val="00DA2C04"/>
    <w:rsid w:val="00DC79A2"/>
    <w:rsid w:val="00F47CF8"/>
    <w:rsid w:val="16731989"/>
    <w:rsid w:val="26A10ABE"/>
    <w:rsid w:val="2EB83A4C"/>
    <w:rsid w:val="46FB7541"/>
    <w:rsid w:val="60D73039"/>
    <w:rsid w:val="62A14C5A"/>
    <w:rsid w:val="6301260E"/>
    <w:rsid w:val="65B90101"/>
    <w:rsid w:val="6C4273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Calibri" w:hAnsi="Calibri" w:eastAsia="SimSun" w:cs="Times New Roman"/>
      <w:sz w:val="20"/>
      <w:szCs w:val="20"/>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9"/>
    <w:pPr>
      <w:keepNext/>
      <w:keepLines/>
      <w:spacing w:before="260" w:after="260" w:line="416" w:lineRule="auto"/>
      <w:outlineLvl w:val="1"/>
    </w:pPr>
    <w:rPr>
      <w:b/>
      <w:bCs/>
      <w:sz w:val="32"/>
      <w:szCs w:val="32"/>
    </w:rPr>
  </w:style>
  <w:style w:type="character" w:default="1" w:styleId="9">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caption"/>
    <w:basedOn w:val="1"/>
    <w:next w:val="1"/>
    <w:semiHidden/>
    <w:unhideWhenUsed/>
    <w:qFormat/>
    <w:uiPriority w:val="35"/>
    <w:rPr>
      <w:rFonts w:ascii="Arial" w:hAnsi="Arial" w:eastAsia="黑体" w:cs="Arial"/>
      <w:sz w:val="20"/>
    </w:rPr>
  </w:style>
  <w:style w:type="paragraph" w:styleId="5">
    <w:name w:val="footer"/>
    <w:basedOn w:val="1"/>
    <w:semiHidden/>
    <w:unhideWhenUsed/>
    <w:uiPriority w:val="99"/>
    <w:pPr>
      <w:tabs>
        <w:tab w:val="center" w:pos="4153"/>
        <w:tab w:val="right" w:pos="8306"/>
      </w:tabs>
      <w:snapToGrid w:val="0"/>
      <w:jc w:val="left"/>
    </w:pPr>
    <w:rPr>
      <w:sz w:val="18"/>
      <w:szCs w:val="18"/>
    </w:rPr>
  </w:style>
  <w:style w:type="paragraph" w:styleId="6">
    <w:name w:val="header"/>
    <w:basedOn w:val="1"/>
    <w:semiHidden/>
    <w:unhideWhenUsed/>
    <w:uiPriority w:val="99"/>
    <w:pPr>
      <w:tabs>
        <w:tab w:val="center" w:pos="4153"/>
        <w:tab w:val="right" w:pos="8306"/>
      </w:tabs>
      <w:snapToGrid w:val="0"/>
    </w:pPr>
    <w:rPr>
      <w:sz w:val="18"/>
      <w:szCs w:val="18"/>
    </w:rPr>
  </w:style>
  <w:style w:type="paragraph" w:styleId="7">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8">
    <w:name w:val="table of figures"/>
    <w:basedOn w:val="1"/>
    <w:next w:val="1"/>
    <w:semiHidden/>
    <w:unhideWhenUsed/>
    <w:uiPriority w:val="99"/>
    <w:pPr>
      <w:ind w:leftChars="200" w:hanging="200" w:hangingChars="200"/>
    </w:pPr>
  </w:style>
  <w:style w:type="character" w:styleId="10">
    <w:name w:val="Hyperlink"/>
    <w:basedOn w:val="9"/>
    <w:semiHidden/>
    <w:unhideWhenUsed/>
    <w:uiPriority w:val="99"/>
    <w:rPr>
      <w:color w:val="0000FF"/>
      <w:u w:val="single"/>
    </w:rPr>
  </w:style>
  <w:style w:type="paragraph" w:customStyle="1" w:styleId="12">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3.wmf"/><Relationship Id="rId7" Type="http://schemas.openxmlformats.org/officeDocument/2006/relationships/oleObject" Target="embeddings/oleObject1.bin"/><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4" Type="http://schemas.openxmlformats.org/officeDocument/2006/relationships/fontTable" Target="fontTable.xml"/><Relationship Id="rId23" Type="http://schemas.openxmlformats.org/officeDocument/2006/relationships/customXml" Target="../customXml/item1.xml"/><Relationship Id="rId22" Type="http://schemas.openxmlformats.org/officeDocument/2006/relationships/chart" Target="charts/chart14.xml"/><Relationship Id="rId21" Type="http://schemas.openxmlformats.org/officeDocument/2006/relationships/chart" Target="charts/chart13.xml"/><Relationship Id="rId20" Type="http://schemas.openxmlformats.org/officeDocument/2006/relationships/chart" Target="charts/chart12.xml"/><Relationship Id="rId2" Type="http://schemas.openxmlformats.org/officeDocument/2006/relationships/settings" Target="settings.xml"/><Relationship Id="rId19" Type="http://schemas.openxmlformats.org/officeDocument/2006/relationships/chart" Target="charts/chart11.xml"/><Relationship Id="rId18" Type="http://schemas.openxmlformats.org/officeDocument/2006/relationships/chart" Target="charts/chart10.xml"/><Relationship Id="rId17" Type="http://schemas.openxmlformats.org/officeDocument/2006/relationships/chart" Target="charts/chart9.xml"/><Relationship Id="rId16" Type="http://schemas.openxmlformats.org/officeDocument/2006/relationships/chart" Target="charts/chart8.xml"/><Relationship Id="rId15" Type="http://schemas.openxmlformats.org/officeDocument/2006/relationships/chart" Target="charts/chart7.xml"/><Relationship Id="rId14" Type="http://schemas.openxmlformats.org/officeDocument/2006/relationships/chart" Target="charts/chart6.xml"/><Relationship Id="rId13" Type="http://schemas.openxmlformats.org/officeDocument/2006/relationships/chart" Target="charts/chart5.xml"/><Relationship Id="rId12" Type="http://schemas.openxmlformats.org/officeDocument/2006/relationships/chart" Target="charts/chart4.xml"/><Relationship Id="rId11" Type="http://schemas.openxmlformats.org/officeDocument/2006/relationships/chart" Target="charts/chart3.xml"/><Relationship Id="rId10" Type="http://schemas.openxmlformats.org/officeDocument/2006/relationships/chart" Target="charts/chart2.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H:\Uni%20Assignments\Vehicle%20systems\Excel%20Systems%20Calcs%20Good%20an%20Proper%202.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H:\Uni%20Assignments\Vehicle%20systems\Excel%20Systems%20Calcs%20Good%20an%20Proper%202.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H:\Uni%20Assignments\Vehicle%20systems\Excel%20Systems%20Calcs%20Good%20an%20Proper%202.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H:\Uni%20Assignments\Vehicle%20systems\Excel%20Systems%20Calcs%20Good%20an%20Proper%202.xlsx"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H:\Uni%20Assignments\Vehicle%20systems\Excel%20Systems%20Calcs%20Good%20an%20Proper%202.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H:\Uni%20Assignments\Vehicle%20systems\Excel%20Systems%20Calcs%20Good%20an%20Proper%202.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H:\Uni%20Assignments\Vehicle%20systems\Excel%20Systems%20Calcs%20Good%20an%20Proper%202.xlsx" TargetMode="External"/></Relationships>
</file>

<file path=word/charts/_rels/chart8.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H:\Uni%20Assignments\Vehicle%20systems\Excel%20Systems%20Calcs%20Good%20an%20Proper%202.xlsx" TargetMode="External"/></Relationships>
</file>

<file path=word/charts/_rels/chart9.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H:\Uni%20Assignments\Vehicle%20systems\Excel%20Systems%20Calcs%20Good%20an%20Proper%202.xlsx" TargetMode="External"/></Relationships>
</file>

<file path=word/charts/_rels/chart10.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file:///H:\Uni%20Assignments\Vehicle%20systems\Excel%20Systems%20Calcs%20Good%20an%20Proper%202.xlsx" TargetMode="External"/></Relationships>
</file>

<file path=word/charts/_rels/chart11.xml.rels><?xml version="1.0" encoding="UTF-8" standalone="yes"?>
<Relationships xmlns="http://schemas.openxmlformats.org/package/2006/relationships"><Relationship Id="rId3" Type="http://schemas.microsoft.com/office/2011/relationships/chartColorStyle" Target="colors11.xml"/><Relationship Id="rId2" Type="http://schemas.microsoft.com/office/2011/relationships/chartStyle" Target="style11.xml"/><Relationship Id="rId1" Type="http://schemas.openxmlformats.org/officeDocument/2006/relationships/oleObject" Target="file:///H:\Uni%20Assignments\Vehicle%20systems\Excel%20Systems%20Calcs%20Good%20an%20Proper%202.xlsx" TargetMode="External"/></Relationships>
</file>

<file path=word/charts/_rels/chart12.xml.rels><?xml version="1.0" encoding="UTF-8" standalone="yes"?>
<Relationships xmlns="http://schemas.openxmlformats.org/package/2006/relationships"><Relationship Id="rId3" Type="http://schemas.microsoft.com/office/2011/relationships/chartColorStyle" Target="colors12.xml"/><Relationship Id="rId2" Type="http://schemas.microsoft.com/office/2011/relationships/chartStyle" Target="style12.xml"/><Relationship Id="rId1" Type="http://schemas.openxmlformats.org/officeDocument/2006/relationships/oleObject" Target="file:///H:\Uni%20Assignments\Vehicle%20systems\Excel%20Systems%20Calcs%20Good%20an%20Proper%202.xlsx" TargetMode="External"/></Relationships>
</file>

<file path=word/charts/_rels/chart13.xml.rels><?xml version="1.0" encoding="UTF-8" standalone="yes"?>
<Relationships xmlns="http://schemas.openxmlformats.org/package/2006/relationships"><Relationship Id="rId3" Type="http://schemas.microsoft.com/office/2011/relationships/chartColorStyle" Target="colors14.xml"/><Relationship Id="rId2" Type="http://schemas.microsoft.com/office/2011/relationships/chartStyle" Target="style14.xml"/><Relationship Id="rId1" Type="http://schemas.openxmlformats.org/officeDocument/2006/relationships/oleObject" Target="file:///E:\Uni%20Assignments\Vehicle%20systems\Excel%20Systems%20Calcs%20Good%20an%20Proper%202.xlsx" TargetMode="External"/></Relationships>
</file>

<file path=word/charts/_rels/chart14.xml.rels><?xml version="1.0" encoding="UTF-8" standalone="yes"?>
<Relationships xmlns="http://schemas.openxmlformats.org/package/2006/relationships"><Relationship Id="rId3" Type="http://schemas.microsoft.com/office/2011/relationships/chartColorStyle" Target="colors13.xml"/><Relationship Id="rId2" Type="http://schemas.microsoft.com/office/2011/relationships/chartStyle" Target="style13.xml"/><Relationship Id="rId1" Type="http://schemas.openxmlformats.org/officeDocument/2006/relationships/oleObject" Target="file:///E:\Uni%20Assignments\Vehicle%20systems\Excel%20Systems%20Calcs%20Good%20an%20Proper%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Front Left &amp; Front right Lateral Weight Transfer</a:t>
            </a:r>
            <a:endParaRPr lang="en-GB"/>
          </a:p>
        </c:rich>
      </c:tx>
      <c:layout/>
      <c:overlay val="0"/>
      <c:spPr>
        <a:noFill/>
        <a:ln>
          <a:noFill/>
        </a:ln>
        <a:effectLst/>
      </c:spPr>
    </c:title>
    <c:autoTitleDeleted val="0"/>
    <c:plotArea>
      <c:layout/>
      <c:lineChart>
        <c:grouping val="standard"/>
        <c:varyColors val="0"/>
        <c:ser>
          <c:idx val="0"/>
          <c:order val="0"/>
          <c:tx>
            <c:strRef>
              <c:f>'[Excel Systems Calcs Good an Proper 2.xlsx]Sheet1'!$F$30</c:f>
              <c:strCache>
                <c:ptCount val="1"/>
                <c:pt idx="0">
                  <c:v>Left Lateral Weight Transfer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cat>
            <c:numRef>
              <c:f>'[Excel Systems Calcs Good an Proper 2.xlsx]Sheet1'!$B$31:$B$45</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1"/>
          <c:order val="1"/>
          <c:tx>
            <c:strRef>
              <c:f>'[Excel Systems Calcs Good an Proper 2.xlsx]Sheet1'!$M$30</c:f>
              <c:strCache>
                <c:ptCount val="1"/>
                <c:pt idx="0">
                  <c:v> Right Lateral Weight Transfer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cat>
            <c:numRef>
              <c:f>'[Excel Systems Calcs Good an Proper 2.xlsx]Sheet1'!$B$31:$B$45</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dLbls>
          <c:showLegendKey val="0"/>
          <c:showVal val="0"/>
          <c:showCatName val="0"/>
          <c:showSerName val="0"/>
          <c:showPercent val="0"/>
          <c:showBubbleSize val="0"/>
        </c:dLbls>
        <c:marker val="1"/>
        <c:smooth val="0"/>
        <c:axId val="660116368"/>
        <c:axId val="660116696"/>
      </c:lineChart>
      <c:catAx>
        <c:axId val="660116368"/>
        <c:scaling>
          <c:orientation val="minMax"/>
        </c:scaling>
        <c:delete val="0"/>
        <c:axPos val="b"/>
        <c:title>
          <c:tx>
            <c:rich>
              <a:bodyPr rot="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Lateral g force (G)</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p>
        </c:txPr>
        <c:crossAx val="660116696"/>
        <c:crosses val="autoZero"/>
        <c:auto val="1"/>
        <c:lblAlgn val="ctr"/>
        <c:lblOffset val="100"/>
        <c:noMultiLvlLbl val="0"/>
      </c:catAx>
      <c:valAx>
        <c:axId val="660116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weight (n)</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60116368"/>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sz="1600" b="1" i="0" cap="all" baseline="0">
                <a:effectLst/>
              </a:rPr>
              <a:t>Front Left &amp; Front right Longitudinal Weight Transfer</a:t>
            </a:r>
            <a:endParaRPr lang="en-GB" sz="1400">
              <a:effectLst/>
            </a:endParaRPr>
          </a:p>
        </c:rich>
      </c:tx>
      <c:layout/>
      <c:overlay val="0"/>
      <c:spPr>
        <a:noFill/>
        <a:ln>
          <a:noFill/>
        </a:ln>
        <a:effectLst/>
      </c:spPr>
    </c:title>
    <c:autoTitleDeleted val="0"/>
    <c:plotArea>
      <c:layout/>
      <c:lineChart>
        <c:grouping val="standard"/>
        <c:varyColors val="0"/>
        <c:ser>
          <c:idx val="0"/>
          <c:order val="0"/>
          <c:tx>
            <c:strRef>
              <c:f>'[Excel Systems Calcs Good an Proper 2.xlsx]Sheet1'!$F$46</c:f>
              <c:strCache>
                <c:ptCount val="1"/>
                <c:pt idx="0">
                  <c:v> Left Longitudinal Weight Transfer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cat>
            <c:numRef>
              <c:f>'[Excel Systems Calcs Good an Proper 2.xlsx]Sheet1'!$C$47:$C$61</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2.xlsx]Sheet1'!$F$47:$F$61</c:f>
              <c:numCache>
                <c:formatCode>General</c:formatCode>
                <c:ptCount val="15"/>
                <c:pt idx="0">
                  <c:v>1548.95840228571</c:v>
                </c:pt>
                <c:pt idx="1">
                  <c:v>1550.89380857143</c:v>
                </c:pt>
                <c:pt idx="2">
                  <c:v>1552.82921485714</c:v>
                </c:pt>
                <c:pt idx="3">
                  <c:v>1554.76462114286</c:v>
                </c:pt>
                <c:pt idx="4">
                  <c:v>1556.70002742857</c:v>
                </c:pt>
                <c:pt idx="5">
                  <c:v>1558.63543371429</c:v>
                </c:pt>
                <c:pt idx="6">
                  <c:v>1560.57084</c:v>
                </c:pt>
                <c:pt idx="7">
                  <c:v>1562.50624628571</c:v>
                </c:pt>
                <c:pt idx="8">
                  <c:v>1564.44165257143</c:v>
                </c:pt>
                <c:pt idx="9">
                  <c:v>1566.37705885714</c:v>
                </c:pt>
                <c:pt idx="10">
                  <c:v>1568.31246514286</c:v>
                </c:pt>
                <c:pt idx="11">
                  <c:v>1570.24787142857</c:v>
                </c:pt>
                <c:pt idx="12">
                  <c:v>1572.18327771429</c:v>
                </c:pt>
                <c:pt idx="13">
                  <c:v>1574.118684</c:v>
                </c:pt>
                <c:pt idx="14">
                  <c:v>1576.05409028571</c:v>
                </c:pt>
              </c:numCache>
            </c:numRef>
          </c:val>
          <c:smooth val="0"/>
        </c:ser>
        <c:ser>
          <c:idx val="1"/>
          <c:order val="1"/>
          <c:tx>
            <c:strRef>
              <c:f>'[Excel Systems Calcs Good an Proper 2.xlsx]Sheet1'!$M$46</c:f>
              <c:strCache>
                <c:ptCount val="1"/>
                <c:pt idx="0">
                  <c:v>Right Longitudinal Weight Transfer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cat>
            <c:numRef>
              <c:f>'[Excel Systems Calcs Good an Proper 2.xlsx]Sheet1'!$C$47:$C$61</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2.xlsx]Sheet1'!$M$47:$M$61</c:f>
              <c:numCache>
                <c:formatCode>General</c:formatCode>
                <c:ptCount val="15"/>
                <c:pt idx="0">
                  <c:v>1487.253096</c:v>
                </c:pt>
                <c:pt idx="1">
                  <c:v>1485.393588</c:v>
                </c:pt>
                <c:pt idx="2">
                  <c:v>1483.53408</c:v>
                </c:pt>
                <c:pt idx="3">
                  <c:v>1481.674572</c:v>
                </c:pt>
                <c:pt idx="4">
                  <c:v>1479.815064</c:v>
                </c:pt>
                <c:pt idx="5">
                  <c:v>1477.955556</c:v>
                </c:pt>
                <c:pt idx="6">
                  <c:v>1476.096048</c:v>
                </c:pt>
                <c:pt idx="7">
                  <c:v>1474.23654</c:v>
                </c:pt>
                <c:pt idx="8">
                  <c:v>1472.377032</c:v>
                </c:pt>
                <c:pt idx="9">
                  <c:v>1470.517524</c:v>
                </c:pt>
                <c:pt idx="10">
                  <c:v>1468.658016</c:v>
                </c:pt>
                <c:pt idx="11">
                  <c:v>1466.798508</c:v>
                </c:pt>
                <c:pt idx="12">
                  <c:v>1464.939</c:v>
                </c:pt>
                <c:pt idx="13">
                  <c:v>1463.079492</c:v>
                </c:pt>
                <c:pt idx="14">
                  <c:v>1461.219984</c:v>
                </c:pt>
              </c:numCache>
            </c:numRef>
          </c:val>
          <c:smooth val="0"/>
        </c:ser>
        <c:dLbls>
          <c:showLegendKey val="0"/>
          <c:showVal val="0"/>
          <c:showCatName val="0"/>
          <c:showSerName val="0"/>
          <c:showPercent val="0"/>
          <c:showBubbleSize val="0"/>
        </c:dLbls>
        <c:marker val="1"/>
        <c:smooth val="0"/>
        <c:axId val="577327712"/>
        <c:axId val="685419792"/>
      </c:lineChart>
      <c:catAx>
        <c:axId val="577327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Longitudinal</a:t>
                </a:r>
                <a:r>
                  <a:rPr lang="en-GB" baseline="0"/>
                  <a:t> G Force (G)</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p>
        </c:txPr>
        <c:crossAx val="685419792"/>
        <c:crosses val="autoZero"/>
        <c:auto val="1"/>
        <c:lblAlgn val="ctr"/>
        <c:lblOffset val="100"/>
        <c:noMultiLvlLbl val="0"/>
      </c:catAx>
      <c:valAx>
        <c:axId val="685419792"/>
        <c:scaling>
          <c:orientation val="minMax"/>
        </c:scaling>
        <c:delete val="0"/>
        <c:axPos val="l"/>
        <c:title>
          <c:tx>
            <c:rich>
              <a:bodyPr rot="-540000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Weight (N)</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77327712"/>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sz="1600" b="1" i="0" cap="all" baseline="0">
                <a:effectLst/>
              </a:rPr>
              <a:t>ReAR Left &amp; rear right Lateral Weight Transfer</a:t>
            </a:r>
            <a:endParaRPr lang="en-GB" sz="1400">
              <a:effectLst/>
            </a:endParaRPr>
          </a:p>
        </c:rich>
      </c:tx>
      <c:layout/>
      <c:overlay val="0"/>
      <c:spPr>
        <a:noFill/>
        <a:ln>
          <a:noFill/>
        </a:ln>
        <a:effectLst/>
      </c:spPr>
    </c:title>
    <c:autoTitleDeleted val="0"/>
    <c:plotArea>
      <c:layout/>
      <c:lineChart>
        <c:grouping val="standard"/>
        <c:varyColors val="0"/>
        <c:ser>
          <c:idx val="0"/>
          <c:order val="0"/>
          <c:tx>
            <c:strRef>
              <c:f>'[Excel Systems Calcs Good an Proper 2.xlsx]Sheet1'!$F$97</c:f>
              <c:strCache>
                <c:ptCount val="1"/>
                <c:pt idx="0">
                  <c:v>Left Lateral Weight Transfer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cat>
            <c:numRef>
              <c:f>'[Excel Systems Calcs Good an Proper 2.xlsx]Sheet1'!$B$98:$B$112</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2.xlsx]Sheet1'!$F$98:$F$112</c:f>
              <c:numCache>
                <c:formatCode>General</c:formatCode>
                <c:ptCount val="15"/>
                <c:pt idx="0">
                  <c:v>1739.31199066667</c:v>
                </c:pt>
                <c:pt idx="1">
                  <c:v>1743.08417733333</c:v>
                </c:pt>
                <c:pt idx="2">
                  <c:v>1746.856364</c:v>
                </c:pt>
                <c:pt idx="3">
                  <c:v>1750.62855066667</c:v>
                </c:pt>
                <c:pt idx="4">
                  <c:v>1754.40073733333</c:v>
                </c:pt>
                <c:pt idx="5">
                  <c:v>1758.172924</c:v>
                </c:pt>
                <c:pt idx="6">
                  <c:v>1761.94511066667</c:v>
                </c:pt>
                <c:pt idx="7">
                  <c:v>1765.71729733333</c:v>
                </c:pt>
                <c:pt idx="8">
                  <c:v>1769.489484</c:v>
                </c:pt>
                <c:pt idx="9">
                  <c:v>1773.26167066667</c:v>
                </c:pt>
                <c:pt idx="10">
                  <c:v>1777.03385733333</c:v>
                </c:pt>
                <c:pt idx="11">
                  <c:v>1780.806044</c:v>
                </c:pt>
                <c:pt idx="12">
                  <c:v>1784.57823066667</c:v>
                </c:pt>
                <c:pt idx="13">
                  <c:v>1788.35041733333</c:v>
                </c:pt>
                <c:pt idx="14">
                  <c:v>1792.122604</c:v>
                </c:pt>
              </c:numCache>
            </c:numRef>
          </c:val>
          <c:smooth val="0"/>
        </c:ser>
        <c:ser>
          <c:idx val="1"/>
          <c:order val="1"/>
          <c:tx>
            <c:strRef>
              <c:f>'[Excel Systems Calcs Good an Proper 2.xlsx]Sheet1'!$M$97</c:f>
              <c:strCache>
                <c:ptCount val="1"/>
                <c:pt idx="0">
                  <c:v> Right Lateral Weight Transfer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cat>
            <c:numRef>
              <c:f>'[Excel Systems Calcs Good an Proper 2.xlsx]Sheet1'!$B$98:$B$112</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2.xlsx]Sheet1'!$M$98:$M$112</c:f>
              <c:numCache>
                <c:formatCode>General</c:formatCode>
                <c:ptCount val="15"/>
                <c:pt idx="0">
                  <c:v>1666.61233822222</c:v>
                </c:pt>
                <c:pt idx="1">
                  <c:v>1662.98808044444</c:v>
                </c:pt>
                <c:pt idx="2">
                  <c:v>1659.36382266667</c:v>
                </c:pt>
                <c:pt idx="3">
                  <c:v>1655.73956488889</c:v>
                </c:pt>
                <c:pt idx="4">
                  <c:v>1652.11530711111</c:v>
                </c:pt>
                <c:pt idx="5">
                  <c:v>1648.49104933333</c:v>
                </c:pt>
                <c:pt idx="6">
                  <c:v>1644.86679155556</c:v>
                </c:pt>
                <c:pt idx="7">
                  <c:v>1641.24253377778</c:v>
                </c:pt>
                <c:pt idx="8">
                  <c:v>1637.618276</c:v>
                </c:pt>
                <c:pt idx="9">
                  <c:v>1633.99401822222</c:v>
                </c:pt>
                <c:pt idx="10">
                  <c:v>1630.36976044444</c:v>
                </c:pt>
                <c:pt idx="11">
                  <c:v>1626.74550266667</c:v>
                </c:pt>
                <c:pt idx="12">
                  <c:v>1623.12124488889</c:v>
                </c:pt>
                <c:pt idx="13">
                  <c:v>1619.49698711111</c:v>
                </c:pt>
                <c:pt idx="14">
                  <c:v>1615.87272933333</c:v>
                </c:pt>
              </c:numCache>
            </c:numRef>
          </c:val>
          <c:smooth val="0"/>
        </c:ser>
        <c:dLbls>
          <c:showLegendKey val="0"/>
          <c:showVal val="0"/>
          <c:showCatName val="0"/>
          <c:showSerName val="0"/>
          <c:showPercent val="0"/>
          <c:showBubbleSize val="0"/>
        </c:dLbls>
        <c:marker val="1"/>
        <c:smooth val="0"/>
        <c:axId val="693091448"/>
        <c:axId val="693093088"/>
      </c:lineChart>
      <c:catAx>
        <c:axId val="693091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US"/>
                  <a:t>Lateral</a:t>
                </a:r>
                <a:r>
                  <a:rPr lang="en-US" baseline="0"/>
                  <a:t> g force (G)</a:t>
                </a:r>
                <a:endParaRPr lang="en-US"/>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p>
        </c:txPr>
        <c:crossAx val="693093088"/>
        <c:crosses val="autoZero"/>
        <c:auto val="1"/>
        <c:lblAlgn val="ctr"/>
        <c:lblOffset val="100"/>
        <c:noMultiLvlLbl val="0"/>
      </c:catAx>
      <c:valAx>
        <c:axId val="693093088"/>
        <c:scaling>
          <c:orientation val="minMax"/>
        </c:scaling>
        <c:delete val="0"/>
        <c:axPos val="l"/>
        <c:title>
          <c:tx>
            <c:rich>
              <a:bodyPr rot="-540000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US"/>
                  <a:t>weight (N)</a:t>
                </a:r>
                <a:endParaRPr lang="en-US"/>
              </a:p>
            </c:rich>
          </c:tx>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93091448"/>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sz="1600" b="1" i="0" cap="all" baseline="0">
                <a:effectLst/>
              </a:rPr>
              <a:t>ReAR Left &amp; rear right longitudinal Weight Transfer</a:t>
            </a:r>
            <a:endParaRPr lang="en-GB" sz="1400">
              <a:effectLst/>
            </a:endParaRPr>
          </a:p>
        </c:rich>
      </c:tx>
      <c:layout/>
      <c:overlay val="0"/>
      <c:spPr>
        <a:noFill/>
        <a:ln>
          <a:noFill/>
        </a:ln>
        <a:effectLst/>
      </c:spPr>
    </c:title>
    <c:autoTitleDeleted val="0"/>
    <c:plotArea>
      <c:layout/>
      <c:lineChart>
        <c:grouping val="standard"/>
        <c:varyColors val="0"/>
        <c:ser>
          <c:idx val="0"/>
          <c:order val="0"/>
          <c:tx>
            <c:strRef>
              <c:f>'[Excel Systems Calcs Good an Proper 2.xlsx]Sheet1'!$F$113</c:f>
              <c:strCache>
                <c:ptCount val="1"/>
                <c:pt idx="0">
                  <c:v> LeftLongitudinal Weight Transfer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cat>
            <c:numRef>
              <c:f>'[Excel Systems Calcs Good an Proper 2.xlsx]Sheet1'!$C$114:$C$128</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2.xlsx]Sheet1'!$F$114:$F$128</c:f>
              <c:numCache>
                <c:formatCode>General</c:formatCode>
                <c:ptCount val="15"/>
                <c:pt idx="0">
                  <c:v>1737.72228342857</c:v>
                </c:pt>
                <c:pt idx="1">
                  <c:v>1739.90476285714</c:v>
                </c:pt>
                <c:pt idx="2">
                  <c:v>1742.08724228571</c:v>
                </c:pt>
                <c:pt idx="3">
                  <c:v>1744.26972171429</c:v>
                </c:pt>
                <c:pt idx="4">
                  <c:v>1746.45220114286</c:v>
                </c:pt>
                <c:pt idx="5">
                  <c:v>1748.63468057143</c:v>
                </c:pt>
                <c:pt idx="6">
                  <c:v>1750.81716</c:v>
                </c:pt>
                <c:pt idx="7">
                  <c:v>1752.99963942857</c:v>
                </c:pt>
                <c:pt idx="8">
                  <c:v>1755.18211885714</c:v>
                </c:pt>
                <c:pt idx="9">
                  <c:v>1757.36459828571</c:v>
                </c:pt>
                <c:pt idx="10">
                  <c:v>1759.54707771429</c:v>
                </c:pt>
                <c:pt idx="11">
                  <c:v>1761.72955714286</c:v>
                </c:pt>
                <c:pt idx="12">
                  <c:v>1763.91203657143</c:v>
                </c:pt>
                <c:pt idx="13">
                  <c:v>1766.094516</c:v>
                </c:pt>
                <c:pt idx="14">
                  <c:v>1768.27699542857</c:v>
                </c:pt>
              </c:numCache>
            </c:numRef>
          </c:val>
          <c:smooth val="0"/>
        </c:ser>
        <c:ser>
          <c:idx val="1"/>
          <c:order val="1"/>
          <c:tx>
            <c:strRef>
              <c:f>'[Excel Systems Calcs Good an Proper 2.xlsx]Sheet1'!$M$113</c:f>
              <c:strCache>
                <c:ptCount val="1"/>
                <c:pt idx="0">
                  <c:v>Right Longitudinal Weight Transfer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cat>
            <c:numRef>
              <c:f>'[Excel Systems Calcs Good an Proper 2.xlsx]Sheet1'!$C$114:$C$128</c:f>
              <c:numCache>
                <c:formatCode>General</c:formatCode>
                <c:ptCount val="15"/>
                <c:pt idx="0">
                  <c:v>0.1</c:v>
                </c:pt>
                <c:pt idx="1">
                  <c:v>0.2</c:v>
                </c:pt>
                <c:pt idx="2">
                  <c:v>0.3</c:v>
                </c:pt>
                <c:pt idx="3">
                  <c:v>0.4</c:v>
                </c:pt>
                <c:pt idx="4">
                  <c:v>0.5</c:v>
                </c:pt>
                <c:pt idx="5">
                  <c:v>0.6</c:v>
                </c:pt>
                <c:pt idx="6">
                  <c:v>0.7</c:v>
                </c:pt>
                <c:pt idx="7">
                  <c:v>0.8</c:v>
                </c:pt>
                <c:pt idx="8">
                  <c:v>0.9</c:v>
                </c:pt>
                <c:pt idx="9">
                  <c:v>1</c:v>
                </c:pt>
                <c:pt idx="10">
                  <c:v>1.1</c:v>
                </c:pt>
                <c:pt idx="11">
                  <c:v>1.2</c:v>
                </c:pt>
                <c:pt idx="12">
                  <c:v>1.3</c:v>
                </c:pt>
                <c:pt idx="13">
                  <c:v>1.4</c:v>
                </c:pt>
                <c:pt idx="14">
                  <c:v>1.5</c:v>
                </c:pt>
              </c:numCache>
            </c:numRef>
          </c:cat>
          <c:val>
            <c:numRef>
              <c:f>'[Excel Systems Calcs Good an Proper 2.xlsx]Sheet1'!$M$114:$M$128</c:f>
              <c:numCache>
                <c:formatCode>General</c:formatCode>
                <c:ptCount val="15"/>
                <c:pt idx="0">
                  <c:v>1668.139704</c:v>
                </c:pt>
                <c:pt idx="1">
                  <c:v>1666.042812</c:v>
                </c:pt>
                <c:pt idx="2">
                  <c:v>1663.94592</c:v>
                </c:pt>
                <c:pt idx="3">
                  <c:v>1661.849028</c:v>
                </c:pt>
                <c:pt idx="4">
                  <c:v>1659.752136</c:v>
                </c:pt>
                <c:pt idx="5">
                  <c:v>1657.655244</c:v>
                </c:pt>
                <c:pt idx="6">
                  <c:v>1655.558352</c:v>
                </c:pt>
                <c:pt idx="7">
                  <c:v>1653.46146</c:v>
                </c:pt>
                <c:pt idx="8">
                  <c:v>1651.364568</c:v>
                </c:pt>
                <c:pt idx="9">
                  <c:v>1649.267676</c:v>
                </c:pt>
                <c:pt idx="10">
                  <c:v>1647.170784</c:v>
                </c:pt>
                <c:pt idx="11">
                  <c:v>1645.073892</c:v>
                </c:pt>
                <c:pt idx="12">
                  <c:v>1642.977</c:v>
                </c:pt>
                <c:pt idx="13">
                  <c:v>1640.880108</c:v>
                </c:pt>
                <c:pt idx="14">
                  <c:v>1638.783216</c:v>
                </c:pt>
              </c:numCache>
            </c:numRef>
          </c:val>
          <c:smooth val="0"/>
        </c:ser>
        <c:dLbls>
          <c:showLegendKey val="0"/>
          <c:showVal val="0"/>
          <c:showCatName val="0"/>
          <c:showSerName val="0"/>
          <c:showPercent val="0"/>
          <c:showBubbleSize val="0"/>
        </c:dLbls>
        <c:marker val="1"/>
        <c:smooth val="0"/>
        <c:axId val="650598600"/>
        <c:axId val="708098008"/>
      </c:lineChart>
      <c:catAx>
        <c:axId val="650598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Longitudinal g force (g)</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p>
        </c:txPr>
        <c:crossAx val="708098008"/>
        <c:crosses val="autoZero"/>
        <c:auto val="1"/>
        <c:lblAlgn val="ctr"/>
        <c:lblOffset val="100"/>
        <c:noMultiLvlLbl val="0"/>
      </c:catAx>
      <c:valAx>
        <c:axId val="708098008"/>
        <c:scaling>
          <c:orientation val="minMax"/>
        </c:scaling>
        <c:delete val="0"/>
        <c:axPos val="l"/>
        <c:title>
          <c:tx>
            <c:rich>
              <a:bodyPr rot="-540000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WEight (n)</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50598600"/>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GB"/>
              <a:t>Velocity</a:t>
            </a:r>
            <a:r>
              <a:rPr lang="en-GB" baseline="0"/>
              <a:t> Weight transfer</a:t>
            </a:r>
            <a:endParaRPr lang="en-GB" baseline="0"/>
          </a:p>
          <a:p>
            <a:pPr>
              <a:defRPr lang="en-US" sz="1600" b="1" i="0" u="none" strike="noStrike" kern="1200" cap="all" spc="120" normalizeH="0" baseline="0">
                <a:solidFill>
                  <a:schemeClr val="tx1">
                    <a:lumMod val="65000"/>
                    <a:lumOff val="35000"/>
                  </a:schemeClr>
                </a:solidFill>
                <a:latin typeface="+mn-lt"/>
                <a:ea typeface="+mn-ea"/>
                <a:cs typeface="+mn-cs"/>
              </a:defRPr>
            </a:pPr>
            <a:r>
              <a:rPr lang="en-GB" baseline="0"/>
              <a:t>front right &amp; left</a:t>
            </a:r>
            <a:endParaRPr lang="en-GB"/>
          </a:p>
        </c:rich>
      </c:tx>
      <c:layout/>
      <c:overlay val="0"/>
      <c:spPr>
        <a:noFill/>
        <a:ln>
          <a:noFill/>
        </a:ln>
        <a:effectLst/>
      </c:spPr>
    </c:title>
    <c:autoTitleDeleted val="0"/>
    <c:plotArea>
      <c:layout/>
      <c:lineChart>
        <c:grouping val="standard"/>
        <c:varyColors val="0"/>
        <c:ser>
          <c:idx val="0"/>
          <c:order val="0"/>
          <c:tx>
            <c:strRef>
              <c:f>'[Excel Systems Calcs Good an Proper 2.xlsx]Sheet1'!$F$62</c:f>
              <c:strCache>
                <c:ptCount val="1"/>
                <c:pt idx="0">
                  <c:v>Left Weight Transfer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cat>
            <c:numRef>
              <c:f>'[Excel Systems Calcs Good an Proper 2.xlsx]Sheet1'!$D$63:$D$92</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'[Excel Systems Calcs Good an Proper 2.xlsx]Sheet1'!$F$63:$F$92</c:f>
              <c:numCache>
                <c:formatCode>General</c:formatCode>
                <c:ptCount val="30"/>
                <c:pt idx="0">
                  <c:v>1476.793116</c:v>
                </c:pt>
                <c:pt idx="1">
                  <c:v>1477.027476</c:v>
                </c:pt>
                <c:pt idx="2">
                  <c:v>1477.418076</c:v>
                </c:pt>
                <c:pt idx="3">
                  <c:v>1477.964916</c:v>
                </c:pt>
                <c:pt idx="4">
                  <c:v>1478.667996</c:v>
                </c:pt>
                <c:pt idx="5">
                  <c:v>1479.527316</c:v>
                </c:pt>
                <c:pt idx="6">
                  <c:v>1480.542876</c:v>
                </c:pt>
                <c:pt idx="7">
                  <c:v>1481.714676</c:v>
                </c:pt>
                <c:pt idx="8">
                  <c:v>1483.042716</c:v>
                </c:pt>
                <c:pt idx="9">
                  <c:v>1484.526996</c:v>
                </c:pt>
                <c:pt idx="10">
                  <c:v>1486.167516</c:v>
                </c:pt>
                <c:pt idx="11">
                  <c:v>1487.964276</c:v>
                </c:pt>
                <c:pt idx="12">
                  <c:v>1489.917276</c:v>
                </c:pt>
                <c:pt idx="13">
                  <c:v>1492.026516</c:v>
                </c:pt>
                <c:pt idx="14">
                  <c:v>1494.291996</c:v>
                </c:pt>
                <c:pt idx="15">
                  <c:v>1496.713716</c:v>
                </c:pt>
                <c:pt idx="16">
                  <c:v>1499.291676</c:v>
                </c:pt>
                <c:pt idx="17">
                  <c:v>1502.025876</c:v>
                </c:pt>
                <c:pt idx="18">
                  <c:v>1504.916316</c:v>
                </c:pt>
                <c:pt idx="19">
                  <c:v>1507.962996</c:v>
                </c:pt>
                <c:pt idx="20">
                  <c:v>1511.165916</c:v>
                </c:pt>
                <c:pt idx="21">
                  <c:v>1514.525076</c:v>
                </c:pt>
                <c:pt idx="22">
                  <c:v>1518.040476</c:v>
                </c:pt>
                <c:pt idx="23">
                  <c:v>1521.712116</c:v>
                </c:pt>
                <c:pt idx="24">
                  <c:v>1525.539996</c:v>
                </c:pt>
                <c:pt idx="25">
                  <c:v>1529.524116</c:v>
                </c:pt>
                <c:pt idx="26">
                  <c:v>1533.664476</c:v>
                </c:pt>
                <c:pt idx="27">
                  <c:v>1537.961076</c:v>
                </c:pt>
                <c:pt idx="28">
                  <c:v>1542.413916</c:v>
                </c:pt>
                <c:pt idx="29">
                  <c:v>1547.022996</c:v>
                </c:pt>
              </c:numCache>
            </c:numRef>
          </c:val>
          <c:smooth val="0"/>
        </c:ser>
        <c:ser>
          <c:idx val="1"/>
          <c:order val="1"/>
          <c:tx>
            <c:strRef>
              <c:f>'[Excel Systems Calcs Good an Proper 2.xlsx]Sheet1'!$M$62</c:f>
              <c:strCache>
                <c:ptCount val="1"/>
                <c:pt idx="0">
                  <c:v>Right Weight Transfer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cat>
            <c:numRef>
              <c:f>'[Excel Systems Calcs Good an Proper 2.xlsx]Sheet1'!$D$63:$D$92</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'[Excel Systems Calcs Good an Proper 2.xlsx]Sheet1'!$M$63:$M$92</c:f>
              <c:numCache>
                <c:formatCode>General</c:formatCode>
                <c:ptCount val="30"/>
                <c:pt idx="0">
                  <c:v>1418.882724</c:v>
                </c:pt>
                <c:pt idx="1">
                  <c:v>1419.117084</c:v>
                </c:pt>
                <c:pt idx="2">
                  <c:v>1419.507684</c:v>
                </c:pt>
                <c:pt idx="3">
                  <c:v>1420.054524</c:v>
                </c:pt>
                <c:pt idx="4">
                  <c:v>1420.757604</c:v>
                </c:pt>
                <c:pt idx="5">
                  <c:v>1421.616924</c:v>
                </c:pt>
                <c:pt idx="6">
                  <c:v>1422.632484</c:v>
                </c:pt>
                <c:pt idx="7">
                  <c:v>1423.804284</c:v>
                </c:pt>
                <c:pt idx="8">
                  <c:v>1425.132324</c:v>
                </c:pt>
                <c:pt idx="9">
                  <c:v>1426.616604</c:v>
                </c:pt>
                <c:pt idx="10">
                  <c:v>1428.257124</c:v>
                </c:pt>
                <c:pt idx="11">
                  <c:v>1430.053884</c:v>
                </c:pt>
                <c:pt idx="12">
                  <c:v>1432.006884</c:v>
                </c:pt>
                <c:pt idx="13">
                  <c:v>1434.116124</c:v>
                </c:pt>
                <c:pt idx="14">
                  <c:v>1436.381604</c:v>
                </c:pt>
                <c:pt idx="15">
                  <c:v>1438.803324</c:v>
                </c:pt>
                <c:pt idx="16">
                  <c:v>1441.381284</c:v>
                </c:pt>
                <c:pt idx="17">
                  <c:v>1444.115484</c:v>
                </c:pt>
                <c:pt idx="18">
                  <c:v>1447.005924</c:v>
                </c:pt>
                <c:pt idx="19">
                  <c:v>1450.052604</c:v>
                </c:pt>
                <c:pt idx="20">
                  <c:v>1453.255524</c:v>
                </c:pt>
                <c:pt idx="21">
                  <c:v>1456.614684</c:v>
                </c:pt>
                <c:pt idx="22">
                  <c:v>1460.130084</c:v>
                </c:pt>
                <c:pt idx="23">
                  <c:v>1463.801724</c:v>
                </c:pt>
                <c:pt idx="24">
                  <c:v>1467.629604</c:v>
                </c:pt>
                <c:pt idx="25">
                  <c:v>1471.613724</c:v>
                </c:pt>
                <c:pt idx="26">
                  <c:v>1475.754084</c:v>
                </c:pt>
                <c:pt idx="27">
                  <c:v>1480.050684</c:v>
                </c:pt>
                <c:pt idx="28">
                  <c:v>1484.503524</c:v>
                </c:pt>
                <c:pt idx="29">
                  <c:v>1489.112604</c:v>
                </c:pt>
              </c:numCache>
            </c:numRef>
          </c:val>
          <c:smooth val="0"/>
        </c:ser>
        <c:dLbls>
          <c:showLegendKey val="0"/>
          <c:showVal val="0"/>
          <c:showCatName val="0"/>
          <c:showSerName val="0"/>
          <c:showPercent val="0"/>
          <c:showBubbleSize val="0"/>
        </c:dLbls>
        <c:marker val="1"/>
        <c:smooth val="0"/>
        <c:axId val="533316344"/>
        <c:axId val="533319296"/>
      </c:lineChart>
      <c:catAx>
        <c:axId val="5333163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linear</a:t>
                </a:r>
                <a:r>
                  <a:rPr lang="en-GB" baseline="0"/>
                  <a:t> velocity (m/s)</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p>
        </c:txPr>
        <c:crossAx val="533319296"/>
        <c:crosses val="autoZero"/>
        <c:auto val="1"/>
        <c:lblAlgn val="ctr"/>
        <c:lblOffset val="100"/>
        <c:noMultiLvlLbl val="0"/>
      </c:catAx>
      <c:valAx>
        <c:axId val="533319296"/>
        <c:scaling>
          <c:orientation val="minMax"/>
        </c:scaling>
        <c:delete val="0"/>
        <c:axPos val="l"/>
        <c:title>
          <c:tx>
            <c:rich>
              <a:bodyPr rot="-540000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WEIGHT</a:t>
                </a:r>
                <a:r>
                  <a:rPr lang="en-GB" baseline="0"/>
                  <a:t> (N)</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33316344"/>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defRPr lang="en-US" sz="1600" b="1" i="0" u="none" strike="noStrike" kern="1200" cap="all" spc="120" normalizeH="0" baseline="0">
                <a:solidFill>
                  <a:sysClr val="windowText" lastClr="000000">
                    <a:lumMod val="65000"/>
                    <a:lumOff val="35000"/>
                  </a:sysClr>
                </a:solidFill>
                <a:latin typeface="+mn-lt"/>
                <a:ea typeface="+mn-ea"/>
                <a:cs typeface="+mn-cs"/>
              </a:defRPr>
            </a:pPr>
            <a:r>
              <a:rPr lang="en-GB"/>
              <a:t>velocity</a:t>
            </a:r>
            <a:r>
              <a:rPr lang="en-GB" baseline="0"/>
              <a:t> weight transfer</a:t>
            </a:r>
            <a:endParaRPr lang="en-GB" baseline="0"/>
          </a:p>
          <a:p>
            <a:pPr marL="0" marR="0" lvl="0" indent="0" algn="ctr" defTabSz="914400" rtl="0" eaLnBrk="1" fontAlgn="auto" latinLnBrk="0" hangingPunct="1">
              <a:lnSpc>
                <a:spcPct val="100000"/>
              </a:lnSpc>
              <a:spcBef>
                <a:spcPts val="0"/>
              </a:spcBef>
              <a:spcAft>
                <a:spcPts val="0"/>
              </a:spcAft>
              <a:buClrTx/>
              <a:buSzTx/>
              <a:buFontTx/>
              <a:buNone/>
              <a:defRPr lang="en-US" sz="1600" b="1" i="0" u="none" strike="noStrike" kern="1200" cap="all" spc="120" normalizeH="0" baseline="0">
                <a:solidFill>
                  <a:sysClr val="windowText" lastClr="000000">
                    <a:lumMod val="65000"/>
                    <a:lumOff val="35000"/>
                  </a:sysClr>
                </a:solidFill>
                <a:latin typeface="+mn-lt"/>
                <a:ea typeface="+mn-ea"/>
                <a:cs typeface="+mn-cs"/>
              </a:defRPr>
            </a:pPr>
            <a:r>
              <a:rPr lang="en-GB"/>
              <a:t>rear</a:t>
            </a:r>
            <a:r>
              <a:rPr lang="en-GB" baseline="0"/>
              <a:t> left and right</a:t>
            </a:r>
            <a:endParaRPr lang="en-GB"/>
          </a:p>
        </c:rich>
      </c:tx>
      <c:layout/>
      <c:overlay val="0"/>
      <c:spPr>
        <a:noFill/>
        <a:ln>
          <a:noFill/>
        </a:ln>
        <a:effectLst/>
      </c:spPr>
    </c:title>
    <c:autoTitleDeleted val="0"/>
    <c:plotArea>
      <c:layout/>
      <c:lineChart>
        <c:grouping val="standard"/>
        <c:varyColors val="0"/>
        <c:ser>
          <c:idx val="0"/>
          <c:order val="0"/>
          <c:tx>
            <c:strRef>
              <c:f>'[Excel Systems Calcs Good an Proper 2.xlsx]Sheet1'!$F$129</c:f>
              <c:strCache>
                <c:ptCount val="1"/>
                <c:pt idx="0">
                  <c:v>Left Weight Transfer</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cat>
            <c:numRef>
              <c:f>'[Excel Systems Calcs Good an Proper 2.xlsx]Sheet1'!$D$130:$D$159</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'[Excel Systems Calcs Good an Proper 2.xlsx]Sheet1'!$F$130:$F$159</c:f>
              <c:numCache>
                <c:formatCode>General</c:formatCode>
                <c:ptCount val="30"/>
                <c:pt idx="0">
                  <c:v>1665.309924</c:v>
                </c:pt>
                <c:pt idx="1">
                  <c:v>1665.544284</c:v>
                </c:pt>
                <c:pt idx="2">
                  <c:v>1665.934884</c:v>
                </c:pt>
                <c:pt idx="3">
                  <c:v>1666.481724</c:v>
                </c:pt>
                <c:pt idx="4">
                  <c:v>1667.184804</c:v>
                </c:pt>
                <c:pt idx="5">
                  <c:v>1668.044124</c:v>
                </c:pt>
                <c:pt idx="6">
                  <c:v>1669.059684</c:v>
                </c:pt>
                <c:pt idx="7">
                  <c:v>1670.231484</c:v>
                </c:pt>
                <c:pt idx="8">
                  <c:v>1671.559524</c:v>
                </c:pt>
                <c:pt idx="9">
                  <c:v>1673.043804</c:v>
                </c:pt>
                <c:pt idx="10">
                  <c:v>1674.684324</c:v>
                </c:pt>
                <c:pt idx="11">
                  <c:v>1676.481084</c:v>
                </c:pt>
                <c:pt idx="12">
                  <c:v>1678.434084</c:v>
                </c:pt>
                <c:pt idx="13">
                  <c:v>1680.543324</c:v>
                </c:pt>
                <c:pt idx="14">
                  <c:v>1682.808804</c:v>
                </c:pt>
                <c:pt idx="15">
                  <c:v>1685.230524</c:v>
                </c:pt>
                <c:pt idx="16">
                  <c:v>1687.808484</c:v>
                </c:pt>
                <c:pt idx="17">
                  <c:v>1690.542684</c:v>
                </c:pt>
                <c:pt idx="18">
                  <c:v>1693.433124</c:v>
                </c:pt>
                <c:pt idx="19">
                  <c:v>1696.479804</c:v>
                </c:pt>
                <c:pt idx="20">
                  <c:v>1699.682724</c:v>
                </c:pt>
                <c:pt idx="21">
                  <c:v>1703.041884</c:v>
                </c:pt>
                <c:pt idx="22">
                  <c:v>1706.557284</c:v>
                </c:pt>
                <c:pt idx="23">
                  <c:v>1710.228924</c:v>
                </c:pt>
                <c:pt idx="24">
                  <c:v>1714.056804</c:v>
                </c:pt>
                <c:pt idx="25">
                  <c:v>1718.040924</c:v>
                </c:pt>
                <c:pt idx="26">
                  <c:v>1722.181284</c:v>
                </c:pt>
                <c:pt idx="27">
                  <c:v>1726.477884</c:v>
                </c:pt>
                <c:pt idx="28">
                  <c:v>1730.930724</c:v>
                </c:pt>
                <c:pt idx="29">
                  <c:v>1735.539804</c:v>
                </c:pt>
              </c:numCache>
            </c:numRef>
          </c:val>
          <c:smooth val="0"/>
        </c:ser>
        <c:ser>
          <c:idx val="1"/>
          <c:order val="1"/>
          <c:tx>
            <c:strRef>
              <c:f>'[Excel Systems Calcs Good an Proper 2.xlsx]Sheet1'!$M$129</c:f>
              <c:strCache>
                <c:ptCount val="1"/>
                <c:pt idx="0">
                  <c:v>Right Weight Transfer</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cat>
            <c:numRef>
              <c:f>'[Excel Systems Calcs Good an Proper 2.xlsx]Sheet1'!$D$130:$D$159</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'[Excel Systems Calcs Good an Proper 2.xlsx]Sheet1'!$M$130:$M$159</c:f>
              <c:numCache>
                <c:formatCode>General</c:formatCode>
                <c:ptCount val="30"/>
                <c:pt idx="0">
                  <c:v>1600.006716</c:v>
                </c:pt>
                <c:pt idx="1">
                  <c:v>1600.241076</c:v>
                </c:pt>
                <c:pt idx="2">
                  <c:v>1600.631676</c:v>
                </c:pt>
                <c:pt idx="3">
                  <c:v>1601.178516</c:v>
                </c:pt>
                <c:pt idx="4">
                  <c:v>1601.881596</c:v>
                </c:pt>
                <c:pt idx="5">
                  <c:v>1602.740916</c:v>
                </c:pt>
                <c:pt idx="6">
                  <c:v>1603.756476</c:v>
                </c:pt>
                <c:pt idx="7">
                  <c:v>1604.928276</c:v>
                </c:pt>
                <c:pt idx="8">
                  <c:v>1606.256316</c:v>
                </c:pt>
                <c:pt idx="9">
                  <c:v>1607.740596</c:v>
                </c:pt>
                <c:pt idx="10">
                  <c:v>1609.381116</c:v>
                </c:pt>
                <c:pt idx="11">
                  <c:v>1611.177876</c:v>
                </c:pt>
                <c:pt idx="12">
                  <c:v>1613.130876</c:v>
                </c:pt>
                <c:pt idx="13">
                  <c:v>1615.240116</c:v>
                </c:pt>
                <c:pt idx="14">
                  <c:v>1617.505596</c:v>
                </c:pt>
                <c:pt idx="15">
                  <c:v>1619.927316</c:v>
                </c:pt>
                <c:pt idx="16">
                  <c:v>1622.505276</c:v>
                </c:pt>
                <c:pt idx="17">
                  <c:v>1625.239476</c:v>
                </c:pt>
                <c:pt idx="18">
                  <c:v>1628.129916</c:v>
                </c:pt>
                <c:pt idx="19">
                  <c:v>1631.176596</c:v>
                </c:pt>
                <c:pt idx="20">
                  <c:v>1634.379516</c:v>
                </c:pt>
                <c:pt idx="21">
                  <c:v>1637.738676</c:v>
                </c:pt>
                <c:pt idx="22">
                  <c:v>1641.254076</c:v>
                </c:pt>
                <c:pt idx="23">
                  <c:v>1644.925716</c:v>
                </c:pt>
                <c:pt idx="24">
                  <c:v>1648.753596</c:v>
                </c:pt>
                <c:pt idx="25">
                  <c:v>1652.737716</c:v>
                </c:pt>
                <c:pt idx="26">
                  <c:v>1656.878076</c:v>
                </c:pt>
                <c:pt idx="27">
                  <c:v>1661.174676</c:v>
                </c:pt>
                <c:pt idx="28">
                  <c:v>1665.627516</c:v>
                </c:pt>
                <c:pt idx="29">
                  <c:v>1670.236596</c:v>
                </c:pt>
              </c:numCache>
            </c:numRef>
          </c:val>
          <c:smooth val="0"/>
        </c:ser>
        <c:dLbls>
          <c:showLegendKey val="0"/>
          <c:showVal val="0"/>
          <c:showCatName val="0"/>
          <c:showSerName val="0"/>
          <c:showPercent val="0"/>
          <c:showBubbleSize val="0"/>
        </c:dLbls>
        <c:marker val="1"/>
        <c:smooth val="0"/>
        <c:axId val="532764912"/>
        <c:axId val="532768192"/>
      </c:lineChart>
      <c:catAx>
        <c:axId val="532764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linear</a:t>
                </a:r>
                <a:r>
                  <a:rPr lang="en-GB" baseline="0"/>
                  <a:t> velocity (m/s)</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p>
        </c:txPr>
        <c:crossAx val="532768192"/>
        <c:crosses val="autoZero"/>
        <c:auto val="1"/>
        <c:lblAlgn val="ctr"/>
        <c:lblOffset val="100"/>
        <c:noMultiLvlLbl val="0"/>
      </c:catAx>
      <c:valAx>
        <c:axId val="532768192"/>
        <c:scaling>
          <c:orientation val="minMax"/>
        </c:scaling>
        <c:delete val="0"/>
        <c:axPos val="l"/>
        <c:title>
          <c:tx>
            <c:rich>
              <a:bodyPr rot="-5400000" spcFirstLastPara="1" vertOverflow="ellipsis" vert="horz" wrap="square" anchor="ctr" anchorCtr="1"/>
              <a:lstStyle/>
              <a:p>
                <a:pPr>
                  <a:defRPr lang="en-US" sz="900" b="0" i="0" u="none" strike="noStrike" kern="1200" cap="all" baseline="0">
                    <a:solidFill>
                      <a:schemeClr val="tx1">
                        <a:lumMod val="65000"/>
                        <a:lumOff val="35000"/>
                      </a:schemeClr>
                    </a:solidFill>
                    <a:latin typeface="+mn-lt"/>
                    <a:ea typeface="+mn-ea"/>
                    <a:cs typeface="+mn-cs"/>
                  </a:defRPr>
                </a:pPr>
                <a:r>
                  <a:rPr lang="en-GB"/>
                  <a:t>weight (n)</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32764912"/>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defTabSz="914400">
              <a:defRPr lang="en-US" sz="1600" b="1" i="0" u="none" strike="noStrike" kern="1200" baseline="0">
                <a:solidFill>
                  <a:schemeClr val="tx1">
                    <a:lumMod val="65000"/>
                    <a:lumOff val="35000"/>
                  </a:schemeClr>
                </a:solidFill>
                <a:latin typeface="+mn-lt"/>
                <a:ea typeface="+mn-ea"/>
                <a:cs typeface="+mn-cs"/>
              </a:defRPr>
            </a:pPr>
            <a:r>
              <a:rPr lang="en-GB" altLang="en-US"/>
              <a:t>WEIGHT TRANSFER FOR 1M TRACK WIDTH VS ORIGINAL TRACK WIDTH</a:t>
            </a:r>
            <a:endParaRPr lang="en-GB" altLang="en-US"/>
          </a:p>
        </c:rich>
      </c:tx>
      <c:layout/>
      <c:overlay val="0"/>
      <c:spPr>
        <a:noFill/>
        <a:ln>
          <a:noFill/>
        </a:ln>
        <a:effectLst/>
      </c:spPr>
    </c:title>
    <c:autoTitleDeleted val="0"/>
    <c:plotArea>
      <c:layout/>
      <c:lineChart>
        <c:grouping val="standard"/>
        <c:varyColors val="0"/>
        <c:ser>
          <c:idx val="1"/>
          <c:order val="0"/>
          <c:tx>
            <c:strRef>
              <c:f>'[Excel Systems Calcs Good an Proper 2.xlsx]Sheet1'!$F$30</c:f>
              <c:strCache>
                <c:ptCount val="1"/>
                <c:pt idx="0">
                  <c:v>Left Lateral Weight Transfer</c:v>
                </c:pt>
              </c:strCache>
            </c:strRef>
          </c:tx>
          <c:spPr>
            <a:ln w="12700" cap="rnd">
              <a:solidFill>
                <a:schemeClr val="accent1">
                  <a:lumMod val="75000"/>
                </a:schemeClr>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2"/>
          <c:order val="1"/>
          <c:tx>
            <c:strRef>
              <c:f>'[Excel Systems Calcs Good an Proper 2.xlsx]Sheet1'!$M$30</c:f>
              <c:strCache>
                <c:ptCount val="1"/>
                <c:pt idx="0">
                  <c:v> Right Lateral Weight Transfer</c:v>
                </c:pt>
              </c:strCache>
            </c:strRef>
          </c:tx>
          <c:spPr>
            <a:ln w="12700" cap="rnd">
              <a:solidFill>
                <a:schemeClr val="accent1">
                  <a:lumMod val="50000"/>
                </a:schemeClr>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ser>
          <c:idx val="3"/>
          <c:order val="2"/>
          <c:tx>
            <c:strRef>
              <c:f>'[Excel Systems Calcs Good an Proper 2.xlsx]Sheet1'!$AB$30</c:f>
              <c:strCache>
                <c:ptCount val="1"/>
                <c:pt idx="0">
                  <c:v>1m Track Left Transfer</c:v>
                </c:pt>
              </c:strCache>
            </c:strRef>
          </c:tx>
          <c:spPr>
            <a:ln w="12700" cap="rnd">
              <a:solidFill>
                <a:srgbClr val="FF0000"/>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2.xlsx]Sheet1'!$AB$31:$AB$45</c:f>
              <c:numCache>
                <c:formatCode>General</c:formatCode>
                <c:ptCount val="15"/>
                <c:pt idx="0">
                  <c:v>1552.4421336</c:v>
                </c:pt>
                <c:pt idx="1">
                  <c:v>1557.8612712</c:v>
                </c:pt>
                <c:pt idx="2">
                  <c:v>1563.2804088</c:v>
                </c:pt>
                <c:pt idx="3">
                  <c:v>1568.6995464</c:v>
                </c:pt>
                <c:pt idx="4">
                  <c:v>1574.118684</c:v>
                </c:pt>
                <c:pt idx="5">
                  <c:v>1579.5378216</c:v>
                </c:pt>
                <c:pt idx="6">
                  <c:v>1584.9569592</c:v>
                </c:pt>
                <c:pt idx="7">
                  <c:v>1590.3760968</c:v>
                </c:pt>
                <c:pt idx="8">
                  <c:v>1595.7952344</c:v>
                </c:pt>
                <c:pt idx="9">
                  <c:v>1601.214372</c:v>
                </c:pt>
                <c:pt idx="10">
                  <c:v>1606.6335096</c:v>
                </c:pt>
                <c:pt idx="11">
                  <c:v>1612.0526472</c:v>
                </c:pt>
                <c:pt idx="12">
                  <c:v>1617.4717848</c:v>
                </c:pt>
                <c:pt idx="13">
                  <c:v>1622.8909224</c:v>
                </c:pt>
                <c:pt idx="14">
                  <c:v>1628.31006</c:v>
                </c:pt>
              </c:numCache>
            </c:numRef>
          </c:val>
          <c:smooth val="0"/>
        </c:ser>
        <c:ser>
          <c:idx val="4"/>
          <c:order val="3"/>
          <c:tx>
            <c:strRef>
              <c:f>'[Excel Systems Calcs Good an Proper 2.xlsx]Sheet1'!$AI$30</c:f>
              <c:strCache>
                <c:ptCount val="1"/>
                <c:pt idx="0">
                  <c:v>1m Track Right Transfer</c:v>
                </c:pt>
              </c:strCache>
            </c:strRef>
          </c:tx>
          <c:spPr>
            <a:ln w="12700" cap="rnd">
              <a:solidFill>
                <a:srgbClr val="C00000"/>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2.xlsx]Sheet1'!$AI$31:$AI$45</c:f>
              <c:numCache>
                <c:formatCode>General</c:formatCode>
                <c:ptCount val="15"/>
                <c:pt idx="0">
                  <c:v>1483.9059816</c:v>
                </c:pt>
                <c:pt idx="1">
                  <c:v>1478.6993592</c:v>
                </c:pt>
                <c:pt idx="2">
                  <c:v>1473.4927368</c:v>
                </c:pt>
                <c:pt idx="3">
                  <c:v>1468.2861144</c:v>
                </c:pt>
                <c:pt idx="4">
                  <c:v>1463.079492</c:v>
                </c:pt>
                <c:pt idx="5">
                  <c:v>1457.8728696</c:v>
                </c:pt>
                <c:pt idx="6">
                  <c:v>1452.6662472</c:v>
                </c:pt>
                <c:pt idx="7">
                  <c:v>1447.4596248</c:v>
                </c:pt>
                <c:pt idx="8">
                  <c:v>1442.2530024</c:v>
                </c:pt>
                <c:pt idx="9">
                  <c:v>1437.04638</c:v>
                </c:pt>
                <c:pt idx="10">
                  <c:v>1431.8397576</c:v>
                </c:pt>
                <c:pt idx="11">
                  <c:v>1426.6331352</c:v>
                </c:pt>
                <c:pt idx="12">
                  <c:v>1421.4265128</c:v>
                </c:pt>
                <c:pt idx="13">
                  <c:v>1416.2198904</c:v>
                </c:pt>
                <c:pt idx="14">
                  <c:v>1411.013268</c:v>
                </c:pt>
              </c:numCache>
            </c:numRef>
          </c:val>
          <c:smooth val="0"/>
        </c:ser>
        <c:dLbls>
          <c:showLegendKey val="0"/>
          <c:showVal val="0"/>
          <c:showCatName val="0"/>
          <c:showSerName val="0"/>
          <c:showPercent val="0"/>
          <c:showBubbleSize val="0"/>
        </c:dLbls>
        <c:marker val="0"/>
        <c:smooth val="0"/>
        <c:axId val="586103232"/>
        <c:axId val="586105200"/>
      </c:lineChart>
      <c:catAx>
        <c:axId val="586103232"/>
        <c:scaling>
          <c:orientation val="minMax"/>
        </c:scaling>
        <c:delete val="0"/>
        <c:axPos val="b"/>
        <c:title>
          <c:tx>
            <c:rich>
              <a:bodyPr rot="0" spcFirstLastPara="0" vertOverflow="ellipsis" vert="horz" wrap="square" anchor="ctr" anchorCtr="1"/>
              <a:lstStyle/>
              <a:p>
                <a:pPr defTabSz="914400">
                  <a:defRPr lang="en-US" sz="900" b="0" i="0" u="none" strike="noStrike" kern="1200" baseline="0">
                    <a:solidFill>
                      <a:schemeClr val="tx1">
                        <a:lumMod val="65000"/>
                        <a:lumOff val="35000"/>
                      </a:schemeClr>
                    </a:solidFill>
                    <a:latin typeface="+mn-lt"/>
                    <a:ea typeface="+mn-ea"/>
                    <a:cs typeface="+mn-cs"/>
                  </a:defRPr>
                </a:pPr>
                <a:r>
                  <a:rPr lang="en-GB" altLang="en-US"/>
                  <a:t>Lateral G Force (x0.1G)</a:t>
                </a:r>
                <a:endParaRPr lang="en-GB" altLang="en-US"/>
              </a:p>
            </c:rich>
          </c:tx>
          <c:layout>
            <c:manualLayout>
              <c:xMode val="edge"/>
              <c:yMode val="edge"/>
              <c:x val="0.430832987981765"/>
              <c:y val="0.716203703703704"/>
            </c:manualLayout>
          </c:layout>
          <c:overlay val="0"/>
          <c:spPr>
            <a:noFill/>
            <a:ln>
              <a:noFill/>
            </a:ln>
            <a:effectLst/>
          </c:spPr>
        </c:title>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86105200"/>
        <c:crosses val="autoZero"/>
        <c:auto val="1"/>
        <c:lblAlgn val="ctr"/>
        <c:lblOffset val="100"/>
        <c:noMultiLvlLbl val="0"/>
      </c:catAx>
      <c:valAx>
        <c:axId val="586105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US" sz="900" b="0" i="0" u="none" strike="noStrike" kern="1200" baseline="0">
                    <a:solidFill>
                      <a:schemeClr val="tx1">
                        <a:lumMod val="65000"/>
                        <a:lumOff val="35000"/>
                      </a:schemeClr>
                    </a:solidFill>
                    <a:latin typeface="+mn-lt"/>
                    <a:ea typeface="+mn-ea"/>
                    <a:cs typeface="+mn-cs"/>
                  </a:defRPr>
                </a:pPr>
                <a:r>
                  <a:rPr lang="en-GB" altLang="en-US"/>
                  <a:t>WEIGHT (N)</a:t>
                </a:r>
                <a:endParaRPr lang="en-GB" altLang="en-US"/>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8610323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defTabSz="914400">
              <a:defRPr lang="en-US" sz="1600" b="1" i="0" u="none" strike="noStrike" kern="1200" baseline="0">
                <a:solidFill>
                  <a:schemeClr val="tx1">
                    <a:lumMod val="65000"/>
                    <a:lumOff val="35000"/>
                  </a:schemeClr>
                </a:solidFill>
                <a:latin typeface="+mn-lt"/>
                <a:ea typeface="+mn-ea"/>
                <a:cs typeface="+mn-cs"/>
              </a:defRPr>
            </a:pPr>
            <a:r>
              <a:t>WEIGHT TRANSFER FOR 1</a:t>
            </a:r>
            <a:r>
              <a:rPr lang="en-GB" altLang="en-US"/>
              <a:t>.5</a:t>
            </a:r>
            <a:r>
              <a:t>M TRACK WIDTH VS ORIGINAL TRACK WIDTH</a:t>
            </a:r>
          </a:p>
        </c:rich>
      </c:tx>
      <c:layout/>
      <c:overlay val="0"/>
      <c:spPr>
        <a:noFill/>
        <a:ln>
          <a:noFill/>
        </a:ln>
        <a:effectLst/>
      </c:spPr>
    </c:title>
    <c:autoTitleDeleted val="0"/>
    <c:plotArea>
      <c:layout/>
      <c:lineChart>
        <c:grouping val="standard"/>
        <c:varyColors val="0"/>
        <c:ser>
          <c:idx val="1"/>
          <c:order val="0"/>
          <c:tx>
            <c:strRef>
              <c:f>'[Excel Systems Calcs Good an Proper 2.xlsx]Sheet1'!$F$30</c:f>
              <c:strCache>
                <c:ptCount val="1"/>
                <c:pt idx="0">
                  <c:v>Left Lateral Weight Transfer</c:v>
                </c:pt>
              </c:strCache>
            </c:strRef>
          </c:tx>
          <c:spPr>
            <a:ln w="12700" cap="rnd">
              <a:solidFill>
                <a:schemeClr val="accent1">
                  <a:lumMod val="75000"/>
                </a:schemeClr>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2"/>
          <c:order val="1"/>
          <c:tx>
            <c:strRef>
              <c:f>'[Excel Systems Calcs Good an Proper 2.xlsx]Sheet1'!$M$30</c:f>
              <c:strCache>
                <c:ptCount val="1"/>
                <c:pt idx="0">
                  <c:v> Right Lateral Weight Transfer</c:v>
                </c:pt>
              </c:strCache>
            </c:strRef>
          </c:tx>
          <c:spPr>
            <a:ln w="12700" cap="rnd">
              <a:solidFill>
                <a:schemeClr val="accent1">
                  <a:lumMod val="50000"/>
                </a:schemeClr>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ser>
          <c:idx val="3"/>
          <c:order val="2"/>
          <c:tx>
            <c:strRef>
              <c:f>'[Excel Systems Calcs Good an Proper 2.xlsx]Sheet1'!$AB$46</c:f>
              <c:strCache>
                <c:ptCount val="1"/>
                <c:pt idx="0">
                  <c:v>1.5m Track LeftTransfer</c:v>
                </c:pt>
              </c:strCache>
            </c:strRef>
          </c:tx>
          <c:spPr>
            <a:ln w="12700" cap="rnd">
              <a:solidFill>
                <a:srgbClr val="FF0000"/>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2.xlsx]Sheet1'!$AB$47:$AB$61</c:f>
              <c:numCache>
                <c:formatCode>General</c:formatCode>
                <c:ptCount val="15"/>
                <c:pt idx="0">
                  <c:v>1550.6357544</c:v>
                </c:pt>
                <c:pt idx="1">
                  <c:v>1554.2485128</c:v>
                </c:pt>
                <c:pt idx="2">
                  <c:v>1557.8612712</c:v>
                </c:pt>
                <c:pt idx="3">
                  <c:v>1561.4740296</c:v>
                </c:pt>
                <c:pt idx="4">
                  <c:v>1565.086788</c:v>
                </c:pt>
                <c:pt idx="5">
                  <c:v>1568.6995464</c:v>
                </c:pt>
                <c:pt idx="6">
                  <c:v>1572.3123048</c:v>
                </c:pt>
                <c:pt idx="7">
                  <c:v>1575.9250632</c:v>
                </c:pt>
                <c:pt idx="8">
                  <c:v>1579.5378216</c:v>
                </c:pt>
                <c:pt idx="9">
                  <c:v>1583.15058</c:v>
                </c:pt>
                <c:pt idx="10">
                  <c:v>1586.7633384</c:v>
                </c:pt>
                <c:pt idx="11">
                  <c:v>1590.3760968</c:v>
                </c:pt>
                <c:pt idx="12">
                  <c:v>1593.9888552</c:v>
                </c:pt>
                <c:pt idx="13">
                  <c:v>1597.6016136</c:v>
                </c:pt>
                <c:pt idx="14">
                  <c:v>1601.214372</c:v>
                </c:pt>
              </c:numCache>
            </c:numRef>
          </c:val>
          <c:smooth val="0"/>
        </c:ser>
        <c:ser>
          <c:idx val="4"/>
          <c:order val="3"/>
          <c:tx>
            <c:strRef>
              <c:f>'[Excel Systems Calcs Good an Proper 2.xlsx]Sheet1'!$AI$46</c:f>
              <c:strCache>
                <c:ptCount val="1"/>
                <c:pt idx="0">
                  <c:v>1.5m Track Right Transfer</c:v>
                </c:pt>
              </c:strCache>
            </c:strRef>
          </c:tx>
          <c:spPr>
            <a:ln w="12700" cap="rnd">
              <a:solidFill>
                <a:srgbClr val="C00000"/>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2.xlsx]Sheet1'!$AI$47:$AI$61</c:f>
              <c:numCache>
                <c:formatCode>General</c:formatCode>
                <c:ptCount val="15"/>
                <c:pt idx="0">
                  <c:v>1485.6415224</c:v>
                </c:pt>
                <c:pt idx="1">
                  <c:v>1482.1704408</c:v>
                </c:pt>
                <c:pt idx="2">
                  <c:v>1478.6993592</c:v>
                </c:pt>
                <c:pt idx="3">
                  <c:v>1475.2282776</c:v>
                </c:pt>
                <c:pt idx="4">
                  <c:v>1471.757196</c:v>
                </c:pt>
                <c:pt idx="5">
                  <c:v>1468.2861144</c:v>
                </c:pt>
                <c:pt idx="6">
                  <c:v>1464.8150328</c:v>
                </c:pt>
                <c:pt idx="7">
                  <c:v>1461.3439512</c:v>
                </c:pt>
                <c:pt idx="8">
                  <c:v>1457.8728696</c:v>
                </c:pt>
                <c:pt idx="9">
                  <c:v>1454.401788</c:v>
                </c:pt>
                <c:pt idx="10">
                  <c:v>1450.9307064</c:v>
                </c:pt>
                <c:pt idx="11">
                  <c:v>1447.4596248</c:v>
                </c:pt>
                <c:pt idx="12">
                  <c:v>1443.9885432</c:v>
                </c:pt>
                <c:pt idx="13">
                  <c:v>1440.5174616</c:v>
                </c:pt>
                <c:pt idx="14">
                  <c:v>1437.04638</c:v>
                </c:pt>
              </c:numCache>
            </c:numRef>
          </c:val>
          <c:smooth val="0"/>
        </c:ser>
        <c:dLbls>
          <c:showLegendKey val="0"/>
          <c:showVal val="0"/>
          <c:showCatName val="0"/>
          <c:showSerName val="0"/>
          <c:showPercent val="0"/>
          <c:showBubbleSize val="0"/>
        </c:dLbls>
        <c:marker val="0"/>
        <c:smooth val="0"/>
        <c:axId val="618425608"/>
        <c:axId val="618424624"/>
      </c:lineChart>
      <c:catAx>
        <c:axId val="618425608"/>
        <c:scaling>
          <c:orientation val="minMax"/>
        </c:scaling>
        <c:delete val="0"/>
        <c:axPos val="b"/>
        <c:title>
          <c:tx>
            <c:rich>
              <a:bodyPr rot="0" spcFirstLastPara="0" vertOverflow="ellipsis" vert="horz" wrap="square" anchor="ctr" anchorCtr="1"/>
              <a:lstStyle/>
              <a:p>
                <a:pPr defTabSz="914400">
                  <a:defRPr lang="en-US" sz="900" b="0" i="0" u="none" strike="noStrike" kern="1200" baseline="0">
                    <a:solidFill>
                      <a:schemeClr val="tx1">
                        <a:lumMod val="65000"/>
                        <a:lumOff val="35000"/>
                      </a:schemeClr>
                    </a:solidFill>
                    <a:latin typeface="+mn-lt"/>
                    <a:ea typeface="+mn-ea"/>
                    <a:cs typeface="+mn-cs"/>
                  </a:defRPr>
                </a:pPr>
                <a:r>
                  <a:rPr lang="en-GB" altLang="en-US"/>
                  <a:t>LATERAL G FORCE (x0.1G)</a:t>
                </a:r>
                <a:endParaRPr lang="en-GB" altLang="en-US"/>
              </a:p>
            </c:rich>
          </c:tx>
          <c:layout>
            <c:manualLayout>
              <c:xMode val="edge"/>
              <c:yMode val="edge"/>
              <c:x val="0.410610042882833"/>
              <c:y val="0.716203703703704"/>
            </c:manualLayout>
          </c:layout>
          <c:overlay val="0"/>
          <c:spPr>
            <a:noFill/>
            <a:ln>
              <a:noFill/>
            </a:ln>
            <a:effectLst/>
          </c:spPr>
        </c:title>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18424624"/>
        <c:crosses val="autoZero"/>
        <c:auto val="1"/>
        <c:lblAlgn val="ctr"/>
        <c:lblOffset val="100"/>
        <c:noMultiLvlLbl val="0"/>
      </c:catAx>
      <c:valAx>
        <c:axId val="618424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US" sz="900" b="0" i="0" u="none" strike="noStrike" kern="1200" baseline="0">
                    <a:solidFill>
                      <a:schemeClr val="tx1">
                        <a:lumMod val="65000"/>
                        <a:lumOff val="35000"/>
                      </a:schemeClr>
                    </a:solidFill>
                    <a:latin typeface="+mn-lt"/>
                    <a:ea typeface="+mn-ea"/>
                    <a:cs typeface="+mn-cs"/>
                  </a:defRPr>
                </a:pPr>
                <a:r>
                  <a:rPr lang="en-GB" altLang="en-US"/>
                  <a:t>WEIGHT (N)</a:t>
                </a:r>
                <a:endParaRPr lang="en-GB" altLang="en-US"/>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1842560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defTabSz="914400">
              <a:defRPr lang="en-US" sz="1600" b="1" i="0" u="none" strike="noStrike" kern="1200" baseline="0">
                <a:solidFill>
                  <a:schemeClr val="tx1">
                    <a:lumMod val="65000"/>
                    <a:lumOff val="35000"/>
                  </a:schemeClr>
                </a:solidFill>
                <a:latin typeface="+mn-lt"/>
                <a:ea typeface="+mn-ea"/>
                <a:cs typeface="+mn-cs"/>
              </a:defRPr>
            </a:pPr>
            <a:r>
              <a:t>WEIGHT TRANSFER FOR </a:t>
            </a:r>
            <a:r>
              <a:rPr lang="en-GB" altLang="en-US"/>
              <a:t>2</a:t>
            </a:r>
            <a:r>
              <a:t>M TRACK WIDTH VS ORIGINAL TRACK WIDTH</a:t>
            </a:r>
          </a:p>
        </c:rich>
      </c:tx>
      <c:layout>
        <c:manualLayout>
          <c:xMode val="edge"/>
          <c:yMode val="edge"/>
          <c:x val="0.18028543444802"/>
          <c:y val="0.0407407407407407"/>
        </c:manualLayout>
      </c:layout>
      <c:overlay val="0"/>
      <c:spPr>
        <a:noFill/>
        <a:ln>
          <a:noFill/>
        </a:ln>
        <a:effectLst/>
      </c:spPr>
    </c:title>
    <c:autoTitleDeleted val="0"/>
    <c:plotArea>
      <c:layout/>
      <c:lineChart>
        <c:grouping val="standard"/>
        <c:varyColors val="0"/>
        <c:ser>
          <c:idx val="1"/>
          <c:order val="0"/>
          <c:tx>
            <c:strRef>
              <c:f>'[Excel Systems Calcs Good an Proper 2.xlsx]Sheet1'!$F$30</c:f>
              <c:strCache>
                <c:ptCount val="1"/>
                <c:pt idx="0">
                  <c:v>Left Lateral Weight Transfer</c:v>
                </c:pt>
              </c:strCache>
            </c:strRef>
          </c:tx>
          <c:spPr>
            <a:ln w="12700" cap="rnd">
              <a:solidFill>
                <a:schemeClr val="accent1">
                  <a:lumMod val="75000"/>
                </a:schemeClr>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2"/>
          <c:order val="1"/>
          <c:tx>
            <c:strRef>
              <c:f>'[Excel Systems Calcs Good an Proper 2.xlsx]Sheet1'!$M$30</c:f>
              <c:strCache>
                <c:ptCount val="1"/>
                <c:pt idx="0">
                  <c:v> Right Lateral Weight Transfer</c:v>
                </c:pt>
              </c:strCache>
            </c:strRef>
          </c:tx>
          <c:spPr>
            <a:ln w="12700" cap="rnd">
              <a:solidFill>
                <a:schemeClr val="accent1">
                  <a:lumMod val="50000"/>
                </a:schemeClr>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ser>
          <c:idx val="3"/>
          <c:order val="2"/>
          <c:tx>
            <c:strRef>
              <c:f>'[Excel Systems Calcs Good an Proper 2.xlsx]Sheet1'!$AB$62</c:f>
              <c:strCache>
                <c:ptCount val="1"/>
                <c:pt idx="0">
                  <c:v>2m Track LeftTransfer</c:v>
                </c:pt>
              </c:strCache>
            </c:strRef>
          </c:tx>
          <c:spPr>
            <a:ln w="12700" cap="rnd">
              <a:solidFill>
                <a:srgbClr val="FF0000"/>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2.xlsx]Sheet1'!$AB$63:$AB$77</c:f>
              <c:numCache>
                <c:formatCode>General</c:formatCode>
                <c:ptCount val="15"/>
                <c:pt idx="0">
                  <c:v>1549.7325648</c:v>
                </c:pt>
                <c:pt idx="1">
                  <c:v>1552.4421336</c:v>
                </c:pt>
                <c:pt idx="2">
                  <c:v>1555.1517024</c:v>
                </c:pt>
                <c:pt idx="3">
                  <c:v>1557.8612712</c:v>
                </c:pt>
                <c:pt idx="4">
                  <c:v>1560.57084</c:v>
                </c:pt>
                <c:pt idx="5">
                  <c:v>1563.2804088</c:v>
                </c:pt>
                <c:pt idx="6">
                  <c:v>1565.9899776</c:v>
                </c:pt>
                <c:pt idx="7">
                  <c:v>1568.6995464</c:v>
                </c:pt>
                <c:pt idx="8">
                  <c:v>1571.4091152</c:v>
                </c:pt>
                <c:pt idx="9">
                  <c:v>1574.118684</c:v>
                </c:pt>
                <c:pt idx="10">
                  <c:v>1576.8282528</c:v>
                </c:pt>
                <c:pt idx="11">
                  <c:v>1579.5378216</c:v>
                </c:pt>
                <c:pt idx="12">
                  <c:v>1582.2473904</c:v>
                </c:pt>
                <c:pt idx="13">
                  <c:v>1584.9569592</c:v>
                </c:pt>
                <c:pt idx="14">
                  <c:v>1587.666528</c:v>
                </c:pt>
              </c:numCache>
            </c:numRef>
          </c:val>
          <c:smooth val="0"/>
        </c:ser>
        <c:ser>
          <c:idx val="4"/>
          <c:order val="3"/>
          <c:tx>
            <c:strRef>
              <c:f>'[Excel Systems Calcs Good an Proper 2.xlsx]Sheet1'!$AI$62</c:f>
              <c:strCache>
                <c:ptCount val="1"/>
                <c:pt idx="0">
                  <c:v>2m Track Right Transfer</c:v>
                </c:pt>
              </c:strCache>
            </c:strRef>
          </c:tx>
          <c:spPr>
            <a:ln w="12700" cap="rnd">
              <a:solidFill>
                <a:srgbClr val="C00000"/>
              </a:solidFill>
              <a:round/>
            </a:ln>
            <a:effectLst>
              <a:outerShdw blurRad="57150" dist="19050" dir="5400000" algn="ctr" rotWithShape="0">
                <a:srgbClr val="000000">
                  <a:alpha val="63000"/>
                </a:srgbClr>
              </a:outerShdw>
            </a:effectLst>
          </c:spPr>
          <c:marker>
            <c:symbol val="none"/>
          </c:marker>
          <c:dLbls>
            <c:delete val="1"/>
          </c:dLbls>
          <c:val>
            <c:numRef>
              <c:f>'[Excel Systems Calcs Good an Proper 2.xlsx]Sheet1'!$AI$63:$AI$77</c:f>
              <c:numCache>
                <c:formatCode>General</c:formatCode>
                <c:ptCount val="15"/>
                <c:pt idx="0">
                  <c:v>1486.5092928</c:v>
                </c:pt>
                <c:pt idx="1">
                  <c:v>1483.9059816</c:v>
                </c:pt>
                <c:pt idx="2">
                  <c:v>1481.3026704</c:v>
                </c:pt>
                <c:pt idx="3">
                  <c:v>1478.6993592</c:v>
                </c:pt>
                <c:pt idx="4">
                  <c:v>1476.096048</c:v>
                </c:pt>
                <c:pt idx="5">
                  <c:v>1473.4927368</c:v>
                </c:pt>
                <c:pt idx="6">
                  <c:v>1470.8894256</c:v>
                </c:pt>
                <c:pt idx="7">
                  <c:v>1468.2861144</c:v>
                </c:pt>
                <c:pt idx="8">
                  <c:v>1465.6828032</c:v>
                </c:pt>
                <c:pt idx="9">
                  <c:v>1463.079492</c:v>
                </c:pt>
                <c:pt idx="10">
                  <c:v>1460.4761808</c:v>
                </c:pt>
                <c:pt idx="11">
                  <c:v>1457.8728696</c:v>
                </c:pt>
                <c:pt idx="12">
                  <c:v>1455.2695584</c:v>
                </c:pt>
                <c:pt idx="13">
                  <c:v>1452.6662472</c:v>
                </c:pt>
                <c:pt idx="14">
                  <c:v>1450.062936</c:v>
                </c:pt>
              </c:numCache>
            </c:numRef>
          </c:val>
          <c:smooth val="0"/>
        </c:ser>
        <c:dLbls>
          <c:showLegendKey val="0"/>
          <c:showVal val="0"/>
          <c:showCatName val="0"/>
          <c:showSerName val="0"/>
          <c:showPercent val="0"/>
          <c:showBubbleSize val="0"/>
        </c:dLbls>
        <c:marker val="0"/>
        <c:smooth val="0"/>
        <c:axId val="599885160"/>
        <c:axId val="599885488"/>
      </c:lineChart>
      <c:catAx>
        <c:axId val="599885160"/>
        <c:scaling>
          <c:orientation val="minMax"/>
        </c:scaling>
        <c:delete val="0"/>
        <c:axPos val="b"/>
        <c:title>
          <c:tx>
            <c:rich>
              <a:bodyPr rot="0" spcFirstLastPara="0" vertOverflow="ellipsis" vert="horz" wrap="square" anchor="ctr" anchorCtr="1"/>
              <a:lstStyle/>
              <a:p>
                <a:pPr defTabSz="914400">
                  <a:defRPr lang="en-US" sz="900" b="0" i="0" u="none" strike="noStrike" kern="1200" baseline="0">
                    <a:solidFill>
                      <a:schemeClr val="tx1">
                        <a:lumMod val="65000"/>
                        <a:lumOff val="35000"/>
                      </a:schemeClr>
                    </a:solidFill>
                    <a:latin typeface="+mn-lt"/>
                    <a:ea typeface="+mn-ea"/>
                    <a:cs typeface="+mn-cs"/>
                  </a:defRPr>
                </a:pPr>
                <a:r>
                  <a:rPr lang="en-GB" altLang="en-US"/>
                  <a:t>LATERAL G FORCE (N)</a:t>
                </a:r>
                <a:endParaRPr lang="en-GB" altLang="en-US"/>
              </a:p>
            </c:rich>
          </c:tx>
          <c:layout/>
          <c:overlay val="0"/>
          <c:spPr>
            <a:noFill/>
            <a:ln>
              <a:noFill/>
            </a:ln>
            <a:effectLst/>
          </c:spPr>
        </c:title>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99885488"/>
        <c:crosses val="autoZero"/>
        <c:auto val="1"/>
        <c:lblAlgn val="ctr"/>
        <c:lblOffset val="100"/>
        <c:noMultiLvlLbl val="0"/>
      </c:catAx>
      <c:valAx>
        <c:axId val="59988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US" sz="900" b="0" i="0" u="none" strike="noStrike" kern="1200" baseline="0">
                    <a:solidFill>
                      <a:schemeClr val="tx1">
                        <a:lumMod val="65000"/>
                        <a:lumOff val="35000"/>
                      </a:schemeClr>
                    </a:solidFill>
                    <a:latin typeface="+mn-lt"/>
                    <a:ea typeface="+mn-ea"/>
                    <a:cs typeface="+mn-cs"/>
                  </a:defRPr>
                </a:pPr>
                <a:r>
                  <a:rPr lang="en-GB" altLang="en-US"/>
                  <a:t>WEIGHT (N)</a:t>
                </a:r>
                <a:endParaRPr lang="en-GB" altLang="en-US"/>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59988516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defTabSz="914400">
              <a:defRPr lang="en-US" sz="1600" b="1" i="0" u="none" strike="noStrike" kern="1200" baseline="0">
                <a:solidFill>
                  <a:schemeClr val="tx2"/>
                </a:solidFill>
                <a:latin typeface="+mn-lt"/>
                <a:ea typeface="+mn-ea"/>
                <a:cs typeface="+mn-cs"/>
              </a:defRPr>
            </a:pPr>
            <a:r>
              <a:rPr lang="en-GB" altLang="en-US"/>
              <a:t>WEIGHT TRANSFER FOR 0.2M COGH VS ORIGINAL COGH</a:t>
            </a:r>
            <a:endParaRPr lang="en-GB" altLang="en-US"/>
          </a:p>
        </c:rich>
      </c:tx>
      <c:layout/>
      <c:overlay val="0"/>
      <c:spPr>
        <a:noFill/>
        <a:ln>
          <a:noFill/>
        </a:ln>
        <a:effectLst/>
      </c:spPr>
    </c:title>
    <c:autoTitleDeleted val="0"/>
    <c:plotArea>
      <c:layout/>
      <c:lineChart>
        <c:grouping val="standard"/>
        <c:varyColors val="0"/>
        <c:ser>
          <c:idx val="1"/>
          <c:order val="0"/>
          <c:tx>
            <c:strRef>
              <c:f>'[Excel Systems Calcs Good an Proper 2.xlsx]Sheet1'!$F$30</c:f>
              <c:strCache>
                <c:ptCount val="1"/>
                <c:pt idx="0">
                  <c:v>Left Lateral Weight Transfer</c:v>
                </c:pt>
              </c:strCache>
            </c:strRef>
          </c:tx>
          <c:spPr>
            <a:ln w="12700" cap="rnd">
              <a:solidFill>
                <a:schemeClr val="accent1">
                  <a:lumMod val="75000"/>
                </a:schemeClr>
              </a:solidFill>
              <a:round/>
            </a:ln>
            <a:effectLst/>
          </c:spPr>
          <c:marker>
            <c:symbol val="none"/>
          </c:marker>
          <c:dLbls>
            <c:delete val="1"/>
          </c:dLbls>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2"/>
          <c:order val="1"/>
          <c:tx>
            <c:strRef>
              <c:f>'[Excel Systems Calcs Good an Proper 2.xlsx]Sheet1'!$M$30</c:f>
              <c:strCache>
                <c:ptCount val="1"/>
                <c:pt idx="0">
                  <c:v> Right Lateral Weight Transfer</c:v>
                </c:pt>
              </c:strCache>
            </c:strRef>
          </c:tx>
          <c:spPr>
            <a:ln w="12700" cap="rnd">
              <a:solidFill>
                <a:schemeClr val="accent1">
                  <a:lumMod val="50000"/>
                </a:schemeClr>
              </a:solidFill>
              <a:round/>
            </a:ln>
            <a:effectLst/>
          </c:spPr>
          <c:marker>
            <c:symbol val="none"/>
          </c:marker>
          <c:dLbls>
            <c:delete val="1"/>
          </c:dLbls>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ser>
          <c:idx val="3"/>
          <c:order val="2"/>
          <c:tx>
            <c:strRef>
              <c:f>'[Excel Systems Calcs Good an Proper 2.xlsx]Sheet1'!$AB$82</c:f>
              <c:strCache>
                <c:ptCount val="1"/>
                <c:pt idx="0">
                  <c:v>0.2m COGH Left Transfer</c:v>
                </c:pt>
              </c:strCache>
            </c:strRef>
          </c:tx>
          <c:spPr>
            <a:ln w="12700" cap="rnd">
              <a:solidFill>
                <a:srgbClr val="FF0000"/>
              </a:solidFill>
              <a:round/>
            </a:ln>
            <a:effectLst/>
          </c:spPr>
          <c:marker>
            <c:symbol val="none"/>
          </c:marker>
          <c:dLbls>
            <c:delete val="1"/>
          </c:dLbls>
          <c:val>
            <c:numRef>
              <c:f>'[Excel Systems Calcs Good an Proper 2.xlsx]Sheet1'!$AB$83:$AB$97</c:f>
              <c:numCache>
                <c:formatCode>General</c:formatCode>
                <c:ptCount val="15"/>
                <c:pt idx="0">
                  <c:v>1548.88141081481</c:v>
                </c:pt>
                <c:pt idx="1">
                  <c:v>1550.73982562963</c:v>
                </c:pt>
                <c:pt idx="2">
                  <c:v>1552.59824044444</c:v>
                </c:pt>
                <c:pt idx="3">
                  <c:v>1554.45665525926</c:v>
                </c:pt>
                <c:pt idx="4">
                  <c:v>1556.31507007407</c:v>
                </c:pt>
                <c:pt idx="5">
                  <c:v>1558.17348488889</c:v>
                </c:pt>
                <c:pt idx="6">
                  <c:v>1560.0318997037</c:v>
                </c:pt>
                <c:pt idx="7">
                  <c:v>1561.89031451852</c:v>
                </c:pt>
                <c:pt idx="8">
                  <c:v>1563.74872933333</c:v>
                </c:pt>
                <c:pt idx="9">
                  <c:v>1565.60714414815</c:v>
                </c:pt>
                <c:pt idx="10">
                  <c:v>1567.46555896296</c:v>
                </c:pt>
                <c:pt idx="11">
                  <c:v>1569.32397377778</c:v>
                </c:pt>
                <c:pt idx="12">
                  <c:v>1571.18238859259</c:v>
                </c:pt>
                <c:pt idx="13">
                  <c:v>1573.04080340741</c:v>
                </c:pt>
                <c:pt idx="14">
                  <c:v>1574.89921822222</c:v>
                </c:pt>
              </c:numCache>
            </c:numRef>
          </c:val>
          <c:smooth val="0"/>
        </c:ser>
        <c:ser>
          <c:idx val="4"/>
          <c:order val="3"/>
          <c:tx>
            <c:strRef>
              <c:f>'[Excel Systems Calcs Good an Proper 2.xlsx]Sheet1'!$AI$82</c:f>
              <c:strCache>
                <c:ptCount val="1"/>
                <c:pt idx="0">
                  <c:v>0.2m COGH Right Transfer</c:v>
                </c:pt>
              </c:strCache>
            </c:strRef>
          </c:tx>
          <c:spPr>
            <a:ln w="12700" cap="rnd">
              <a:solidFill>
                <a:srgbClr val="C00000"/>
              </a:solidFill>
              <a:round/>
            </a:ln>
            <a:effectLst/>
          </c:spPr>
          <c:marker>
            <c:symbol val="none"/>
          </c:marker>
          <c:dLbls>
            <c:delete val="1"/>
          </c:dLbls>
          <c:val>
            <c:numRef>
              <c:f>'[Excel Systems Calcs Good an Proper 2.xlsx]Sheet1'!$AI$83:$AI$97</c:f>
              <c:numCache>
                <c:formatCode>General</c:formatCode>
                <c:ptCount val="15"/>
                <c:pt idx="0">
                  <c:v>1487.32706819753</c:v>
                </c:pt>
                <c:pt idx="1">
                  <c:v>1485.54153239506</c:v>
                </c:pt>
                <c:pt idx="2">
                  <c:v>1483.75599659259</c:v>
                </c:pt>
                <c:pt idx="3">
                  <c:v>1481.97046079012</c:v>
                </c:pt>
                <c:pt idx="4">
                  <c:v>1480.18492498765</c:v>
                </c:pt>
                <c:pt idx="5">
                  <c:v>1478.39938918518</c:v>
                </c:pt>
                <c:pt idx="6">
                  <c:v>1476.61385338272</c:v>
                </c:pt>
                <c:pt idx="7">
                  <c:v>1474.82831758025</c:v>
                </c:pt>
                <c:pt idx="8">
                  <c:v>1473.04278177778</c:v>
                </c:pt>
                <c:pt idx="9">
                  <c:v>1471.25724597531</c:v>
                </c:pt>
                <c:pt idx="10">
                  <c:v>1469.47171017284</c:v>
                </c:pt>
                <c:pt idx="11">
                  <c:v>1467.68617437037</c:v>
                </c:pt>
                <c:pt idx="12">
                  <c:v>1465.9006385679</c:v>
                </c:pt>
                <c:pt idx="13">
                  <c:v>1464.11510276543</c:v>
                </c:pt>
                <c:pt idx="14">
                  <c:v>1462.32956696296</c:v>
                </c:pt>
              </c:numCache>
            </c:numRef>
          </c:val>
          <c:smooth val="0"/>
        </c:ser>
        <c:dLbls>
          <c:showLegendKey val="0"/>
          <c:showVal val="0"/>
          <c:showCatName val="0"/>
          <c:showSerName val="0"/>
          <c:showPercent val="0"/>
          <c:showBubbleSize val="0"/>
        </c:dLbls>
        <c:marker val="0"/>
        <c:smooth val="0"/>
        <c:axId val="624313440"/>
        <c:axId val="624309832"/>
      </c:lineChart>
      <c:catAx>
        <c:axId val="624313440"/>
        <c:scaling>
          <c:orientation val="minMax"/>
        </c:scaling>
        <c:delete val="0"/>
        <c:axPos val="b"/>
        <c:title>
          <c:tx>
            <c:rich>
              <a:bodyPr rot="0" spcFirstLastPara="0" vertOverflow="ellipsis" vert="horz" wrap="square" anchor="ctr" anchorCtr="1"/>
              <a:lstStyle/>
              <a:p>
                <a:pPr defTabSz="914400">
                  <a:defRPr lang="en-US" sz="900" b="1" i="0" u="none" strike="noStrike" kern="1200" baseline="0">
                    <a:solidFill>
                      <a:schemeClr val="tx2"/>
                    </a:solidFill>
                    <a:latin typeface="+mn-lt"/>
                    <a:ea typeface="+mn-ea"/>
                    <a:cs typeface="+mn-cs"/>
                  </a:defRPr>
                </a:pPr>
                <a:r>
                  <a:rPr lang="en-GB" altLang="en-US" b="0"/>
                  <a:t>LATERAL G FORCE (x0.1G)</a:t>
                </a:r>
                <a:endParaRPr lang="en-GB" altLang="en-US" b="0"/>
              </a:p>
            </c:rich>
          </c:tx>
          <c:layout>
            <c:manualLayout>
              <c:xMode val="edge"/>
              <c:yMode val="edge"/>
              <c:x val="0.415417588495575"/>
              <c:y val="0.71412037037037"/>
            </c:manualLayout>
          </c:layout>
          <c:overlay val="0"/>
          <c:spPr>
            <a:noFill/>
            <a:ln>
              <a:noFill/>
            </a:ln>
            <a:effectLst/>
          </c:spPr>
        </c:title>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crossAx val="624309832"/>
        <c:crosses val="autoZero"/>
        <c:auto val="1"/>
        <c:lblAlgn val="ctr"/>
        <c:lblOffset val="100"/>
        <c:noMultiLvlLbl val="0"/>
      </c:catAx>
      <c:valAx>
        <c:axId val="62430983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0" vertOverflow="ellipsis" vert="horz" wrap="square" anchor="ctr" anchorCtr="1"/>
              <a:lstStyle/>
              <a:p>
                <a:pPr defTabSz="914400">
                  <a:defRPr lang="en-US" sz="900" b="1" i="0" u="none" strike="noStrike" kern="1200" baseline="0">
                    <a:solidFill>
                      <a:schemeClr val="tx2"/>
                    </a:solidFill>
                    <a:latin typeface="+mn-lt"/>
                    <a:ea typeface="+mn-ea"/>
                    <a:cs typeface="+mn-cs"/>
                  </a:defRPr>
                </a:pPr>
                <a:r>
                  <a:rPr lang="en-GB" altLang="en-US" b="0"/>
                  <a:t>WEIGHT (N)</a:t>
                </a:r>
                <a:endParaRPr lang="en-GB" altLang="en-US" b="0"/>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crossAx val="62431344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lang="en-US"/>
      </a:pPr>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b="1"/>
              <a:t>WEIGHT TRANSFER FOR 0.</a:t>
            </a:r>
            <a:r>
              <a:rPr lang="en-GB" altLang="en-US" b="1"/>
              <a:t>4</a:t>
            </a:r>
            <a:r>
              <a:rPr b="1"/>
              <a:t>M COGH VS ORIGINAL COGH</a:t>
            </a:r>
            <a:endParaRPr b="1"/>
          </a:p>
        </c:rich>
      </c:tx>
      <c:layout/>
      <c:overlay val="0"/>
      <c:spPr>
        <a:noFill/>
        <a:ln>
          <a:noFill/>
        </a:ln>
        <a:effectLst/>
      </c:spPr>
    </c:title>
    <c:autoTitleDeleted val="0"/>
    <c:plotArea>
      <c:layout/>
      <c:lineChart>
        <c:grouping val="standard"/>
        <c:varyColors val="0"/>
        <c:ser>
          <c:idx val="1"/>
          <c:order val="0"/>
          <c:tx>
            <c:strRef>
              <c:f>'[Excel Systems Calcs Good an Proper 2.xlsx]Sheet1'!$F$30</c:f>
              <c:strCache>
                <c:ptCount val="1"/>
                <c:pt idx="0">
                  <c:v>Left Lateral Weight Transfer</c:v>
                </c:pt>
              </c:strCache>
            </c:strRef>
          </c:tx>
          <c:spPr>
            <a:ln w="12700" cap="rnd">
              <a:solidFill>
                <a:schemeClr val="accent1">
                  <a:lumMod val="75000"/>
                </a:schemeClr>
              </a:solidFill>
              <a:round/>
            </a:ln>
            <a:effectLst/>
          </c:spPr>
          <c:marker>
            <c:symbol val="none"/>
          </c:marker>
          <c:dLbls>
            <c:delete val="1"/>
          </c:dLbls>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2"/>
          <c:order val="1"/>
          <c:tx>
            <c:strRef>
              <c:f>'[Excel Systems Calcs Good an Proper 2.xlsx]Sheet1'!$M$30</c:f>
              <c:strCache>
                <c:ptCount val="1"/>
                <c:pt idx="0">
                  <c:v> Right Lateral Weight Transfer</c:v>
                </c:pt>
              </c:strCache>
            </c:strRef>
          </c:tx>
          <c:spPr>
            <a:ln w="12700" cap="rnd">
              <a:solidFill>
                <a:schemeClr val="accent1">
                  <a:lumMod val="50000"/>
                </a:schemeClr>
              </a:solidFill>
              <a:round/>
            </a:ln>
            <a:effectLst/>
          </c:spPr>
          <c:marker>
            <c:symbol val="none"/>
          </c:marker>
          <c:dLbls>
            <c:delete val="1"/>
          </c:dLbls>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ser>
          <c:idx val="3"/>
          <c:order val="2"/>
          <c:tx>
            <c:strRef>
              <c:f>'[Excel Systems Calcs Good an Proper 2.xlsx]Sheet1'!$AB$98</c:f>
              <c:strCache>
                <c:ptCount val="1"/>
                <c:pt idx="0">
                  <c:v>0.4m COGH Left Transfer</c:v>
                </c:pt>
              </c:strCache>
            </c:strRef>
          </c:tx>
          <c:spPr>
            <a:ln w="12700" cap="rnd">
              <a:solidFill>
                <a:srgbClr val="FF0000"/>
              </a:solidFill>
              <a:round/>
            </a:ln>
            <a:effectLst/>
          </c:spPr>
          <c:marker>
            <c:symbol val="none"/>
          </c:marker>
          <c:dLbls>
            <c:delete val="1"/>
          </c:dLbls>
          <c:val>
            <c:numRef>
              <c:f>'[Excel Systems Calcs Good an Proper 2.xlsx]Sheet1'!$AB$99:$AB$113</c:f>
              <c:numCache>
                <c:formatCode>General</c:formatCode>
                <c:ptCount val="15"/>
                <c:pt idx="0">
                  <c:v>1550.73982562963</c:v>
                </c:pt>
                <c:pt idx="1">
                  <c:v>1554.45665525926</c:v>
                </c:pt>
                <c:pt idx="2">
                  <c:v>1558.17348488889</c:v>
                </c:pt>
                <c:pt idx="3">
                  <c:v>1561.89031451852</c:v>
                </c:pt>
                <c:pt idx="4">
                  <c:v>1565.60714414815</c:v>
                </c:pt>
                <c:pt idx="5">
                  <c:v>1569.32397377778</c:v>
                </c:pt>
                <c:pt idx="6">
                  <c:v>1573.04080340741</c:v>
                </c:pt>
                <c:pt idx="7">
                  <c:v>1576.75763303704</c:v>
                </c:pt>
                <c:pt idx="8">
                  <c:v>1580.47446266667</c:v>
                </c:pt>
                <c:pt idx="9">
                  <c:v>1584.1912922963</c:v>
                </c:pt>
                <c:pt idx="10">
                  <c:v>1587.90812192593</c:v>
                </c:pt>
                <c:pt idx="11">
                  <c:v>1591.62495155556</c:v>
                </c:pt>
                <c:pt idx="12">
                  <c:v>1595.34178118519</c:v>
                </c:pt>
                <c:pt idx="13">
                  <c:v>1599.05861081481</c:v>
                </c:pt>
                <c:pt idx="14">
                  <c:v>1602.77544044444</c:v>
                </c:pt>
              </c:numCache>
            </c:numRef>
          </c:val>
          <c:smooth val="0"/>
        </c:ser>
        <c:ser>
          <c:idx val="4"/>
          <c:order val="3"/>
          <c:tx>
            <c:strRef>
              <c:f>'[Excel Systems Calcs Good an Proper 2.xlsx]Sheet1'!$AI$98</c:f>
              <c:strCache>
                <c:ptCount val="1"/>
                <c:pt idx="0">
                  <c:v>0.4m COGH Right Transfer</c:v>
                </c:pt>
              </c:strCache>
            </c:strRef>
          </c:tx>
          <c:spPr>
            <a:ln w="12700" cap="rnd">
              <a:solidFill>
                <a:srgbClr val="C00000"/>
              </a:solidFill>
              <a:round/>
            </a:ln>
            <a:effectLst/>
          </c:spPr>
          <c:marker>
            <c:symbol val="none"/>
          </c:marker>
          <c:dLbls>
            <c:delete val="1"/>
          </c:dLbls>
          <c:val>
            <c:numRef>
              <c:f>'[Excel Systems Calcs Good an Proper 2.xlsx]Sheet1'!$AI$99:$AI$113</c:f>
              <c:numCache>
                <c:formatCode>General</c:formatCode>
                <c:ptCount val="15"/>
                <c:pt idx="0">
                  <c:v>1485.54153239506</c:v>
                </c:pt>
                <c:pt idx="1">
                  <c:v>1481.97046079012</c:v>
                </c:pt>
                <c:pt idx="2">
                  <c:v>1478.39938918518</c:v>
                </c:pt>
                <c:pt idx="3">
                  <c:v>1474.82831758025</c:v>
                </c:pt>
                <c:pt idx="4">
                  <c:v>1471.25724597531</c:v>
                </c:pt>
                <c:pt idx="5">
                  <c:v>1467.68617437037</c:v>
                </c:pt>
                <c:pt idx="6">
                  <c:v>1464.11510276543</c:v>
                </c:pt>
                <c:pt idx="7">
                  <c:v>1460.54403116049</c:v>
                </c:pt>
                <c:pt idx="8">
                  <c:v>1456.97295955556</c:v>
                </c:pt>
                <c:pt idx="9">
                  <c:v>1453.40188795062</c:v>
                </c:pt>
                <c:pt idx="10">
                  <c:v>1449.83081634568</c:v>
                </c:pt>
                <c:pt idx="11">
                  <c:v>1446.25974474074</c:v>
                </c:pt>
                <c:pt idx="12">
                  <c:v>1442.6886731358</c:v>
                </c:pt>
                <c:pt idx="13">
                  <c:v>1439.11760153086</c:v>
                </c:pt>
                <c:pt idx="14">
                  <c:v>1435.54652992593</c:v>
                </c:pt>
              </c:numCache>
            </c:numRef>
          </c:val>
          <c:smooth val="0"/>
        </c:ser>
        <c:dLbls>
          <c:showLegendKey val="0"/>
          <c:showVal val="0"/>
          <c:showCatName val="0"/>
          <c:showSerName val="0"/>
          <c:showPercent val="0"/>
          <c:showBubbleSize val="0"/>
        </c:dLbls>
        <c:marker val="0"/>
        <c:smooth val="0"/>
        <c:axId val="614485448"/>
        <c:axId val="614482824"/>
      </c:lineChart>
      <c:catAx>
        <c:axId val="614485448"/>
        <c:scaling>
          <c:orientation val="minMax"/>
        </c:scaling>
        <c:delete val="0"/>
        <c:axPos val="b"/>
        <c:title>
          <c:tx>
            <c:rich>
              <a:bodyPr rot="0" spcFirstLastPara="0" vertOverflow="ellipsis" vert="horz" wrap="square" anchor="ctr" anchorCtr="1"/>
              <a:lstStyle/>
              <a:p>
                <a:pPr defTabSz="914400">
                  <a:defRPr lang="en-US" sz="1000" b="0" i="0" u="none" strike="noStrike" kern="1200" baseline="0">
                    <a:solidFill>
                      <a:schemeClr val="tx1">
                        <a:lumMod val="65000"/>
                        <a:lumOff val="35000"/>
                      </a:schemeClr>
                    </a:solidFill>
                    <a:latin typeface="+mn-lt"/>
                    <a:ea typeface="+mn-ea"/>
                    <a:cs typeface="+mn-cs"/>
                  </a:defRPr>
                </a:pPr>
                <a:r>
                  <a:rPr lang="en-GB" altLang="en-US"/>
                  <a:t>LATERAL G FORCE (x0.1G)</a:t>
                </a:r>
                <a:endParaRPr lang="en-GB" altLang="en-US"/>
              </a:p>
            </c:rich>
          </c:tx>
          <c:layout/>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14482824"/>
        <c:crosses val="autoZero"/>
        <c:auto val="1"/>
        <c:lblAlgn val="ctr"/>
        <c:lblOffset val="100"/>
        <c:noMultiLvlLbl val="0"/>
      </c:catAx>
      <c:valAx>
        <c:axId val="614482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US" sz="1000" b="0" i="0" u="none" strike="noStrike" kern="1200" baseline="0">
                    <a:solidFill>
                      <a:schemeClr val="tx1">
                        <a:lumMod val="65000"/>
                        <a:lumOff val="35000"/>
                      </a:schemeClr>
                    </a:solidFill>
                    <a:latin typeface="+mn-lt"/>
                    <a:ea typeface="+mn-ea"/>
                    <a:cs typeface="+mn-cs"/>
                  </a:defRPr>
                </a:pPr>
                <a:r>
                  <a:rPr lang="en-GB" altLang="en-US"/>
                  <a:t>WEIGHT (N)</a:t>
                </a:r>
                <a:endParaRPr lang="en-GB" altLang="en-US"/>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1448544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lang="en-GB" altLang="en-US" b="1"/>
              <a:t>WEIGHT TRANSFER FOR 0.6M COGH VS ORIGINAL COGH</a:t>
            </a:r>
            <a:endParaRPr lang="en-GB" altLang="en-US" b="1"/>
          </a:p>
        </c:rich>
      </c:tx>
      <c:layout/>
      <c:overlay val="0"/>
      <c:spPr>
        <a:noFill/>
        <a:ln>
          <a:noFill/>
        </a:ln>
        <a:effectLst/>
      </c:spPr>
    </c:title>
    <c:autoTitleDeleted val="0"/>
    <c:plotArea>
      <c:layout/>
      <c:lineChart>
        <c:grouping val="standard"/>
        <c:varyColors val="0"/>
        <c:ser>
          <c:idx val="1"/>
          <c:order val="0"/>
          <c:tx>
            <c:strRef>
              <c:f>'[Excel Systems Calcs Good an Proper 2.xlsx]Sheet1'!$F$30</c:f>
              <c:strCache>
                <c:ptCount val="1"/>
                <c:pt idx="0">
                  <c:v>Left Lateral Weight Transfer</c:v>
                </c:pt>
              </c:strCache>
            </c:strRef>
          </c:tx>
          <c:spPr>
            <a:ln w="12700" cap="rnd">
              <a:solidFill>
                <a:schemeClr val="accent1">
                  <a:lumMod val="75000"/>
                </a:schemeClr>
              </a:solidFill>
              <a:round/>
            </a:ln>
            <a:effectLst/>
          </c:spPr>
          <c:marker>
            <c:symbol val="none"/>
          </c:marker>
          <c:dLbls>
            <c:delete val="1"/>
          </c:dLbls>
          <c:val>
            <c:numRef>
              <c:f>'[Excel Systems Calcs Good an Proper 2.xlsx]Sheet1'!$F$31:$F$45</c:f>
              <c:numCache>
                <c:formatCode>General</c:formatCode>
                <c:ptCount val="15"/>
                <c:pt idx="0">
                  <c:v>1550.36814266667</c:v>
                </c:pt>
                <c:pt idx="1">
                  <c:v>1553.71328933333</c:v>
                </c:pt>
                <c:pt idx="2">
                  <c:v>1557.058436</c:v>
                </c:pt>
                <c:pt idx="3">
                  <c:v>1560.40358266667</c:v>
                </c:pt>
                <c:pt idx="4">
                  <c:v>1563.74872933333</c:v>
                </c:pt>
                <c:pt idx="5">
                  <c:v>1567.093876</c:v>
                </c:pt>
                <c:pt idx="6">
                  <c:v>1570.43902266667</c:v>
                </c:pt>
                <c:pt idx="7">
                  <c:v>1573.78416933333</c:v>
                </c:pt>
                <c:pt idx="8">
                  <c:v>1577.129316</c:v>
                </c:pt>
                <c:pt idx="9">
                  <c:v>1580.47446266667</c:v>
                </c:pt>
                <c:pt idx="10">
                  <c:v>1583.81960933333</c:v>
                </c:pt>
                <c:pt idx="11">
                  <c:v>1587.164756</c:v>
                </c:pt>
                <c:pt idx="12">
                  <c:v>1590.50990266667</c:v>
                </c:pt>
                <c:pt idx="13">
                  <c:v>1593.85504933333</c:v>
                </c:pt>
                <c:pt idx="14">
                  <c:v>1597.200196</c:v>
                </c:pt>
              </c:numCache>
            </c:numRef>
          </c:val>
          <c:smooth val="0"/>
        </c:ser>
        <c:ser>
          <c:idx val="2"/>
          <c:order val="1"/>
          <c:tx>
            <c:strRef>
              <c:f>'[Excel Systems Calcs Good an Proper 2.xlsx]Sheet1'!$M$30</c:f>
              <c:strCache>
                <c:ptCount val="1"/>
                <c:pt idx="0">
                  <c:v> Right Lateral Weight Transfer</c:v>
                </c:pt>
              </c:strCache>
            </c:strRef>
          </c:tx>
          <c:spPr>
            <a:ln w="12700" cap="rnd">
              <a:solidFill>
                <a:schemeClr val="accent1">
                  <a:lumMod val="50000"/>
                </a:schemeClr>
              </a:solidFill>
              <a:round/>
            </a:ln>
            <a:effectLst/>
          </c:spPr>
          <c:marker>
            <c:symbol val="none"/>
          </c:marker>
          <c:dLbls>
            <c:delete val="1"/>
          </c:dLbls>
          <c:val>
            <c:numRef>
              <c:f>'[Excel Systems Calcs Good an Proper 2.xlsx]Sheet1'!$M$31:$M$45</c:f>
              <c:numCache>
                <c:formatCode>General</c:formatCode>
                <c:ptCount val="15"/>
                <c:pt idx="0">
                  <c:v>1485.89863955556</c:v>
                </c:pt>
                <c:pt idx="1">
                  <c:v>1482.68467511111</c:v>
                </c:pt>
                <c:pt idx="2">
                  <c:v>1479.47071066667</c:v>
                </c:pt>
                <c:pt idx="3">
                  <c:v>1476.25674622222</c:v>
                </c:pt>
                <c:pt idx="4">
                  <c:v>1473.04278177778</c:v>
                </c:pt>
                <c:pt idx="5">
                  <c:v>1469.82881733333</c:v>
                </c:pt>
                <c:pt idx="6">
                  <c:v>1466.61485288889</c:v>
                </c:pt>
                <c:pt idx="7">
                  <c:v>1463.40088844444</c:v>
                </c:pt>
                <c:pt idx="8">
                  <c:v>1460.186924</c:v>
                </c:pt>
                <c:pt idx="9">
                  <c:v>1456.97295955556</c:v>
                </c:pt>
                <c:pt idx="10">
                  <c:v>1453.75899511111</c:v>
                </c:pt>
                <c:pt idx="11">
                  <c:v>1450.54503066667</c:v>
                </c:pt>
                <c:pt idx="12">
                  <c:v>1447.33106622222</c:v>
                </c:pt>
                <c:pt idx="13">
                  <c:v>1444.11710177778</c:v>
                </c:pt>
                <c:pt idx="14">
                  <c:v>1440.90313733333</c:v>
                </c:pt>
              </c:numCache>
            </c:numRef>
          </c:val>
          <c:smooth val="0"/>
        </c:ser>
        <c:ser>
          <c:idx val="3"/>
          <c:order val="2"/>
          <c:tx>
            <c:strRef>
              <c:f>'[Excel Systems Calcs Good an Proper 2.xlsx]Sheet1'!$AB$114</c:f>
              <c:strCache>
                <c:ptCount val="1"/>
                <c:pt idx="0">
                  <c:v>0.6m COGH Left Transfer</c:v>
                </c:pt>
              </c:strCache>
            </c:strRef>
          </c:tx>
          <c:spPr>
            <a:ln w="12700" cap="rnd">
              <a:solidFill>
                <a:srgbClr val="FF0000"/>
              </a:solidFill>
              <a:round/>
            </a:ln>
            <a:effectLst/>
          </c:spPr>
          <c:marker>
            <c:symbol val="none"/>
          </c:marker>
          <c:dLbls>
            <c:delete val="1"/>
          </c:dLbls>
          <c:val>
            <c:numRef>
              <c:f>'[Excel Systems Calcs Good an Proper 2.xlsx]Sheet1'!$AB$115:$AB$129</c:f>
              <c:numCache>
                <c:formatCode>General</c:formatCode>
                <c:ptCount val="15"/>
                <c:pt idx="0">
                  <c:v>1552.59824044444</c:v>
                </c:pt>
                <c:pt idx="1">
                  <c:v>1558.17348488889</c:v>
                </c:pt>
                <c:pt idx="2">
                  <c:v>1563.74872933333</c:v>
                </c:pt>
                <c:pt idx="3">
                  <c:v>1569.32397377778</c:v>
                </c:pt>
                <c:pt idx="4">
                  <c:v>1574.89921822222</c:v>
                </c:pt>
                <c:pt idx="5">
                  <c:v>1580.47446266667</c:v>
                </c:pt>
                <c:pt idx="6">
                  <c:v>1586.04970711111</c:v>
                </c:pt>
                <c:pt idx="7">
                  <c:v>1591.62495155556</c:v>
                </c:pt>
                <c:pt idx="8">
                  <c:v>1597.200196</c:v>
                </c:pt>
                <c:pt idx="9">
                  <c:v>1602.77544044444</c:v>
                </c:pt>
                <c:pt idx="10">
                  <c:v>1608.35068488889</c:v>
                </c:pt>
                <c:pt idx="11">
                  <c:v>1613.92592933333</c:v>
                </c:pt>
                <c:pt idx="12">
                  <c:v>1619.50117377778</c:v>
                </c:pt>
                <c:pt idx="13">
                  <c:v>1625.07641822222</c:v>
                </c:pt>
                <c:pt idx="14">
                  <c:v>1630.65166266667</c:v>
                </c:pt>
              </c:numCache>
            </c:numRef>
          </c:val>
          <c:smooth val="0"/>
        </c:ser>
        <c:ser>
          <c:idx val="4"/>
          <c:order val="3"/>
          <c:tx>
            <c:strRef>
              <c:f>'[Excel Systems Calcs Good an Proper 2.xlsx]Sheet1'!$AI$114</c:f>
              <c:strCache>
                <c:ptCount val="1"/>
                <c:pt idx="0">
                  <c:v>0.6m COGH Right Transfer</c:v>
                </c:pt>
              </c:strCache>
            </c:strRef>
          </c:tx>
          <c:spPr>
            <a:ln w="12700" cap="rnd">
              <a:solidFill>
                <a:srgbClr val="C00000"/>
              </a:solidFill>
              <a:round/>
            </a:ln>
            <a:effectLst/>
          </c:spPr>
          <c:marker>
            <c:symbol val="none"/>
          </c:marker>
          <c:dLbls>
            <c:delete val="1"/>
          </c:dLbls>
          <c:val>
            <c:numRef>
              <c:f>'[Excel Systems Calcs Good an Proper 2.xlsx]Sheet1'!$AI$115:$AI$129</c:f>
              <c:numCache>
                <c:formatCode>General</c:formatCode>
                <c:ptCount val="15"/>
                <c:pt idx="0">
                  <c:v>1483.75599659259</c:v>
                </c:pt>
                <c:pt idx="1">
                  <c:v>1478.39938918518</c:v>
                </c:pt>
                <c:pt idx="2">
                  <c:v>1473.04278177778</c:v>
                </c:pt>
                <c:pt idx="3">
                  <c:v>1467.68617437037</c:v>
                </c:pt>
                <c:pt idx="4">
                  <c:v>1462.32956696296</c:v>
                </c:pt>
                <c:pt idx="5">
                  <c:v>1456.97295955556</c:v>
                </c:pt>
                <c:pt idx="6">
                  <c:v>1451.61635214815</c:v>
                </c:pt>
                <c:pt idx="7">
                  <c:v>1446.25974474074</c:v>
                </c:pt>
                <c:pt idx="8">
                  <c:v>1440.90313733333</c:v>
                </c:pt>
                <c:pt idx="9">
                  <c:v>1435.54652992593</c:v>
                </c:pt>
                <c:pt idx="10">
                  <c:v>1430.18992251852</c:v>
                </c:pt>
                <c:pt idx="11">
                  <c:v>1424.83331511111</c:v>
                </c:pt>
                <c:pt idx="12">
                  <c:v>1419.4767077037</c:v>
                </c:pt>
                <c:pt idx="13">
                  <c:v>1414.1201002963</c:v>
                </c:pt>
                <c:pt idx="14">
                  <c:v>1408.76349288889</c:v>
                </c:pt>
              </c:numCache>
            </c:numRef>
          </c:val>
          <c:smooth val="0"/>
        </c:ser>
        <c:dLbls>
          <c:showLegendKey val="0"/>
          <c:showVal val="0"/>
          <c:showCatName val="0"/>
          <c:showSerName val="0"/>
          <c:showPercent val="0"/>
          <c:showBubbleSize val="0"/>
        </c:dLbls>
        <c:marker val="0"/>
        <c:smooth val="0"/>
        <c:axId val="624300976"/>
        <c:axId val="624299008"/>
      </c:lineChart>
      <c:catAx>
        <c:axId val="624300976"/>
        <c:scaling>
          <c:orientation val="minMax"/>
        </c:scaling>
        <c:delete val="0"/>
        <c:axPos val="b"/>
        <c:title>
          <c:tx>
            <c:rich>
              <a:bodyPr rot="0" spcFirstLastPara="0" vertOverflow="ellipsis" vert="horz" wrap="square" anchor="ctr" anchorCtr="1"/>
              <a:lstStyle/>
              <a:p>
                <a:pPr defTabSz="914400">
                  <a:defRPr lang="en-US" sz="1000" b="0" i="0" u="none" strike="noStrike" kern="1200" baseline="0">
                    <a:solidFill>
                      <a:schemeClr val="tx1">
                        <a:lumMod val="65000"/>
                        <a:lumOff val="35000"/>
                      </a:schemeClr>
                    </a:solidFill>
                    <a:latin typeface="+mn-lt"/>
                    <a:ea typeface="+mn-ea"/>
                    <a:cs typeface="+mn-cs"/>
                  </a:defRPr>
                </a:pPr>
                <a:r>
                  <a:rPr lang="en-GB" altLang="en-US"/>
                  <a:t>LATERAL G FORCE (x0.1G)</a:t>
                </a:r>
                <a:endParaRPr lang="en-GB" altLang="en-US"/>
              </a:p>
            </c:rich>
          </c:tx>
          <c:layout>
            <c:manualLayout>
              <c:xMode val="edge"/>
              <c:yMode val="edge"/>
              <c:x val="0.402237136465324"/>
              <c:y val="0.710879629629629"/>
            </c:manualLayout>
          </c:layout>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24299008"/>
        <c:crosses val="autoZero"/>
        <c:auto val="1"/>
        <c:lblAlgn val="ctr"/>
        <c:lblOffset val="100"/>
        <c:noMultiLvlLbl val="0"/>
      </c:catAx>
      <c:valAx>
        <c:axId val="624299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en-US" sz="1000" b="0" i="0" u="none" strike="noStrike" kern="1200" baseline="0">
                    <a:solidFill>
                      <a:schemeClr val="tx1">
                        <a:lumMod val="65000"/>
                        <a:lumOff val="35000"/>
                      </a:schemeClr>
                    </a:solidFill>
                    <a:latin typeface="+mn-lt"/>
                    <a:ea typeface="+mn-ea"/>
                    <a:cs typeface="+mn-cs"/>
                  </a:defRPr>
                </a:pPr>
                <a:r>
                  <a:rPr lang="en-GB" altLang="en-US"/>
                  <a:t>WEIGHT (N)</a:t>
                </a:r>
                <a:endParaRPr lang="en-GB" altLang="en-US"/>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2430097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t>Front Left and Front Right Weight Transfer </a:t>
            </a:r>
            <a:r>
              <a:rPr lang="en-GB" altLang="en-US"/>
              <a:t>Under Maximum Combined G Force</a:t>
            </a:r>
            <a:endParaRPr lang="en-GB" altLang="en-US"/>
          </a:p>
        </c:rich>
      </c:tx>
      <c:layout/>
      <c:overlay val="0"/>
      <c:spPr>
        <a:noFill/>
        <a:ln>
          <a:noFill/>
        </a:ln>
        <a:effectLst/>
      </c:spPr>
    </c:title>
    <c:autoTitleDeleted val="0"/>
    <c:plotArea>
      <c:layout/>
      <c:lineChart>
        <c:grouping val="standard"/>
        <c:varyColors val="0"/>
        <c:ser>
          <c:idx val="1"/>
          <c:order val="0"/>
          <c:tx>
            <c:strRef>
              <c:f>'[Excel Systems Calcs Good an Proper 2.xlsx]Sheet1'!$F$164</c:f>
              <c:strCache>
                <c:ptCount val="1"/>
                <c:pt idx="0">
                  <c:v>Front Left Weight</c:v>
                </c:pt>
              </c:strCache>
            </c:strRef>
          </c:tx>
          <c:spPr>
            <a:ln w="28575" cap="rnd">
              <a:solidFill>
                <a:schemeClr val="accent2"/>
              </a:solidFill>
              <a:round/>
            </a:ln>
            <a:effectLst/>
          </c:spPr>
          <c:marker>
            <c:symbol val="none"/>
          </c:marker>
          <c:dLbls>
            <c:delete val="1"/>
          </c:dLbls>
          <c:val>
            <c:numRef>
              <c:f>'[Excel Systems Calcs Good an Proper 2.xlsx]Sheet1'!$F$165:$F$180</c:f>
              <c:numCache>
                <c:formatCode>General</c:formatCode>
                <c:ptCount val="16"/>
                <c:pt idx="0">
                  <c:v>1476.714996</c:v>
                </c:pt>
                <c:pt idx="1">
                  <c:v>1488.80332872873</c:v>
                </c:pt>
                <c:pt idx="2">
                  <c:v>1500.89166145746</c:v>
                </c:pt>
                <c:pt idx="3">
                  <c:v>1512.9799941862</c:v>
                </c:pt>
                <c:pt idx="4">
                  <c:v>1525.06832691493</c:v>
                </c:pt>
                <c:pt idx="5">
                  <c:v>1537.15665964366</c:v>
                </c:pt>
                <c:pt idx="6">
                  <c:v>1549.24499237239</c:v>
                </c:pt>
                <c:pt idx="7">
                  <c:v>1561.33332510112</c:v>
                </c:pt>
                <c:pt idx="8">
                  <c:v>1573.42165782986</c:v>
                </c:pt>
                <c:pt idx="9">
                  <c:v>1585.50999055859</c:v>
                </c:pt>
                <c:pt idx="10">
                  <c:v>1597.59832328732</c:v>
                </c:pt>
                <c:pt idx="11">
                  <c:v>1609.68665601605</c:v>
                </c:pt>
                <c:pt idx="12">
                  <c:v>1621.77498874479</c:v>
                </c:pt>
                <c:pt idx="13">
                  <c:v>1633.86332147352</c:v>
                </c:pt>
                <c:pt idx="14">
                  <c:v>1645.95165420225</c:v>
                </c:pt>
                <c:pt idx="15">
                  <c:v>1658.03998693098</c:v>
                </c:pt>
              </c:numCache>
            </c:numRef>
          </c:val>
          <c:smooth val="0"/>
        </c:ser>
        <c:ser>
          <c:idx val="2"/>
          <c:order val="1"/>
          <c:tx>
            <c:strRef>
              <c:f>'[Excel Systems Calcs Good an Proper 2.xlsx]Sheet1'!$M$164</c:f>
              <c:strCache>
                <c:ptCount val="1"/>
                <c:pt idx="0">
                  <c:v>Front Right Weight</c:v>
                </c:pt>
              </c:strCache>
            </c:strRef>
          </c:tx>
          <c:spPr>
            <a:ln w="28575" cap="rnd">
              <a:solidFill>
                <a:schemeClr val="accent3"/>
              </a:solidFill>
              <a:round/>
            </a:ln>
            <a:effectLst/>
          </c:spPr>
          <c:marker>
            <c:symbol val="none"/>
          </c:marker>
          <c:dLbls>
            <c:delete val="1"/>
          </c:dLbls>
          <c:val>
            <c:numRef>
              <c:f>'[Excel Systems Calcs Good an Proper 2.xlsx]Sheet1'!$M$165:$M$180</c:f>
              <c:numCache>
                <c:formatCode>General</c:formatCode>
                <c:ptCount val="16"/>
                <c:pt idx="0">
                  <c:v>1489.112604</c:v>
                </c:pt>
                <c:pt idx="1">
                  <c:v>1479.91108120895</c:v>
                </c:pt>
                <c:pt idx="2">
                  <c:v>1470.7095584179</c:v>
                </c:pt>
                <c:pt idx="3">
                  <c:v>1461.50803562686</c:v>
                </c:pt>
                <c:pt idx="4">
                  <c:v>1452.30651283581</c:v>
                </c:pt>
                <c:pt idx="5">
                  <c:v>1443.10499004476</c:v>
                </c:pt>
                <c:pt idx="6">
                  <c:v>1433.90346725371</c:v>
                </c:pt>
                <c:pt idx="7">
                  <c:v>1424.70194446266</c:v>
                </c:pt>
                <c:pt idx="8">
                  <c:v>1415.50042167161</c:v>
                </c:pt>
                <c:pt idx="9">
                  <c:v>1406.29889888057</c:v>
                </c:pt>
                <c:pt idx="10">
                  <c:v>1397.09737608952</c:v>
                </c:pt>
                <c:pt idx="11">
                  <c:v>1387.89585329847</c:v>
                </c:pt>
                <c:pt idx="12">
                  <c:v>1378.69433050742</c:v>
                </c:pt>
                <c:pt idx="13">
                  <c:v>1369.49280771637</c:v>
                </c:pt>
                <c:pt idx="14">
                  <c:v>1360.29128492532</c:v>
                </c:pt>
                <c:pt idx="15">
                  <c:v>1351.08976213428</c:v>
                </c:pt>
              </c:numCache>
            </c:numRef>
          </c:val>
          <c:smooth val="0"/>
        </c:ser>
        <c:dLbls>
          <c:showLegendKey val="0"/>
          <c:showVal val="0"/>
          <c:showCatName val="0"/>
          <c:showSerName val="0"/>
          <c:showPercent val="0"/>
          <c:showBubbleSize val="0"/>
        </c:dLbls>
        <c:marker val="0"/>
        <c:smooth val="0"/>
        <c:axId val="208608176"/>
        <c:axId val="889518424"/>
      </c:lineChart>
      <c:catAx>
        <c:axId val="208608176"/>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889518424"/>
        <c:crosses val="autoZero"/>
        <c:auto val="1"/>
        <c:lblAlgn val="ctr"/>
        <c:lblOffset val="100"/>
        <c:noMultiLvlLbl val="0"/>
      </c:catAx>
      <c:valAx>
        <c:axId val="889518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208608176"/>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lang="en-GB" altLang="en-US"/>
              <a:t>Rear Left and Rear Right weight transfer Under Maximum Combined G Force</a:t>
            </a:r>
            <a:endParaRPr lang="en-GB" altLang="en-US"/>
          </a:p>
        </c:rich>
      </c:tx>
      <c:layout/>
      <c:overlay val="0"/>
      <c:spPr>
        <a:noFill/>
        <a:ln>
          <a:noFill/>
        </a:ln>
        <a:effectLst/>
      </c:spPr>
    </c:title>
    <c:autoTitleDeleted val="0"/>
    <c:plotArea>
      <c:layout/>
      <c:lineChart>
        <c:grouping val="standard"/>
        <c:varyColors val="0"/>
        <c:ser>
          <c:idx val="1"/>
          <c:order val="0"/>
          <c:tx>
            <c:strRef>
              <c:f>'[Excel Systems Calcs Good an Proper 2.xlsx]Sheet1'!$F$181</c:f>
              <c:strCache>
                <c:ptCount val="1"/>
                <c:pt idx="0">
                  <c:v>Rear Left Weight</c:v>
                </c:pt>
              </c:strCache>
            </c:strRef>
          </c:tx>
          <c:spPr>
            <a:ln w="28575" cap="rnd">
              <a:solidFill>
                <a:schemeClr val="accent2"/>
              </a:solidFill>
              <a:round/>
            </a:ln>
            <a:effectLst/>
          </c:spPr>
          <c:marker>
            <c:symbol val="none"/>
          </c:marker>
          <c:dLbls>
            <c:delete val="1"/>
          </c:dLbls>
          <c:val>
            <c:numRef>
              <c:f>'[Excel Systems Calcs Good an Proper 2.xlsx]Sheet1'!$F$182:$F$197</c:f>
              <c:numCache>
                <c:formatCode>General</c:formatCode>
                <c:ptCount val="16"/>
                <c:pt idx="0">
                  <c:v>1665.231804</c:v>
                </c:pt>
                <c:pt idx="1">
                  <c:v>1674.1876408389</c:v>
                </c:pt>
                <c:pt idx="2">
                  <c:v>1683.14347767781</c:v>
                </c:pt>
                <c:pt idx="3">
                  <c:v>1692.09931451671</c:v>
                </c:pt>
                <c:pt idx="4">
                  <c:v>1701.05515135562</c:v>
                </c:pt>
                <c:pt idx="5">
                  <c:v>1710.01098819452</c:v>
                </c:pt>
                <c:pt idx="6">
                  <c:v>1718.96682503343</c:v>
                </c:pt>
                <c:pt idx="7">
                  <c:v>1727.92266187233</c:v>
                </c:pt>
                <c:pt idx="8">
                  <c:v>1736.87849871124</c:v>
                </c:pt>
                <c:pt idx="9">
                  <c:v>1745.83433555014</c:v>
                </c:pt>
                <c:pt idx="10">
                  <c:v>1754.79017238905</c:v>
                </c:pt>
                <c:pt idx="11">
                  <c:v>1763.74600922795</c:v>
                </c:pt>
                <c:pt idx="12">
                  <c:v>1772.70184606686</c:v>
                </c:pt>
                <c:pt idx="13">
                  <c:v>1781.65768290576</c:v>
                </c:pt>
                <c:pt idx="14">
                  <c:v>1790.61351974467</c:v>
                </c:pt>
                <c:pt idx="15">
                  <c:v>1799.56935658357</c:v>
                </c:pt>
              </c:numCache>
            </c:numRef>
          </c:val>
          <c:smooth val="0"/>
        </c:ser>
        <c:ser>
          <c:idx val="2"/>
          <c:order val="1"/>
          <c:tx>
            <c:strRef>
              <c:f>'[Excel Systems Calcs Good an Proper 2.xlsx]Sheet1'!$M$181</c:f>
              <c:strCache>
                <c:ptCount val="1"/>
                <c:pt idx="0">
                  <c:v>Rear Right Weight</c:v>
                </c:pt>
              </c:strCache>
            </c:strRef>
          </c:tx>
          <c:spPr>
            <a:ln w="28575" cap="rnd">
              <a:solidFill>
                <a:schemeClr val="accent3"/>
              </a:solidFill>
              <a:round/>
            </a:ln>
            <a:effectLst/>
          </c:spPr>
          <c:marker>
            <c:symbol val="none"/>
          </c:marker>
          <c:dLbls>
            <c:delete val="1"/>
          </c:dLbls>
          <c:val>
            <c:numRef>
              <c:f>'[Excel Systems Calcs Good an Proper 2.xlsx]Sheet1'!$M$182:$M$197</c:f>
              <c:numCache>
                <c:formatCode>General</c:formatCode>
                <c:ptCount val="16"/>
                <c:pt idx="0">
                  <c:v>1599.928596</c:v>
                </c:pt>
                <c:pt idx="1">
                  <c:v>1587.7174202952</c:v>
                </c:pt>
                <c:pt idx="2">
                  <c:v>1575.50624459039</c:v>
                </c:pt>
                <c:pt idx="3">
                  <c:v>1563.29506888559</c:v>
                </c:pt>
                <c:pt idx="4">
                  <c:v>1551.08389318079</c:v>
                </c:pt>
                <c:pt idx="5">
                  <c:v>1538.87271747598</c:v>
                </c:pt>
                <c:pt idx="6">
                  <c:v>1526.66154177118</c:v>
                </c:pt>
                <c:pt idx="7">
                  <c:v>1514.45036606637</c:v>
                </c:pt>
                <c:pt idx="8">
                  <c:v>1502.23919036157</c:v>
                </c:pt>
                <c:pt idx="9">
                  <c:v>1490.02801465677</c:v>
                </c:pt>
                <c:pt idx="10">
                  <c:v>1477.81683895196</c:v>
                </c:pt>
                <c:pt idx="11">
                  <c:v>1465.60566324716</c:v>
                </c:pt>
                <c:pt idx="12">
                  <c:v>1453.39448754236</c:v>
                </c:pt>
                <c:pt idx="13">
                  <c:v>1441.18331183755</c:v>
                </c:pt>
                <c:pt idx="14">
                  <c:v>1428.97213613275</c:v>
                </c:pt>
                <c:pt idx="15">
                  <c:v>1416.76096042794</c:v>
                </c:pt>
              </c:numCache>
            </c:numRef>
          </c:val>
          <c:smooth val="0"/>
        </c:ser>
        <c:dLbls>
          <c:showLegendKey val="0"/>
          <c:showVal val="0"/>
          <c:showCatName val="0"/>
          <c:showSerName val="0"/>
          <c:showPercent val="0"/>
          <c:showBubbleSize val="0"/>
        </c:dLbls>
        <c:marker val="0"/>
        <c:smooth val="0"/>
        <c:axId val="807588927"/>
        <c:axId val="14196122"/>
      </c:lineChart>
      <c:catAx>
        <c:axId val="807588927"/>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4196122"/>
        <c:crosses val="autoZero"/>
        <c:auto val="1"/>
        <c:lblAlgn val="ctr"/>
        <c:lblOffset val="100"/>
        <c:noMultiLvlLbl val="0"/>
      </c:catAx>
      <c:valAx>
        <c:axId val="1419612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807588927"/>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Pages>
  <Words>229</Words>
  <Characters>1310</Characters>
  <Lines>10</Lines>
  <Paragraphs>3</Paragraphs>
  <TotalTime>28</TotalTime>
  <ScaleCrop>false</ScaleCrop>
  <LinksUpToDate>false</LinksUpToDate>
  <CharactersWithSpaces>1536</CharactersWithSpaces>
  <Application>WPS Office_11.2.0.9169_F1E327BC-269C-435d-A152-05C5408002CA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2020-03-17T22:39:00Z</dcterms:created>
  <dc:creator>Ethan Johnson (1902940)</dc:creator>
  <cp:lastModifiedBy>jbro</cp:lastModifiedBy>
  <dcterms:modified xsi:type="dcterms:W3CDTF">2020-03-20T15:48:04Z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1033-11.2.0.9169</vt:lpwstr>
  </property>
</Properties>
</file>