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0BAC87" w14:textId="0495D445" w:rsidR="00235DCC" w:rsidRDefault="00235DCC" w:rsidP="00235DCC">
      <w:pPr>
        <w:jc w:val="center"/>
        <w:rPr>
          <w:b/>
          <w:bCs/>
          <w:lang w:val="en-GB"/>
        </w:rPr>
      </w:pPr>
      <w:r w:rsidRPr="00235DCC">
        <w:rPr>
          <w:b/>
          <w:bCs/>
          <w:noProof/>
        </w:rPr>
        <w:drawing>
          <wp:inline distT="0" distB="0" distL="0" distR="0" wp14:anchorId="02FD0CBF" wp14:editId="40DEBF46">
            <wp:extent cx="4122420" cy="1367155"/>
            <wp:effectExtent l="0" t="0" r="0" b="4445"/>
            <wp:docPr id="5" name="Picture 4" descr="A black background with white text&#10;&#10;AI-generated content may be incorrect.">
              <a:extLst xmlns:a="http://schemas.openxmlformats.org/drawingml/2006/main">
                <a:ext uri="{FF2B5EF4-FFF2-40B4-BE49-F238E27FC236}">
                  <a16:creationId xmlns:a16="http://schemas.microsoft.com/office/drawing/2014/main" id="{6F99F666-1D63-5BD7-D686-1E478DA8A6D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A black background with white text&#10;&#10;AI-generated content may be incorrect.">
                      <a:extLst>
                        <a:ext uri="{FF2B5EF4-FFF2-40B4-BE49-F238E27FC236}">
                          <a16:creationId xmlns:a16="http://schemas.microsoft.com/office/drawing/2014/main" id="{6F99F666-1D63-5BD7-D686-1E478DA8A6D9}"/>
                        </a:ext>
                      </a:extLst>
                    </pic:cNvPr>
                    <pic:cNvPicPr>
                      <a:picLocks noChangeAspect="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122420" cy="1367155"/>
                    </a:xfrm>
                    <a:prstGeom prst="rect">
                      <a:avLst/>
                    </a:prstGeom>
                    <a:noFill/>
                  </pic:spPr>
                </pic:pic>
              </a:graphicData>
            </a:graphic>
          </wp:inline>
        </w:drawing>
      </w:r>
    </w:p>
    <w:p w14:paraId="3E759EDC" w14:textId="77777777" w:rsidR="00235DCC" w:rsidRPr="00235DCC" w:rsidRDefault="00235DCC" w:rsidP="00235DCC">
      <w:pPr>
        <w:jc w:val="center"/>
        <w:rPr>
          <w:b/>
          <w:bCs/>
          <w:lang w:val="en-GB"/>
        </w:rPr>
      </w:pPr>
      <w:r w:rsidRPr="00235DCC">
        <w:rPr>
          <w:b/>
          <w:bCs/>
        </w:rPr>
        <w:t>BA (Hons) Business Management</w:t>
      </w:r>
      <w:r w:rsidRPr="00235DCC">
        <w:rPr>
          <w:b/>
          <w:bCs/>
          <w:lang w:val="en-GB"/>
        </w:rPr>
        <w:br/>
        <w:t>International Business Communications</w:t>
      </w:r>
      <w:r w:rsidRPr="00235DCC">
        <w:rPr>
          <w:b/>
          <w:bCs/>
          <w:lang w:val="en-GB"/>
        </w:rPr>
        <w:br/>
        <w:t>LCBB6023</w:t>
      </w:r>
    </w:p>
    <w:p w14:paraId="67226C3F" w14:textId="77777777" w:rsidR="00235DCC" w:rsidRDefault="00235DCC" w:rsidP="00235DCC">
      <w:pPr>
        <w:jc w:val="center"/>
        <w:rPr>
          <w:b/>
          <w:bCs/>
          <w:lang w:val="en-GB"/>
        </w:rPr>
      </w:pPr>
    </w:p>
    <w:p w14:paraId="6EA03E76" w14:textId="5409CAEF" w:rsidR="00656EE9" w:rsidRPr="00235DCC" w:rsidRDefault="00656EE9" w:rsidP="00235DCC">
      <w:pPr>
        <w:jc w:val="center"/>
        <w:rPr>
          <w:b/>
          <w:bCs/>
          <w:sz w:val="32"/>
          <w:szCs w:val="32"/>
          <w:lang w:val="en-GB"/>
        </w:rPr>
      </w:pPr>
      <w:r w:rsidRPr="00235DCC">
        <w:rPr>
          <w:b/>
          <w:bCs/>
          <w:sz w:val="32"/>
          <w:szCs w:val="32"/>
          <w:lang w:val="en-GB"/>
        </w:rPr>
        <w:t>Evaluating Cross-Cultural Communication between British and Japanese Teams: The Strategic Partnership between Arm and Panasonic Automotive Systems</w:t>
      </w:r>
    </w:p>
    <w:p w14:paraId="73BC3B83" w14:textId="77777777" w:rsidR="00656EE9" w:rsidRPr="00235DCC" w:rsidRDefault="00656EE9" w:rsidP="00235DCC">
      <w:pPr>
        <w:jc w:val="center"/>
        <w:rPr>
          <w:b/>
          <w:bCs/>
          <w:sz w:val="32"/>
          <w:szCs w:val="32"/>
          <w:lang w:val="en-GB"/>
        </w:rPr>
      </w:pPr>
    </w:p>
    <w:p w14:paraId="4B01327F" w14:textId="77777777" w:rsidR="00656EE9" w:rsidRDefault="00656EE9" w:rsidP="00656EE9">
      <w:pPr>
        <w:rPr>
          <w:b/>
          <w:bCs/>
          <w:lang w:val="en-GB"/>
        </w:rPr>
      </w:pPr>
    </w:p>
    <w:p w14:paraId="4706F079" w14:textId="77777777" w:rsidR="00656EE9" w:rsidRDefault="00656EE9" w:rsidP="00656EE9">
      <w:pPr>
        <w:rPr>
          <w:b/>
          <w:bCs/>
          <w:lang w:val="en-GB"/>
        </w:rPr>
      </w:pPr>
    </w:p>
    <w:p w14:paraId="018D8B94" w14:textId="77777777" w:rsidR="00656EE9" w:rsidRDefault="00656EE9" w:rsidP="00656EE9">
      <w:pPr>
        <w:rPr>
          <w:b/>
          <w:bCs/>
          <w:lang w:val="en-GB"/>
        </w:rPr>
      </w:pPr>
    </w:p>
    <w:p w14:paraId="129DE88B" w14:textId="77777777" w:rsidR="00656EE9" w:rsidRDefault="00656EE9" w:rsidP="00656EE9">
      <w:pPr>
        <w:rPr>
          <w:b/>
          <w:bCs/>
          <w:lang w:val="en-GB"/>
        </w:rPr>
      </w:pPr>
    </w:p>
    <w:p w14:paraId="3A7267C8" w14:textId="77777777" w:rsidR="00656EE9" w:rsidRDefault="00656EE9" w:rsidP="00656EE9">
      <w:pPr>
        <w:rPr>
          <w:b/>
          <w:bCs/>
          <w:lang w:val="en-GB"/>
        </w:rPr>
      </w:pPr>
    </w:p>
    <w:p w14:paraId="60539E63" w14:textId="77777777" w:rsidR="00235DCC" w:rsidRPr="00235DCC" w:rsidRDefault="00235DCC" w:rsidP="00235DCC">
      <w:pPr>
        <w:rPr>
          <w:b/>
          <w:bCs/>
          <w:lang w:val="en-GB"/>
        </w:rPr>
      </w:pPr>
      <w:r w:rsidRPr="00235DCC">
        <w:rPr>
          <w:b/>
          <w:bCs/>
        </w:rPr>
        <w:t>Student Name: Carmen Antal-Berbecaru</w:t>
      </w:r>
    </w:p>
    <w:p w14:paraId="02F01E46" w14:textId="77777777" w:rsidR="00235DCC" w:rsidRPr="00235DCC" w:rsidRDefault="00235DCC" w:rsidP="00235DCC">
      <w:pPr>
        <w:rPr>
          <w:b/>
          <w:bCs/>
          <w:lang w:val="en-GB"/>
        </w:rPr>
      </w:pPr>
      <w:r w:rsidRPr="00235DCC">
        <w:rPr>
          <w:b/>
          <w:bCs/>
        </w:rPr>
        <w:t>Student Number: 2242917</w:t>
      </w:r>
    </w:p>
    <w:p w14:paraId="50C622E5" w14:textId="77777777" w:rsidR="00235DCC" w:rsidRDefault="00235DCC" w:rsidP="00235DCC">
      <w:pPr>
        <w:rPr>
          <w:b/>
          <w:bCs/>
          <w:lang w:val="en-GB"/>
        </w:rPr>
      </w:pPr>
      <w:r w:rsidRPr="00235DCC">
        <w:rPr>
          <w:b/>
          <w:bCs/>
        </w:rPr>
        <w:t xml:space="preserve">Lecturer Name: </w:t>
      </w:r>
      <w:r w:rsidRPr="00235DCC">
        <w:rPr>
          <w:b/>
          <w:bCs/>
          <w:lang w:val="en-GB"/>
        </w:rPr>
        <w:t>Afzal Munna Rexon Nting</w:t>
      </w:r>
    </w:p>
    <w:p w14:paraId="2CCEC070" w14:textId="77777777" w:rsidR="00235DCC" w:rsidRDefault="00235DCC" w:rsidP="00235DCC">
      <w:pPr>
        <w:rPr>
          <w:b/>
          <w:bCs/>
          <w:lang w:val="en-GB"/>
        </w:rPr>
      </w:pPr>
    </w:p>
    <w:p w14:paraId="6B4DDA80" w14:textId="77777777" w:rsidR="00235DCC" w:rsidRDefault="00235DCC" w:rsidP="00235DCC">
      <w:pPr>
        <w:rPr>
          <w:b/>
          <w:bCs/>
          <w:lang w:val="en-GB"/>
        </w:rPr>
      </w:pPr>
    </w:p>
    <w:p w14:paraId="196EB137" w14:textId="77777777" w:rsidR="00235DCC" w:rsidRDefault="00235DCC" w:rsidP="00235DCC">
      <w:pPr>
        <w:rPr>
          <w:b/>
          <w:bCs/>
          <w:lang w:val="en-GB"/>
        </w:rPr>
      </w:pPr>
    </w:p>
    <w:p w14:paraId="50FB534D" w14:textId="77777777" w:rsidR="00235DCC" w:rsidRDefault="00235DCC" w:rsidP="00235DCC">
      <w:pPr>
        <w:rPr>
          <w:b/>
          <w:bCs/>
          <w:lang w:val="en-GB"/>
        </w:rPr>
      </w:pPr>
    </w:p>
    <w:p w14:paraId="1EAE923F" w14:textId="77777777" w:rsidR="00235DCC" w:rsidRDefault="00235DCC" w:rsidP="00235DCC">
      <w:pPr>
        <w:rPr>
          <w:b/>
          <w:bCs/>
          <w:lang w:val="en-GB"/>
        </w:rPr>
      </w:pPr>
    </w:p>
    <w:p w14:paraId="7607E1C6" w14:textId="77777777" w:rsidR="00235DCC" w:rsidRPr="00235DCC" w:rsidRDefault="00235DCC" w:rsidP="00235DCC">
      <w:pPr>
        <w:jc w:val="center"/>
        <w:rPr>
          <w:b/>
          <w:bCs/>
          <w:lang w:val="en-GB"/>
        </w:rPr>
      </w:pPr>
      <w:r w:rsidRPr="00235DCC">
        <w:rPr>
          <w:b/>
          <w:bCs/>
        </w:rPr>
        <w:t>Session: July 2026 Term 1</w:t>
      </w:r>
    </w:p>
    <w:p w14:paraId="1424C5D2" w14:textId="77777777" w:rsidR="00656EE9" w:rsidRDefault="00656EE9" w:rsidP="00656EE9">
      <w:pPr>
        <w:rPr>
          <w:b/>
          <w:bCs/>
          <w:lang w:val="en-GB"/>
        </w:rPr>
      </w:pPr>
    </w:p>
    <w:p w14:paraId="7BDBA65E" w14:textId="77777777" w:rsidR="00656EE9" w:rsidRDefault="00656EE9" w:rsidP="00656EE9">
      <w:pPr>
        <w:rPr>
          <w:b/>
          <w:bCs/>
          <w:lang w:val="en-GB"/>
        </w:rPr>
      </w:pPr>
    </w:p>
    <w:p w14:paraId="3DED8EC9" w14:textId="77777777" w:rsidR="00656EE9" w:rsidRDefault="00656EE9" w:rsidP="00656EE9">
      <w:pPr>
        <w:rPr>
          <w:b/>
          <w:bCs/>
          <w:lang w:val="en-GB"/>
        </w:rPr>
      </w:pPr>
    </w:p>
    <w:sdt>
      <w:sdtPr>
        <w:rPr>
          <w:rFonts w:ascii="Arial" w:eastAsia="Times New Roman" w:hAnsi="Arial" w:cs="Arial"/>
          <w:color w:val="auto"/>
          <w:sz w:val="24"/>
          <w:szCs w:val="24"/>
        </w:rPr>
        <w:id w:val="1879661591"/>
        <w:docPartObj>
          <w:docPartGallery w:val="Table of Contents"/>
          <w:docPartUnique/>
        </w:docPartObj>
      </w:sdtPr>
      <w:sdtEndPr>
        <w:rPr>
          <w:b/>
          <w:bCs/>
          <w:noProof/>
        </w:rPr>
      </w:sdtEndPr>
      <w:sdtContent>
        <w:p w14:paraId="0FE63DEA" w14:textId="17F1F306" w:rsidR="005F6137" w:rsidRDefault="005F6137" w:rsidP="00235DCC">
          <w:pPr>
            <w:pStyle w:val="TOCHeading"/>
            <w:rPr>
              <w:rFonts w:ascii="Arial" w:hAnsi="Arial" w:cs="Arial"/>
              <w:color w:val="auto"/>
              <w:sz w:val="24"/>
              <w:szCs w:val="24"/>
            </w:rPr>
          </w:pPr>
          <w:r w:rsidRPr="005F6137">
            <w:rPr>
              <w:rFonts w:ascii="Arial" w:hAnsi="Arial" w:cs="Arial"/>
              <w:color w:val="auto"/>
              <w:sz w:val="24"/>
              <w:szCs w:val="24"/>
            </w:rPr>
            <w:t>Contents</w:t>
          </w:r>
        </w:p>
        <w:p w14:paraId="2AC8D1FB" w14:textId="77777777" w:rsidR="00235DCC" w:rsidRPr="00235DCC" w:rsidRDefault="00235DCC" w:rsidP="00235DCC"/>
        <w:p w14:paraId="7169C938" w14:textId="2EA062E8" w:rsidR="00516FE0" w:rsidRDefault="005F6137">
          <w:pPr>
            <w:pStyle w:val="TOC1"/>
            <w:tabs>
              <w:tab w:val="right" w:leader="dot" w:pos="9016"/>
            </w:tabs>
            <w:rPr>
              <w:rFonts w:asciiTheme="minorHAnsi" w:eastAsiaTheme="minorEastAsia" w:hAnsiTheme="minorHAnsi"/>
              <w:noProof/>
              <w:kern w:val="2"/>
              <w:szCs w:val="24"/>
              <w:lang w:val="en-GB" w:eastAsia="en-GB"/>
              <w14:ligatures w14:val="standardContextual"/>
            </w:rPr>
          </w:pPr>
          <w:r w:rsidRPr="005F6137">
            <w:rPr>
              <w:rFonts w:cs="Arial"/>
              <w:szCs w:val="24"/>
            </w:rPr>
            <w:fldChar w:fldCharType="begin"/>
          </w:r>
          <w:r w:rsidRPr="005F6137">
            <w:rPr>
              <w:rFonts w:cs="Arial"/>
              <w:szCs w:val="24"/>
            </w:rPr>
            <w:instrText xml:space="preserve"> TOC \o "1-3" \h \z \u </w:instrText>
          </w:r>
          <w:r w:rsidRPr="005F6137">
            <w:rPr>
              <w:rFonts w:cs="Arial"/>
              <w:szCs w:val="24"/>
            </w:rPr>
            <w:fldChar w:fldCharType="separate"/>
          </w:r>
          <w:hyperlink w:anchor="_Toc238137164" w:history="1">
            <w:r w:rsidR="00516FE0" w:rsidRPr="000C716F">
              <w:rPr>
                <w:rStyle w:val="Hyperlink"/>
                <w:noProof/>
              </w:rPr>
              <w:t>1. Introduction and Organisational Context</w:t>
            </w:r>
            <w:r w:rsidR="00516FE0">
              <w:rPr>
                <w:noProof/>
                <w:webHidden/>
              </w:rPr>
              <w:tab/>
            </w:r>
            <w:r w:rsidR="00516FE0">
              <w:rPr>
                <w:noProof/>
                <w:webHidden/>
              </w:rPr>
              <w:fldChar w:fldCharType="begin"/>
            </w:r>
            <w:r w:rsidR="00516FE0">
              <w:rPr>
                <w:noProof/>
                <w:webHidden/>
              </w:rPr>
              <w:instrText xml:space="preserve"> PAGEREF _Toc238137164 \h </w:instrText>
            </w:r>
            <w:r w:rsidR="00516FE0">
              <w:rPr>
                <w:noProof/>
                <w:webHidden/>
              </w:rPr>
            </w:r>
            <w:r w:rsidR="00516FE0">
              <w:rPr>
                <w:noProof/>
                <w:webHidden/>
              </w:rPr>
              <w:fldChar w:fldCharType="separate"/>
            </w:r>
            <w:r w:rsidR="00516FE0">
              <w:rPr>
                <w:noProof/>
                <w:webHidden/>
              </w:rPr>
              <w:t>3</w:t>
            </w:r>
            <w:r w:rsidR="00516FE0">
              <w:rPr>
                <w:noProof/>
                <w:webHidden/>
              </w:rPr>
              <w:fldChar w:fldCharType="end"/>
            </w:r>
          </w:hyperlink>
        </w:p>
        <w:p w14:paraId="025952FF" w14:textId="2CDCC8AC" w:rsidR="00516FE0" w:rsidRDefault="00516FE0">
          <w:pPr>
            <w:pStyle w:val="TOC1"/>
            <w:tabs>
              <w:tab w:val="right" w:leader="dot" w:pos="9016"/>
            </w:tabs>
            <w:rPr>
              <w:rFonts w:asciiTheme="minorHAnsi" w:eastAsiaTheme="minorEastAsia" w:hAnsiTheme="minorHAnsi"/>
              <w:noProof/>
              <w:kern w:val="2"/>
              <w:szCs w:val="24"/>
              <w:lang w:val="en-GB" w:eastAsia="en-GB"/>
              <w14:ligatures w14:val="standardContextual"/>
            </w:rPr>
          </w:pPr>
          <w:hyperlink w:anchor="_Toc238137165" w:history="1">
            <w:r w:rsidRPr="000C716F">
              <w:rPr>
                <w:rStyle w:val="Hyperlink"/>
                <w:noProof/>
              </w:rPr>
              <w:t>2. Theoretical Framework: Insight without Determinism</w:t>
            </w:r>
            <w:r>
              <w:rPr>
                <w:noProof/>
                <w:webHidden/>
              </w:rPr>
              <w:tab/>
            </w:r>
            <w:r>
              <w:rPr>
                <w:noProof/>
                <w:webHidden/>
              </w:rPr>
              <w:fldChar w:fldCharType="begin"/>
            </w:r>
            <w:r>
              <w:rPr>
                <w:noProof/>
                <w:webHidden/>
              </w:rPr>
              <w:instrText xml:space="preserve"> PAGEREF _Toc238137165 \h </w:instrText>
            </w:r>
            <w:r>
              <w:rPr>
                <w:noProof/>
                <w:webHidden/>
              </w:rPr>
            </w:r>
            <w:r>
              <w:rPr>
                <w:noProof/>
                <w:webHidden/>
              </w:rPr>
              <w:fldChar w:fldCharType="separate"/>
            </w:r>
            <w:r>
              <w:rPr>
                <w:noProof/>
                <w:webHidden/>
              </w:rPr>
              <w:t>3</w:t>
            </w:r>
            <w:r>
              <w:rPr>
                <w:noProof/>
                <w:webHidden/>
              </w:rPr>
              <w:fldChar w:fldCharType="end"/>
            </w:r>
          </w:hyperlink>
        </w:p>
        <w:p w14:paraId="37D1B89C" w14:textId="213C33DB" w:rsidR="00516FE0" w:rsidRDefault="00516FE0">
          <w:pPr>
            <w:pStyle w:val="TOC1"/>
            <w:tabs>
              <w:tab w:val="right" w:leader="dot" w:pos="9016"/>
            </w:tabs>
            <w:rPr>
              <w:rFonts w:asciiTheme="minorHAnsi" w:eastAsiaTheme="minorEastAsia" w:hAnsiTheme="minorHAnsi"/>
              <w:noProof/>
              <w:kern w:val="2"/>
              <w:szCs w:val="24"/>
              <w:lang w:val="en-GB" w:eastAsia="en-GB"/>
              <w14:ligatures w14:val="standardContextual"/>
            </w:rPr>
          </w:pPr>
          <w:hyperlink w:anchor="_Toc238137166" w:history="1">
            <w:r w:rsidRPr="000C716F">
              <w:rPr>
                <w:rStyle w:val="Hyperlink"/>
                <w:noProof/>
              </w:rPr>
              <w:t>3. Communication Differences and Project Risks</w:t>
            </w:r>
            <w:r>
              <w:rPr>
                <w:noProof/>
                <w:webHidden/>
              </w:rPr>
              <w:tab/>
            </w:r>
            <w:r>
              <w:rPr>
                <w:noProof/>
                <w:webHidden/>
              </w:rPr>
              <w:fldChar w:fldCharType="begin"/>
            </w:r>
            <w:r>
              <w:rPr>
                <w:noProof/>
                <w:webHidden/>
              </w:rPr>
              <w:instrText xml:space="preserve"> PAGEREF _Toc238137166 \h </w:instrText>
            </w:r>
            <w:r>
              <w:rPr>
                <w:noProof/>
                <w:webHidden/>
              </w:rPr>
            </w:r>
            <w:r>
              <w:rPr>
                <w:noProof/>
                <w:webHidden/>
              </w:rPr>
              <w:fldChar w:fldCharType="separate"/>
            </w:r>
            <w:r>
              <w:rPr>
                <w:noProof/>
                <w:webHidden/>
              </w:rPr>
              <w:t>5</w:t>
            </w:r>
            <w:r>
              <w:rPr>
                <w:noProof/>
                <w:webHidden/>
              </w:rPr>
              <w:fldChar w:fldCharType="end"/>
            </w:r>
          </w:hyperlink>
        </w:p>
        <w:p w14:paraId="03A40674" w14:textId="586DAB52" w:rsidR="00516FE0" w:rsidRDefault="00516FE0">
          <w:pPr>
            <w:pStyle w:val="TOC2"/>
            <w:tabs>
              <w:tab w:val="right" w:leader="dot" w:pos="9016"/>
            </w:tabs>
            <w:rPr>
              <w:rFonts w:asciiTheme="minorHAnsi" w:eastAsiaTheme="minorEastAsia" w:hAnsiTheme="minorHAnsi"/>
              <w:noProof/>
              <w:kern w:val="2"/>
              <w:szCs w:val="24"/>
              <w:lang w:val="en-GB" w:eastAsia="en-GB"/>
              <w14:ligatures w14:val="standardContextual"/>
            </w:rPr>
          </w:pPr>
          <w:hyperlink w:anchor="_Toc238137167" w:history="1">
            <w:r w:rsidRPr="000C716F">
              <w:rPr>
                <w:rStyle w:val="Hyperlink"/>
                <w:noProof/>
              </w:rPr>
              <w:t>3.1 Explicitness, Silence and Disagreement</w:t>
            </w:r>
            <w:r>
              <w:rPr>
                <w:noProof/>
                <w:webHidden/>
              </w:rPr>
              <w:tab/>
            </w:r>
            <w:r>
              <w:rPr>
                <w:noProof/>
                <w:webHidden/>
              </w:rPr>
              <w:fldChar w:fldCharType="begin"/>
            </w:r>
            <w:r>
              <w:rPr>
                <w:noProof/>
                <w:webHidden/>
              </w:rPr>
              <w:instrText xml:space="preserve"> PAGEREF _Toc238137167 \h </w:instrText>
            </w:r>
            <w:r>
              <w:rPr>
                <w:noProof/>
                <w:webHidden/>
              </w:rPr>
            </w:r>
            <w:r>
              <w:rPr>
                <w:noProof/>
                <w:webHidden/>
              </w:rPr>
              <w:fldChar w:fldCharType="separate"/>
            </w:r>
            <w:r>
              <w:rPr>
                <w:noProof/>
                <w:webHidden/>
              </w:rPr>
              <w:t>5</w:t>
            </w:r>
            <w:r>
              <w:rPr>
                <w:noProof/>
                <w:webHidden/>
              </w:rPr>
              <w:fldChar w:fldCharType="end"/>
            </w:r>
          </w:hyperlink>
        </w:p>
        <w:p w14:paraId="46984916" w14:textId="2B81ED41" w:rsidR="00516FE0" w:rsidRDefault="00516FE0">
          <w:pPr>
            <w:pStyle w:val="TOC2"/>
            <w:tabs>
              <w:tab w:val="right" w:leader="dot" w:pos="9016"/>
            </w:tabs>
            <w:rPr>
              <w:rFonts w:asciiTheme="minorHAnsi" w:eastAsiaTheme="minorEastAsia" w:hAnsiTheme="minorHAnsi"/>
              <w:noProof/>
              <w:kern w:val="2"/>
              <w:szCs w:val="24"/>
              <w:lang w:val="en-GB" w:eastAsia="en-GB"/>
              <w14:ligatures w14:val="standardContextual"/>
            </w:rPr>
          </w:pPr>
          <w:hyperlink w:anchor="_Toc238137168" w:history="1">
            <w:r w:rsidRPr="000C716F">
              <w:rPr>
                <w:rStyle w:val="Hyperlink"/>
                <w:noProof/>
              </w:rPr>
              <w:t>3.2 Meetings, Hierarchy and Decision-Making</w:t>
            </w:r>
            <w:r>
              <w:rPr>
                <w:noProof/>
                <w:webHidden/>
              </w:rPr>
              <w:tab/>
            </w:r>
            <w:r>
              <w:rPr>
                <w:noProof/>
                <w:webHidden/>
              </w:rPr>
              <w:fldChar w:fldCharType="begin"/>
            </w:r>
            <w:r>
              <w:rPr>
                <w:noProof/>
                <w:webHidden/>
              </w:rPr>
              <w:instrText xml:space="preserve"> PAGEREF _Toc238137168 \h </w:instrText>
            </w:r>
            <w:r>
              <w:rPr>
                <w:noProof/>
                <w:webHidden/>
              </w:rPr>
            </w:r>
            <w:r>
              <w:rPr>
                <w:noProof/>
                <w:webHidden/>
              </w:rPr>
              <w:fldChar w:fldCharType="separate"/>
            </w:r>
            <w:r>
              <w:rPr>
                <w:noProof/>
                <w:webHidden/>
              </w:rPr>
              <w:t>6</w:t>
            </w:r>
            <w:r>
              <w:rPr>
                <w:noProof/>
                <w:webHidden/>
              </w:rPr>
              <w:fldChar w:fldCharType="end"/>
            </w:r>
          </w:hyperlink>
        </w:p>
        <w:p w14:paraId="5B38ACA1" w14:textId="30C84836" w:rsidR="00516FE0" w:rsidRDefault="00516FE0">
          <w:pPr>
            <w:pStyle w:val="TOC2"/>
            <w:tabs>
              <w:tab w:val="right" w:leader="dot" w:pos="9016"/>
            </w:tabs>
            <w:rPr>
              <w:rFonts w:asciiTheme="minorHAnsi" w:eastAsiaTheme="minorEastAsia" w:hAnsiTheme="minorHAnsi"/>
              <w:noProof/>
              <w:kern w:val="2"/>
              <w:szCs w:val="24"/>
              <w:lang w:val="en-GB" w:eastAsia="en-GB"/>
              <w14:ligatures w14:val="standardContextual"/>
            </w:rPr>
          </w:pPr>
          <w:hyperlink w:anchor="_Toc238137169" w:history="1">
            <w:r w:rsidRPr="000C716F">
              <w:rPr>
                <w:rStyle w:val="Hyperlink"/>
                <w:noProof/>
              </w:rPr>
              <w:t>3.3 Feedback, Risk and Time</w:t>
            </w:r>
            <w:r>
              <w:rPr>
                <w:noProof/>
                <w:webHidden/>
              </w:rPr>
              <w:tab/>
            </w:r>
            <w:r>
              <w:rPr>
                <w:noProof/>
                <w:webHidden/>
              </w:rPr>
              <w:fldChar w:fldCharType="begin"/>
            </w:r>
            <w:r>
              <w:rPr>
                <w:noProof/>
                <w:webHidden/>
              </w:rPr>
              <w:instrText xml:space="preserve"> PAGEREF _Toc238137169 \h </w:instrText>
            </w:r>
            <w:r>
              <w:rPr>
                <w:noProof/>
                <w:webHidden/>
              </w:rPr>
            </w:r>
            <w:r>
              <w:rPr>
                <w:noProof/>
                <w:webHidden/>
              </w:rPr>
              <w:fldChar w:fldCharType="separate"/>
            </w:r>
            <w:r>
              <w:rPr>
                <w:noProof/>
                <w:webHidden/>
              </w:rPr>
              <w:t>6</w:t>
            </w:r>
            <w:r>
              <w:rPr>
                <w:noProof/>
                <w:webHidden/>
              </w:rPr>
              <w:fldChar w:fldCharType="end"/>
            </w:r>
          </w:hyperlink>
        </w:p>
        <w:p w14:paraId="28437BF3" w14:textId="6CC95320" w:rsidR="00516FE0" w:rsidRDefault="00516FE0">
          <w:pPr>
            <w:pStyle w:val="TOC2"/>
            <w:tabs>
              <w:tab w:val="right" w:leader="dot" w:pos="9016"/>
            </w:tabs>
            <w:rPr>
              <w:rFonts w:asciiTheme="minorHAnsi" w:eastAsiaTheme="minorEastAsia" w:hAnsiTheme="minorHAnsi"/>
              <w:noProof/>
              <w:kern w:val="2"/>
              <w:szCs w:val="24"/>
              <w:lang w:val="en-GB" w:eastAsia="en-GB"/>
              <w14:ligatures w14:val="standardContextual"/>
            </w:rPr>
          </w:pPr>
          <w:hyperlink w:anchor="_Toc238137170" w:history="1">
            <w:r w:rsidRPr="000C716F">
              <w:rPr>
                <w:rStyle w:val="Hyperlink"/>
                <w:noProof/>
              </w:rPr>
              <w:t>3.4 Language and Digital Communication</w:t>
            </w:r>
            <w:r>
              <w:rPr>
                <w:noProof/>
                <w:webHidden/>
              </w:rPr>
              <w:tab/>
            </w:r>
            <w:r>
              <w:rPr>
                <w:noProof/>
                <w:webHidden/>
              </w:rPr>
              <w:fldChar w:fldCharType="begin"/>
            </w:r>
            <w:r>
              <w:rPr>
                <w:noProof/>
                <w:webHidden/>
              </w:rPr>
              <w:instrText xml:space="preserve"> PAGEREF _Toc238137170 \h </w:instrText>
            </w:r>
            <w:r>
              <w:rPr>
                <w:noProof/>
                <w:webHidden/>
              </w:rPr>
            </w:r>
            <w:r>
              <w:rPr>
                <w:noProof/>
                <w:webHidden/>
              </w:rPr>
              <w:fldChar w:fldCharType="separate"/>
            </w:r>
            <w:r>
              <w:rPr>
                <w:noProof/>
                <w:webHidden/>
              </w:rPr>
              <w:t>7</w:t>
            </w:r>
            <w:r>
              <w:rPr>
                <w:noProof/>
                <w:webHidden/>
              </w:rPr>
              <w:fldChar w:fldCharType="end"/>
            </w:r>
          </w:hyperlink>
        </w:p>
        <w:p w14:paraId="3FF6DC7D" w14:textId="0D440A98" w:rsidR="00516FE0" w:rsidRDefault="00516FE0">
          <w:pPr>
            <w:pStyle w:val="TOC1"/>
            <w:tabs>
              <w:tab w:val="right" w:leader="dot" w:pos="9016"/>
            </w:tabs>
            <w:rPr>
              <w:rFonts w:asciiTheme="minorHAnsi" w:eastAsiaTheme="minorEastAsia" w:hAnsiTheme="minorHAnsi"/>
              <w:noProof/>
              <w:kern w:val="2"/>
              <w:szCs w:val="24"/>
              <w:lang w:val="en-GB" w:eastAsia="en-GB"/>
              <w14:ligatures w14:val="standardContextual"/>
            </w:rPr>
          </w:pPr>
          <w:hyperlink w:anchor="_Toc238137171" w:history="1">
            <w:r w:rsidRPr="000C716F">
              <w:rPr>
                <w:rStyle w:val="Hyperlink"/>
                <w:noProof/>
              </w:rPr>
              <w:t>4. Integrating the Arm and Panasonic Teams</w:t>
            </w:r>
            <w:r>
              <w:rPr>
                <w:noProof/>
                <w:webHidden/>
              </w:rPr>
              <w:tab/>
            </w:r>
            <w:r>
              <w:rPr>
                <w:noProof/>
                <w:webHidden/>
              </w:rPr>
              <w:fldChar w:fldCharType="begin"/>
            </w:r>
            <w:r>
              <w:rPr>
                <w:noProof/>
                <w:webHidden/>
              </w:rPr>
              <w:instrText xml:space="preserve"> PAGEREF _Toc238137171 \h </w:instrText>
            </w:r>
            <w:r>
              <w:rPr>
                <w:noProof/>
                <w:webHidden/>
              </w:rPr>
            </w:r>
            <w:r>
              <w:rPr>
                <w:noProof/>
                <w:webHidden/>
              </w:rPr>
              <w:fldChar w:fldCharType="separate"/>
            </w:r>
            <w:r>
              <w:rPr>
                <w:noProof/>
                <w:webHidden/>
              </w:rPr>
              <w:t>8</w:t>
            </w:r>
            <w:r>
              <w:rPr>
                <w:noProof/>
                <w:webHidden/>
              </w:rPr>
              <w:fldChar w:fldCharType="end"/>
            </w:r>
          </w:hyperlink>
        </w:p>
        <w:p w14:paraId="7C757EA0" w14:textId="58E04B37" w:rsidR="00516FE0" w:rsidRDefault="00516FE0">
          <w:pPr>
            <w:pStyle w:val="TOC1"/>
            <w:tabs>
              <w:tab w:val="right" w:leader="dot" w:pos="9016"/>
            </w:tabs>
            <w:rPr>
              <w:rFonts w:asciiTheme="minorHAnsi" w:eastAsiaTheme="minorEastAsia" w:hAnsiTheme="minorHAnsi"/>
              <w:noProof/>
              <w:kern w:val="2"/>
              <w:szCs w:val="24"/>
              <w:lang w:val="en-GB" w:eastAsia="en-GB"/>
              <w14:ligatures w14:val="standardContextual"/>
            </w:rPr>
          </w:pPr>
          <w:hyperlink w:anchor="_Toc238137172" w:history="1">
            <w:r w:rsidRPr="000C716F">
              <w:rPr>
                <w:rStyle w:val="Hyperlink"/>
                <w:noProof/>
              </w:rPr>
              <w:t>5. Conclusion</w:t>
            </w:r>
            <w:r>
              <w:rPr>
                <w:noProof/>
                <w:webHidden/>
              </w:rPr>
              <w:tab/>
            </w:r>
            <w:r>
              <w:rPr>
                <w:noProof/>
                <w:webHidden/>
              </w:rPr>
              <w:fldChar w:fldCharType="begin"/>
            </w:r>
            <w:r>
              <w:rPr>
                <w:noProof/>
                <w:webHidden/>
              </w:rPr>
              <w:instrText xml:space="preserve"> PAGEREF _Toc238137172 \h </w:instrText>
            </w:r>
            <w:r>
              <w:rPr>
                <w:noProof/>
                <w:webHidden/>
              </w:rPr>
            </w:r>
            <w:r>
              <w:rPr>
                <w:noProof/>
                <w:webHidden/>
              </w:rPr>
              <w:fldChar w:fldCharType="separate"/>
            </w:r>
            <w:r>
              <w:rPr>
                <w:noProof/>
                <w:webHidden/>
              </w:rPr>
              <w:t>9</w:t>
            </w:r>
            <w:r>
              <w:rPr>
                <w:noProof/>
                <w:webHidden/>
              </w:rPr>
              <w:fldChar w:fldCharType="end"/>
            </w:r>
          </w:hyperlink>
        </w:p>
        <w:p w14:paraId="4287AA73" w14:textId="67A39CF4" w:rsidR="00516FE0" w:rsidRDefault="00516FE0">
          <w:pPr>
            <w:pStyle w:val="TOC1"/>
            <w:tabs>
              <w:tab w:val="right" w:leader="dot" w:pos="9016"/>
            </w:tabs>
            <w:rPr>
              <w:rFonts w:asciiTheme="minorHAnsi" w:eastAsiaTheme="minorEastAsia" w:hAnsiTheme="minorHAnsi"/>
              <w:noProof/>
              <w:kern w:val="2"/>
              <w:szCs w:val="24"/>
              <w:lang w:val="en-GB" w:eastAsia="en-GB"/>
              <w14:ligatures w14:val="standardContextual"/>
            </w:rPr>
          </w:pPr>
          <w:hyperlink w:anchor="_Toc238137173" w:history="1">
            <w:r w:rsidRPr="000C716F">
              <w:rPr>
                <w:rStyle w:val="Hyperlink"/>
                <w:noProof/>
              </w:rPr>
              <w:t>Reference List</w:t>
            </w:r>
            <w:r>
              <w:rPr>
                <w:noProof/>
                <w:webHidden/>
              </w:rPr>
              <w:tab/>
            </w:r>
            <w:r>
              <w:rPr>
                <w:noProof/>
                <w:webHidden/>
              </w:rPr>
              <w:fldChar w:fldCharType="begin"/>
            </w:r>
            <w:r>
              <w:rPr>
                <w:noProof/>
                <w:webHidden/>
              </w:rPr>
              <w:instrText xml:space="preserve"> PAGEREF _Toc238137173 \h </w:instrText>
            </w:r>
            <w:r>
              <w:rPr>
                <w:noProof/>
                <w:webHidden/>
              </w:rPr>
            </w:r>
            <w:r>
              <w:rPr>
                <w:noProof/>
                <w:webHidden/>
              </w:rPr>
              <w:fldChar w:fldCharType="separate"/>
            </w:r>
            <w:r>
              <w:rPr>
                <w:noProof/>
                <w:webHidden/>
              </w:rPr>
              <w:t>11</w:t>
            </w:r>
            <w:r>
              <w:rPr>
                <w:noProof/>
                <w:webHidden/>
              </w:rPr>
              <w:fldChar w:fldCharType="end"/>
            </w:r>
          </w:hyperlink>
        </w:p>
        <w:p w14:paraId="0EE1EEC3" w14:textId="69A2CE06" w:rsidR="005F6137" w:rsidRPr="005F6137" w:rsidRDefault="005F6137">
          <w:pPr>
            <w:rPr>
              <w:rFonts w:cs="Arial"/>
              <w:szCs w:val="24"/>
            </w:rPr>
          </w:pPr>
          <w:r w:rsidRPr="005F6137">
            <w:rPr>
              <w:rFonts w:cs="Arial"/>
              <w:b/>
              <w:bCs/>
              <w:noProof/>
              <w:szCs w:val="24"/>
            </w:rPr>
            <w:fldChar w:fldCharType="end"/>
          </w:r>
        </w:p>
      </w:sdtContent>
    </w:sdt>
    <w:p w14:paraId="4D0B8A12" w14:textId="77777777" w:rsidR="00656EE9" w:rsidRDefault="00656EE9" w:rsidP="00656EE9">
      <w:pPr>
        <w:rPr>
          <w:b/>
          <w:bCs/>
          <w:lang w:val="en-GB"/>
        </w:rPr>
      </w:pPr>
    </w:p>
    <w:p w14:paraId="35B18579" w14:textId="77777777" w:rsidR="00656EE9" w:rsidRDefault="00656EE9" w:rsidP="00656EE9">
      <w:pPr>
        <w:rPr>
          <w:b/>
          <w:bCs/>
          <w:lang w:val="en-GB"/>
        </w:rPr>
      </w:pPr>
    </w:p>
    <w:p w14:paraId="01A59B42" w14:textId="77777777" w:rsidR="00656EE9" w:rsidRDefault="00656EE9" w:rsidP="00656EE9">
      <w:pPr>
        <w:rPr>
          <w:b/>
          <w:bCs/>
          <w:lang w:val="en-GB"/>
        </w:rPr>
      </w:pPr>
    </w:p>
    <w:p w14:paraId="0185F28F" w14:textId="77777777" w:rsidR="00656EE9" w:rsidRDefault="00656EE9" w:rsidP="00656EE9">
      <w:pPr>
        <w:rPr>
          <w:b/>
          <w:bCs/>
          <w:lang w:val="en-GB"/>
        </w:rPr>
      </w:pPr>
    </w:p>
    <w:p w14:paraId="29022002" w14:textId="77777777" w:rsidR="00656EE9" w:rsidRDefault="00656EE9" w:rsidP="00656EE9">
      <w:pPr>
        <w:rPr>
          <w:b/>
          <w:bCs/>
          <w:lang w:val="en-GB"/>
        </w:rPr>
      </w:pPr>
    </w:p>
    <w:p w14:paraId="04EB8088" w14:textId="77777777" w:rsidR="00656EE9" w:rsidRDefault="00656EE9" w:rsidP="00656EE9">
      <w:pPr>
        <w:rPr>
          <w:b/>
          <w:bCs/>
          <w:lang w:val="en-GB"/>
        </w:rPr>
      </w:pPr>
    </w:p>
    <w:p w14:paraId="19111999" w14:textId="77777777" w:rsidR="00656EE9" w:rsidRDefault="00656EE9" w:rsidP="00656EE9">
      <w:pPr>
        <w:rPr>
          <w:b/>
          <w:bCs/>
          <w:lang w:val="en-GB"/>
        </w:rPr>
      </w:pPr>
    </w:p>
    <w:p w14:paraId="34C29AE4" w14:textId="77777777" w:rsidR="00656EE9" w:rsidRDefault="00656EE9" w:rsidP="00656EE9">
      <w:pPr>
        <w:rPr>
          <w:b/>
          <w:bCs/>
          <w:lang w:val="en-GB"/>
        </w:rPr>
      </w:pPr>
    </w:p>
    <w:p w14:paraId="72F3FF70" w14:textId="77777777" w:rsidR="00656EE9" w:rsidRDefault="00656EE9" w:rsidP="00656EE9">
      <w:pPr>
        <w:rPr>
          <w:b/>
          <w:bCs/>
          <w:lang w:val="en-GB"/>
        </w:rPr>
      </w:pPr>
    </w:p>
    <w:p w14:paraId="35329377" w14:textId="77777777" w:rsidR="00656EE9" w:rsidRDefault="00656EE9" w:rsidP="00656EE9">
      <w:pPr>
        <w:rPr>
          <w:b/>
          <w:bCs/>
          <w:lang w:val="en-GB"/>
        </w:rPr>
      </w:pPr>
    </w:p>
    <w:p w14:paraId="4231556C" w14:textId="77777777" w:rsidR="00235DCC" w:rsidRDefault="00235DCC" w:rsidP="00656EE9">
      <w:pPr>
        <w:rPr>
          <w:b/>
          <w:bCs/>
          <w:lang w:val="en-GB"/>
        </w:rPr>
      </w:pPr>
    </w:p>
    <w:p w14:paraId="1312B0B7" w14:textId="77777777" w:rsidR="00235DCC" w:rsidRDefault="00235DCC" w:rsidP="00656EE9">
      <w:pPr>
        <w:rPr>
          <w:b/>
          <w:bCs/>
          <w:lang w:val="en-GB"/>
        </w:rPr>
      </w:pPr>
    </w:p>
    <w:p w14:paraId="6166CF4E" w14:textId="77777777" w:rsidR="00235DCC" w:rsidRDefault="00235DCC" w:rsidP="00656EE9">
      <w:pPr>
        <w:rPr>
          <w:b/>
          <w:bCs/>
          <w:lang w:val="en-GB"/>
        </w:rPr>
      </w:pPr>
    </w:p>
    <w:p w14:paraId="21751AED" w14:textId="00C58958" w:rsidR="00656EE9" w:rsidRPr="00656EE9" w:rsidRDefault="00656EE9" w:rsidP="00656EE9">
      <w:pPr>
        <w:pStyle w:val="Heading1"/>
      </w:pPr>
      <w:bookmarkStart w:id="0" w:name="_Toc238137164"/>
      <w:r w:rsidRPr="00656EE9">
        <w:lastRenderedPageBreak/>
        <w:t>1. Introduction and Organisational Context</w:t>
      </w:r>
      <w:bookmarkEnd w:id="0"/>
    </w:p>
    <w:p w14:paraId="2496AF32" w14:textId="58CF8E3E" w:rsidR="00656EE9" w:rsidRPr="00656EE9" w:rsidRDefault="00656EE9" w:rsidP="00656EE9">
      <w:pPr>
        <w:rPr>
          <w:lang w:val="en-GB"/>
        </w:rPr>
      </w:pPr>
      <w:r w:rsidRPr="00656EE9">
        <w:rPr>
          <w:lang w:val="en-GB"/>
        </w:rPr>
        <w:t xml:space="preserve">Software is changing vehicle design and the basis on which automotive firms compete. Software-defined vehicles (SDVs) can receive functional updates after sale, allowing driving and safety systems to evolve throughout a vehicle’s life. Japan has consequently targeted 30 per cent of global SDV sales for its manufacturers in both 2030 and 2035 (METI, 2024), giving the Arm–Panasonic partnership a national </w:t>
      </w:r>
      <w:r>
        <w:rPr>
          <w:lang w:val="en-GB"/>
        </w:rPr>
        <w:t>and</w:t>
      </w:r>
      <w:r w:rsidRPr="00656EE9">
        <w:rPr>
          <w:lang w:val="en-GB"/>
        </w:rPr>
        <w:t xml:space="preserve"> commercial context.</w:t>
      </w:r>
    </w:p>
    <w:p w14:paraId="43CBD460" w14:textId="77777777" w:rsidR="00656EE9" w:rsidRPr="00656EE9" w:rsidRDefault="00656EE9" w:rsidP="00656EE9">
      <w:pPr>
        <w:rPr>
          <w:lang w:val="en-GB"/>
        </w:rPr>
      </w:pPr>
      <w:r w:rsidRPr="00656EE9">
        <w:rPr>
          <w:lang w:val="en-GB"/>
        </w:rPr>
        <w:t>Cambridge-based Arm Holdings and Panasonic Automotive Systems, headquartered in Yokohama, announced a strategic partnership in November 2024. Arm licenses processor architecture and software worldwide (Arm Holdings plc, 2025), while Panasonic develops cockpit technology, driver-assistance systems and equipment for electric vehicles (Panasonic Automotive Systems, n.d.). Through the VirtIO framework, the partners intend to standardise automotive architecture and separate software development from hardware, reducing reliance on proprietary interfaces and shortening development cycles (Arm, 2024).</w:t>
      </w:r>
    </w:p>
    <w:p w14:paraId="7D9F3E17" w14:textId="77777777" w:rsidR="00656EE9" w:rsidRPr="00656EE9" w:rsidRDefault="00656EE9" w:rsidP="00656EE9">
      <w:pPr>
        <w:rPr>
          <w:lang w:val="en-GB"/>
        </w:rPr>
      </w:pPr>
      <w:r w:rsidRPr="00656EE9">
        <w:rPr>
          <w:lang w:val="en-GB"/>
        </w:rPr>
        <w:t>Complementary capabilities do not ensure effective cooperation. British engineers may expect objections and deadlines to be stated explicitly, whereas Japanese colleagues may communicate disagreement through qualification, silence or contextual cues. A meeting can therefore conceal unresolved concerns: the British team may interpret silence as approval, while the Japanese team considers an immediate decision premature.</w:t>
      </w:r>
    </w:p>
    <w:p w14:paraId="611DE2AD" w14:textId="77777777" w:rsidR="00656EE9" w:rsidRPr="00656EE9" w:rsidRDefault="00656EE9" w:rsidP="00656EE9">
      <w:pPr>
        <w:rPr>
          <w:lang w:val="en-GB"/>
        </w:rPr>
      </w:pPr>
      <w:r w:rsidRPr="00656EE9">
        <w:rPr>
          <w:lang w:val="en-GB"/>
        </w:rPr>
        <w:t>Using Hall’s context theory and Hofstede’s cultural dimensions, this essay evaluates effects on requirements, feedback, decisions and escalation. It argues that failure is most likely where British expectations of explicit, meeting-based decisions encounter Japanese contextual interpretation and internal consensus. National culture is nevertheless treated as one influence rather than a fixed description of employees.</w:t>
      </w:r>
    </w:p>
    <w:p w14:paraId="528DFD75" w14:textId="77777777" w:rsidR="00656EE9" w:rsidRPr="00656EE9" w:rsidRDefault="00656EE9" w:rsidP="00656EE9">
      <w:pPr>
        <w:pStyle w:val="Heading1"/>
      </w:pPr>
      <w:bookmarkStart w:id="1" w:name="_Toc238137165"/>
      <w:r w:rsidRPr="00656EE9">
        <w:t>2. Theoretical Framework: Insight without Determinism</w:t>
      </w:r>
      <w:bookmarkEnd w:id="1"/>
    </w:p>
    <w:p w14:paraId="2FFAE0D1" w14:textId="77777777" w:rsidR="00C776B6" w:rsidRDefault="00C776B6" w:rsidP="00656EE9">
      <w:r w:rsidRPr="00C776B6">
        <w:t xml:space="preserve">Hall (1976) argues that cultures differ in the extent to which meaning is conveyed through explicit language or understood from the surrounding situation. Within this framework, communication in the UK tends to place greater responsibility on speakers to express their intentions clearly. Japanese interaction may depend more heavily on </w:t>
      </w:r>
      <w:r w:rsidRPr="00C776B6">
        <w:lastRenderedPageBreak/>
        <w:t xml:space="preserve">established relationships, hierarchy and less visible signals, including hesitation and silence. </w:t>
      </w:r>
    </w:p>
    <w:p w14:paraId="630ABD13" w14:textId="3D7E43C6" w:rsidR="00656EE9" w:rsidRPr="00656EE9" w:rsidRDefault="00C776B6" w:rsidP="00656EE9">
      <w:pPr>
        <w:rPr>
          <w:lang w:val="en-GB"/>
        </w:rPr>
      </w:pPr>
      <w:r w:rsidRPr="00C776B6">
        <w:t>Therefore, a cautious response from a Panasonic engineer could be interpreted by an Arm manager as lacking clarity, although it may have been intended as a respectful warning that the proposal requires further consideration.</w:t>
      </w:r>
      <w:r w:rsidR="00656EE9" w:rsidRPr="00656EE9">
        <w:rPr>
          <w:lang w:val="en-GB"/>
        </w:rPr>
        <w:t>The distinction should not be reduced to a direct-British/indirect-Japanese binary. Communication changes with role, seniority, familiarity and medium. Kittler, Rygl and Mackinnon (2011) found inconsistent definitions and limited empirical testing in later uses of Hall’s concept. It can flag misunderstanding more credibly than it can predict behaviour.</w:t>
      </w:r>
    </w:p>
    <w:p w14:paraId="2E046CE7" w14:textId="77777777" w:rsidR="00656EE9" w:rsidRPr="00656EE9" w:rsidRDefault="00656EE9" w:rsidP="00656EE9">
      <w:pPr>
        <w:rPr>
          <w:lang w:val="en-GB"/>
        </w:rPr>
      </w:pPr>
      <w:r w:rsidRPr="00656EE9">
        <w:rPr>
          <w:lang w:val="en-GB"/>
        </w:rPr>
        <w:t>Hofstede’s model offers a complementary explanation through national value tendencies. Figure 1 shows wide differences in uncertainty avoidance, individualism and long-term orientation (Hofstede, Hofstede and Minkov, 2010). Japan’s uncertainty-avoidance score of 92, against 35 for the UK, suggests greater preparation before commitment. Panasonic engineers may seek extensive validation, while Arm colleagues test and refine an initial solution. Higher British individualism may encourage personal judgements; Japanese members may seek internal alignment first. The power-distance gap could also make junior Japanese engineers less willing to contradict senior representatives.</w:t>
      </w:r>
    </w:p>
    <w:p w14:paraId="7AD29C14" w14:textId="25C5316A" w:rsidR="00656EE9" w:rsidRPr="00656EE9" w:rsidRDefault="00656EE9" w:rsidP="00F45C49">
      <w:pPr>
        <w:jc w:val="center"/>
        <w:rPr>
          <w:lang w:val="en-GB"/>
        </w:rPr>
      </w:pPr>
      <w:r w:rsidRPr="00656EE9">
        <w:rPr>
          <w:noProof/>
          <w:lang w:val="en-GB"/>
        </w:rPr>
        <mc:AlternateContent>
          <mc:Choice Requires="wps">
            <w:drawing>
              <wp:inline distT="0" distB="0" distL="0" distR="0" wp14:anchorId="7594F5A2" wp14:editId="1AA30074">
                <wp:extent cx="304800" cy="304800"/>
                <wp:effectExtent l="0" t="0" r="0" b="0"/>
                <wp:docPr id="1012009313" name="Rectangle 2" descr="Figure 1: Comparison of UK and Japanese Hofstede scores"/>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EC07CE6" id="Rectangle 2" o:spid="_x0000_s1026" alt="Figure 1: Comparison of UK and Japanese Hofstede scores"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000474E0">
        <w:rPr>
          <w:noProof/>
          <w:lang w:val="en-GB"/>
        </w:rPr>
        <w:drawing>
          <wp:inline distT="0" distB="0" distL="0" distR="0" wp14:anchorId="19058946" wp14:editId="7D6C1BC6">
            <wp:extent cx="4899660" cy="2979420"/>
            <wp:effectExtent l="0" t="0" r="15240" b="11430"/>
            <wp:docPr id="222996829"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7CBA9403" w14:textId="77777777" w:rsidR="00656EE9" w:rsidRPr="00656EE9" w:rsidRDefault="00656EE9" w:rsidP="00656EE9">
      <w:pPr>
        <w:jc w:val="center"/>
        <w:rPr>
          <w:sz w:val="20"/>
          <w:szCs w:val="20"/>
          <w:lang w:val="en-GB"/>
        </w:rPr>
      </w:pPr>
      <w:r w:rsidRPr="00656EE9">
        <w:rPr>
          <w:i/>
          <w:iCs/>
          <w:sz w:val="20"/>
          <w:szCs w:val="20"/>
          <w:lang w:val="en-GB"/>
        </w:rPr>
        <w:t>Figure 1. Comparison of UK and Japanese national culture scores.</w:t>
      </w:r>
    </w:p>
    <w:p w14:paraId="1CCD34E6" w14:textId="77777777" w:rsidR="00656EE9" w:rsidRPr="00656EE9" w:rsidRDefault="00656EE9" w:rsidP="00656EE9">
      <w:pPr>
        <w:jc w:val="center"/>
        <w:rPr>
          <w:sz w:val="20"/>
          <w:szCs w:val="20"/>
          <w:lang w:val="en-GB"/>
        </w:rPr>
      </w:pPr>
      <w:r w:rsidRPr="00656EE9">
        <w:rPr>
          <w:i/>
          <w:iCs/>
          <w:sz w:val="20"/>
          <w:szCs w:val="20"/>
          <w:lang w:val="en-GB"/>
        </w:rPr>
        <w:t>Source: Author’s visualisation based on Hofstede, Hofstede and Minkov (2010). Scores represent country-level indices and not individual employees.</w:t>
      </w:r>
    </w:p>
    <w:p w14:paraId="07730E23" w14:textId="1810570D" w:rsidR="00656EE9" w:rsidRPr="00656EE9" w:rsidRDefault="00656EE9" w:rsidP="00656EE9">
      <w:pPr>
        <w:rPr>
          <w:lang w:val="en-GB"/>
        </w:rPr>
      </w:pPr>
      <w:r w:rsidRPr="00656EE9">
        <w:rPr>
          <w:lang w:val="en-GB"/>
        </w:rPr>
        <w:lastRenderedPageBreak/>
        <w:t xml:space="preserve">These national indices do not measure the assigned employees. Hofstede’s original evidence came from IBM, and McSweeney (2002) questions whether one corporation can represent nations. Values also change between generations (Beugelsdijk, Maseland and Van Hoorn, 2015). Yet a meta-analysis of 598 studies found continuing explanatory value, </w:t>
      </w:r>
      <w:r w:rsidR="00F50FAC">
        <w:rPr>
          <w:lang w:val="en-GB"/>
        </w:rPr>
        <w:t>though it varies</w:t>
      </w:r>
      <w:r w:rsidRPr="00656EE9">
        <w:rPr>
          <w:lang w:val="en-GB"/>
        </w:rPr>
        <w:t xml:space="preserve"> by outcome and level of analysis (Taras, Kirkman and Steel, 2010). The models are therefore hypotheses to test against team behaviour. This matters because </w:t>
      </w:r>
      <w:r w:rsidR="008C0E5E">
        <w:rPr>
          <w:lang w:val="en-GB"/>
        </w:rPr>
        <w:t xml:space="preserve">Japan’s SoftBank Group owns Arm, </w:t>
      </w:r>
      <w:r w:rsidRPr="00656EE9">
        <w:rPr>
          <w:lang w:val="en-GB"/>
        </w:rPr>
        <w:t>and both firms employ international specialists whose engineering culture may rival nationality.</w:t>
      </w:r>
    </w:p>
    <w:p w14:paraId="63F1F921" w14:textId="77777777" w:rsidR="00656EE9" w:rsidRPr="00656EE9" w:rsidRDefault="00656EE9" w:rsidP="008F4EC7">
      <w:pPr>
        <w:pStyle w:val="Heading1"/>
      </w:pPr>
      <w:bookmarkStart w:id="2" w:name="_Toc238137166"/>
      <w:r w:rsidRPr="00656EE9">
        <w:t>3. Communication Differences and Project Risks</w:t>
      </w:r>
      <w:bookmarkEnd w:id="2"/>
    </w:p>
    <w:p w14:paraId="54EF4B77" w14:textId="77777777" w:rsidR="00656EE9" w:rsidRPr="008F4EC7" w:rsidRDefault="00656EE9" w:rsidP="008F4EC7">
      <w:pPr>
        <w:pStyle w:val="Heading2"/>
      </w:pPr>
      <w:bookmarkStart w:id="3" w:name="_Toc238137167"/>
      <w:r w:rsidRPr="008F4EC7">
        <w:t>3.1 Explicitness, Silence and Disagreement</w:t>
      </w:r>
      <w:bookmarkEnd w:id="3"/>
    </w:p>
    <w:p w14:paraId="7B2F0452" w14:textId="77777777" w:rsidR="00656EE9" w:rsidRPr="00656EE9" w:rsidRDefault="00656EE9" w:rsidP="00656EE9">
      <w:pPr>
        <w:rPr>
          <w:lang w:val="en-GB"/>
        </w:rPr>
      </w:pPr>
      <w:r w:rsidRPr="00656EE9">
        <w:rPr>
          <w:lang w:val="en-GB"/>
        </w:rPr>
        <w:t>The most immediate risk concerns agreement. British business communication generally places responsibility on the speaker to make the message explicit. In higher-context Japanese interaction, the listener is more often expected to infer meaning from wording, relationship and situation. Thus, “this may be difficult” can communicate a serious objection without containing a direct refusal.</w:t>
      </w:r>
    </w:p>
    <w:p w14:paraId="55C5B3CD" w14:textId="77777777" w:rsidR="00656EE9" w:rsidRPr="00656EE9" w:rsidRDefault="00656EE9" w:rsidP="00656EE9">
      <w:pPr>
        <w:rPr>
          <w:lang w:val="en-GB"/>
        </w:rPr>
      </w:pPr>
      <w:r w:rsidRPr="00656EE9">
        <w:rPr>
          <w:lang w:val="en-GB"/>
        </w:rPr>
        <w:t>Danger arises when politeness is mistaken for technical approval. Fujio’s (2004) analysis of a Japanese-American business meeting identified misunderstandings involving silence, ambiguous uses of “yes” and different politeness strategies. Although the participants were not British, the mechanism is relevant because English is likely to be the shared language. A Japanese engineer’s “yes” may acknowledge a requirement rather than confirm its feasibility; if Arm records approval, incompatible assumptions enter the specification.</w:t>
      </w:r>
    </w:p>
    <w:p w14:paraId="1C8F9C9C" w14:textId="414DCD00" w:rsidR="00656EE9" w:rsidRPr="00656EE9" w:rsidRDefault="00656EE9" w:rsidP="00656EE9">
      <w:pPr>
        <w:rPr>
          <w:lang w:val="en-GB"/>
        </w:rPr>
      </w:pPr>
      <w:r w:rsidRPr="00656EE9">
        <w:rPr>
          <w:lang w:val="en-GB"/>
        </w:rPr>
        <w:t xml:space="preserve">Nakane (2007) similarly shows that silence can express reflection, deference or disagreement. Asking “Does anyone object?” at the end of a video call is therefore a weak control: British participants may infer consent, while Japanese participants expect </w:t>
      </w:r>
      <w:r w:rsidR="008F4EC7">
        <w:rPr>
          <w:lang w:val="en-GB"/>
        </w:rPr>
        <w:t>time for consultation</w:t>
      </w:r>
      <w:r w:rsidRPr="00656EE9">
        <w:rPr>
          <w:lang w:val="en-GB"/>
        </w:rPr>
        <w:t>. Conversely, public British criticism may be experienced as disrespectful, producing more cautious responses. Culture is only a partial explanation, however; a supplier, junior engineer or non-native English speaker may remain silent because of organisational power.</w:t>
      </w:r>
    </w:p>
    <w:p w14:paraId="4C77DE0B" w14:textId="77777777" w:rsidR="00656EE9" w:rsidRPr="00656EE9" w:rsidRDefault="00656EE9" w:rsidP="008F4EC7">
      <w:pPr>
        <w:pStyle w:val="Heading2"/>
      </w:pPr>
      <w:bookmarkStart w:id="4" w:name="_Toc238137168"/>
      <w:r w:rsidRPr="00656EE9">
        <w:lastRenderedPageBreak/>
        <w:t>3.2 Meetings, Hierarchy and Decision-Making</w:t>
      </w:r>
      <w:bookmarkEnd w:id="4"/>
    </w:p>
    <w:p w14:paraId="2D8E2FE1" w14:textId="4A5D7319" w:rsidR="00656EE9" w:rsidRPr="00656EE9" w:rsidRDefault="00656EE9" w:rsidP="00656EE9">
      <w:pPr>
        <w:rPr>
          <w:lang w:val="en-GB"/>
        </w:rPr>
      </w:pPr>
      <w:r w:rsidRPr="00656EE9">
        <w:rPr>
          <w:lang w:val="en-GB"/>
        </w:rPr>
        <w:t xml:space="preserve">The teams may attach different purposes to meetings. Arm managers may expect participants to debate alternatives and decide in the room. Japanese decisions are often prepared through </w:t>
      </w:r>
      <w:r w:rsidRPr="00656EE9">
        <w:rPr>
          <w:i/>
          <w:iCs/>
          <w:lang w:val="en-GB"/>
        </w:rPr>
        <w:t>nemawashi</w:t>
      </w:r>
      <w:r w:rsidRPr="00656EE9">
        <w:rPr>
          <w:lang w:val="en-GB"/>
        </w:rPr>
        <w:t xml:space="preserve">, </w:t>
      </w:r>
      <w:r w:rsidR="00954856">
        <w:rPr>
          <w:lang w:val="en-GB"/>
        </w:rPr>
        <w:t xml:space="preserve">an </w:t>
      </w:r>
      <w:r w:rsidRPr="00656EE9">
        <w:rPr>
          <w:lang w:val="en-GB"/>
        </w:rPr>
        <w:t>informal consultation before the formal meeting</w:t>
      </w:r>
      <w:r w:rsidR="008F4EC7">
        <w:rPr>
          <w:lang w:val="en-GB"/>
        </w:rPr>
        <w:t xml:space="preserve"> </w:t>
      </w:r>
      <w:r w:rsidRPr="00656EE9">
        <w:rPr>
          <w:lang w:val="en-GB"/>
        </w:rPr>
        <w:t xml:space="preserve">and may then pass through wider approval. Movius et al. (2006) argue that this process reconciles stakeholder interests, but it also means </w:t>
      </w:r>
      <w:r w:rsidR="008F4EC7">
        <w:rPr>
          <w:lang w:val="en-GB"/>
        </w:rPr>
        <w:t xml:space="preserve">attendees may lack the </w:t>
      </w:r>
      <w:r w:rsidRPr="00656EE9">
        <w:rPr>
          <w:lang w:val="en-GB"/>
        </w:rPr>
        <w:t>authority to commit the organisation immediately.</w:t>
      </w:r>
    </w:p>
    <w:p w14:paraId="42CF8316" w14:textId="77777777" w:rsidR="00656EE9" w:rsidRPr="00656EE9" w:rsidRDefault="00656EE9" w:rsidP="00656EE9">
      <w:pPr>
        <w:rPr>
          <w:lang w:val="en-GB"/>
        </w:rPr>
      </w:pPr>
      <w:r w:rsidRPr="00656EE9">
        <w:rPr>
          <w:lang w:val="en-GB"/>
        </w:rPr>
        <w:t>Arm could interpret further consultation as avoidance; Panasonic could interpret a proposal first seen in a meeting as underprepared, even where Arm intends co-creation. Both readings are incomplete. Consultation can expose implementation risks and strengthen commitment, but slows pre-approval movement. Faster British decisions protect momentum, but can create rework if affected Panasonic functions were not consulted.</w:t>
      </w:r>
    </w:p>
    <w:p w14:paraId="2DE4AD3F" w14:textId="6355DDDD" w:rsidR="00656EE9" w:rsidRPr="00656EE9" w:rsidRDefault="00656EE9" w:rsidP="00656EE9">
      <w:pPr>
        <w:rPr>
          <w:lang w:val="en-GB"/>
        </w:rPr>
      </w:pPr>
      <w:r w:rsidRPr="00656EE9">
        <w:rPr>
          <w:lang w:val="en-GB"/>
        </w:rPr>
        <w:t xml:space="preserve">Hierarchy intensifies the difference. Inviting participants to “speak freely” does not remove the consequences </w:t>
      </w:r>
      <w:r w:rsidR="008F4EC7">
        <w:rPr>
          <w:lang w:val="en-GB"/>
        </w:rPr>
        <w:t>junior employees perceive</w:t>
      </w:r>
      <w:r w:rsidRPr="00656EE9">
        <w:rPr>
          <w:lang w:val="en-GB"/>
        </w:rPr>
        <w:t>. A Panasonic engineer who identifies a cybersecurity weakness may raise it privately rather than challenge a senior colleague during review. Arm could confuse the lack of public challenge with confidence in the design. The Country Director must distinguish between discussion and an authorised decision.</w:t>
      </w:r>
    </w:p>
    <w:p w14:paraId="38D723F4" w14:textId="77777777" w:rsidR="00656EE9" w:rsidRPr="00656EE9" w:rsidRDefault="00656EE9" w:rsidP="008F4EC7">
      <w:pPr>
        <w:pStyle w:val="Heading2"/>
      </w:pPr>
      <w:bookmarkStart w:id="5" w:name="_Toc238137169"/>
      <w:r w:rsidRPr="00656EE9">
        <w:t>3.3 Feedback, Risk and Time</w:t>
      </w:r>
      <w:bookmarkEnd w:id="5"/>
    </w:p>
    <w:p w14:paraId="308B07DB" w14:textId="77777777" w:rsidR="00656EE9" w:rsidRPr="00656EE9" w:rsidRDefault="00656EE9" w:rsidP="00656EE9">
      <w:pPr>
        <w:rPr>
          <w:lang w:val="en-GB"/>
        </w:rPr>
      </w:pPr>
      <w:r w:rsidRPr="00656EE9">
        <w:rPr>
          <w:lang w:val="en-GB"/>
        </w:rPr>
        <w:t>Feedback about defects is another implementation risk. Arm’s software culture may favour rapid peer review and direct comments. This makes technical issues visible, but “this design fails the requirement” may be heard as criticism of its contributor when delivered publicly. Panasonic employees may soften negative feedback to protect the relationship, causing British recipients to underestimate urgency.</w:t>
      </w:r>
    </w:p>
    <w:p w14:paraId="60B92995" w14:textId="77777777" w:rsidR="00656EE9" w:rsidRPr="00656EE9" w:rsidRDefault="00656EE9" w:rsidP="00656EE9">
      <w:pPr>
        <w:rPr>
          <w:lang w:val="en-GB"/>
        </w:rPr>
      </w:pPr>
      <w:r w:rsidRPr="00656EE9">
        <w:rPr>
          <w:lang w:val="en-GB"/>
        </w:rPr>
        <w:t>Hofstede’s uncertainty-avoidance scores help explain, but do not excuse, the tension. Panasonic’s preference for evidence and contingency planning is rational where software faults affect vehicle safety and cybersecurity. Arm’s iterative approach is rational where standards are evolving and prototypes generate learning. Conflict begins when Japanese requests for evidence are labelled resistance or British experimentation is labelled carelessness. The relevant question is how much certainty each project gate requires.</w:t>
      </w:r>
    </w:p>
    <w:p w14:paraId="3A7D2ED8" w14:textId="77777777" w:rsidR="00656EE9" w:rsidRPr="00656EE9" w:rsidRDefault="00656EE9" w:rsidP="00656EE9">
      <w:pPr>
        <w:rPr>
          <w:lang w:val="en-GB"/>
        </w:rPr>
      </w:pPr>
      <w:r w:rsidRPr="00656EE9">
        <w:rPr>
          <w:lang w:val="en-GB"/>
        </w:rPr>
        <w:lastRenderedPageBreak/>
        <w:t>Time commitments can conceal the same disagreement. A British lead may treat a date in the action log as firm; a Japanese colleague may avoid rejecting it before internal consultation. Delay then appears without an identifiable disagreement. Japan’s higher long-term-orientation score may also support investment in architecture quality despite a slower release. This remains tentative because incentives and project roles may explain the behaviour better than nationality.</w:t>
      </w:r>
    </w:p>
    <w:p w14:paraId="6F7AD5A7" w14:textId="77777777" w:rsidR="00656EE9" w:rsidRPr="00656EE9" w:rsidRDefault="00656EE9" w:rsidP="008F4EC7">
      <w:pPr>
        <w:pStyle w:val="Heading2"/>
      </w:pPr>
      <w:bookmarkStart w:id="6" w:name="_Toc238137170"/>
      <w:r w:rsidRPr="00656EE9">
        <w:t>3.4 Language and Digital Communication</w:t>
      </w:r>
      <w:bookmarkEnd w:id="6"/>
    </w:p>
    <w:p w14:paraId="566368EB" w14:textId="5BB130CE" w:rsidR="00656EE9" w:rsidRPr="00656EE9" w:rsidRDefault="00656EE9" w:rsidP="00656EE9">
      <w:pPr>
        <w:rPr>
          <w:lang w:val="en-GB"/>
        </w:rPr>
      </w:pPr>
      <w:r w:rsidRPr="00656EE9">
        <w:rPr>
          <w:lang w:val="en-GB"/>
        </w:rPr>
        <w:t xml:space="preserve">Using English creates an asymmetry that cultural models alone do not capture. Tenzer, Pudelko and Harzing’s (2014) research in multinational automotive teams found that language barriers shaped judgements of colleagues’ competence and trustworthiness. Fluent speakers can dominate </w:t>
      </w:r>
      <w:r w:rsidR="008F4EC7">
        <w:rPr>
          <w:lang w:val="en-GB"/>
        </w:rPr>
        <w:t>discussions, while technically capable non-native speakers may contribute less spontaneously or need more</w:t>
      </w:r>
      <w:r w:rsidRPr="00656EE9">
        <w:rPr>
          <w:lang w:val="en-GB"/>
        </w:rPr>
        <w:t xml:space="preserve"> processing time. Arm managers could consequently mistake linguistic speed for expertise and overlook Panasonic knowledge.</w:t>
      </w:r>
    </w:p>
    <w:p w14:paraId="2C86C70E" w14:textId="04BAD080" w:rsidR="00954856" w:rsidRDefault="00C776B6" w:rsidP="00656EE9">
      <w:pPr>
        <w:rPr>
          <w:lang w:val="en-GB"/>
        </w:rPr>
      </w:pPr>
      <w:r w:rsidRPr="00C776B6">
        <w:t>Physical distance between the UK and Japan also shapes how messages are interpreted. Digital platforms create traceable records, but short written exchanges can conceal tone and the seriousness of a concern. Video meetings reintroduce some non-verbal information, yet the time-zone gap and pressure to answer immediately may disadvantage participants who need time to consult or reflect. Gibson and Gibbs (2006) demonstrate that geographically dispersed, technology-dependent and nationally diverse teams require an environment in which members feel able to question ideas and voice concerns if they are to sustain innovation. The choice of communication medium is therefore a managerial issue, since an unsuitable channel may intensify rather than resolve cultural misunderstanding.</w:t>
      </w:r>
    </w:p>
    <w:p w14:paraId="144AE12C" w14:textId="77777777" w:rsidR="00954856" w:rsidRDefault="00954856" w:rsidP="00656EE9">
      <w:pPr>
        <w:rPr>
          <w:lang w:val="en-GB"/>
        </w:rPr>
      </w:pPr>
    </w:p>
    <w:p w14:paraId="6766434B" w14:textId="77777777" w:rsidR="00954856" w:rsidRPr="00656EE9" w:rsidRDefault="00954856" w:rsidP="00656EE9">
      <w:pPr>
        <w:rPr>
          <w:lang w:val="en-GB"/>
        </w:rPr>
      </w:pPr>
    </w:p>
    <w:p w14:paraId="6FCE684D" w14:textId="655B95C1" w:rsidR="00656EE9" w:rsidRDefault="00656EE9" w:rsidP="00656EE9">
      <w:pPr>
        <w:rPr>
          <w:b/>
          <w:bCs/>
          <w:lang w:val="en-GB"/>
        </w:rPr>
      </w:pPr>
    </w:p>
    <w:p w14:paraId="115A1741" w14:textId="77777777" w:rsidR="008C0E5E" w:rsidRDefault="008C0E5E" w:rsidP="00656EE9">
      <w:pPr>
        <w:rPr>
          <w:b/>
          <w:bCs/>
          <w:lang w:val="en-GB"/>
        </w:rPr>
      </w:pPr>
    </w:p>
    <w:p w14:paraId="111F1244" w14:textId="77777777" w:rsidR="008C0E5E" w:rsidRDefault="008C0E5E" w:rsidP="00656EE9">
      <w:pPr>
        <w:rPr>
          <w:b/>
          <w:bCs/>
          <w:lang w:val="en-GB"/>
        </w:rPr>
      </w:pPr>
    </w:p>
    <w:p w14:paraId="28B20376" w14:textId="77777777" w:rsidR="008C0E5E" w:rsidRDefault="008C0E5E" w:rsidP="00656EE9">
      <w:pPr>
        <w:rPr>
          <w:b/>
          <w:bCs/>
          <w:lang w:val="en-GB"/>
        </w:rPr>
      </w:pPr>
    </w:p>
    <w:p w14:paraId="17FDD05D" w14:textId="77777777" w:rsidR="008C0E5E" w:rsidRDefault="008C0E5E" w:rsidP="00656EE9">
      <w:pPr>
        <w:rPr>
          <w:b/>
          <w:bCs/>
          <w:lang w:val="en-GB"/>
        </w:rPr>
      </w:pPr>
    </w:p>
    <w:p w14:paraId="59307008" w14:textId="77777777" w:rsidR="00954856" w:rsidRDefault="00954856" w:rsidP="00954856">
      <w:pPr>
        <w:jc w:val="center"/>
        <w:rPr>
          <w:i/>
          <w:iCs/>
          <w:sz w:val="20"/>
          <w:szCs w:val="20"/>
          <w:lang w:val="en-GB"/>
        </w:rPr>
      </w:pPr>
      <w:r w:rsidRPr="008C0E5E">
        <w:rPr>
          <w:i/>
          <w:iCs/>
          <w:sz w:val="20"/>
          <w:szCs w:val="20"/>
          <w:lang w:val="en-GB"/>
        </w:rPr>
        <w:lastRenderedPageBreak/>
        <w:t xml:space="preserve">Table 1. Communication Risk Map for the Arm–Panasonic Project </w:t>
      </w:r>
    </w:p>
    <w:p w14:paraId="51E81656" w14:textId="77777777" w:rsidR="008C0E5E" w:rsidRPr="00656EE9" w:rsidRDefault="008C0E5E" w:rsidP="00656EE9">
      <w:pPr>
        <w:rPr>
          <w:b/>
          <w:bCs/>
          <w:lang w:val="en-GB"/>
        </w:rPr>
      </w:pP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767"/>
        <w:gridCol w:w="2127"/>
        <w:gridCol w:w="2480"/>
        <w:gridCol w:w="2642"/>
      </w:tblGrid>
      <w:tr w:rsidR="00656EE9" w:rsidRPr="008F4EC7" w14:paraId="5CE208FA" w14:textId="77777777" w:rsidTr="008C0E5E">
        <w:trPr>
          <w:tblHeader/>
          <w:tblCellSpacing w:w="15" w:type="dxa"/>
        </w:trPr>
        <w:tc>
          <w:tcPr>
            <w:tcW w:w="0" w:type="auto"/>
            <w:vAlign w:val="center"/>
            <w:hideMark/>
          </w:tcPr>
          <w:p w14:paraId="5C8447AF" w14:textId="77777777" w:rsidR="00656EE9" w:rsidRPr="008F4EC7" w:rsidRDefault="00656EE9" w:rsidP="008C0E5E">
            <w:pPr>
              <w:jc w:val="center"/>
              <w:rPr>
                <w:b/>
                <w:bCs/>
                <w:sz w:val="20"/>
                <w:szCs w:val="20"/>
                <w:lang w:val="en-GB"/>
              </w:rPr>
            </w:pPr>
            <w:r w:rsidRPr="008F4EC7">
              <w:rPr>
                <w:b/>
                <w:bCs/>
                <w:sz w:val="20"/>
                <w:szCs w:val="20"/>
                <w:lang w:val="en-GB"/>
              </w:rPr>
              <w:t>Project situation</w:t>
            </w:r>
          </w:p>
        </w:tc>
        <w:tc>
          <w:tcPr>
            <w:tcW w:w="0" w:type="auto"/>
            <w:vAlign w:val="center"/>
            <w:hideMark/>
          </w:tcPr>
          <w:p w14:paraId="59BEEC33" w14:textId="77777777" w:rsidR="00656EE9" w:rsidRPr="008F4EC7" w:rsidRDefault="00656EE9" w:rsidP="008C0E5E">
            <w:pPr>
              <w:jc w:val="center"/>
              <w:rPr>
                <w:b/>
                <w:bCs/>
                <w:sz w:val="20"/>
                <w:szCs w:val="20"/>
                <w:lang w:val="en-GB"/>
              </w:rPr>
            </w:pPr>
            <w:r w:rsidRPr="008F4EC7">
              <w:rPr>
                <w:b/>
                <w:bCs/>
                <w:sz w:val="20"/>
                <w:szCs w:val="20"/>
                <w:lang w:val="en-GB"/>
              </w:rPr>
              <w:t>Possible UK expectation</w:t>
            </w:r>
          </w:p>
        </w:tc>
        <w:tc>
          <w:tcPr>
            <w:tcW w:w="0" w:type="auto"/>
            <w:vAlign w:val="center"/>
            <w:hideMark/>
          </w:tcPr>
          <w:p w14:paraId="0C784263" w14:textId="77777777" w:rsidR="00656EE9" w:rsidRPr="008F4EC7" w:rsidRDefault="00656EE9" w:rsidP="008C0E5E">
            <w:pPr>
              <w:jc w:val="center"/>
              <w:rPr>
                <w:b/>
                <w:bCs/>
                <w:sz w:val="20"/>
                <w:szCs w:val="20"/>
                <w:lang w:val="en-GB"/>
              </w:rPr>
            </w:pPr>
            <w:r w:rsidRPr="008F4EC7">
              <w:rPr>
                <w:b/>
                <w:bCs/>
                <w:sz w:val="20"/>
                <w:szCs w:val="20"/>
                <w:lang w:val="en-GB"/>
              </w:rPr>
              <w:t>Possible Japanese expectation</w:t>
            </w:r>
          </w:p>
        </w:tc>
        <w:tc>
          <w:tcPr>
            <w:tcW w:w="0" w:type="auto"/>
            <w:vAlign w:val="center"/>
            <w:hideMark/>
          </w:tcPr>
          <w:p w14:paraId="7C978BFB" w14:textId="77777777" w:rsidR="00656EE9" w:rsidRPr="008F4EC7" w:rsidRDefault="00656EE9" w:rsidP="008C0E5E">
            <w:pPr>
              <w:jc w:val="center"/>
              <w:rPr>
                <w:b/>
                <w:bCs/>
                <w:sz w:val="20"/>
                <w:szCs w:val="20"/>
                <w:lang w:val="en-GB"/>
              </w:rPr>
            </w:pPr>
            <w:r w:rsidRPr="008F4EC7">
              <w:rPr>
                <w:b/>
                <w:bCs/>
                <w:sz w:val="20"/>
                <w:szCs w:val="20"/>
                <w:lang w:val="en-GB"/>
              </w:rPr>
              <w:t>Control required</w:t>
            </w:r>
          </w:p>
        </w:tc>
      </w:tr>
      <w:tr w:rsidR="00656EE9" w:rsidRPr="008F4EC7" w14:paraId="165D3FE5" w14:textId="77777777" w:rsidTr="008C0E5E">
        <w:trPr>
          <w:tblCellSpacing w:w="15" w:type="dxa"/>
        </w:trPr>
        <w:tc>
          <w:tcPr>
            <w:tcW w:w="0" w:type="auto"/>
            <w:vAlign w:val="center"/>
            <w:hideMark/>
          </w:tcPr>
          <w:p w14:paraId="667F5521" w14:textId="77777777" w:rsidR="00656EE9" w:rsidRPr="008F4EC7" w:rsidRDefault="00656EE9" w:rsidP="008C0E5E">
            <w:pPr>
              <w:jc w:val="left"/>
              <w:rPr>
                <w:sz w:val="20"/>
                <w:szCs w:val="20"/>
                <w:lang w:val="en-GB"/>
              </w:rPr>
            </w:pPr>
            <w:r w:rsidRPr="008F4EC7">
              <w:rPr>
                <w:sz w:val="20"/>
                <w:szCs w:val="20"/>
                <w:lang w:val="en-GB"/>
              </w:rPr>
              <w:t>Requirement approval</w:t>
            </w:r>
          </w:p>
        </w:tc>
        <w:tc>
          <w:tcPr>
            <w:tcW w:w="0" w:type="auto"/>
            <w:vAlign w:val="center"/>
            <w:hideMark/>
          </w:tcPr>
          <w:p w14:paraId="3DF1CBEC" w14:textId="77777777" w:rsidR="00656EE9" w:rsidRPr="008F4EC7" w:rsidRDefault="00656EE9" w:rsidP="008C0E5E">
            <w:pPr>
              <w:jc w:val="left"/>
              <w:rPr>
                <w:sz w:val="20"/>
                <w:szCs w:val="20"/>
                <w:lang w:val="en-GB"/>
              </w:rPr>
            </w:pPr>
            <w:r w:rsidRPr="008F4EC7">
              <w:rPr>
                <w:sz w:val="20"/>
                <w:szCs w:val="20"/>
                <w:lang w:val="en-GB"/>
              </w:rPr>
              <w:t>Objections will be stated</w:t>
            </w:r>
          </w:p>
        </w:tc>
        <w:tc>
          <w:tcPr>
            <w:tcW w:w="0" w:type="auto"/>
            <w:vAlign w:val="center"/>
            <w:hideMark/>
          </w:tcPr>
          <w:p w14:paraId="0028FD05" w14:textId="77777777" w:rsidR="00656EE9" w:rsidRPr="008F4EC7" w:rsidRDefault="00656EE9" w:rsidP="008C0E5E">
            <w:pPr>
              <w:jc w:val="left"/>
              <w:rPr>
                <w:sz w:val="20"/>
                <w:szCs w:val="20"/>
                <w:lang w:val="en-GB"/>
              </w:rPr>
            </w:pPr>
            <w:r w:rsidRPr="008F4EC7">
              <w:rPr>
                <w:sz w:val="20"/>
                <w:szCs w:val="20"/>
                <w:lang w:val="en-GB"/>
              </w:rPr>
              <w:t>Concerns may be qualified or deferred</w:t>
            </w:r>
          </w:p>
        </w:tc>
        <w:tc>
          <w:tcPr>
            <w:tcW w:w="0" w:type="auto"/>
            <w:vAlign w:val="center"/>
            <w:hideMark/>
          </w:tcPr>
          <w:p w14:paraId="3F7F6BF4" w14:textId="77777777" w:rsidR="00656EE9" w:rsidRPr="008F4EC7" w:rsidRDefault="00656EE9" w:rsidP="008C0E5E">
            <w:pPr>
              <w:jc w:val="left"/>
              <w:rPr>
                <w:sz w:val="20"/>
                <w:szCs w:val="20"/>
                <w:lang w:val="en-GB"/>
              </w:rPr>
            </w:pPr>
            <w:r w:rsidRPr="008F4EC7">
              <w:rPr>
                <w:sz w:val="20"/>
                <w:szCs w:val="20"/>
                <w:lang w:val="en-GB"/>
              </w:rPr>
              <w:t>Use explicit approval categories and a decision log</w:t>
            </w:r>
          </w:p>
        </w:tc>
      </w:tr>
      <w:tr w:rsidR="00656EE9" w:rsidRPr="008F4EC7" w14:paraId="05C962B4" w14:textId="77777777" w:rsidTr="008C0E5E">
        <w:trPr>
          <w:tblCellSpacing w:w="15" w:type="dxa"/>
        </w:trPr>
        <w:tc>
          <w:tcPr>
            <w:tcW w:w="0" w:type="auto"/>
            <w:vAlign w:val="center"/>
            <w:hideMark/>
          </w:tcPr>
          <w:p w14:paraId="1268E44C" w14:textId="77777777" w:rsidR="00656EE9" w:rsidRPr="008F4EC7" w:rsidRDefault="00656EE9" w:rsidP="008C0E5E">
            <w:pPr>
              <w:jc w:val="left"/>
              <w:rPr>
                <w:sz w:val="20"/>
                <w:szCs w:val="20"/>
                <w:lang w:val="en-GB"/>
              </w:rPr>
            </w:pPr>
            <w:r w:rsidRPr="008F4EC7">
              <w:rPr>
                <w:sz w:val="20"/>
                <w:szCs w:val="20"/>
                <w:lang w:val="en-GB"/>
              </w:rPr>
              <w:t>Design review</w:t>
            </w:r>
          </w:p>
        </w:tc>
        <w:tc>
          <w:tcPr>
            <w:tcW w:w="0" w:type="auto"/>
            <w:vAlign w:val="center"/>
            <w:hideMark/>
          </w:tcPr>
          <w:p w14:paraId="5D0B029C" w14:textId="77777777" w:rsidR="00656EE9" w:rsidRPr="008F4EC7" w:rsidRDefault="00656EE9" w:rsidP="008C0E5E">
            <w:pPr>
              <w:jc w:val="left"/>
              <w:rPr>
                <w:sz w:val="20"/>
                <w:szCs w:val="20"/>
                <w:lang w:val="en-GB"/>
              </w:rPr>
            </w:pPr>
            <w:r w:rsidRPr="008F4EC7">
              <w:rPr>
                <w:sz w:val="20"/>
                <w:szCs w:val="20"/>
                <w:lang w:val="en-GB"/>
              </w:rPr>
              <w:t>Critique occurs in the meeting</w:t>
            </w:r>
          </w:p>
        </w:tc>
        <w:tc>
          <w:tcPr>
            <w:tcW w:w="0" w:type="auto"/>
            <w:vAlign w:val="center"/>
            <w:hideMark/>
          </w:tcPr>
          <w:p w14:paraId="0A70140F" w14:textId="77777777" w:rsidR="00656EE9" w:rsidRPr="008F4EC7" w:rsidRDefault="00656EE9" w:rsidP="008C0E5E">
            <w:pPr>
              <w:jc w:val="left"/>
              <w:rPr>
                <w:sz w:val="20"/>
                <w:szCs w:val="20"/>
                <w:lang w:val="en-GB"/>
              </w:rPr>
            </w:pPr>
            <w:r w:rsidRPr="008F4EC7">
              <w:rPr>
                <w:sz w:val="20"/>
                <w:szCs w:val="20"/>
                <w:lang w:val="en-GB"/>
              </w:rPr>
              <w:t>Concerns may be raised privately first</w:t>
            </w:r>
          </w:p>
        </w:tc>
        <w:tc>
          <w:tcPr>
            <w:tcW w:w="0" w:type="auto"/>
            <w:vAlign w:val="center"/>
            <w:hideMark/>
          </w:tcPr>
          <w:p w14:paraId="08BE40D2" w14:textId="77777777" w:rsidR="00656EE9" w:rsidRPr="008F4EC7" w:rsidRDefault="00656EE9" w:rsidP="008C0E5E">
            <w:pPr>
              <w:jc w:val="left"/>
              <w:rPr>
                <w:sz w:val="20"/>
                <w:szCs w:val="20"/>
                <w:lang w:val="en-GB"/>
              </w:rPr>
            </w:pPr>
            <w:r w:rsidRPr="008F4EC7">
              <w:rPr>
                <w:sz w:val="20"/>
                <w:szCs w:val="20"/>
                <w:lang w:val="en-GB"/>
              </w:rPr>
              <w:t>Circulate pre-reads and allow confidential comments</w:t>
            </w:r>
          </w:p>
        </w:tc>
      </w:tr>
      <w:tr w:rsidR="00656EE9" w:rsidRPr="008F4EC7" w14:paraId="6EDB09C7" w14:textId="77777777" w:rsidTr="008C0E5E">
        <w:trPr>
          <w:tblCellSpacing w:w="15" w:type="dxa"/>
        </w:trPr>
        <w:tc>
          <w:tcPr>
            <w:tcW w:w="0" w:type="auto"/>
            <w:vAlign w:val="center"/>
            <w:hideMark/>
          </w:tcPr>
          <w:p w14:paraId="19DC3F87" w14:textId="77777777" w:rsidR="00656EE9" w:rsidRPr="008F4EC7" w:rsidRDefault="00656EE9" w:rsidP="008C0E5E">
            <w:pPr>
              <w:jc w:val="left"/>
              <w:rPr>
                <w:sz w:val="20"/>
                <w:szCs w:val="20"/>
                <w:lang w:val="en-GB"/>
              </w:rPr>
            </w:pPr>
            <w:r w:rsidRPr="008F4EC7">
              <w:rPr>
                <w:sz w:val="20"/>
                <w:szCs w:val="20"/>
                <w:lang w:val="en-GB"/>
              </w:rPr>
              <w:t>Deadline agreement</w:t>
            </w:r>
          </w:p>
        </w:tc>
        <w:tc>
          <w:tcPr>
            <w:tcW w:w="0" w:type="auto"/>
            <w:vAlign w:val="center"/>
            <w:hideMark/>
          </w:tcPr>
          <w:p w14:paraId="317DD0FF" w14:textId="77777777" w:rsidR="00656EE9" w:rsidRPr="008F4EC7" w:rsidRDefault="00656EE9" w:rsidP="008C0E5E">
            <w:pPr>
              <w:jc w:val="left"/>
              <w:rPr>
                <w:sz w:val="20"/>
                <w:szCs w:val="20"/>
                <w:lang w:val="en-GB"/>
              </w:rPr>
            </w:pPr>
            <w:r w:rsidRPr="008F4EC7">
              <w:rPr>
                <w:sz w:val="20"/>
                <w:szCs w:val="20"/>
                <w:lang w:val="en-GB"/>
              </w:rPr>
              <w:t>A recorded date is a commitment</w:t>
            </w:r>
          </w:p>
        </w:tc>
        <w:tc>
          <w:tcPr>
            <w:tcW w:w="0" w:type="auto"/>
            <w:vAlign w:val="center"/>
            <w:hideMark/>
          </w:tcPr>
          <w:p w14:paraId="42C78DE5" w14:textId="77777777" w:rsidR="00656EE9" w:rsidRPr="008F4EC7" w:rsidRDefault="00656EE9" w:rsidP="008C0E5E">
            <w:pPr>
              <w:jc w:val="left"/>
              <w:rPr>
                <w:sz w:val="20"/>
                <w:szCs w:val="20"/>
                <w:lang w:val="en-GB"/>
              </w:rPr>
            </w:pPr>
            <w:r w:rsidRPr="008F4EC7">
              <w:rPr>
                <w:sz w:val="20"/>
                <w:szCs w:val="20"/>
                <w:lang w:val="en-GB"/>
              </w:rPr>
              <w:t>Internal feasibility may still require confirmation</w:t>
            </w:r>
          </w:p>
        </w:tc>
        <w:tc>
          <w:tcPr>
            <w:tcW w:w="0" w:type="auto"/>
            <w:vAlign w:val="center"/>
            <w:hideMark/>
          </w:tcPr>
          <w:p w14:paraId="7C9B5A10" w14:textId="77777777" w:rsidR="00656EE9" w:rsidRPr="008F4EC7" w:rsidRDefault="00656EE9" w:rsidP="008C0E5E">
            <w:pPr>
              <w:jc w:val="left"/>
              <w:rPr>
                <w:sz w:val="20"/>
                <w:szCs w:val="20"/>
                <w:lang w:val="en-GB"/>
              </w:rPr>
            </w:pPr>
            <w:r w:rsidRPr="008F4EC7">
              <w:rPr>
                <w:sz w:val="20"/>
                <w:szCs w:val="20"/>
                <w:lang w:val="en-GB"/>
              </w:rPr>
              <w:t>Mark dates as proposed or confirmed</w:t>
            </w:r>
          </w:p>
        </w:tc>
      </w:tr>
      <w:tr w:rsidR="00656EE9" w:rsidRPr="008F4EC7" w14:paraId="0893A00F" w14:textId="77777777" w:rsidTr="008C0E5E">
        <w:trPr>
          <w:tblCellSpacing w:w="15" w:type="dxa"/>
        </w:trPr>
        <w:tc>
          <w:tcPr>
            <w:tcW w:w="0" w:type="auto"/>
            <w:vAlign w:val="center"/>
            <w:hideMark/>
          </w:tcPr>
          <w:p w14:paraId="6412FBC5" w14:textId="77777777" w:rsidR="00656EE9" w:rsidRPr="008F4EC7" w:rsidRDefault="00656EE9" w:rsidP="008C0E5E">
            <w:pPr>
              <w:jc w:val="left"/>
              <w:rPr>
                <w:sz w:val="20"/>
                <w:szCs w:val="20"/>
                <w:lang w:val="en-GB"/>
              </w:rPr>
            </w:pPr>
            <w:r w:rsidRPr="008F4EC7">
              <w:rPr>
                <w:sz w:val="20"/>
                <w:szCs w:val="20"/>
                <w:lang w:val="en-GB"/>
              </w:rPr>
              <w:t>Defect escalation</w:t>
            </w:r>
          </w:p>
        </w:tc>
        <w:tc>
          <w:tcPr>
            <w:tcW w:w="0" w:type="auto"/>
            <w:vAlign w:val="center"/>
            <w:hideMark/>
          </w:tcPr>
          <w:p w14:paraId="4751A4BC" w14:textId="77777777" w:rsidR="00656EE9" w:rsidRPr="008F4EC7" w:rsidRDefault="00656EE9" w:rsidP="008C0E5E">
            <w:pPr>
              <w:jc w:val="left"/>
              <w:rPr>
                <w:sz w:val="20"/>
                <w:szCs w:val="20"/>
                <w:lang w:val="en-GB"/>
              </w:rPr>
            </w:pPr>
            <w:r w:rsidRPr="008F4EC7">
              <w:rPr>
                <w:sz w:val="20"/>
                <w:szCs w:val="20"/>
                <w:lang w:val="en-GB"/>
              </w:rPr>
              <w:t>Raise the issue rapidly with the group</w:t>
            </w:r>
          </w:p>
        </w:tc>
        <w:tc>
          <w:tcPr>
            <w:tcW w:w="0" w:type="auto"/>
            <w:vAlign w:val="center"/>
            <w:hideMark/>
          </w:tcPr>
          <w:p w14:paraId="222996EB" w14:textId="77777777" w:rsidR="00656EE9" w:rsidRPr="008F4EC7" w:rsidRDefault="00656EE9" w:rsidP="008C0E5E">
            <w:pPr>
              <w:jc w:val="left"/>
              <w:rPr>
                <w:sz w:val="20"/>
                <w:szCs w:val="20"/>
                <w:lang w:val="en-GB"/>
              </w:rPr>
            </w:pPr>
            <w:r w:rsidRPr="008F4EC7">
              <w:rPr>
                <w:sz w:val="20"/>
                <w:szCs w:val="20"/>
                <w:lang w:val="en-GB"/>
              </w:rPr>
              <w:t>Respect hierarchy and protect relationships</w:t>
            </w:r>
          </w:p>
        </w:tc>
        <w:tc>
          <w:tcPr>
            <w:tcW w:w="0" w:type="auto"/>
            <w:vAlign w:val="center"/>
            <w:hideMark/>
          </w:tcPr>
          <w:p w14:paraId="308F67F3" w14:textId="77777777" w:rsidR="00656EE9" w:rsidRPr="008F4EC7" w:rsidRDefault="00656EE9" w:rsidP="008C0E5E">
            <w:pPr>
              <w:jc w:val="left"/>
              <w:rPr>
                <w:sz w:val="20"/>
                <w:szCs w:val="20"/>
                <w:lang w:val="en-GB"/>
              </w:rPr>
            </w:pPr>
            <w:r w:rsidRPr="008F4EC7">
              <w:rPr>
                <w:sz w:val="20"/>
                <w:szCs w:val="20"/>
                <w:lang w:val="en-GB"/>
              </w:rPr>
              <w:t>Provide a no-blame escalation route</w:t>
            </w:r>
          </w:p>
        </w:tc>
      </w:tr>
      <w:tr w:rsidR="00656EE9" w:rsidRPr="008F4EC7" w14:paraId="0EC89396" w14:textId="77777777" w:rsidTr="008C0E5E">
        <w:trPr>
          <w:tblCellSpacing w:w="15" w:type="dxa"/>
        </w:trPr>
        <w:tc>
          <w:tcPr>
            <w:tcW w:w="0" w:type="auto"/>
            <w:vAlign w:val="center"/>
            <w:hideMark/>
          </w:tcPr>
          <w:p w14:paraId="22701D91" w14:textId="77777777" w:rsidR="00656EE9" w:rsidRPr="008F4EC7" w:rsidRDefault="00656EE9" w:rsidP="008C0E5E">
            <w:pPr>
              <w:jc w:val="left"/>
              <w:rPr>
                <w:sz w:val="20"/>
                <w:szCs w:val="20"/>
                <w:lang w:val="en-GB"/>
              </w:rPr>
            </w:pPr>
            <w:r w:rsidRPr="008F4EC7">
              <w:rPr>
                <w:sz w:val="20"/>
                <w:szCs w:val="20"/>
                <w:lang w:val="en-GB"/>
              </w:rPr>
              <w:t>Remote meeting in English</w:t>
            </w:r>
          </w:p>
        </w:tc>
        <w:tc>
          <w:tcPr>
            <w:tcW w:w="0" w:type="auto"/>
            <w:vAlign w:val="center"/>
            <w:hideMark/>
          </w:tcPr>
          <w:p w14:paraId="422B0D68" w14:textId="77777777" w:rsidR="00656EE9" w:rsidRPr="008F4EC7" w:rsidRDefault="00656EE9" w:rsidP="008C0E5E">
            <w:pPr>
              <w:jc w:val="left"/>
              <w:rPr>
                <w:sz w:val="20"/>
                <w:szCs w:val="20"/>
                <w:lang w:val="en-GB"/>
              </w:rPr>
            </w:pPr>
            <w:r w:rsidRPr="008F4EC7">
              <w:rPr>
                <w:sz w:val="20"/>
                <w:szCs w:val="20"/>
                <w:lang w:val="en-GB"/>
              </w:rPr>
              <w:t>Rapid contribution signals command</w:t>
            </w:r>
          </w:p>
        </w:tc>
        <w:tc>
          <w:tcPr>
            <w:tcW w:w="0" w:type="auto"/>
            <w:vAlign w:val="center"/>
            <w:hideMark/>
          </w:tcPr>
          <w:p w14:paraId="08AE1E6F" w14:textId="77777777" w:rsidR="00656EE9" w:rsidRPr="008F4EC7" w:rsidRDefault="00656EE9" w:rsidP="008C0E5E">
            <w:pPr>
              <w:jc w:val="left"/>
              <w:rPr>
                <w:sz w:val="20"/>
                <w:szCs w:val="20"/>
                <w:lang w:val="en-GB"/>
              </w:rPr>
            </w:pPr>
            <w:r w:rsidRPr="008F4EC7">
              <w:rPr>
                <w:sz w:val="20"/>
                <w:szCs w:val="20"/>
                <w:lang w:val="en-GB"/>
              </w:rPr>
              <w:t>Reflection may precede a reliable answer</w:t>
            </w:r>
          </w:p>
        </w:tc>
        <w:tc>
          <w:tcPr>
            <w:tcW w:w="0" w:type="auto"/>
            <w:vAlign w:val="center"/>
            <w:hideMark/>
          </w:tcPr>
          <w:p w14:paraId="1AD23F06" w14:textId="77777777" w:rsidR="00656EE9" w:rsidRPr="008F4EC7" w:rsidRDefault="00656EE9" w:rsidP="008C0E5E">
            <w:pPr>
              <w:jc w:val="left"/>
              <w:rPr>
                <w:sz w:val="20"/>
                <w:szCs w:val="20"/>
                <w:lang w:val="en-GB"/>
              </w:rPr>
            </w:pPr>
            <w:r w:rsidRPr="008F4EC7">
              <w:rPr>
                <w:sz w:val="20"/>
                <w:szCs w:val="20"/>
                <w:lang w:val="en-GB"/>
              </w:rPr>
              <w:t>Allow written follow-up and equal response time</w:t>
            </w:r>
          </w:p>
        </w:tc>
      </w:tr>
    </w:tbl>
    <w:p w14:paraId="49E4533C" w14:textId="77777777" w:rsidR="00954856" w:rsidRDefault="00954856" w:rsidP="008C0E5E">
      <w:pPr>
        <w:jc w:val="center"/>
        <w:rPr>
          <w:i/>
          <w:iCs/>
          <w:sz w:val="20"/>
          <w:szCs w:val="20"/>
          <w:lang w:val="en-GB"/>
        </w:rPr>
      </w:pPr>
    </w:p>
    <w:p w14:paraId="3FD2A321" w14:textId="605F7A51" w:rsidR="00656EE9" w:rsidRPr="008C0E5E" w:rsidRDefault="008C0E5E" w:rsidP="008C0E5E">
      <w:pPr>
        <w:jc w:val="center"/>
        <w:rPr>
          <w:i/>
          <w:iCs/>
          <w:sz w:val="20"/>
          <w:szCs w:val="20"/>
          <w:lang w:val="en-GB"/>
        </w:rPr>
      </w:pPr>
      <w:r w:rsidRPr="008C0E5E">
        <w:rPr>
          <w:i/>
          <w:iCs/>
          <w:sz w:val="20"/>
          <w:szCs w:val="20"/>
          <w:lang w:val="en-GB"/>
        </w:rPr>
        <w:t>Source</w:t>
      </w:r>
      <w:r w:rsidR="00656EE9" w:rsidRPr="008C0E5E">
        <w:rPr>
          <w:i/>
          <w:iCs/>
          <w:sz w:val="20"/>
          <w:szCs w:val="20"/>
          <w:lang w:val="en-GB"/>
        </w:rPr>
        <w:t>: Author’s synthesis based on Hall (1976), Hofstede, Hofstede and Minkov (2010), Fujio (2004) and Tenzer, Pudelko and Harzing (2014).</w:t>
      </w:r>
    </w:p>
    <w:p w14:paraId="0EC90754" w14:textId="77777777" w:rsidR="00656EE9" w:rsidRPr="00656EE9" w:rsidRDefault="00656EE9" w:rsidP="008C0E5E">
      <w:pPr>
        <w:pStyle w:val="Heading1"/>
      </w:pPr>
      <w:bookmarkStart w:id="7" w:name="_Toc238137171"/>
      <w:r w:rsidRPr="00656EE9">
        <w:t>4. Integrating the Arm and Panasonic Teams</w:t>
      </w:r>
      <w:bookmarkEnd w:id="7"/>
    </w:p>
    <w:p w14:paraId="512AC8ED" w14:textId="19C20C8E" w:rsidR="00656EE9" w:rsidRPr="00656EE9" w:rsidRDefault="00656EE9" w:rsidP="00656EE9">
      <w:pPr>
        <w:rPr>
          <w:lang w:val="en-GB"/>
        </w:rPr>
      </w:pPr>
      <w:r w:rsidRPr="00656EE9">
        <w:rPr>
          <w:lang w:val="en-GB"/>
        </w:rPr>
        <w:t xml:space="preserve">Effective integration does not require Panasonic employees to become more British or Arm employees to imitate Japanese etiquette. It requires a shared communication system that makes different habits workable. Earley and Mosakowski (2000) found that successful transnational teams can develop a hybrid team culture rather than relying on one national model. The Country Director should begin by agreeing decision rights: each agenda item must state whether the meeting is intended to explore, recommend or approve. </w:t>
      </w:r>
      <w:r w:rsidR="008C0E5E">
        <w:rPr>
          <w:lang w:val="en-GB"/>
        </w:rPr>
        <w:t>Circulate papers</w:t>
      </w:r>
      <w:r w:rsidRPr="00656EE9">
        <w:rPr>
          <w:lang w:val="en-GB"/>
        </w:rPr>
        <w:t xml:space="preserve"> at least forty-eight hours beforehand, allowing Panasonic participants to consult internally and Arm participants to formulate specific questions.</w:t>
      </w:r>
    </w:p>
    <w:p w14:paraId="716B1AC4" w14:textId="1064387C" w:rsidR="00656EE9" w:rsidRPr="00656EE9" w:rsidRDefault="00656EE9" w:rsidP="00656EE9">
      <w:pPr>
        <w:rPr>
          <w:lang w:val="en-GB"/>
        </w:rPr>
      </w:pPr>
      <w:r w:rsidRPr="00656EE9">
        <w:rPr>
          <w:lang w:val="en-GB"/>
        </w:rPr>
        <w:t xml:space="preserve">Consent should never be inferred from silence or from an unqualified “yes”. Decisions should use three written outcomes: approved, approved with conditions, or not approved. </w:t>
      </w:r>
      <w:r w:rsidR="00810868" w:rsidRPr="00810868">
        <w:t xml:space="preserve">Because VirtIO separates hardware and software development, an incorrectly assumed approval could affect several independently developed </w:t>
      </w:r>
      <w:r w:rsidR="00810868" w:rsidRPr="00810868">
        <w:lastRenderedPageBreak/>
        <w:t>components. The decision log should therefore record the interface version, unresolved conditions and representatives authorised by both organisations.</w:t>
      </w:r>
      <w:r w:rsidR="0011151F">
        <w:t xml:space="preserve"> </w:t>
      </w:r>
      <w:r w:rsidRPr="00656EE9">
        <w:rPr>
          <w:lang w:val="en-GB"/>
        </w:rPr>
        <w:t>This low-context documentation supports Arm, while the pre-consultation period respects Panasonic’s consensus process. It also separates legitimate analysis from indefinite delay.</w:t>
      </w:r>
    </w:p>
    <w:p w14:paraId="34EEB5E8" w14:textId="77777777" w:rsidR="00656EE9" w:rsidRPr="00656EE9" w:rsidRDefault="00656EE9" w:rsidP="00656EE9">
      <w:pPr>
        <w:rPr>
          <w:lang w:val="en-GB"/>
        </w:rPr>
      </w:pPr>
      <w:r w:rsidRPr="00656EE9">
        <w:rPr>
          <w:lang w:val="en-GB"/>
        </w:rPr>
        <w:t>Feedback requires two connected routes. Technical defects should enter a shared tracker with evidence, severity and response time, regardless of who reports them. Relationship-sensitive concerns should also be discussable in smaller bilateral meetings before the formal review. Junior engineers must have a protected route for raising safety or cybersecurity issues without first confronting senior colleagues publicly. In meetings, the chair should invite views in turn, pause before closing an item and request written confirmation afterwards. Plain English, a joint terminology glossary and occasional bilingual facilitation would reduce linguistic ambiguity. Contribution should be judged by technical value, not accent, fluency or speed.</w:t>
      </w:r>
    </w:p>
    <w:p w14:paraId="44C563EA" w14:textId="77777777" w:rsidR="00656EE9" w:rsidRPr="00656EE9" w:rsidRDefault="00656EE9" w:rsidP="00656EE9">
      <w:pPr>
        <w:rPr>
          <w:lang w:val="en-GB"/>
        </w:rPr>
      </w:pPr>
      <w:r w:rsidRPr="00656EE9">
        <w:rPr>
          <w:lang w:val="en-GB"/>
        </w:rPr>
        <w:t>The team should also rotate meeting times and combine video discussion with asynchronous review. Training should analyse project incidents rather than lists of national characteristics, keeping attention on the intercultural practices through which global work is actually performed (Hinds, Liu and Lyon, 2011). The communication charter should be revised when evidence contradicts its assumptions. Useful indicators include unresolved decisions, clarification requests, defect-escalation time, rework caused by misunderstood requirements and the distribution of contributions across both companies.</w:t>
      </w:r>
    </w:p>
    <w:p w14:paraId="6396F1A8" w14:textId="41553734" w:rsidR="00656EE9" w:rsidRPr="00656EE9" w:rsidRDefault="00656EE9" w:rsidP="00656EE9">
      <w:pPr>
        <w:rPr>
          <w:lang w:val="en-GB"/>
        </w:rPr>
      </w:pPr>
      <w:r w:rsidRPr="00656EE9">
        <w:rPr>
          <w:lang w:val="en-GB"/>
        </w:rPr>
        <w:t xml:space="preserve">These controls do more than prevent conflict. Stahl et al.’s (2010) meta-analysis shows that cultural diversity can reduce social integration and increase task conflict, but can also improve creativity. Arm’s willingness to experiment and Panasonic’s emphasis on validation could therefore </w:t>
      </w:r>
      <w:r w:rsidR="008C0E5E">
        <w:rPr>
          <w:lang w:val="en-GB"/>
        </w:rPr>
        <w:t>complement each other</w:t>
      </w:r>
      <w:r w:rsidRPr="00656EE9">
        <w:rPr>
          <w:lang w:val="en-GB"/>
        </w:rPr>
        <w:t>. The objective is not frictionless communication; it is disagreement that becomes visible early enough to improve the product.</w:t>
      </w:r>
    </w:p>
    <w:p w14:paraId="30C19838" w14:textId="77777777" w:rsidR="00656EE9" w:rsidRPr="00656EE9" w:rsidRDefault="00656EE9" w:rsidP="008C0E5E">
      <w:pPr>
        <w:pStyle w:val="Heading1"/>
      </w:pPr>
      <w:bookmarkStart w:id="8" w:name="_Toc238137172"/>
      <w:r w:rsidRPr="00656EE9">
        <w:t>5. Conclusion</w:t>
      </w:r>
      <w:bookmarkEnd w:id="8"/>
    </w:p>
    <w:p w14:paraId="0DF95C30" w14:textId="77777777" w:rsidR="00656EE9" w:rsidRPr="00656EE9" w:rsidRDefault="00656EE9" w:rsidP="00656EE9">
      <w:pPr>
        <w:rPr>
          <w:lang w:val="en-GB"/>
        </w:rPr>
      </w:pPr>
      <w:r w:rsidRPr="00656EE9">
        <w:rPr>
          <w:lang w:val="en-GB"/>
        </w:rPr>
        <w:t xml:space="preserve">The Arm–Panasonic Automotive Systems partnership combines capabilities that are commercially well matched but communicatively demanding. Hall’s framework indicates that British participants are more likely to expect meaning to be explicit, while </w:t>
      </w:r>
      <w:r w:rsidRPr="00656EE9">
        <w:rPr>
          <w:lang w:val="en-GB"/>
        </w:rPr>
        <w:lastRenderedPageBreak/>
        <w:t>Japanese participants may rely more on context, relationships and silence. Hofstede’s dimensions add insight into different attitudes towards uncertainty, individual expression, hierarchy and time. Together, these differences can produce false agreement, delayed escalation and competing interpretations of preparation, speed and professional competence.</w:t>
      </w:r>
    </w:p>
    <w:p w14:paraId="325247A0" w14:textId="7FA5DEC5" w:rsidR="00656EE9" w:rsidRPr="00656EE9" w:rsidRDefault="00656EE9" w:rsidP="00656EE9">
      <w:pPr>
        <w:rPr>
          <w:lang w:val="en-GB"/>
        </w:rPr>
      </w:pPr>
      <w:r w:rsidRPr="00656EE9">
        <w:rPr>
          <w:lang w:val="en-GB"/>
        </w:rPr>
        <w:t xml:space="preserve">Neither framework, however, can determine how a particular engineer will behave. Both </w:t>
      </w:r>
      <w:r w:rsidR="008C0E5E">
        <w:rPr>
          <w:lang w:val="en-GB"/>
        </w:rPr>
        <w:t>oversimplify nations, rely on contested evidence, and understate the effects of organisational power, professional culture, language proficiency,</w:t>
      </w:r>
      <w:r w:rsidRPr="00656EE9">
        <w:rPr>
          <w:lang w:val="en-GB"/>
        </w:rPr>
        <w:t xml:space="preserve"> and communication technology. Arm’s Japanese ownership further weakens any simple opposition between a British company and a Japanese one. Their value lies in prompting managers to investigate risk, not in supplying cultural verdicts.</w:t>
      </w:r>
    </w:p>
    <w:p w14:paraId="199282B8" w14:textId="252DDF7A" w:rsidR="00656EE9" w:rsidRPr="00656EE9" w:rsidRDefault="00656EE9" w:rsidP="00656EE9">
      <w:pPr>
        <w:rPr>
          <w:lang w:val="en-GB"/>
        </w:rPr>
      </w:pPr>
      <w:r w:rsidRPr="00656EE9">
        <w:rPr>
          <w:lang w:val="en-GB"/>
        </w:rPr>
        <w:t xml:space="preserve">For the Country Director, the strongest response is a hybrid operating culture built around explicit decision status, advance consultation, dual feedback routes, written confirmation and psychologically safe escalation. These controls preserve the benefits of Japanese consensus and British openness without treating </w:t>
      </w:r>
      <w:r w:rsidR="008C0E5E">
        <w:rPr>
          <w:lang w:val="en-GB"/>
        </w:rPr>
        <w:t xml:space="preserve">either </w:t>
      </w:r>
      <w:r w:rsidR="008C0E5E" w:rsidRPr="00656EE9">
        <w:rPr>
          <w:lang w:val="en-GB"/>
        </w:rPr>
        <w:t>as</w:t>
      </w:r>
      <w:r w:rsidRPr="00656EE9">
        <w:rPr>
          <w:lang w:val="en-GB"/>
        </w:rPr>
        <w:t xml:space="preserve"> universally superior. If </w:t>
      </w:r>
      <w:r w:rsidR="008C0E5E">
        <w:rPr>
          <w:lang w:val="en-GB"/>
        </w:rPr>
        <w:t>teams make disagreements</w:t>
      </w:r>
      <w:r w:rsidRPr="00656EE9">
        <w:rPr>
          <w:lang w:val="en-GB"/>
        </w:rPr>
        <w:t xml:space="preserve"> visible before they enter specifications and deadlines, cultural </w:t>
      </w:r>
      <w:r w:rsidR="008C0E5E">
        <w:rPr>
          <w:lang w:val="en-GB"/>
        </w:rPr>
        <w:t>differences</w:t>
      </w:r>
      <w:r w:rsidRPr="00656EE9">
        <w:rPr>
          <w:lang w:val="en-GB"/>
        </w:rPr>
        <w:t xml:space="preserve"> can improve rather than obstruct the development of software-defined vehicle technology.</w:t>
      </w:r>
    </w:p>
    <w:p w14:paraId="4732F558" w14:textId="77777777" w:rsidR="00F50FAC" w:rsidRDefault="00F50FAC" w:rsidP="00656EE9">
      <w:pPr>
        <w:rPr>
          <w:b/>
          <w:bCs/>
          <w:lang w:val="en-GB"/>
        </w:rPr>
      </w:pPr>
    </w:p>
    <w:p w14:paraId="24AED848" w14:textId="77777777" w:rsidR="00F50FAC" w:rsidRDefault="00F50FAC" w:rsidP="00656EE9">
      <w:pPr>
        <w:rPr>
          <w:b/>
          <w:bCs/>
          <w:lang w:val="en-GB"/>
        </w:rPr>
      </w:pPr>
    </w:p>
    <w:p w14:paraId="7F421CBD" w14:textId="77777777" w:rsidR="00F50FAC" w:rsidRDefault="00F50FAC" w:rsidP="00656EE9">
      <w:pPr>
        <w:rPr>
          <w:b/>
          <w:bCs/>
          <w:lang w:val="en-GB"/>
        </w:rPr>
      </w:pPr>
    </w:p>
    <w:p w14:paraId="3610D724" w14:textId="77777777" w:rsidR="00F50FAC" w:rsidRDefault="00F50FAC" w:rsidP="00656EE9">
      <w:pPr>
        <w:rPr>
          <w:b/>
          <w:bCs/>
          <w:lang w:val="en-GB"/>
        </w:rPr>
      </w:pPr>
    </w:p>
    <w:p w14:paraId="6F1293E5" w14:textId="77777777" w:rsidR="00F50FAC" w:rsidRDefault="00F50FAC" w:rsidP="00656EE9">
      <w:pPr>
        <w:rPr>
          <w:b/>
          <w:bCs/>
          <w:lang w:val="en-GB"/>
        </w:rPr>
      </w:pPr>
    </w:p>
    <w:p w14:paraId="1B40A2ED" w14:textId="77777777" w:rsidR="00F50FAC" w:rsidRDefault="00F50FAC" w:rsidP="00656EE9">
      <w:pPr>
        <w:rPr>
          <w:b/>
          <w:bCs/>
          <w:lang w:val="en-GB"/>
        </w:rPr>
      </w:pPr>
    </w:p>
    <w:p w14:paraId="20019C61" w14:textId="77777777" w:rsidR="00F50FAC" w:rsidRDefault="00F50FAC" w:rsidP="00656EE9">
      <w:pPr>
        <w:rPr>
          <w:b/>
          <w:bCs/>
          <w:lang w:val="en-GB"/>
        </w:rPr>
      </w:pPr>
    </w:p>
    <w:p w14:paraId="33FFEAAE" w14:textId="77777777" w:rsidR="00F50FAC" w:rsidRDefault="00F50FAC" w:rsidP="00656EE9">
      <w:pPr>
        <w:rPr>
          <w:b/>
          <w:bCs/>
          <w:lang w:val="en-GB"/>
        </w:rPr>
      </w:pPr>
    </w:p>
    <w:p w14:paraId="17A1A7F3" w14:textId="77777777" w:rsidR="00F50FAC" w:rsidRDefault="00F50FAC" w:rsidP="00656EE9">
      <w:pPr>
        <w:rPr>
          <w:b/>
          <w:bCs/>
          <w:lang w:val="en-GB"/>
        </w:rPr>
      </w:pPr>
    </w:p>
    <w:p w14:paraId="49CAB4A4" w14:textId="77777777" w:rsidR="00F50FAC" w:rsidRDefault="00F50FAC" w:rsidP="00656EE9">
      <w:pPr>
        <w:rPr>
          <w:b/>
          <w:bCs/>
          <w:lang w:val="en-GB"/>
        </w:rPr>
      </w:pPr>
    </w:p>
    <w:p w14:paraId="69E5FC6B" w14:textId="77777777" w:rsidR="00F50FAC" w:rsidRDefault="00F50FAC" w:rsidP="00656EE9">
      <w:pPr>
        <w:rPr>
          <w:b/>
          <w:bCs/>
          <w:lang w:val="en-GB"/>
        </w:rPr>
      </w:pPr>
    </w:p>
    <w:p w14:paraId="61E2216D" w14:textId="77777777" w:rsidR="00F50FAC" w:rsidRDefault="00F50FAC" w:rsidP="00656EE9">
      <w:pPr>
        <w:rPr>
          <w:b/>
          <w:bCs/>
          <w:lang w:val="en-GB"/>
        </w:rPr>
      </w:pPr>
    </w:p>
    <w:p w14:paraId="24AD8C29" w14:textId="10532C96" w:rsidR="00656EE9" w:rsidRPr="00656EE9" w:rsidRDefault="00656EE9" w:rsidP="005F6137">
      <w:pPr>
        <w:pStyle w:val="Heading1"/>
      </w:pPr>
      <w:bookmarkStart w:id="9" w:name="_Toc238137173"/>
      <w:r w:rsidRPr="00656EE9">
        <w:lastRenderedPageBreak/>
        <w:t>Reference List</w:t>
      </w:r>
      <w:bookmarkEnd w:id="9"/>
    </w:p>
    <w:p w14:paraId="34DBE82E" w14:textId="77777777" w:rsidR="008C0E5E" w:rsidRPr="00656EE9" w:rsidRDefault="008C0E5E" w:rsidP="00F50FAC">
      <w:pPr>
        <w:ind w:left="720" w:hanging="720"/>
        <w:jc w:val="left"/>
      </w:pPr>
    </w:p>
    <w:p w14:paraId="7366FD2E" w14:textId="20112F6A" w:rsidR="008C0E5E" w:rsidRPr="00656EE9" w:rsidRDefault="008C0E5E" w:rsidP="00F50FAC">
      <w:pPr>
        <w:ind w:left="720" w:hanging="720"/>
        <w:jc w:val="left"/>
        <w:rPr>
          <w:lang w:val="en-GB"/>
        </w:rPr>
      </w:pPr>
      <w:r w:rsidRPr="00656EE9">
        <w:rPr>
          <w:lang w:val="en-GB"/>
        </w:rPr>
        <w:t xml:space="preserve">Arm (2024) ‘Panasonic Automotive Systems and Arm partner to </w:t>
      </w:r>
      <w:r>
        <w:rPr>
          <w:lang w:val="en-GB"/>
        </w:rPr>
        <w:t>standardi</w:t>
      </w:r>
      <w:r w:rsidR="00810868">
        <w:rPr>
          <w:lang w:val="en-GB"/>
        </w:rPr>
        <w:t>z</w:t>
      </w:r>
      <w:r>
        <w:rPr>
          <w:lang w:val="en-GB"/>
        </w:rPr>
        <w:t>e</w:t>
      </w:r>
      <w:r w:rsidRPr="00656EE9">
        <w:rPr>
          <w:lang w:val="en-GB"/>
        </w:rPr>
        <w:t xml:space="preserve"> software-defined vehicles’, 7 November. Available at: </w:t>
      </w:r>
      <w:hyperlink r:id="rId10" w:history="1">
        <w:r w:rsidRPr="00656EE9">
          <w:rPr>
            <w:rStyle w:val="Hyperlink"/>
            <w:lang w:val="en-GB"/>
          </w:rPr>
          <w:t>https://newsroom.arm.com/news/arm-and-panasonic-partner-to-standardize-sdvs</w:t>
        </w:r>
      </w:hyperlink>
      <w:r w:rsidRPr="00656EE9">
        <w:rPr>
          <w:lang w:val="en-GB"/>
        </w:rPr>
        <w:t xml:space="preserve"> (Accessed: 20 August 2026).</w:t>
      </w:r>
    </w:p>
    <w:p w14:paraId="510BD10F" w14:textId="77777777" w:rsidR="008C0E5E" w:rsidRPr="00656EE9" w:rsidRDefault="008C0E5E" w:rsidP="00F50FAC">
      <w:pPr>
        <w:ind w:left="720" w:hanging="720"/>
        <w:jc w:val="left"/>
        <w:rPr>
          <w:lang w:val="en-GB"/>
        </w:rPr>
      </w:pPr>
      <w:r w:rsidRPr="00656EE9">
        <w:rPr>
          <w:lang w:val="en-GB"/>
        </w:rPr>
        <w:t xml:space="preserve">Arm Holdings plc (2025) </w:t>
      </w:r>
      <w:r w:rsidRPr="00656EE9">
        <w:rPr>
          <w:i/>
          <w:iCs/>
          <w:lang w:val="en-GB"/>
        </w:rPr>
        <w:t>Annual Report and Consolidated Financial Statements for the year ended 31 March 2025</w:t>
      </w:r>
      <w:r w:rsidRPr="00656EE9">
        <w:rPr>
          <w:lang w:val="en-GB"/>
        </w:rPr>
        <w:t xml:space="preserve">. Available at: </w:t>
      </w:r>
      <w:hyperlink r:id="rId11" w:history="1">
        <w:r w:rsidRPr="00656EE9">
          <w:rPr>
            <w:rStyle w:val="Hyperlink"/>
            <w:lang w:val="en-GB"/>
          </w:rPr>
          <w:t>https://investors.arm.com/static-files/219a3b28-f209-4d74-8bc6-f9e026d55a95</w:t>
        </w:r>
      </w:hyperlink>
      <w:r w:rsidRPr="00656EE9">
        <w:rPr>
          <w:lang w:val="en-GB"/>
        </w:rPr>
        <w:t xml:space="preserve"> (Accessed: 20 August 2026).</w:t>
      </w:r>
    </w:p>
    <w:p w14:paraId="4D601653" w14:textId="1B9D0FDC" w:rsidR="008C0E5E" w:rsidRPr="00656EE9" w:rsidRDefault="008C0E5E" w:rsidP="00F50FAC">
      <w:pPr>
        <w:ind w:left="720" w:hanging="720"/>
        <w:jc w:val="left"/>
        <w:rPr>
          <w:lang w:val="en-GB"/>
        </w:rPr>
      </w:pPr>
      <w:r w:rsidRPr="00656EE9">
        <w:rPr>
          <w:lang w:val="en-GB"/>
        </w:rPr>
        <w:t xml:space="preserve">Beugelsdijk, S., Maseland, R. and Van Hoorn, A. (2015) ‘Are scores on Hofstede’s dimensions of national culture stable over time? A cohort analysis’, </w:t>
      </w:r>
      <w:r w:rsidRPr="00656EE9">
        <w:rPr>
          <w:i/>
          <w:iCs/>
          <w:lang w:val="en-GB"/>
        </w:rPr>
        <w:t>Global Strategy Journal</w:t>
      </w:r>
      <w:r w:rsidRPr="00656EE9">
        <w:rPr>
          <w:lang w:val="en-GB"/>
        </w:rPr>
        <w:t xml:space="preserve">, 5(3), pp. 223–240. </w:t>
      </w:r>
      <w:r w:rsidR="00F50FAC">
        <w:rPr>
          <w:lang w:val="en-GB"/>
        </w:rPr>
        <w:t>DOI</w:t>
      </w:r>
      <w:r w:rsidRPr="00656EE9">
        <w:rPr>
          <w:lang w:val="en-GB"/>
        </w:rPr>
        <w:t>: 10.1002/gsj.1098.</w:t>
      </w:r>
    </w:p>
    <w:p w14:paraId="7A453AE0" w14:textId="50E7F469" w:rsidR="008C0E5E" w:rsidRPr="00656EE9" w:rsidRDefault="008C0E5E" w:rsidP="00F50FAC">
      <w:pPr>
        <w:ind w:left="720" w:hanging="720"/>
        <w:jc w:val="left"/>
        <w:rPr>
          <w:lang w:val="en-GB"/>
        </w:rPr>
      </w:pPr>
      <w:r w:rsidRPr="00656EE9">
        <w:rPr>
          <w:lang w:val="en-GB"/>
        </w:rPr>
        <w:t xml:space="preserve">Earley, P.C. and Mosakowski, E. (2000) ‘Creating hybrid team cultures: An empirical test of transnational team functioning’, </w:t>
      </w:r>
      <w:r w:rsidRPr="00656EE9">
        <w:rPr>
          <w:i/>
          <w:iCs/>
          <w:lang w:val="en-GB"/>
        </w:rPr>
        <w:t>Academy of Management Journal</w:t>
      </w:r>
      <w:r w:rsidRPr="00656EE9">
        <w:rPr>
          <w:lang w:val="en-GB"/>
        </w:rPr>
        <w:t xml:space="preserve">, 43(1), pp. 26–49. </w:t>
      </w:r>
      <w:r w:rsidR="00F50FAC">
        <w:rPr>
          <w:lang w:val="en-GB"/>
        </w:rPr>
        <w:t>DOI</w:t>
      </w:r>
      <w:r w:rsidRPr="00656EE9">
        <w:rPr>
          <w:lang w:val="en-GB"/>
        </w:rPr>
        <w:t>: 10.5465/1556384.</w:t>
      </w:r>
    </w:p>
    <w:p w14:paraId="4CF0A394" w14:textId="33A44EFE" w:rsidR="008C0E5E" w:rsidRPr="00656EE9" w:rsidRDefault="008C0E5E" w:rsidP="00F50FAC">
      <w:pPr>
        <w:ind w:left="720" w:hanging="720"/>
        <w:jc w:val="left"/>
        <w:rPr>
          <w:lang w:val="en-GB"/>
        </w:rPr>
      </w:pPr>
      <w:r w:rsidRPr="00656EE9">
        <w:rPr>
          <w:lang w:val="en-GB"/>
        </w:rPr>
        <w:t xml:space="preserve">Fujio, M. (2004) ‘Silence during intercultural communication: A case study’, </w:t>
      </w:r>
      <w:r w:rsidRPr="00656EE9">
        <w:rPr>
          <w:i/>
          <w:iCs/>
          <w:lang w:val="en-GB"/>
        </w:rPr>
        <w:t>Corporate Communications: An International Journal</w:t>
      </w:r>
      <w:r w:rsidRPr="00656EE9">
        <w:rPr>
          <w:lang w:val="en-GB"/>
        </w:rPr>
        <w:t xml:space="preserve">, 9(4), pp. 331–339. </w:t>
      </w:r>
      <w:r w:rsidR="00F50FAC">
        <w:rPr>
          <w:lang w:val="en-GB"/>
        </w:rPr>
        <w:t>DOI</w:t>
      </w:r>
      <w:r w:rsidRPr="00656EE9">
        <w:rPr>
          <w:lang w:val="en-GB"/>
        </w:rPr>
        <w:t>: 10.1108/13563280410564066.</w:t>
      </w:r>
    </w:p>
    <w:p w14:paraId="46C03683" w14:textId="5EB6C337" w:rsidR="008C0E5E" w:rsidRPr="00656EE9" w:rsidRDefault="008C0E5E" w:rsidP="00F50FAC">
      <w:pPr>
        <w:ind w:left="720" w:hanging="720"/>
        <w:jc w:val="left"/>
        <w:rPr>
          <w:lang w:val="en-GB"/>
        </w:rPr>
      </w:pPr>
      <w:r w:rsidRPr="00656EE9">
        <w:rPr>
          <w:lang w:val="en-GB"/>
        </w:rPr>
        <w:t xml:space="preserve">Gibson, C.B. and Gibbs, J.L. (2006) ‘Unpacking the concept of virtuality: The effects of geographic dispersion, electronic dependence, dynamic structure, and national diversity on team innovation’, </w:t>
      </w:r>
      <w:r w:rsidRPr="00656EE9">
        <w:rPr>
          <w:i/>
          <w:iCs/>
          <w:lang w:val="en-GB"/>
        </w:rPr>
        <w:t>Administrative Science Quarterly</w:t>
      </w:r>
      <w:r w:rsidRPr="00656EE9">
        <w:rPr>
          <w:lang w:val="en-GB"/>
        </w:rPr>
        <w:t xml:space="preserve">, 51(3), pp. 451–495. </w:t>
      </w:r>
      <w:r w:rsidR="00F50FAC">
        <w:rPr>
          <w:lang w:val="en-GB"/>
        </w:rPr>
        <w:t>DOI</w:t>
      </w:r>
      <w:r w:rsidRPr="00656EE9">
        <w:rPr>
          <w:lang w:val="en-GB"/>
        </w:rPr>
        <w:t>: 10.2189/asqu.51.3.451.</w:t>
      </w:r>
    </w:p>
    <w:p w14:paraId="56F81FF2" w14:textId="4143E32D" w:rsidR="008C0E5E" w:rsidRPr="00656EE9" w:rsidRDefault="008C0E5E" w:rsidP="00810868">
      <w:pPr>
        <w:ind w:left="720" w:hanging="720"/>
        <w:jc w:val="left"/>
        <w:rPr>
          <w:lang w:val="en-GB"/>
        </w:rPr>
      </w:pPr>
      <w:r w:rsidRPr="00656EE9">
        <w:rPr>
          <w:lang w:val="en-GB"/>
        </w:rPr>
        <w:t xml:space="preserve">Hall, E.T. (1976) </w:t>
      </w:r>
      <w:r w:rsidRPr="00656EE9">
        <w:rPr>
          <w:i/>
          <w:iCs/>
          <w:lang w:val="en-GB"/>
        </w:rPr>
        <w:t xml:space="preserve">Beyond </w:t>
      </w:r>
      <w:r w:rsidR="0011151F">
        <w:rPr>
          <w:i/>
          <w:iCs/>
          <w:lang w:val="en-GB"/>
        </w:rPr>
        <w:t>c</w:t>
      </w:r>
      <w:r w:rsidRPr="00656EE9">
        <w:rPr>
          <w:i/>
          <w:iCs/>
          <w:lang w:val="en-GB"/>
        </w:rPr>
        <w:t>ulture</w:t>
      </w:r>
      <w:r w:rsidRPr="00656EE9">
        <w:rPr>
          <w:lang w:val="en-GB"/>
        </w:rPr>
        <w:t xml:space="preserve">. </w:t>
      </w:r>
      <w:r w:rsidR="00810868">
        <w:rPr>
          <w:lang w:val="en-GB"/>
        </w:rPr>
        <w:t xml:space="preserve">Garden City, </w:t>
      </w:r>
      <w:r w:rsidRPr="00656EE9">
        <w:rPr>
          <w:lang w:val="en-GB"/>
        </w:rPr>
        <w:t>NY: Anchor Press.</w:t>
      </w:r>
    </w:p>
    <w:p w14:paraId="07EE7763" w14:textId="0DA0AB84" w:rsidR="008C0E5E" w:rsidRPr="00656EE9" w:rsidRDefault="008C0E5E" w:rsidP="00F50FAC">
      <w:pPr>
        <w:ind w:left="720" w:hanging="720"/>
        <w:jc w:val="left"/>
        <w:rPr>
          <w:lang w:val="en-GB"/>
        </w:rPr>
      </w:pPr>
      <w:r w:rsidRPr="00656EE9">
        <w:rPr>
          <w:lang w:val="en-GB"/>
        </w:rPr>
        <w:t xml:space="preserve">Hinds, P.J., Liu, L. and Lyon, J. (2011) ‘Putting the global in global work: An intercultural lens on the practice of cross-national collaboration’, </w:t>
      </w:r>
      <w:r w:rsidRPr="00656EE9">
        <w:rPr>
          <w:i/>
          <w:iCs/>
          <w:lang w:val="en-GB"/>
        </w:rPr>
        <w:t>Academy of Management Annals</w:t>
      </w:r>
      <w:r w:rsidRPr="00656EE9">
        <w:rPr>
          <w:lang w:val="en-GB"/>
        </w:rPr>
        <w:t xml:space="preserve">, 5(1), pp. 135–188. </w:t>
      </w:r>
      <w:r w:rsidR="005F6137">
        <w:rPr>
          <w:lang w:val="en-GB"/>
        </w:rPr>
        <w:t>DOI</w:t>
      </w:r>
      <w:r w:rsidRPr="00656EE9">
        <w:rPr>
          <w:lang w:val="en-GB"/>
        </w:rPr>
        <w:t>: 10.5465/19416520.2011.586108.</w:t>
      </w:r>
    </w:p>
    <w:p w14:paraId="6266B6BA" w14:textId="307254CE" w:rsidR="008C0E5E" w:rsidRPr="00656EE9" w:rsidRDefault="008C0E5E" w:rsidP="00F50FAC">
      <w:pPr>
        <w:ind w:left="720" w:hanging="720"/>
        <w:jc w:val="left"/>
        <w:rPr>
          <w:lang w:val="en-GB"/>
        </w:rPr>
      </w:pPr>
      <w:r w:rsidRPr="00656EE9">
        <w:rPr>
          <w:lang w:val="en-GB"/>
        </w:rPr>
        <w:t xml:space="preserve">Hofstede, G., Hofstede, G.J. and Minkov, M. (2010) </w:t>
      </w:r>
      <w:r w:rsidRPr="00656EE9">
        <w:rPr>
          <w:i/>
          <w:iCs/>
          <w:lang w:val="en-GB"/>
        </w:rPr>
        <w:t xml:space="preserve">Cultures and </w:t>
      </w:r>
      <w:r>
        <w:rPr>
          <w:i/>
          <w:iCs/>
          <w:lang w:val="en-GB"/>
        </w:rPr>
        <w:t>Organi</w:t>
      </w:r>
      <w:r w:rsidR="00954856">
        <w:rPr>
          <w:i/>
          <w:iCs/>
          <w:lang w:val="en-GB"/>
        </w:rPr>
        <w:t>z</w:t>
      </w:r>
      <w:r>
        <w:rPr>
          <w:i/>
          <w:iCs/>
          <w:lang w:val="en-GB"/>
        </w:rPr>
        <w:t>ations</w:t>
      </w:r>
      <w:r w:rsidRPr="00656EE9">
        <w:rPr>
          <w:i/>
          <w:iCs/>
          <w:lang w:val="en-GB"/>
        </w:rPr>
        <w:t>: Software of the Mind</w:t>
      </w:r>
      <w:r w:rsidRPr="00656EE9">
        <w:rPr>
          <w:lang w:val="en-GB"/>
        </w:rPr>
        <w:t>. 3rd edn. New York: McGraw-Hill.</w:t>
      </w:r>
    </w:p>
    <w:p w14:paraId="197CEC64" w14:textId="29D1ED9A" w:rsidR="008C0E5E" w:rsidRPr="00656EE9" w:rsidRDefault="008C0E5E" w:rsidP="00F50FAC">
      <w:pPr>
        <w:ind w:left="720" w:hanging="720"/>
        <w:jc w:val="left"/>
        <w:rPr>
          <w:lang w:val="en-GB"/>
        </w:rPr>
      </w:pPr>
      <w:r w:rsidRPr="00656EE9">
        <w:rPr>
          <w:lang w:val="en-GB"/>
        </w:rPr>
        <w:t xml:space="preserve">Kittler, M.G., Rygl, D. and Mackinnon, A. (2011) ‘Beyond culture or beyond control? Reviewing the use of Hall’s high-/low-context concept’, </w:t>
      </w:r>
      <w:r w:rsidRPr="00656EE9">
        <w:rPr>
          <w:i/>
          <w:iCs/>
          <w:lang w:val="en-GB"/>
        </w:rPr>
        <w:t xml:space="preserve">International Journal of </w:t>
      </w:r>
      <w:r w:rsidRPr="00656EE9">
        <w:rPr>
          <w:i/>
          <w:iCs/>
          <w:lang w:val="en-GB"/>
        </w:rPr>
        <w:lastRenderedPageBreak/>
        <w:t>Cross-Cultural Management</w:t>
      </w:r>
      <w:r w:rsidRPr="00656EE9">
        <w:rPr>
          <w:lang w:val="en-GB"/>
        </w:rPr>
        <w:t xml:space="preserve">, 11(1), pp. 63–82. </w:t>
      </w:r>
      <w:r w:rsidR="005F6137">
        <w:rPr>
          <w:lang w:val="en-GB"/>
        </w:rPr>
        <w:t>DOI</w:t>
      </w:r>
      <w:r w:rsidRPr="00656EE9">
        <w:rPr>
          <w:lang w:val="en-GB"/>
        </w:rPr>
        <w:t>: 10.1177/1470595811398797.</w:t>
      </w:r>
    </w:p>
    <w:p w14:paraId="6885849A" w14:textId="1111F5A6" w:rsidR="008C0E5E" w:rsidRPr="00656EE9" w:rsidRDefault="008C0E5E" w:rsidP="00F50FAC">
      <w:pPr>
        <w:ind w:left="720" w:hanging="720"/>
        <w:jc w:val="left"/>
        <w:rPr>
          <w:lang w:val="en-GB"/>
        </w:rPr>
      </w:pPr>
      <w:r w:rsidRPr="00656EE9">
        <w:rPr>
          <w:lang w:val="en-GB"/>
        </w:rPr>
        <w:t xml:space="preserve">McSweeney, B. (2002) ‘Hofstede’s model of national cultural differences and their consequences: A triumph of faith – a failure of analysis’, </w:t>
      </w:r>
      <w:r w:rsidRPr="00656EE9">
        <w:rPr>
          <w:i/>
          <w:iCs/>
          <w:lang w:val="en-GB"/>
        </w:rPr>
        <w:t>Human Relations</w:t>
      </w:r>
      <w:r w:rsidRPr="00656EE9">
        <w:rPr>
          <w:lang w:val="en-GB"/>
        </w:rPr>
        <w:t xml:space="preserve">, 55(1), pp. 89–118. </w:t>
      </w:r>
      <w:r w:rsidR="005F6137">
        <w:rPr>
          <w:lang w:val="en-GB"/>
        </w:rPr>
        <w:t>DOI</w:t>
      </w:r>
      <w:r w:rsidRPr="00656EE9">
        <w:rPr>
          <w:lang w:val="en-GB"/>
        </w:rPr>
        <w:t>: 10.1177/0018726702551004.</w:t>
      </w:r>
    </w:p>
    <w:p w14:paraId="653D04B3" w14:textId="77777777" w:rsidR="008C0E5E" w:rsidRPr="00656EE9" w:rsidRDefault="008C0E5E" w:rsidP="00F50FAC">
      <w:pPr>
        <w:ind w:left="720" w:hanging="720"/>
        <w:jc w:val="left"/>
        <w:rPr>
          <w:lang w:val="en-GB"/>
        </w:rPr>
      </w:pPr>
      <w:r w:rsidRPr="00656EE9">
        <w:rPr>
          <w:lang w:val="en-GB"/>
        </w:rPr>
        <w:t xml:space="preserve">METI (2024) ‘Mobility Digital Transformation (DX) Strategy formulated’, 24 May. Available at: </w:t>
      </w:r>
      <w:hyperlink r:id="rId12" w:history="1">
        <w:r w:rsidRPr="00656EE9">
          <w:rPr>
            <w:rStyle w:val="Hyperlink"/>
            <w:lang w:val="en-GB"/>
          </w:rPr>
          <w:t>https://www.meti.go.jp/english/press/2024/0524_002.html</w:t>
        </w:r>
      </w:hyperlink>
      <w:r w:rsidRPr="00656EE9">
        <w:rPr>
          <w:lang w:val="en-GB"/>
        </w:rPr>
        <w:t xml:space="preserve"> (Accessed: 20 August 2026).</w:t>
      </w:r>
    </w:p>
    <w:p w14:paraId="70EA316C" w14:textId="0741180F" w:rsidR="008C0E5E" w:rsidRPr="00656EE9" w:rsidRDefault="008C0E5E" w:rsidP="00F50FAC">
      <w:pPr>
        <w:ind w:left="720" w:hanging="720"/>
        <w:jc w:val="left"/>
        <w:rPr>
          <w:lang w:val="en-GB"/>
        </w:rPr>
      </w:pPr>
      <w:r w:rsidRPr="00656EE9">
        <w:rPr>
          <w:lang w:val="en-GB"/>
        </w:rPr>
        <w:t xml:space="preserve">Movius, H., Matsuura, M., Yan, J. and Kim, D.-Y. (2006) ‘Tailoring the Mutual Gains Approach for negotiations with partners in Japan, China, and Korea’, </w:t>
      </w:r>
      <w:r w:rsidRPr="00656EE9">
        <w:rPr>
          <w:i/>
          <w:iCs/>
          <w:lang w:val="en-GB"/>
        </w:rPr>
        <w:t>Negotiation Journal</w:t>
      </w:r>
      <w:r w:rsidRPr="00656EE9">
        <w:rPr>
          <w:lang w:val="en-GB"/>
        </w:rPr>
        <w:t xml:space="preserve">, 22(4), pp. 389–435. </w:t>
      </w:r>
      <w:r w:rsidR="005F6137">
        <w:rPr>
          <w:lang w:val="en-GB"/>
        </w:rPr>
        <w:t>DOI</w:t>
      </w:r>
      <w:r w:rsidRPr="00656EE9">
        <w:rPr>
          <w:lang w:val="en-GB"/>
        </w:rPr>
        <w:t>: 10.1111/j.1571-9979.2006.00111.x.</w:t>
      </w:r>
    </w:p>
    <w:p w14:paraId="6376F9BD" w14:textId="77777777" w:rsidR="008C0E5E" w:rsidRPr="00656EE9" w:rsidRDefault="008C0E5E" w:rsidP="00F50FAC">
      <w:pPr>
        <w:ind w:left="720" w:hanging="720"/>
        <w:jc w:val="left"/>
        <w:rPr>
          <w:lang w:val="en-GB"/>
        </w:rPr>
      </w:pPr>
      <w:r w:rsidRPr="00656EE9">
        <w:rPr>
          <w:lang w:val="en-GB"/>
        </w:rPr>
        <w:t xml:space="preserve">Nakane, I. (2007) </w:t>
      </w:r>
      <w:r w:rsidRPr="00656EE9">
        <w:rPr>
          <w:i/>
          <w:iCs/>
          <w:lang w:val="en-GB"/>
        </w:rPr>
        <w:t>Silence in Intercultural Communication: Perceptions and Performance</w:t>
      </w:r>
      <w:r w:rsidRPr="00656EE9">
        <w:rPr>
          <w:lang w:val="en-GB"/>
        </w:rPr>
        <w:t>. Amsterdam: John Benjamins.</w:t>
      </w:r>
    </w:p>
    <w:p w14:paraId="6657AB17" w14:textId="77777777" w:rsidR="008C0E5E" w:rsidRPr="00656EE9" w:rsidRDefault="008C0E5E" w:rsidP="00F50FAC">
      <w:pPr>
        <w:ind w:left="720" w:hanging="720"/>
        <w:jc w:val="left"/>
        <w:rPr>
          <w:lang w:val="en-GB"/>
        </w:rPr>
      </w:pPr>
      <w:r w:rsidRPr="00656EE9">
        <w:rPr>
          <w:lang w:val="en-GB"/>
        </w:rPr>
        <w:t xml:space="preserve">Panasonic Automotive Systems (n.d.) ‘Corporate profile’. Available at: </w:t>
      </w:r>
      <w:hyperlink r:id="rId13" w:history="1">
        <w:r w:rsidRPr="00656EE9">
          <w:rPr>
            <w:rStyle w:val="Hyperlink"/>
            <w:lang w:val="en-GB"/>
          </w:rPr>
          <w:t>https://automotive.panasonic.com/en/corporate/about/overview</w:t>
        </w:r>
      </w:hyperlink>
      <w:r w:rsidRPr="00656EE9">
        <w:rPr>
          <w:lang w:val="en-GB"/>
        </w:rPr>
        <w:t xml:space="preserve"> (Accessed: 20 August 2026).</w:t>
      </w:r>
    </w:p>
    <w:p w14:paraId="4C4B6C9E" w14:textId="646F067E" w:rsidR="008C0E5E" w:rsidRPr="00656EE9" w:rsidRDefault="008C0E5E" w:rsidP="00F50FAC">
      <w:pPr>
        <w:ind w:left="720" w:hanging="720"/>
        <w:jc w:val="left"/>
        <w:rPr>
          <w:lang w:val="en-GB"/>
        </w:rPr>
      </w:pPr>
      <w:r w:rsidRPr="00656EE9">
        <w:rPr>
          <w:lang w:val="en-GB"/>
        </w:rPr>
        <w:t>Stahl, G.K., Maznevski, M.L., Voigt, A. and Jonsen, K. (2010) ‘</w:t>
      </w:r>
      <w:proofErr w:type="spellStart"/>
      <w:r w:rsidRPr="00656EE9">
        <w:rPr>
          <w:lang w:val="en-GB"/>
        </w:rPr>
        <w:t>Unraveling</w:t>
      </w:r>
      <w:proofErr w:type="spellEnd"/>
      <w:r w:rsidRPr="00656EE9">
        <w:rPr>
          <w:lang w:val="en-GB"/>
        </w:rPr>
        <w:t xml:space="preserve"> the effects of cultural diversity in teams: A meta-analysis of research on multicultural work groups’, </w:t>
      </w:r>
      <w:r w:rsidRPr="00656EE9">
        <w:rPr>
          <w:i/>
          <w:iCs/>
          <w:lang w:val="en-GB"/>
        </w:rPr>
        <w:t>Journal of International Business Studies</w:t>
      </w:r>
      <w:r w:rsidRPr="00656EE9">
        <w:rPr>
          <w:lang w:val="en-GB"/>
        </w:rPr>
        <w:t xml:space="preserve">, 41(4), pp. 690–709. </w:t>
      </w:r>
      <w:r w:rsidR="005F6137">
        <w:rPr>
          <w:lang w:val="en-GB"/>
        </w:rPr>
        <w:t>DOI</w:t>
      </w:r>
      <w:r w:rsidRPr="00656EE9">
        <w:rPr>
          <w:lang w:val="en-GB"/>
        </w:rPr>
        <w:t>: 10.1057/jibs.2009.85.</w:t>
      </w:r>
    </w:p>
    <w:p w14:paraId="0492CC62" w14:textId="77825B0A" w:rsidR="008C0E5E" w:rsidRPr="00656EE9" w:rsidRDefault="008C0E5E" w:rsidP="00F50FAC">
      <w:pPr>
        <w:ind w:left="720" w:hanging="720"/>
        <w:jc w:val="left"/>
        <w:rPr>
          <w:lang w:val="en-GB"/>
        </w:rPr>
      </w:pPr>
      <w:r w:rsidRPr="00656EE9">
        <w:rPr>
          <w:lang w:val="en-GB"/>
        </w:rPr>
        <w:t xml:space="preserve">Taras, V., Kirkman, B.L. and Steel, P. (2010) ‘Examining the impact of Culture’s Consequences: A three-decade, multilevel, meta-analytic review of Hofstede’s cultural value dimensions’, </w:t>
      </w:r>
      <w:r w:rsidRPr="00656EE9">
        <w:rPr>
          <w:i/>
          <w:iCs/>
          <w:lang w:val="en-GB"/>
        </w:rPr>
        <w:t>Journal of Applied Psychology</w:t>
      </w:r>
      <w:r w:rsidRPr="00656EE9">
        <w:rPr>
          <w:lang w:val="en-GB"/>
        </w:rPr>
        <w:t xml:space="preserve">, 95(3), pp. 405–439. </w:t>
      </w:r>
      <w:r w:rsidR="005F6137">
        <w:rPr>
          <w:lang w:val="en-GB"/>
        </w:rPr>
        <w:t>DOI</w:t>
      </w:r>
      <w:r w:rsidRPr="00656EE9">
        <w:rPr>
          <w:lang w:val="en-GB"/>
        </w:rPr>
        <w:t>: 10.1037/a0018938.</w:t>
      </w:r>
    </w:p>
    <w:p w14:paraId="0EB77D0F" w14:textId="7A0152B3" w:rsidR="008C0E5E" w:rsidRPr="00656EE9" w:rsidRDefault="008C0E5E" w:rsidP="00F50FAC">
      <w:pPr>
        <w:ind w:left="720" w:hanging="720"/>
        <w:jc w:val="left"/>
        <w:rPr>
          <w:lang w:val="en-GB"/>
        </w:rPr>
      </w:pPr>
      <w:r w:rsidRPr="00656EE9">
        <w:rPr>
          <w:lang w:val="en-GB"/>
        </w:rPr>
        <w:t xml:space="preserve">Tenzer, H., Pudelko, M. and Harzing, A.-W. (2014) ‘The impact of language barriers on trust formation in multinational teams’, </w:t>
      </w:r>
      <w:r w:rsidRPr="00656EE9">
        <w:rPr>
          <w:i/>
          <w:iCs/>
          <w:lang w:val="en-GB"/>
        </w:rPr>
        <w:t>Journal of International Business Studies</w:t>
      </w:r>
      <w:r w:rsidRPr="00656EE9">
        <w:rPr>
          <w:lang w:val="en-GB"/>
        </w:rPr>
        <w:t xml:space="preserve">, 45(5), pp. 508–535. </w:t>
      </w:r>
      <w:r w:rsidR="005F6137">
        <w:rPr>
          <w:lang w:val="en-GB"/>
        </w:rPr>
        <w:t>DOI</w:t>
      </w:r>
      <w:r w:rsidRPr="00656EE9">
        <w:rPr>
          <w:lang w:val="en-GB"/>
        </w:rPr>
        <w:t>: 10.1057/jibs.2013.64.</w:t>
      </w:r>
    </w:p>
    <w:sectPr w:rsidR="008C0E5E" w:rsidRPr="00656EE9">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03530F" w14:textId="77777777" w:rsidR="005A7C43" w:rsidRDefault="005A7C43" w:rsidP="00656EE9">
      <w:pPr>
        <w:spacing w:after="0" w:line="240" w:lineRule="auto"/>
      </w:pPr>
      <w:r>
        <w:separator/>
      </w:r>
    </w:p>
  </w:endnote>
  <w:endnote w:type="continuationSeparator" w:id="0">
    <w:p w14:paraId="055B267D" w14:textId="77777777" w:rsidR="005A7C43" w:rsidRDefault="005A7C43" w:rsidP="00656E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05195072"/>
      <w:docPartObj>
        <w:docPartGallery w:val="Page Numbers (Bottom of Page)"/>
        <w:docPartUnique/>
      </w:docPartObj>
    </w:sdtPr>
    <w:sdtEndPr>
      <w:rPr>
        <w:noProof/>
      </w:rPr>
    </w:sdtEndPr>
    <w:sdtContent>
      <w:p w14:paraId="4DE3CDF6" w14:textId="79348E00" w:rsidR="00656EE9" w:rsidRDefault="00656EE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28E3FE9" w14:textId="77777777" w:rsidR="00656EE9" w:rsidRDefault="00656E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DABEFB" w14:textId="77777777" w:rsidR="005A7C43" w:rsidRDefault="005A7C43" w:rsidP="00656EE9">
      <w:pPr>
        <w:spacing w:after="0" w:line="240" w:lineRule="auto"/>
      </w:pPr>
      <w:r>
        <w:separator/>
      </w:r>
    </w:p>
  </w:footnote>
  <w:footnote w:type="continuationSeparator" w:id="0">
    <w:p w14:paraId="37147E31" w14:textId="77777777" w:rsidR="005A7C43" w:rsidRDefault="005A7C43" w:rsidP="00656EE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6AD5172"/>
    <w:multiLevelType w:val="hybridMultilevel"/>
    <w:tmpl w:val="4B320E40"/>
    <w:lvl w:ilvl="0" w:tplc="0F242E0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BC23C33"/>
    <w:multiLevelType w:val="multilevel"/>
    <w:tmpl w:val="821C04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86216622">
    <w:abstractNumId w:val="0"/>
  </w:num>
  <w:num w:numId="2" w16cid:durableId="61590827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441A"/>
    <w:rsid w:val="000407FD"/>
    <w:rsid w:val="000474E0"/>
    <w:rsid w:val="000C1B79"/>
    <w:rsid w:val="0011151F"/>
    <w:rsid w:val="00162559"/>
    <w:rsid w:val="0017478E"/>
    <w:rsid w:val="00180F4A"/>
    <w:rsid w:val="00193CA5"/>
    <w:rsid w:val="001A2B2A"/>
    <w:rsid w:val="001E3BE1"/>
    <w:rsid w:val="00235DCC"/>
    <w:rsid w:val="00294BD9"/>
    <w:rsid w:val="00463C22"/>
    <w:rsid w:val="00516FE0"/>
    <w:rsid w:val="00582452"/>
    <w:rsid w:val="005A7C43"/>
    <w:rsid w:val="005F6137"/>
    <w:rsid w:val="006052FB"/>
    <w:rsid w:val="0064441A"/>
    <w:rsid w:val="00656EE9"/>
    <w:rsid w:val="007178F4"/>
    <w:rsid w:val="007D2495"/>
    <w:rsid w:val="00804A98"/>
    <w:rsid w:val="00810868"/>
    <w:rsid w:val="00855389"/>
    <w:rsid w:val="008C0E5E"/>
    <w:rsid w:val="008E27EC"/>
    <w:rsid w:val="008F4EC7"/>
    <w:rsid w:val="00954856"/>
    <w:rsid w:val="0098258F"/>
    <w:rsid w:val="009E5D84"/>
    <w:rsid w:val="00A121FF"/>
    <w:rsid w:val="00B30D25"/>
    <w:rsid w:val="00B5683C"/>
    <w:rsid w:val="00BB01A5"/>
    <w:rsid w:val="00C776B6"/>
    <w:rsid w:val="00E07036"/>
    <w:rsid w:val="00F16AE4"/>
    <w:rsid w:val="00F45C49"/>
    <w:rsid w:val="00F50FAC"/>
    <w:rsid w:val="00FD71C2"/>
    <w:rsid w:val="00FF34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86EA3B"/>
  <w15:chartTrackingRefBased/>
  <w15:docId w15:val="{84557FB2-527F-4FAF-BB74-8C86556D46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imes New Roman" w:hAnsiTheme="minorHAnsi" w:cstheme="minorBidi"/>
        <w:sz w:val="22"/>
        <w:szCs w:val="22"/>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55389"/>
    <w:pPr>
      <w:spacing w:after="80"/>
    </w:pPr>
    <w:rPr>
      <w:rFonts w:ascii="Arial" w:hAnsi="Arial"/>
      <w:sz w:val="24"/>
      <w:lang w:val="en-US"/>
    </w:rPr>
  </w:style>
  <w:style w:type="paragraph" w:styleId="Heading1">
    <w:name w:val="heading 1"/>
    <w:basedOn w:val="Normal"/>
    <w:next w:val="Normal"/>
    <w:link w:val="Heading1Char"/>
    <w:autoRedefine/>
    <w:uiPriority w:val="9"/>
    <w:qFormat/>
    <w:rsid w:val="009E5D84"/>
    <w:pPr>
      <w:keepNext/>
      <w:keepLines/>
      <w:spacing w:before="480" w:after="0"/>
      <w:outlineLvl w:val="0"/>
    </w:pPr>
    <w:rPr>
      <w:rFonts w:eastAsiaTheme="majorEastAsia" w:cstheme="majorBidi"/>
      <w:b/>
      <w:bCs/>
      <w:szCs w:val="28"/>
      <w:lang w:val="en-GB"/>
    </w:rPr>
  </w:style>
  <w:style w:type="paragraph" w:styleId="Heading2">
    <w:name w:val="heading 2"/>
    <w:basedOn w:val="Normal"/>
    <w:next w:val="Normal"/>
    <w:link w:val="Heading2Char"/>
    <w:autoRedefine/>
    <w:uiPriority w:val="9"/>
    <w:unhideWhenUsed/>
    <w:qFormat/>
    <w:rsid w:val="008F4EC7"/>
    <w:pPr>
      <w:keepNext/>
      <w:keepLines/>
      <w:spacing w:before="160"/>
      <w:outlineLvl w:val="1"/>
    </w:pPr>
    <w:rPr>
      <w:rFonts w:eastAsiaTheme="majorEastAsia" w:cstheme="majorBidi"/>
      <w:bCs/>
      <w:szCs w:val="32"/>
      <w:lang w:val="en-GB"/>
    </w:rPr>
  </w:style>
  <w:style w:type="paragraph" w:styleId="Heading3">
    <w:name w:val="heading 3"/>
    <w:basedOn w:val="Normal"/>
    <w:next w:val="Normal"/>
    <w:link w:val="Heading3Char"/>
    <w:autoRedefine/>
    <w:uiPriority w:val="9"/>
    <w:unhideWhenUsed/>
    <w:qFormat/>
    <w:rsid w:val="00193CA5"/>
    <w:pPr>
      <w:keepNext/>
      <w:keepLines/>
      <w:spacing w:before="160"/>
      <w:outlineLvl w:val="2"/>
    </w:pPr>
    <w:rPr>
      <w:rFonts w:eastAsiaTheme="majorEastAsia" w:cstheme="majorBidi"/>
      <w:szCs w:val="28"/>
    </w:rPr>
  </w:style>
  <w:style w:type="paragraph" w:styleId="Heading4">
    <w:name w:val="heading 4"/>
    <w:basedOn w:val="Normal"/>
    <w:next w:val="Normal"/>
    <w:link w:val="Heading4Char"/>
    <w:uiPriority w:val="9"/>
    <w:semiHidden/>
    <w:unhideWhenUsed/>
    <w:qFormat/>
    <w:rsid w:val="0064441A"/>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64441A"/>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64441A"/>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64441A"/>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64441A"/>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64441A"/>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193CA5"/>
    <w:rPr>
      <w:rFonts w:ascii="Arial" w:eastAsiaTheme="majorEastAsia" w:hAnsi="Arial" w:cstheme="majorBidi"/>
      <w:sz w:val="24"/>
      <w:szCs w:val="28"/>
    </w:rPr>
  </w:style>
  <w:style w:type="character" w:customStyle="1" w:styleId="Heading1Char">
    <w:name w:val="Heading 1 Char"/>
    <w:basedOn w:val="DefaultParagraphFont"/>
    <w:link w:val="Heading1"/>
    <w:uiPriority w:val="9"/>
    <w:rsid w:val="009E5D84"/>
    <w:rPr>
      <w:rFonts w:ascii="Arial" w:eastAsiaTheme="majorEastAsia" w:hAnsi="Arial" w:cstheme="majorBidi"/>
      <w:b/>
      <w:bCs/>
      <w:sz w:val="24"/>
      <w:szCs w:val="28"/>
    </w:rPr>
  </w:style>
  <w:style w:type="character" w:customStyle="1" w:styleId="Heading2Char">
    <w:name w:val="Heading 2 Char"/>
    <w:basedOn w:val="DefaultParagraphFont"/>
    <w:link w:val="Heading2"/>
    <w:uiPriority w:val="9"/>
    <w:rsid w:val="008F4EC7"/>
    <w:rPr>
      <w:rFonts w:ascii="Arial" w:eastAsiaTheme="majorEastAsia" w:hAnsi="Arial" w:cstheme="majorBidi"/>
      <w:bCs/>
      <w:sz w:val="24"/>
      <w:szCs w:val="32"/>
    </w:rPr>
  </w:style>
  <w:style w:type="character" w:customStyle="1" w:styleId="Heading4Char">
    <w:name w:val="Heading 4 Char"/>
    <w:basedOn w:val="DefaultParagraphFont"/>
    <w:link w:val="Heading4"/>
    <w:uiPriority w:val="9"/>
    <w:semiHidden/>
    <w:rsid w:val="0064441A"/>
    <w:rPr>
      <w:rFonts w:eastAsiaTheme="majorEastAsia" w:cstheme="majorBidi"/>
      <w:i/>
      <w:iCs/>
      <w:color w:val="0F4761" w:themeColor="accent1" w:themeShade="BF"/>
      <w:sz w:val="24"/>
      <w:lang w:val="en-US"/>
    </w:rPr>
  </w:style>
  <w:style w:type="character" w:customStyle="1" w:styleId="Heading5Char">
    <w:name w:val="Heading 5 Char"/>
    <w:basedOn w:val="DefaultParagraphFont"/>
    <w:link w:val="Heading5"/>
    <w:uiPriority w:val="9"/>
    <w:semiHidden/>
    <w:rsid w:val="0064441A"/>
    <w:rPr>
      <w:rFonts w:eastAsiaTheme="majorEastAsia" w:cstheme="majorBidi"/>
      <w:color w:val="0F4761" w:themeColor="accent1" w:themeShade="BF"/>
      <w:sz w:val="24"/>
      <w:lang w:val="en-US"/>
    </w:rPr>
  </w:style>
  <w:style w:type="character" w:customStyle="1" w:styleId="Heading6Char">
    <w:name w:val="Heading 6 Char"/>
    <w:basedOn w:val="DefaultParagraphFont"/>
    <w:link w:val="Heading6"/>
    <w:uiPriority w:val="9"/>
    <w:semiHidden/>
    <w:rsid w:val="0064441A"/>
    <w:rPr>
      <w:rFonts w:eastAsiaTheme="majorEastAsia" w:cstheme="majorBidi"/>
      <w:i/>
      <w:iCs/>
      <w:color w:val="595959" w:themeColor="text1" w:themeTint="A6"/>
      <w:sz w:val="24"/>
      <w:lang w:val="en-US"/>
    </w:rPr>
  </w:style>
  <w:style w:type="character" w:customStyle="1" w:styleId="Heading7Char">
    <w:name w:val="Heading 7 Char"/>
    <w:basedOn w:val="DefaultParagraphFont"/>
    <w:link w:val="Heading7"/>
    <w:uiPriority w:val="9"/>
    <w:semiHidden/>
    <w:rsid w:val="0064441A"/>
    <w:rPr>
      <w:rFonts w:eastAsiaTheme="majorEastAsia" w:cstheme="majorBidi"/>
      <w:color w:val="595959" w:themeColor="text1" w:themeTint="A6"/>
      <w:sz w:val="24"/>
      <w:lang w:val="en-US"/>
    </w:rPr>
  </w:style>
  <w:style w:type="character" w:customStyle="1" w:styleId="Heading8Char">
    <w:name w:val="Heading 8 Char"/>
    <w:basedOn w:val="DefaultParagraphFont"/>
    <w:link w:val="Heading8"/>
    <w:uiPriority w:val="9"/>
    <w:semiHidden/>
    <w:rsid w:val="0064441A"/>
    <w:rPr>
      <w:rFonts w:eastAsiaTheme="majorEastAsia" w:cstheme="majorBidi"/>
      <w:i/>
      <w:iCs/>
      <w:color w:val="272727" w:themeColor="text1" w:themeTint="D8"/>
      <w:sz w:val="24"/>
      <w:lang w:val="en-US"/>
    </w:rPr>
  </w:style>
  <w:style w:type="character" w:customStyle="1" w:styleId="Heading9Char">
    <w:name w:val="Heading 9 Char"/>
    <w:basedOn w:val="DefaultParagraphFont"/>
    <w:link w:val="Heading9"/>
    <w:uiPriority w:val="9"/>
    <w:semiHidden/>
    <w:rsid w:val="0064441A"/>
    <w:rPr>
      <w:rFonts w:eastAsiaTheme="majorEastAsia" w:cstheme="majorBidi"/>
      <w:color w:val="272727" w:themeColor="text1" w:themeTint="D8"/>
      <w:sz w:val="24"/>
      <w:lang w:val="en-US"/>
    </w:rPr>
  </w:style>
  <w:style w:type="paragraph" w:styleId="Title">
    <w:name w:val="Title"/>
    <w:basedOn w:val="Normal"/>
    <w:next w:val="Normal"/>
    <w:link w:val="TitleChar"/>
    <w:uiPriority w:val="10"/>
    <w:qFormat/>
    <w:rsid w:val="0064441A"/>
    <w:pPr>
      <w:spacing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4441A"/>
    <w:rPr>
      <w:rFonts w:asciiTheme="majorHAnsi" w:eastAsiaTheme="majorEastAsia" w:hAnsiTheme="majorHAnsi" w:cstheme="majorBidi"/>
      <w:spacing w:val="-10"/>
      <w:kern w:val="28"/>
      <w:sz w:val="56"/>
      <w:szCs w:val="56"/>
      <w:lang w:val="en-US"/>
    </w:rPr>
  </w:style>
  <w:style w:type="paragraph" w:styleId="Subtitle">
    <w:name w:val="Subtitle"/>
    <w:basedOn w:val="Normal"/>
    <w:next w:val="Normal"/>
    <w:link w:val="SubtitleChar"/>
    <w:uiPriority w:val="11"/>
    <w:qFormat/>
    <w:rsid w:val="0064441A"/>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4441A"/>
    <w:rPr>
      <w:rFonts w:eastAsiaTheme="majorEastAsia" w:cstheme="majorBidi"/>
      <w:color w:val="595959" w:themeColor="text1" w:themeTint="A6"/>
      <w:spacing w:val="15"/>
      <w:sz w:val="28"/>
      <w:szCs w:val="28"/>
      <w:lang w:val="en-US"/>
    </w:rPr>
  </w:style>
  <w:style w:type="paragraph" w:styleId="Quote">
    <w:name w:val="Quote"/>
    <w:basedOn w:val="Normal"/>
    <w:next w:val="Normal"/>
    <w:link w:val="QuoteChar"/>
    <w:uiPriority w:val="29"/>
    <w:qFormat/>
    <w:rsid w:val="0064441A"/>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4441A"/>
    <w:rPr>
      <w:rFonts w:ascii="Arial" w:hAnsi="Arial"/>
      <w:i/>
      <w:iCs/>
      <w:color w:val="404040" w:themeColor="text1" w:themeTint="BF"/>
      <w:sz w:val="24"/>
      <w:lang w:val="en-US"/>
    </w:rPr>
  </w:style>
  <w:style w:type="paragraph" w:styleId="ListParagraph">
    <w:name w:val="List Paragraph"/>
    <w:basedOn w:val="Normal"/>
    <w:uiPriority w:val="34"/>
    <w:qFormat/>
    <w:rsid w:val="0064441A"/>
    <w:pPr>
      <w:ind w:left="720"/>
      <w:contextualSpacing/>
    </w:pPr>
  </w:style>
  <w:style w:type="character" w:styleId="IntenseEmphasis">
    <w:name w:val="Intense Emphasis"/>
    <w:basedOn w:val="DefaultParagraphFont"/>
    <w:uiPriority w:val="21"/>
    <w:qFormat/>
    <w:rsid w:val="0064441A"/>
    <w:rPr>
      <w:i/>
      <w:iCs/>
      <w:color w:val="0F4761" w:themeColor="accent1" w:themeShade="BF"/>
    </w:rPr>
  </w:style>
  <w:style w:type="paragraph" w:styleId="IntenseQuote">
    <w:name w:val="Intense Quote"/>
    <w:basedOn w:val="Normal"/>
    <w:next w:val="Normal"/>
    <w:link w:val="IntenseQuoteChar"/>
    <w:uiPriority w:val="30"/>
    <w:qFormat/>
    <w:rsid w:val="0064441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4441A"/>
    <w:rPr>
      <w:rFonts w:ascii="Arial" w:hAnsi="Arial"/>
      <w:i/>
      <w:iCs/>
      <w:color w:val="0F4761" w:themeColor="accent1" w:themeShade="BF"/>
      <w:sz w:val="24"/>
      <w:lang w:val="en-US"/>
    </w:rPr>
  </w:style>
  <w:style w:type="character" w:styleId="IntenseReference">
    <w:name w:val="Intense Reference"/>
    <w:basedOn w:val="DefaultParagraphFont"/>
    <w:uiPriority w:val="32"/>
    <w:qFormat/>
    <w:rsid w:val="0064441A"/>
    <w:rPr>
      <w:b/>
      <w:bCs/>
      <w:smallCaps/>
      <w:color w:val="0F4761" w:themeColor="accent1" w:themeShade="BF"/>
      <w:spacing w:val="5"/>
    </w:rPr>
  </w:style>
  <w:style w:type="character" w:styleId="Hyperlink">
    <w:name w:val="Hyperlink"/>
    <w:basedOn w:val="DefaultParagraphFont"/>
    <w:uiPriority w:val="99"/>
    <w:unhideWhenUsed/>
    <w:rsid w:val="00656EE9"/>
    <w:rPr>
      <w:color w:val="467886" w:themeColor="hyperlink"/>
      <w:u w:val="single"/>
    </w:rPr>
  </w:style>
  <w:style w:type="character" w:styleId="UnresolvedMention">
    <w:name w:val="Unresolved Mention"/>
    <w:basedOn w:val="DefaultParagraphFont"/>
    <w:uiPriority w:val="99"/>
    <w:semiHidden/>
    <w:unhideWhenUsed/>
    <w:rsid w:val="00656EE9"/>
    <w:rPr>
      <w:color w:val="605E5C"/>
      <w:shd w:val="clear" w:color="auto" w:fill="E1DFDD"/>
    </w:rPr>
  </w:style>
  <w:style w:type="paragraph" w:styleId="Header">
    <w:name w:val="header"/>
    <w:basedOn w:val="Normal"/>
    <w:link w:val="HeaderChar"/>
    <w:uiPriority w:val="99"/>
    <w:unhideWhenUsed/>
    <w:rsid w:val="00656EE9"/>
    <w:pPr>
      <w:tabs>
        <w:tab w:val="center" w:pos="4513"/>
        <w:tab w:val="right" w:pos="9026"/>
      </w:tabs>
      <w:spacing w:after="0" w:line="240" w:lineRule="auto"/>
    </w:pPr>
  </w:style>
  <w:style w:type="character" w:customStyle="1" w:styleId="HeaderChar">
    <w:name w:val="Header Char"/>
    <w:basedOn w:val="DefaultParagraphFont"/>
    <w:link w:val="Header"/>
    <w:uiPriority w:val="99"/>
    <w:rsid w:val="00656EE9"/>
    <w:rPr>
      <w:rFonts w:ascii="Arial" w:hAnsi="Arial"/>
      <w:sz w:val="24"/>
      <w:lang w:val="en-US"/>
    </w:rPr>
  </w:style>
  <w:style w:type="paragraph" w:styleId="Footer">
    <w:name w:val="footer"/>
    <w:basedOn w:val="Normal"/>
    <w:link w:val="FooterChar"/>
    <w:uiPriority w:val="99"/>
    <w:unhideWhenUsed/>
    <w:rsid w:val="00656EE9"/>
    <w:pPr>
      <w:tabs>
        <w:tab w:val="center" w:pos="4513"/>
        <w:tab w:val="right" w:pos="9026"/>
      </w:tabs>
      <w:spacing w:after="0" w:line="240" w:lineRule="auto"/>
    </w:pPr>
  </w:style>
  <w:style w:type="character" w:customStyle="1" w:styleId="FooterChar">
    <w:name w:val="Footer Char"/>
    <w:basedOn w:val="DefaultParagraphFont"/>
    <w:link w:val="Footer"/>
    <w:uiPriority w:val="99"/>
    <w:rsid w:val="00656EE9"/>
    <w:rPr>
      <w:rFonts w:ascii="Arial" w:hAnsi="Arial"/>
      <w:sz w:val="24"/>
      <w:lang w:val="en-US"/>
    </w:rPr>
  </w:style>
  <w:style w:type="paragraph" w:styleId="TOCHeading">
    <w:name w:val="TOC Heading"/>
    <w:basedOn w:val="Heading1"/>
    <w:next w:val="Normal"/>
    <w:uiPriority w:val="39"/>
    <w:unhideWhenUsed/>
    <w:qFormat/>
    <w:rsid w:val="005F6137"/>
    <w:pPr>
      <w:spacing w:before="240" w:line="259" w:lineRule="auto"/>
      <w:jc w:val="left"/>
      <w:outlineLvl w:val="9"/>
    </w:pPr>
    <w:rPr>
      <w:rFonts w:asciiTheme="majorHAnsi" w:hAnsiTheme="majorHAnsi"/>
      <w:b w:val="0"/>
      <w:bCs w:val="0"/>
      <w:color w:val="0F4761" w:themeColor="accent1" w:themeShade="BF"/>
      <w:sz w:val="32"/>
      <w:szCs w:val="32"/>
      <w:lang w:val="en-US"/>
    </w:rPr>
  </w:style>
  <w:style w:type="paragraph" w:styleId="TOC1">
    <w:name w:val="toc 1"/>
    <w:basedOn w:val="Normal"/>
    <w:next w:val="Normal"/>
    <w:autoRedefine/>
    <w:uiPriority w:val="39"/>
    <w:unhideWhenUsed/>
    <w:rsid w:val="005F6137"/>
    <w:pPr>
      <w:spacing w:after="100"/>
    </w:pPr>
  </w:style>
  <w:style w:type="paragraph" w:styleId="TOC2">
    <w:name w:val="toc 2"/>
    <w:basedOn w:val="Normal"/>
    <w:next w:val="Normal"/>
    <w:autoRedefine/>
    <w:uiPriority w:val="39"/>
    <w:unhideWhenUsed/>
    <w:rsid w:val="005F6137"/>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automotive.panasonic.com/en/corporate/about/overview"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meti.go.jp/english/press/2024/0524_002.html"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investors.arm.com/static-files/219a3b28-f209-4d74-8bc6-f9e026d55a95"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newsroom.arm.com/news/arm-and-panasonic-partner-to-standardize-sdvs" TargetMode="Externa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UK</c:v>
                </c:pt>
              </c:strCache>
            </c:strRef>
          </c:tx>
          <c:spPr>
            <a:solidFill>
              <a:schemeClr val="accent1">
                <a:alpha val="70000"/>
              </a:schemeClr>
            </a:solidFill>
            <a:ln>
              <a:noFill/>
            </a:ln>
            <a:effectLst/>
          </c:spPr>
          <c:invertIfNegative val="0"/>
          <c:cat>
            <c:strRef>
              <c:f>Sheet1!$A$2:$A$7</c:f>
              <c:strCache>
                <c:ptCount val="6"/>
                <c:pt idx="0">
                  <c:v>Power Distance</c:v>
                </c:pt>
                <c:pt idx="1">
                  <c:v>Individualism</c:v>
                </c:pt>
                <c:pt idx="2">
                  <c:v>Mascullinity</c:v>
                </c:pt>
                <c:pt idx="3">
                  <c:v>Uncertainty Avoidance</c:v>
                </c:pt>
                <c:pt idx="4">
                  <c:v>Long-Term Orientation</c:v>
                </c:pt>
                <c:pt idx="5">
                  <c:v>Indulgence</c:v>
                </c:pt>
              </c:strCache>
            </c:strRef>
          </c:cat>
          <c:val>
            <c:numRef>
              <c:f>Sheet1!$B$2:$B$7</c:f>
              <c:numCache>
                <c:formatCode>General</c:formatCode>
                <c:ptCount val="6"/>
                <c:pt idx="0">
                  <c:v>35</c:v>
                </c:pt>
                <c:pt idx="1">
                  <c:v>89</c:v>
                </c:pt>
                <c:pt idx="2">
                  <c:v>66</c:v>
                </c:pt>
                <c:pt idx="3">
                  <c:v>35</c:v>
                </c:pt>
                <c:pt idx="4">
                  <c:v>51</c:v>
                </c:pt>
                <c:pt idx="5">
                  <c:v>69</c:v>
                </c:pt>
              </c:numCache>
            </c:numRef>
          </c:val>
          <c:extLst>
            <c:ext xmlns:c16="http://schemas.microsoft.com/office/drawing/2014/chart" uri="{C3380CC4-5D6E-409C-BE32-E72D297353CC}">
              <c16:uniqueId val="{00000000-8FFC-4EFC-B08F-EF62853D4B78}"/>
            </c:ext>
          </c:extLst>
        </c:ser>
        <c:ser>
          <c:idx val="1"/>
          <c:order val="1"/>
          <c:tx>
            <c:strRef>
              <c:f>Sheet1!$C$1</c:f>
              <c:strCache>
                <c:ptCount val="1"/>
                <c:pt idx="0">
                  <c:v>Japan</c:v>
                </c:pt>
              </c:strCache>
            </c:strRef>
          </c:tx>
          <c:spPr>
            <a:solidFill>
              <a:schemeClr val="accent2">
                <a:alpha val="70000"/>
              </a:schemeClr>
            </a:solidFill>
            <a:ln>
              <a:noFill/>
            </a:ln>
            <a:effectLst/>
          </c:spPr>
          <c:invertIfNegative val="0"/>
          <c:cat>
            <c:strRef>
              <c:f>Sheet1!$A$2:$A$7</c:f>
              <c:strCache>
                <c:ptCount val="6"/>
                <c:pt idx="0">
                  <c:v>Power Distance</c:v>
                </c:pt>
                <c:pt idx="1">
                  <c:v>Individualism</c:v>
                </c:pt>
                <c:pt idx="2">
                  <c:v>Mascullinity</c:v>
                </c:pt>
                <c:pt idx="3">
                  <c:v>Uncertainty Avoidance</c:v>
                </c:pt>
                <c:pt idx="4">
                  <c:v>Long-Term Orientation</c:v>
                </c:pt>
                <c:pt idx="5">
                  <c:v>Indulgence</c:v>
                </c:pt>
              </c:strCache>
            </c:strRef>
          </c:cat>
          <c:val>
            <c:numRef>
              <c:f>Sheet1!$C$2:$C$7</c:f>
              <c:numCache>
                <c:formatCode>General</c:formatCode>
                <c:ptCount val="6"/>
                <c:pt idx="0">
                  <c:v>54</c:v>
                </c:pt>
                <c:pt idx="1">
                  <c:v>46</c:v>
                </c:pt>
                <c:pt idx="2">
                  <c:v>95</c:v>
                </c:pt>
                <c:pt idx="3">
                  <c:v>92</c:v>
                </c:pt>
                <c:pt idx="4">
                  <c:v>88</c:v>
                </c:pt>
                <c:pt idx="5">
                  <c:v>42</c:v>
                </c:pt>
              </c:numCache>
            </c:numRef>
          </c:val>
          <c:extLst>
            <c:ext xmlns:c16="http://schemas.microsoft.com/office/drawing/2014/chart" uri="{C3380CC4-5D6E-409C-BE32-E72D297353CC}">
              <c16:uniqueId val="{00000001-8FFC-4EFC-B08F-EF62853D4B78}"/>
            </c:ext>
          </c:extLst>
        </c:ser>
        <c:dLbls>
          <c:showLegendKey val="0"/>
          <c:showVal val="0"/>
          <c:showCatName val="0"/>
          <c:showSerName val="0"/>
          <c:showPercent val="0"/>
          <c:showBubbleSize val="0"/>
        </c:dLbls>
        <c:gapWidth val="80"/>
        <c:overlap val="25"/>
        <c:axId val="862467775"/>
        <c:axId val="554351312"/>
      </c:barChart>
      <c:catAx>
        <c:axId val="862467775"/>
        <c:scaling>
          <c:orientation val="minMax"/>
        </c:scaling>
        <c:delete val="0"/>
        <c:axPos val="b"/>
        <c:numFmt formatCode="General" sourceLinked="1"/>
        <c:majorTickMark val="none"/>
        <c:minorTickMark val="none"/>
        <c:tickLblPos val="nextTo"/>
        <c:spPr>
          <a:noFill/>
          <a:ln w="1587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cap="none" spc="20" normalizeH="0" baseline="0">
                <a:solidFill>
                  <a:schemeClr val="tx1">
                    <a:lumMod val="65000"/>
                    <a:lumOff val="35000"/>
                  </a:schemeClr>
                </a:solidFill>
                <a:latin typeface="+mn-lt"/>
                <a:ea typeface="+mn-ea"/>
                <a:cs typeface="+mn-cs"/>
              </a:defRPr>
            </a:pPr>
            <a:endParaRPr lang="en-US"/>
          </a:p>
        </c:txPr>
        <c:crossAx val="554351312"/>
        <c:crosses val="autoZero"/>
        <c:auto val="1"/>
        <c:lblAlgn val="ctr"/>
        <c:lblOffset val="100"/>
        <c:noMultiLvlLbl val="0"/>
      </c:catAx>
      <c:valAx>
        <c:axId val="554351312"/>
        <c:scaling>
          <c:orientation val="minMax"/>
        </c:scaling>
        <c:delete val="0"/>
        <c:axPos val="l"/>
        <c:majorGridlines>
          <c:spPr>
            <a:ln w="9525" cap="flat" cmpd="sng" algn="ctr">
              <a:solidFill>
                <a:schemeClr val="tx1">
                  <a:lumMod val="5000"/>
                  <a:lumOff val="9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spc="20" baseline="0">
                <a:solidFill>
                  <a:schemeClr val="tx1">
                    <a:lumMod val="65000"/>
                    <a:lumOff val="35000"/>
                  </a:schemeClr>
                </a:solidFill>
                <a:latin typeface="+mn-lt"/>
                <a:ea typeface="+mn-ea"/>
                <a:cs typeface="+mn-cs"/>
              </a:defRPr>
            </a:pPr>
            <a:endParaRPr lang="en-US"/>
          </a:p>
        </c:txPr>
        <c:crossAx val="862467775"/>
        <c:crosses val="autoZero"/>
        <c:crossBetween val="between"/>
      </c:valAx>
      <c:spPr>
        <a:noFill/>
        <a:ln w="25400">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5">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15875" cap="flat" cmpd="sng" algn="ctr">
        <a:solidFill>
          <a:schemeClr val="tx1">
            <a:lumMod val="25000"/>
            <a:lumOff val="75000"/>
          </a:schemeClr>
        </a:solidFill>
        <a:round/>
      </a:ln>
    </cs:spPr>
    <cs:defRPr sz="900" kern="1200" cap="none" spc="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bg1"/>
    </cs:fontRef>
    <cs:spPr>
      <a:solidFill>
        <a:schemeClr val="tx1">
          <a:lumMod val="50000"/>
          <a:lumOff val="50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70000"/>
        </a:schemeClr>
      </a:solidFill>
    </cs:spPr>
  </cs:dataPoint>
  <cs:dataPoint3D>
    <cs:lnRef idx="0"/>
    <cs:fillRef idx="0">
      <cs:styleClr val="auto"/>
    </cs:fillRef>
    <cs:effectRef idx="0"/>
    <cs:fontRef idx="minor">
      <a:schemeClr val="dk1"/>
    </cs:fontRef>
    <cs:spPr>
      <a:solidFill>
        <a:schemeClr val="phClr">
          <a:alpha val="70000"/>
        </a:schemeClr>
      </a:solidFill>
    </cs:spPr>
  </cs:dataPoint3D>
  <cs:dataPointLine>
    <cs:lnRef idx="0">
      <cs:styleClr val="auto"/>
    </cs:lnRef>
    <cs:fillRef idx="0"/>
    <cs:effectRef idx="0"/>
    <cs:fontRef idx="minor">
      <a:schemeClr val="dk1"/>
    </cs:fontRef>
    <cs:spPr>
      <a:ln w="28575" cap="rnd">
        <a:solidFill>
          <a:schemeClr val="phClr">
            <a:alpha val="70000"/>
          </a:schemeClr>
        </a:solidFill>
        <a:round/>
      </a:ln>
    </cs:spPr>
  </cs:dataPointLine>
  <cs:dataPointMarker>
    <cs:lnRef idx="0"/>
    <cs:fillRef idx="0">
      <cs:styleClr val="auto"/>
    </cs:fillRef>
    <cs:effectRef idx="0"/>
    <cs:fontRef idx="minor">
      <a:schemeClr val="dk1"/>
    </cs:fontRef>
    <cs:spPr>
      <a:solidFill>
        <a:schemeClr val="phClr">
          <a:alpha val="70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5000"/>
            <a:lumOff val="9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baseline="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ajor">
      <a:schemeClr val="tx1">
        <a:lumMod val="65000"/>
        <a:lumOff val="35000"/>
      </a:schemeClr>
    </cs:fontRef>
    <cs:defRPr sz="1600" b="0" i="0" kern="1200" cap="none" spc="50" normalizeH="0" baseline="0"/>
  </cs:title>
  <cs:trendline>
    <cs:lnRef idx="0">
      <cs:styleClr val="auto"/>
    </cs:lnRef>
    <cs:fillRef idx="0"/>
    <cs:effectRef idx="0"/>
    <cs:fontRef idx="minor">
      <a:schemeClr val="dk1"/>
    </cs:fontRef>
    <cs:spPr>
      <a:ln w="1587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kern="1200" spc="20" baseline="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8D2323A-BA25-460A-80B9-8644D56CB5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3195</Words>
  <Characters>18214</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Carmen Antal-Berbecaru (2242917)</dc:creator>
  <cp:keywords/>
  <dc:description/>
  <cp:lastModifiedBy>Carmen Antal-Berbecaru (2242917)</cp:lastModifiedBy>
  <cp:revision>5</cp:revision>
  <dcterms:created xsi:type="dcterms:W3CDTF">2026-08-18T18:44:00Z</dcterms:created>
  <dcterms:modified xsi:type="dcterms:W3CDTF">2026-08-20T16:02:00Z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be05635d-a2f2-452a-bcba-d8b9c64f1c8b</vt:lpwstr>
  </property>
</Properties>
</file>