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D26BF" w14:textId="77777777" w:rsidR="00334D02" w:rsidRDefault="00334D02" w:rsidP="00334D02">
      <w:pPr>
        <w:ind w:left="426"/>
        <w:rPr>
          <w:rFonts w:ascii="Arial" w:eastAsia="Arial" w:hAnsi="Arial" w:cs="Arial"/>
        </w:rPr>
      </w:pPr>
    </w:p>
    <w:p w14:paraId="787459E1" w14:textId="77777777" w:rsidR="00334D02" w:rsidRDefault="00334D02" w:rsidP="00334D02">
      <w:pPr>
        <w:spacing w:line="360" w:lineRule="auto"/>
        <w:ind w:left="426"/>
        <w:rPr>
          <w:rFonts w:ascii="Arial" w:eastAsia="Arial" w:hAnsi="Arial" w:cs="Arial"/>
        </w:rPr>
      </w:pPr>
      <w:r>
        <w:rPr>
          <w:noProof/>
        </w:rPr>
        <w:drawing>
          <wp:anchor distT="0" distB="0" distL="114300" distR="114300" simplePos="0" relativeHeight="251659264" behindDoc="0" locked="0" layoutInCell="1" hidden="0" allowOverlap="1" wp14:anchorId="5ED0F135" wp14:editId="10C268BB">
            <wp:simplePos x="0" y="0"/>
            <wp:positionH relativeFrom="column">
              <wp:posOffset>-633</wp:posOffset>
            </wp:positionH>
            <wp:positionV relativeFrom="paragraph">
              <wp:posOffset>289560</wp:posOffset>
            </wp:positionV>
            <wp:extent cx="2600325" cy="914400"/>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2600325" cy="914400"/>
                    </a:xfrm>
                    <a:prstGeom prst="rect">
                      <a:avLst/>
                    </a:prstGeom>
                    <a:ln/>
                  </pic:spPr>
                </pic:pic>
              </a:graphicData>
            </a:graphic>
          </wp:anchor>
        </w:drawing>
      </w:r>
    </w:p>
    <w:p w14:paraId="22A90D8B" w14:textId="77777777" w:rsidR="00334D02" w:rsidRDefault="00334D02" w:rsidP="00334D02">
      <w:pPr>
        <w:spacing w:line="360" w:lineRule="auto"/>
        <w:ind w:left="426"/>
        <w:rPr>
          <w:rFonts w:ascii="Arial" w:eastAsia="Arial" w:hAnsi="Arial" w:cs="Arial"/>
        </w:rPr>
      </w:pPr>
    </w:p>
    <w:p w14:paraId="4A794A43" w14:textId="77777777" w:rsidR="00334D02" w:rsidRDefault="00334D02" w:rsidP="00334D02">
      <w:pPr>
        <w:spacing w:line="360" w:lineRule="auto"/>
        <w:ind w:left="426"/>
        <w:rPr>
          <w:rFonts w:ascii="Arial" w:eastAsia="Arial" w:hAnsi="Arial" w:cs="Arial"/>
        </w:rPr>
      </w:pPr>
    </w:p>
    <w:p w14:paraId="2A22D218" w14:textId="77777777" w:rsidR="00334D02" w:rsidRDefault="00334D02" w:rsidP="00334D02">
      <w:pPr>
        <w:spacing w:line="360" w:lineRule="auto"/>
        <w:ind w:left="426"/>
        <w:rPr>
          <w:rFonts w:ascii="Arial" w:eastAsia="Arial" w:hAnsi="Arial" w:cs="Arial"/>
        </w:rPr>
      </w:pPr>
    </w:p>
    <w:p w14:paraId="14E2AFD3" w14:textId="77777777" w:rsidR="00334D02" w:rsidRDefault="00334D02" w:rsidP="00334D02">
      <w:pPr>
        <w:tabs>
          <w:tab w:val="left" w:pos="6540"/>
        </w:tabs>
        <w:spacing w:line="360" w:lineRule="auto"/>
        <w:ind w:left="426"/>
        <w:rPr>
          <w:rFonts w:ascii="Arial" w:eastAsia="Arial" w:hAnsi="Arial" w:cs="Arial"/>
          <w:sz w:val="28"/>
          <w:szCs w:val="28"/>
        </w:rPr>
      </w:pPr>
    </w:p>
    <w:p w14:paraId="577FE19B" w14:textId="77777777" w:rsidR="00334D02" w:rsidRDefault="00334D02" w:rsidP="00334D02">
      <w:pPr>
        <w:tabs>
          <w:tab w:val="left" w:pos="6540"/>
        </w:tabs>
        <w:spacing w:line="360" w:lineRule="auto"/>
        <w:ind w:left="426"/>
        <w:rPr>
          <w:rFonts w:ascii="Arial" w:eastAsia="Arial" w:hAnsi="Arial" w:cs="Arial"/>
          <w:sz w:val="28"/>
          <w:szCs w:val="28"/>
        </w:rPr>
      </w:pPr>
      <w:r>
        <w:rPr>
          <w:rFonts w:ascii="Arial" w:eastAsia="Arial" w:hAnsi="Arial" w:cs="Arial"/>
          <w:b/>
          <w:bCs/>
          <w:sz w:val="28"/>
          <w:szCs w:val="28"/>
        </w:rPr>
        <w:t>Student name</w:t>
      </w:r>
      <w:r>
        <w:rPr>
          <w:rFonts w:ascii="Arial" w:eastAsia="Arial" w:hAnsi="Arial" w:cs="Arial"/>
          <w:sz w:val="28"/>
          <w:szCs w:val="28"/>
        </w:rPr>
        <w:t xml:space="preserve">: Aamir hanif </w:t>
      </w:r>
    </w:p>
    <w:p w14:paraId="5FFEDABD" w14:textId="77777777" w:rsidR="00334D02" w:rsidRDefault="00334D02" w:rsidP="00334D02">
      <w:pPr>
        <w:tabs>
          <w:tab w:val="left" w:pos="6540"/>
        </w:tabs>
        <w:spacing w:line="360" w:lineRule="auto"/>
        <w:ind w:left="426"/>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 2234671</w:t>
      </w:r>
    </w:p>
    <w:p w14:paraId="4F1A5FEC" w14:textId="77777777" w:rsidR="00334D02" w:rsidRPr="00886F4A" w:rsidRDefault="00334D02" w:rsidP="00334D02">
      <w:pPr>
        <w:tabs>
          <w:tab w:val="left" w:pos="6540"/>
        </w:tabs>
        <w:spacing w:line="360" w:lineRule="auto"/>
        <w:ind w:left="426"/>
        <w:rPr>
          <w:rFonts w:ascii="Arial" w:eastAsia="Arial" w:hAnsi="Arial" w:cs="Arial"/>
          <w:sz w:val="28"/>
          <w:szCs w:val="28"/>
          <w:lang w:val="en-GB"/>
        </w:rPr>
      </w:pPr>
      <w:r>
        <w:rPr>
          <w:rFonts w:ascii="Arial" w:eastAsia="Arial" w:hAnsi="Arial" w:cs="Arial"/>
          <w:b/>
          <w:bCs/>
          <w:sz w:val="28"/>
          <w:szCs w:val="28"/>
        </w:rPr>
        <w:t>Module name</w:t>
      </w:r>
      <w:r>
        <w:rPr>
          <w:rFonts w:ascii="Arial" w:eastAsia="Arial" w:hAnsi="Arial" w:cs="Arial"/>
          <w:sz w:val="28"/>
          <w:szCs w:val="28"/>
        </w:rPr>
        <w:t xml:space="preserve">: </w:t>
      </w:r>
      <w:r w:rsidRPr="00886F4A">
        <w:rPr>
          <w:rFonts w:ascii="Arial" w:eastAsia="Arial" w:hAnsi="Arial" w:cs="Arial"/>
          <w:b/>
          <w:bCs/>
          <w:sz w:val="28"/>
          <w:szCs w:val="28"/>
          <w:lang w:val="en-GB"/>
        </w:rPr>
        <w:t>Health, Wellbeing and Sustainable Development</w:t>
      </w:r>
    </w:p>
    <w:p w14:paraId="41DEC3B7" w14:textId="77777777" w:rsidR="00334D02" w:rsidRPr="00886F4A" w:rsidRDefault="00334D02" w:rsidP="00334D02">
      <w:pPr>
        <w:tabs>
          <w:tab w:val="left" w:pos="6540"/>
        </w:tabs>
        <w:spacing w:line="360" w:lineRule="auto"/>
        <w:ind w:left="426"/>
        <w:rPr>
          <w:rFonts w:ascii="Arial" w:eastAsia="Arial" w:hAnsi="Arial" w:cs="Arial"/>
          <w:sz w:val="28"/>
          <w:szCs w:val="28"/>
          <w:lang w:val="en-GB"/>
        </w:rPr>
      </w:pPr>
      <w:r>
        <w:rPr>
          <w:rFonts w:ascii="Arial" w:eastAsia="Arial" w:hAnsi="Arial" w:cs="Arial"/>
          <w:b/>
          <w:bCs/>
          <w:sz w:val="28"/>
          <w:szCs w:val="28"/>
        </w:rPr>
        <w:t>Module code</w:t>
      </w:r>
      <w:r>
        <w:rPr>
          <w:rFonts w:ascii="Arial" w:eastAsia="Arial" w:hAnsi="Arial" w:cs="Arial"/>
          <w:sz w:val="28"/>
          <w:szCs w:val="28"/>
        </w:rPr>
        <w:t xml:space="preserve">: </w:t>
      </w:r>
      <w:r w:rsidRPr="00886F4A">
        <w:rPr>
          <w:rFonts w:ascii="Arial" w:eastAsia="Arial" w:hAnsi="Arial" w:cs="Arial"/>
          <w:b/>
          <w:bCs/>
          <w:sz w:val="28"/>
          <w:szCs w:val="28"/>
          <w:lang w:val="en-GB"/>
        </w:rPr>
        <w:t>BMHP6030 </w:t>
      </w:r>
    </w:p>
    <w:p w14:paraId="1A071B4D" w14:textId="77777777" w:rsidR="00334D02" w:rsidRDefault="00334D02" w:rsidP="00334D02">
      <w:pPr>
        <w:tabs>
          <w:tab w:val="left" w:pos="6540"/>
        </w:tabs>
        <w:spacing w:line="360" w:lineRule="auto"/>
        <w:ind w:left="426"/>
        <w:rPr>
          <w:rFonts w:ascii="Arial" w:eastAsia="Arial" w:hAnsi="Arial" w:cs="Arial"/>
          <w:sz w:val="28"/>
          <w:szCs w:val="28"/>
        </w:rPr>
      </w:pPr>
    </w:p>
    <w:p w14:paraId="1DAF07F5" w14:textId="77777777" w:rsidR="00334D02" w:rsidRPr="00BA45FE" w:rsidRDefault="00334D02" w:rsidP="00334D02">
      <w:pPr>
        <w:tabs>
          <w:tab w:val="left" w:pos="6540"/>
        </w:tabs>
        <w:spacing w:line="360" w:lineRule="auto"/>
        <w:ind w:left="426"/>
        <w:rPr>
          <w:rFonts w:ascii="Arial" w:eastAsia="Arial" w:hAnsi="Arial" w:cs="Arial"/>
          <w:sz w:val="28"/>
          <w:szCs w:val="28"/>
          <w:lang w:val="en-GB"/>
        </w:rPr>
      </w:pPr>
      <w:r>
        <w:rPr>
          <w:rFonts w:ascii="Arial" w:eastAsia="Arial" w:hAnsi="Arial" w:cs="Arial"/>
          <w:b/>
          <w:bCs/>
          <w:sz w:val="28"/>
          <w:szCs w:val="28"/>
        </w:rPr>
        <w:t>Lecturer’s name</w:t>
      </w:r>
      <w:r>
        <w:rPr>
          <w:rFonts w:ascii="Arial" w:eastAsia="Arial" w:hAnsi="Arial" w:cs="Arial"/>
          <w:sz w:val="28"/>
          <w:szCs w:val="28"/>
        </w:rPr>
        <w:t xml:space="preserve">: </w:t>
      </w:r>
      <w:r w:rsidRPr="00BA45FE">
        <w:rPr>
          <w:rFonts w:ascii="Arial" w:eastAsia="Arial" w:hAnsi="Arial" w:cs="Arial"/>
          <w:sz w:val="28"/>
          <w:szCs w:val="28"/>
          <w:lang w:val="en-GB"/>
        </w:rPr>
        <w:t xml:space="preserve">Dr </w:t>
      </w:r>
      <w:proofErr w:type="spellStart"/>
      <w:r w:rsidRPr="00BA45FE">
        <w:rPr>
          <w:rFonts w:ascii="Arial" w:eastAsia="Arial" w:hAnsi="Arial" w:cs="Arial"/>
          <w:sz w:val="28"/>
          <w:szCs w:val="28"/>
          <w:lang w:val="en-GB"/>
        </w:rPr>
        <w:t>Itse</w:t>
      </w:r>
      <w:proofErr w:type="spellEnd"/>
      <w:r w:rsidRPr="00BA45FE">
        <w:rPr>
          <w:rFonts w:ascii="Arial" w:eastAsia="Arial" w:hAnsi="Arial" w:cs="Arial"/>
          <w:sz w:val="28"/>
          <w:szCs w:val="28"/>
          <w:lang w:val="en-GB"/>
        </w:rPr>
        <w:t xml:space="preserve"> Olaoye</w:t>
      </w:r>
    </w:p>
    <w:p w14:paraId="3A574827" w14:textId="08218CD3" w:rsidR="00334D02" w:rsidRDefault="00334D02"/>
    <w:p w14:paraId="0A241F4C" w14:textId="77777777" w:rsidR="00334D02" w:rsidRDefault="00334D02">
      <w:pPr>
        <w:spacing w:after="160" w:line="278" w:lineRule="auto"/>
      </w:pPr>
      <w:r>
        <w:br w:type="page"/>
      </w:r>
    </w:p>
    <w:sdt>
      <w:sdtPr>
        <w:rPr>
          <w:rFonts w:ascii="Arial" w:hAnsi="Arial" w:cs="Arial"/>
          <w:sz w:val="22"/>
          <w:szCs w:val="22"/>
        </w:rPr>
        <w:id w:val="-1386417284"/>
        <w:docPartObj>
          <w:docPartGallery w:val="Table of Contents"/>
          <w:docPartUnique/>
        </w:docPartObj>
      </w:sdtPr>
      <w:sdtEndPr>
        <w:rPr>
          <w:rFonts w:eastAsia="Century Schoolbook"/>
          <w:noProof/>
          <w:color w:val="auto"/>
          <w:lang w:val="en"/>
        </w:rPr>
      </w:sdtEndPr>
      <w:sdtContent>
        <w:p w14:paraId="62FAC1B3" w14:textId="5271FBA0" w:rsidR="00334D02" w:rsidRPr="004B5C4C" w:rsidRDefault="00334D02">
          <w:pPr>
            <w:pStyle w:val="TOCHeading"/>
            <w:rPr>
              <w:rFonts w:ascii="Arial" w:hAnsi="Arial" w:cs="Arial"/>
              <w:sz w:val="22"/>
              <w:szCs w:val="22"/>
            </w:rPr>
          </w:pPr>
          <w:r w:rsidRPr="004B5C4C">
            <w:rPr>
              <w:rFonts w:ascii="Arial" w:hAnsi="Arial" w:cs="Arial"/>
              <w:sz w:val="22"/>
              <w:szCs w:val="22"/>
            </w:rPr>
            <w:t>Table of Contents</w:t>
          </w:r>
        </w:p>
        <w:p w14:paraId="007B6D50" w14:textId="6C75AC37" w:rsidR="004B5C4C" w:rsidRPr="004B5C4C" w:rsidRDefault="00334D02">
          <w:pPr>
            <w:pStyle w:val="TOC1"/>
            <w:tabs>
              <w:tab w:val="right" w:leader="dot" w:pos="9016"/>
            </w:tabs>
            <w:rPr>
              <w:rFonts w:ascii="Arial" w:eastAsiaTheme="minorEastAsia" w:hAnsi="Arial" w:cs="Arial"/>
              <w:b w:val="0"/>
              <w:bCs w:val="0"/>
              <w:i w:val="0"/>
              <w:iCs w:val="0"/>
              <w:noProof/>
              <w:kern w:val="2"/>
              <w:sz w:val="22"/>
              <w:szCs w:val="22"/>
              <w:lang w:val="en-GB"/>
              <w14:ligatures w14:val="standardContextual"/>
            </w:rPr>
          </w:pPr>
          <w:r w:rsidRPr="004B5C4C">
            <w:rPr>
              <w:rFonts w:ascii="Arial" w:hAnsi="Arial" w:cs="Arial"/>
              <w:b w:val="0"/>
              <w:bCs w:val="0"/>
              <w:sz w:val="22"/>
              <w:szCs w:val="22"/>
            </w:rPr>
            <w:fldChar w:fldCharType="begin"/>
          </w:r>
          <w:r w:rsidRPr="004B5C4C">
            <w:rPr>
              <w:rFonts w:ascii="Arial" w:hAnsi="Arial" w:cs="Arial"/>
              <w:sz w:val="22"/>
              <w:szCs w:val="22"/>
            </w:rPr>
            <w:instrText xml:space="preserve"> TOC \o "1-3" \h \z \u </w:instrText>
          </w:r>
          <w:r w:rsidRPr="004B5C4C">
            <w:rPr>
              <w:rFonts w:ascii="Arial" w:hAnsi="Arial" w:cs="Arial"/>
              <w:b w:val="0"/>
              <w:bCs w:val="0"/>
              <w:sz w:val="22"/>
              <w:szCs w:val="22"/>
            </w:rPr>
            <w:fldChar w:fldCharType="separate"/>
          </w:r>
          <w:hyperlink w:anchor="_Toc227535383" w:history="1">
            <w:r w:rsidR="004B5C4C" w:rsidRPr="004B5C4C">
              <w:rPr>
                <w:rStyle w:val="Hyperlink"/>
                <w:rFonts w:ascii="Arial" w:hAnsi="Arial" w:cs="Arial"/>
                <w:noProof/>
                <w:sz w:val="22"/>
                <w:szCs w:val="22"/>
              </w:rPr>
              <w:t>Introduction</w:t>
            </w:r>
            <w:r w:rsidR="004B5C4C" w:rsidRPr="004B5C4C">
              <w:rPr>
                <w:rFonts w:ascii="Arial" w:hAnsi="Arial" w:cs="Arial"/>
                <w:noProof/>
                <w:webHidden/>
                <w:sz w:val="22"/>
                <w:szCs w:val="22"/>
              </w:rPr>
              <w:tab/>
            </w:r>
            <w:r w:rsidR="004B5C4C" w:rsidRPr="004B5C4C">
              <w:rPr>
                <w:rFonts w:ascii="Arial" w:hAnsi="Arial" w:cs="Arial"/>
                <w:noProof/>
                <w:webHidden/>
                <w:sz w:val="22"/>
                <w:szCs w:val="22"/>
              </w:rPr>
              <w:fldChar w:fldCharType="begin"/>
            </w:r>
            <w:r w:rsidR="004B5C4C" w:rsidRPr="004B5C4C">
              <w:rPr>
                <w:rFonts w:ascii="Arial" w:hAnsi="Arial" w:cs="Arial"/>
                <w:noProof/>
                <w:webHidden/>
                <w:sz w:val="22"/>
                <w:szCs w:val="22"/>
              </w:rPr>
              <w:instrText xml:space="preserve"> PAGEREF _Toc227535383 \h </w:instrText>
            </w:r>
            <w:r w:rsidR="004B5C4C" w:rsidRPr="004B5C4C">
              <w:rPr>
                <w:rFonts w:ascii="Arial" w:hAnsi="Arial" w:cs="Arial"/>
                <w:noProof/>
                <w:webHidden/>
                <w:sz w:val="22"/>
                <w:szCs w:val="22"/>
              </w:rPr>
            </w:r>
            <w:r w:rsidR="004B5C4C" w:rsidRPr="004B5C4C">
              <w:rPr>
                <w:rFonts w:ascii="Arial" w:hAnsi="Arial" w:cs="Arial"/>
                <w:noProof/>
                <w:webHidden/>
                <w:sz w:val="22"/>
                <w:szCs w:val="22"/>
              </w:rPr>
              <w:fldChar w:fldCharType="separate"/>
            </w:r>
            <w:r w:rsidR="004B5C4C" w:rsidRPr="004B5C4C">
              <w:rPr>
                <w:rFonts w:ascii="Arial" w:hAnsi="Arial" w:cs="Arial"/>
                <w:noProof/>
                <w:webHidden/>
                <w:sz w:val="22"/>
                <w:szCs w:val="22"/>
              </w:rPr>
              <w:t>3</w:t>
            </w:r>
            <w:r w:rsidR="004B5C4C" w:rsidRPr="004B5C4C">
              <w:rPr>
                <w:rFonts w:ascii="Arial" w:hAnsi="Arial" w:cs="Arial"/>
                <w:noProof/>
                <w:webHidden/>
                <w:sz w:val="22"/>
                <w:szCs w:val="22"/>
              </w:rPr>
              <w:fldChar w:fldCharType="end"/>
            </w:r>
          </w:hyperlink>
        </w:p>
        <w:p w14:paraId="1A1D33A9" w14:textId="71C4B842" w:rsidR="004B5C4C" w:rsidRPr="004B5C4C" w:rsidRDefault="004B5C4C">
          <w:pPr>
            <w:pStyle w:val="TOC1"/>
            <w:tabs>
              <w:tab w:val="right" w:leader="dot" w:pos="9016"/>
            </w:tabs>
            <w:rPr>
              <w:rFonts w:ascii="Arial" w:eastAsiaTheme="minorEastAsia" w:hAnsi="Arial" w:cs="Arial"/>
              <w:b w:val="0"/>
              <w:bCs w:val="0"/>
              <w:i w:val="0"/>
              <w:iCs w:val="0"/>
              <w:noProof/>
              <w:kern w:val="2"/>
              <w:sz w:val="22"/>
              <w:szCs w:val="22"/>
              <w:lang w:val="en-GB"/>
              <w14:ligatures w14:val="standardContextual"/>
            </w:rPr>
          </w:pPr>
          <w:hyperlink w:anchor="_Toc227535384" w:history="1">
            <w:r w:rsidRPr="004B5C4C">
              <w:rPr>
                <w:rStyle w:val="Hyperlink"/>
                <w:rFonts w:ascii="Arial" w:hAnsi="Arial" w:cs="Arial"/>
                <w:noProof/>
                <w:sz w:val="22"/>
                <w:szCs w:val="22"/>
              </w:rPr>
              <w:t>2. SDG Goal 3: Good Health and Wellbeing — Analysis</w:t>
            </w:r>
            <w:r w:rsidRPr="004B5C4C">
              <w:rPr>
                <w:rFonts w:ascii="Arial" w:hAnsi="Arial" w:cs="Arial"/>
                <w:noProof/>
                <w:webHidden/>
                <w:sz w:val="22"/>
                <w:szCs w:val="22"/>
              </w:rPr>
              <w:tab/>
            </w:r>
            <w:r w:rsidRPr="004B5C4C">
              <w:rPr>
                <w:rFonts w:ascii="Arial" w:hAnsi="Arial" w:cs="Arial"/>
                <w:noProof/>
                <w:webHidden/>
                <w:sz w:val="22"/>
                <w:szCs w:val="22"/>
              </w:rPr>
              <w:fldChar w:fldCharType="begin"/>
            </w:r>
            <w:r w:rsidRPr="004B5C4C">
              <w:rPr>
                <w:rFonts w:ascii="Arial" w:hAnsi="Arial" w:cs="Arial"/>
                <w:noProof/>
                <w:webHidden/>
                <w:sz w:val="22"/>
                <w:szCs w:val="22"/>
              </w:rPr>
              <w:instrText xml:space="preserve"> PAGEREF _Toc227535384 \h </w:instrText>
            </w:r>
            <w:r w:rsidRPr="004B5C4C">
              <w:rPr>
                <w:rFonts w:ascii="Arial" w:hAnsi="Arial" w:cs="Arial"/>
                <w:noProof/>
                <w:webHidden/>
                <w:sz w:val="22"/>
                <w:szCs w:val="22"/>
              </w:rPr>
            </w:r>
            <w:r w:rsidRPr="004B5C4C">
              <w:rPr>
                <w:rFonts w:ascii="Arial" w:hAnsi="Arial" w:cs="Arial"/>
                <w:noProof/>
                <w:webHidden/>
                <w:sz w:val="22"/>
                <w:szCs w:val="22"/>
              </w:rPr>
              <w:fldChar w:fldCharType="separate"/>
            </w:r>
            <w:r w:rsidRPr="004B5C4C">
              <w:rPr>
                <w:rFonts w:ascii="Arial" w:hAnsi="Arial" w:cs="Arial"/>
                <w:noProof/>
                <w:webHidden/>
                <w:sz w:val="22"/>
                <w:szCs w:val="22"/>
              </w:rPr>
              <w:t>3</w:t>
            </w:r>
            <w:r w:rsidRPr="004B5C4C">
              <w:rPr>
                <w:rFonts w:ascii="Arial" w:hAnsi="Arial" w:cs="Arial"/>
                <w:noProof/>
                <w:webHidden/>
                <w:sz w:val="22"/>
                <w:szCs w:val="22"/>
              </w:rPr>
              <w:fldChar w:fldCharType="end"/>
            </w:r>
          </w:hyperlink>
        </w:p>
        <w:p w14:paraId="6D53AA91" w14:textId="2C80E561" w:rsidR="004B5C4C" w:rsidRPr="004B5C4C" w:rsidRDefault="004B5C4C">
          <w:pPr>
            <w:pStyle w:val="TOC2"/>
            <w:tabs>
              <w:tab w:val="right" w:leader="dot" w:pos="9016"/>
            </w:tabs>
            <w:rPr>
              <w:rFonts w:ascii="Arial" w:eastAsiaTheme="minorEastAsia" w:hAnsi="Arial" w:cs="Arial"/>
              <w:b w:val="0"/>
              <w:bCs w:val="0"/>
              <w:noProof/>
              <w:kern w:val="2"/>
              <w:lang w:val="en-GB"/>
              <w14:ligatures w14:val="standardContextual"/>
            </w:rPr>
          </w:pPr>
          <w:hyperlink w:anchor="_Toc227535385" w:history="1">
            <w:r w:rsidRPr="004B5C4C">
              <w:rPr>
                <w:rStyle w:val="Hyperlink"/>
                <w:rFonts w:ascii="Arial" w:hAnsi="Arial" w:cs="Arial"/>
                <w:noProof/>
              </w:rPr>
              <w:t>2.1 Global Scope and Targets</w:t>
            </w:r>
            <w:r w:rsidRPr="004B5C4C">
              <w:rPr>
                <w:rFonts w:ascii="Arial" w:hAnsi="Arial" w:cs="Arial"/>
                <w:noProof/>
                <w:webHidden/>
              </w:rPr>
              <w:tab/>
            </w:r>
            <w:r w:rsidRPr="004B5C4C">
              <w:rPr>
                <w:rFonts w:ascii="Arial" w:hAnsi="Arial" w:cs="Arial"/>
                <w:noProof/>
                <w:webHidden/>
              </w:rPr>
              <w:fldChar w:fldCharType="begin"/>
            </w:r>
            <w:r w:rsidRPr="004B5C4C">
              <w:rPr>
                <w:rFonts w:ascii="Arial" w:hAnsi="Arial" w:cs="Arial"/>
                <w:noProof/>
                <w:webHidden/>
              </w:rPr>
              <w:instrText xml:space="preserve"> PAGEREF _Toc227535385 \h </w:instrText>
            </w:r>
            <w:r w:rsidRPr="004B5C4C">
              <w:rPr>
                <w:rFonts w:ascii="Arial" w:hAnsi="Arial" w:cs="Arial"/>
                <w:noProof/>
                <w:webHidden/>
              </w:rPr>
            </w:r>
            <w:r w:rsidRPr="004B5C4C">
              <w:rPr>
                <w:rFonts w:ascii="Arial" w:hAnsi="Arial" w:cs="Arial"/>
                <w:noProof/>
                <w:webHidden/>
              </w:rPr>
              <w:fldChar w:fldCharType="separate"/>
            </w:r>
            <w:r w:rsidRPr="004B5C4C">
              <w:rPr>
                <w:rFonts w:ascii="Arial" w:hAnsi="Arial" w:cs="Arial"/>
                <w:noProof/>
                <w:webHidden/>
              </w:rPr>
              <w:t>3</w:t>
            </w:r>
            <w:r w:rsidRPr="004B5C4C">
              <w:rPr>
                <w:rFonts w:ascii="Arial" w:hAnsi="Arial" w:cs="Arial"/>
                <w:noProof/>
                <w:webHidden/>
              </w:rPr>
              <w:fldChar w:fldCharType="end"/>
            </w:r>
          </w:hyperlink>
        </w:p>
        <w:p w14:paraId="3DC36FA7" w14:textId="7539ABA4" w:rsidR="004B5C4C" w:rsidRPr="004B5C4C" w:rsidRDefault="004B5C4C">
          <w:pPr>
            <w:pStyle w:val="TOC2"/>
            <w:tabs>
              <w:tab w:val="right" w:leader="dot" w:pos="9016"/>
            </w:tabs>
            <w:rPr>
              <w:rFonts w:ascii="Arial" w:eastAsiaTheme="minorEastAsia" w:hAnsi="Arial" w:cs="Arial"/>
              <w:b w:val="0"/>
              <w:bCs w:val="0"/>
              <w:noProof/>
              <w:kern w:val="2"/>
              <w:lang w:val="en-GB"/>
              <w14:ligatures w14:val="standardContextual"/>
            </w:rPr>
          </w:pPr>
          <w:hyperlink w:anchor="_Toc227535386" w:history="1">
            <w:r w:rsidRPr="004B5C4C">
              <w:rPr>
                <w:rStyle w:val="Hyperlink"/>
                <w:rFonts w:ascii="Arial" w:hAnsi="Arial" w:cs="Arial"/>
                <w:noProof/>
              </w:rPr>
              <w:t>2.2 SDG 3 in a National Context: England and the NHS</w:t>
            </w:r>
            <w:r w:rsidRPr="004B5C4C">
              <w:rPr>
                <w:rFonts w:ascii="Arial" w:hAnsi="Arial" w:cs="Arial"/>
                <w:noProof/>
                <w:webHidden/>
              </w:rPr>
              <w:tab/>
            </w:r>
            <w:r w:rsidRPr="004B5C4C">
              <w:rPr>
                <w:rFonts w:ascii="Arial" w:hAnsi="Arial" w:cs="Arial"/>
                <w:noProof/>
                <w:webHidden/>
              </w:rPr>
              <w:fldChar w:fldCharType="begin"/>
            </w:r>
            <w:r w:rsidRPr="004B5C4C">
              <w:rPr>
                <w:rFonts w:ascii="Arial" w:hAnsi="Arial" w:cs="Arial"/>
                <w:noProof/>
                <w:webHidden/>
              </w:rPr>
              <w:instrText xml:space="preserve"> PAGEREF _Toc227535386 \h </w:instrText>
            </w:r>
            <w:r w:rsidRPr="004B5C4C">
              <w:rPr>
                <w:rFonts w:ascii="Arial" w:hAnsi="Arial" w:cs="Arial"/>
                <w:noProof/>
                <w:webHidden/>
              </w:rPr>
            </w:r>
            <w:r w:rsidRPr="004B5C4C">
              <w:rPr>
                <w:rFonts w:ascii="Arial" w:hAnsi="Arial" w:cs="Arial"/>
                <w:noProof/>
                <w:webHidden/>
              </w:rPr>
              <w:fldChar w:fldCharType="separate"/>
            </w:r>
            <w:r w:rsidRPr="004B5C4C">
              <w:rPr>
                <w:rFonts w:ascii="Arial" w:hAnsi="Arial" w:cs="Arial"/>
                <w:noProof/>
                <w:webHidden/>
              </w:rPr>
              <w:t>4</w:t>
            </w:r>
            <w:r w:rsidRPr="004B5C4C">
              <w:rPr>
                <w:rFonts w:ascii="Arial" w:hAnsi="Arial" w:cs="Arial"/>
                <w:noProof/>
                <w:webHidden/>
              </w:rPr>
              <w:fldChar w:fldCharType="end"/>
            </w:r>
          </w:hyperlink>
        </w:p>
        <w:p w14:paraId="0D9F3C34" w14:textId="3ADF3A39" w:rsidR="004B5C4C" w:rsidRPr="004B5C4C" w:rsidRDefault="004B5C4C">
          <w:pPr>
            <w:pStyle w:val="TOC1"/>
            <w:tabs>
              <w:tab w:val="right" w:leader="dot" w:pos="9016"/>
            </w:tabs>
            <w:rPr>
              <w:rFonts w:ascii="Arial" w:eastAsiaTheme="minorEastAsia" w:hAnsi="Arial" w:cs="Arial"/>
              <w:b w:val="0"/>
              <w:bCs w:val="0"/>
              <w:i w:val="0"/>
              <w:iCs w:val="0"/>
              <w:noProof/>
              <w:kern w:val="2"/>
              <w:sz w:val="22"/>
              <w:szCs w:val="22"/>
              <w:lang w:val="en-GB"/>
              <w14:ligatures w14:val="standardContextual"/>
            </w:rPr>
          </w:pPr>
          <w:hyperlink w:anchor="_Toc227535387" w:history="1">
            <w:r w:rsidRPr="004B5C4C">
              <w:rPr>
                <w:rStyle w:val="Hyperlink"/>
                <w:rFonts w:ascii="Arial" w:hAnsi="Arial" w:cs="Arial"/>
                <w:noProof/>
                <w:sz w:val="22"/>
                <w:szCs w:val="22"/>
              </w:rPr>
              <w:t>3. SDG Goal 10: Reduced Inequalities — Analysis and Intersection with SDG 3</w:t>
            </w:r>
            <w:r w:rsidRPr="004B5C4C">
              <w:rPr>
                <w:rFonts w:ascii="Arial" w:hAnsi="Arial" w:cs="Arial"/>
                <w:noProof/>
                <w:webHidden/>
                <w:sz w:val="22"/>
                <w:szCs w:val="22"/>
              </w:rPr>
              <w:tab/>
            </w:r>
            <w:r w:rsidRPr="004B5C4C">
              <w:rPr>
                <w:rFonts w:ascii="Arial" w:hAnsi="Arial" w:cs="Arial"/>
                <w:noProof/>
                <w:webHidden/>
                <w:sz w:val="22"/>
                <w:szCs w:val="22"/>
              </w:rPr>
              <w:fldChar w:fldCharType="begin"/>
            </w:r>
            <w:r w:rsidRPr="004B5C4C">
              <w:rPr>
                <w:rFonts w:ascii="Arial" w:hAnsi="Arial" w:cs="Arial"/>
                <w:noProof/>
                <w:webHidden/>
                <w:sz w:val="22"/>
                <w:szCs w:val="22"/>
              </w:rPr>
              <w:instrText xml:space="preserve"> PAGEREF _Toc227535387 \h </w:instrText>
            </w:r>
            <w:r w:rsidRPr="004B5C4C">
              <w:rPr>
                <w:rFonts w:ascii="Arial" w:hAnsi="Arial" w:cs="Arial"/>
                <w:noProof/>
                <w:webHidden/>
                <w:sz w:val="22"/>
                <w:szCs w:val="22"/>
              </w:rPr>
            </w:r>
            <w:r w:rsidRPr="004B5C4C">
              <w:rPr>
                <w:rFonts w:ascii="Arial" w:hAnsi="Arial" w:cs="Arial"/>
                <w:noProof/>
                <w:webHidden/>
                <w:sz w:val="22"/>
                <w:szCs w:val="22"/>
              </w:rPr>
              <w:fldChar w:fldCharType="separate"/>
            </w:r>
            <w:r w:rsidRPr="004B5C4C">
              <w:rPr>
                <w:rFonts w:ascii="Arial" w:hAnsi="Arial" w:cs="Arial"/>
                <w:noProof/>
                <w:webHidden/>
                <w:sz w:val="22"/>
                <w:szCs w:val="22"/>
              </w:rPr>
              <w:t>4</w:t>
            </w:r>
            <w:r w:rsidRPr="004B5C4C">
              <w:rPr>
                <w:rFonts w:ascii="Arial" w:hAnsi="Arial" w:cs="Arial"/>
                <w:noProof/>
                <w:webHidden/>
                <w:sz w:val="22"/>
                <w:szCs w:val="22"/>
              </w:rPr>
              <w:fldChar w:fldCharType="end"/>
            </w:r>
          </w:hyperlink>
        </w:p>
        <w:p w14:paraId="30D544E6" w14:textId="68BF2E18" w:rsidR="004B5C4C" w:rsidRPr="004B5C4C" w:rsidRDefault="004B5C4C">
          <w:pPr>
            <w:pStyle w:val="TOC2"/>
            <w:tabs>
              <w:tab w:val="right" w:leader="dot" w:pos="9016"/>
            </w:tabs>
            <w:rPr>
              <w:rFonts w:ascii="Arial" w:eastAsiaTheme="minorEastAsia" w:hAnsi="Arial" w:cs="Arial"/>
              <w:b w:val="0"/>
              <w:bCs w:val="0"/>
              <w:noProof/>
              <w:kern w:val="2"/>
              <w:lang w:val="en-GB"/>
              <w14:ligatures w14:val="standardContextual"/>
            </w:rPr>
          </w:pPr>
          <w:hyperlink w:anchor="_Toc227535388" w:history="1">
            <w:r w:rsidRPr="004B5C4C">
              <w:rPr>
                <w:rStyle w:val="Hyperlink"/>
                <w:rFonts w:ascii="Arial" w:hAnsi="Arial" w:cs="Arial"/>
                <w:noProof/>
              </w:rPr>
              <w:t>3.1 The Case for SDG 10 as a Health Determinant</w:t>
            </w:r>
            <w:r w:rsidRPr="004B5C4C">
              <w:rPr>
                <w:rFonts w:ascii="Arial" w:hAnsi="Arial" w:cs="Arial"/>
                <w:noProof/>
                <w:webHidden/>
              </w:rPr>
              <w:tab/>
            </w:r>
            <w:r w:rsidRPr="004B5C4C">
              <w:rPr>
                <w:rFonts w:ascii="Arial" w:hAnsi="Arial" w:cs="Arial"/>
                <w:noProof/>
                <w:webHidden/>
              </w:rPr>
              <w:fldChar w:fldCharType="begin"/>
            </w:r>
            <w:r w:rsidRPr="004B5C4C">
              <w:rPr>
                <w:rFonts w:ascii="Arial" w:hAnsi="Arial" w:cs="Arial"/>
                <w:noProof/>
                <w:webHidden/>
              </w:rPr>
              <w:instrText xml:space="preserve"> PAGEREF _Toc227535388 \h </w:instrText>
            </w:r>
            <w:r w:rsidRPr="004B5C4C">
              <w:rPr>
                <w:rFonts w:ascii="Arial" w:hAnsi="Arial" w:cs="Arial"/>
                <w:noProof/>
                <w:webHidden/>
              </w:rPr>
            </w:r>
            <w:r w:rsidRPr="004B5C4C">
              <w:rPr>
                <w:rFonts w:ascii="Arial" w:hAnsi="Arial" w:cs="Arial"/>
                <w:noProof/>
                <w:webHidden/>
              </w:rPr>
              <w:fldChar w:fldCharType="separate"/>
            </w:r>
            <w:r w:rsidRPr="004B5C4C">
              <w:rPr>
                <w:rFonts w:ascii="Arial" w:hAnsi="Arial" w:cs="Arial"/>
                <w:noProof/>
                <w:webHidden/>
              </w:rPr>
              <w:t>4</w:t>
            </w:r>
            <w:r w:rsidRPr="004B5C4C">
              <w:rPr>
                <w:rFonts w:ascii="Arial" w:hAnsi="Arial" w:cs="Arial"/>
                <w:noProof/>
                <w:webHidden/>
              </w:rPr>
              <w:fldChar w:fldCharType="end"/>
            </w:r>
          </w:hyperlink>
        </w:p>
        <w:p w14:paraId="00C0F344" w14:textId="1923C494" w:rsidR="004B5C4C" w:rsidRPr="004B5C4C" w:rsidRDefault="004B5C4C">
          <w:pPr>
            <w:pStyle w:val="TOC2"/>
            <w:tabs>
              <w:tab w:val="right" w:leader="dot" w:pos="9016"/>
            </w:tabs>
            <w:rPr>
              <w:rFonts w:ascii="Arial" w:eastAsiaTheme="minorEastAsia" w:hAnsi="Arial" w:cs="Arial"/>
              <w:b w:val="0"/>
              <w:bCs w:val="0"/>
              <w:noProof/>
              <w:kern w:val="2"/>
              <w:lang w:val="en-GB"/>
              <w14:ligatures w14:val="standardContextual"/>
            </w:rPr>
          </w:pPr>
          <w:hyperlink w:anchor="_Toc227535389" w:history="1">
            <w:r w:rsidRPr="004B5C4C">
              <w:rPr>
                <w:rStyle w:val="Hyperlink"/>
                <w:rFonts w:ascii="Arial" w:hAnsi="Arial" w:cs="Arial"/>
                <w:noProof/>
              </w:rPr>
              <w:t>3.2 SDG 10 in National Policy: The UK</w:t>
            </w:r>
            <w:r w:rsidRPr="004B5C4C">
              <w:rPr>
                <w:rFonts w:ascii="Arial" w:hAnsi="Arial" w:cs="Arial"/>
                <w:noProof/>
                <w:webHidden/>
              </w:rPr>
              <w:tab/>
            </w:r>
            <w:r w:rsidRPr="004B5C4C">
              <w:rPr>
                <w:rFonts w:ascii="Arial" w:hAnsi="Arial" w:cs="Arial"/>
                <w:noProof/>
                <w:webHidden/>
              </w:rPr>
              <w:fldChar w:fldCharType="begin"/>
            </w:r>
            <w:r w:rsidRPr="004B5C4C">
              <w:rPr>
                <w:rFonts w:ascii="Arial" w:hAnsi="Arial" w:cs="Arial"/>
                <w:noProof/>
                <w:webHidden/>
              </w:rPr>
              <w:instrText xml:space="preserve"> PAGEREF _Toc227535389 \h </w:instrText>
            </w:r>
            <w:r w:rsidRPr="004B5C4C">
              <w:rPr>
                <w:rFonts w:ascii="Arial" w:hAnsi="Arial" w:cs="Arial"/>
                <w:noProof/>
                <w:webHidden/>
              </w:rPr>
            </w:r>
            <w:r w:rsidRPr="004B5C4C">
              <w:rPr>
                <w:rFonts w:ascii="Arial" w:hAnsi="Arial" w:cs="Arial"/>
                <w:noProof/>
                <w:webHidden/>
              </w:rPr>
              <w:fldChar w:fldCharType="separate"/>
            </w:r>
            <w:r w:rsidRPr="004B5C4C">
              <w:rPr>
                <w:rFonts w:ascii="Arial" w:hAnsi="Arial" w:cs="Arial"/>
                <w:noProof/>
                <w:webHidden/>
              </w:rPr>
              <w:t>5</w:t>
            </w:r>
            <w:r w:rsidRPr="004B5C4C">
              <w:rPr>
                <w:rFonts w:ascii="Arial" w:hAnsi="Arial" w:cs="Arial"/>
                <w:noProof/>
                <w:webHidden/>
              </w:rPr>
              <w:fldChar w:fldCharType="end"/>
            </w:r>
          </w:hyperlink>
        </w:p>
        <w:p w14:paraId="054124AA" w14:textId="043BA559" w:rsidR="004B5C4C" w:rsidRPr="004B5C4C" w:rsidRDefault="004B5C4C">
          <w:pPr>
            <w:pStyle w:val="TOC1"/>
            <w:tabs>
              <w:tab w:val="right" w:leader="dot" w:pos="9016"/>
            </w:tabs>
            <w:rPr>
              <w:rFonts w:ascii="Arial" w:eastAsiaTheme="minorEastAsia" w:hAnsi="Arial" w:cs="Arial"/>
              <w:b w:val="0"/>
              <w:bCs w:val="0"/>
              <w:i w:val="0"/>
              <w:iCs w:val="0"/>
              <w:noProof/>
              <w:kern w:val="2"/>
              <w:sz w:val="22"/>
              <w:szCs w:val="22"/>
              <w:lang w:val="en-GB"/>
              <w14:ligatures w14:val="standardContextual"/>
            </w:rPr>
          </w:pPr>
          <w:hyperlink w:anchor="_Toc227535390" w:history="1">
            <w:r w:rsidRPr="004B5C4C">
              <w:rPr>
                <w:rStyle w:val="Hyperlink"/>
                <w:rFonts w:ascii="Arial" w:hAnsi="Arial" w:cs="Arial"/>
                <w:noProof/>
                <w:sz w:val="22"/>
                <w:szCs w:val="22"/>
              </w:rPr>
              <w:t>4. Local Health, Wellbeing and Sustainability Initiatives</w:t>
            </w:r>
            <w:r w:rsidRPr="004B5C4C">
              <w:rPr>
                <w:rFonts w:ascii="Arial" w:hAnsi="Arial" w:cs="Arial"/>
                <w:noProof/>
                <w:webHidden/>
                <w:sz w:val="22"/>
                <w:szCs w:val="22"/>
              </w:rPr>
              <w:tab/>
            </w:r>
            <w:r w:rsidRPr="004B5C4C">
              <w:rPr>
                <w:rFonts w:ascii="Arial" w:hAnsi="Arial" w:cs="Arial"/>
                <w:noProof/>
                <w:webHidden/>
                <w:sz w:val="22"/>
                <w:szCs w:val="22"/>
              </w:rPr>
              <w:fldChar w:fldCharType="begin"/>
            </w:r>
            <w:r w:rsidRPr="004B5C4C">
              <w:rPr>
                <w:rFonts w:ascii="Arial" w:hAnsi="Arial" w:cs="Arial"/>
                <w:noProof/>
                <w:webHidden/>
                <w:sz w:val="22"/>
                <w:szCs w:val="22"/>
              </w:rPr>
              <w:instrText xml:space="preserve"> PAGEREF _Toc227535390 \h </w:instrText>
            </w:r>
            <w:r w:rsidRPr="004B5C4C">
              <w:rPr>
                <w:rFonts w:ascii="Arial" w:hAnsi="Arial" w:cs="Arial"/>
                <w:noProof/>
                <w:webHidden/>
                <w:sz w:val="22"/>
                <w:szCs w:val="22"/>
              </w:rPr>
            </w:r>
            <w:r w:rsidRPr="004B5C4C">
              <w:rPr>
                <w:rFonts w:ascii="Arial" w:hAnsi="Arial" w:cs="Arial"/>
                <w:noProof/>
                <w:webHidden/>
                <w:sz w:val="22"/>
                <w:szCs w:val="22"/>
              </w:rPr>
              <w:fldChar w:fldCharType="separate"/>
            </w:r>
            <w:r w:rsidRPr="004B5C4C">
              <w:rPr>
                <w:rFonts w:ascii="Arial" w:hAnsi="Arial" w:cs="Arial"/>
                <w:noProof/>
                <w:webHidden/>
                <w:sz w:val="22"/>
                <w:szCs w:val="22"/>
              </w:rPr>
              <w:t>6</w:t>
            </w:r>
            <w:r w:rsidRPr="004B5C4C">
              <w:rPr>
                <w:rFonts w:ascii="Arial" w:hAnsi="Arial" w:cs="Arial"/>
                <w:noProof/>
                <w:webHidden/>
                <w:sz w:val="22"/>
                <w:szCs w:val="22"/>
              </w:rPr>
              <w:fldChar w:fldCharType="end"/>
            </w:r>
          </w:hyperlink>
        </w:p>
        <w:p w14:paraId="2F2840A3" w14:textId="46355909" w:rsidR="004B5C4C" w:rsidRPr="004B5C4C" w:rsidRDefault="004B5C4C">
          <w:pPr>
            <w:pStyle w:val="TOC2"/>
            <w:tabs>
              <w:tab w:val="right" w:leader="dot" w:pos="9016"/>
            </w:tabs>
            <w:rPr>
              <w:rFonts w:ascii="Arial" w:eastAsiaTheme="minorEastAsia" w:hAnsi="Arial" w:cs="Arial"/>
              <w:b w:val="0"/>
              <w:bCs w:val="0"/>
              <w:noProof/>
              <w:kern w:val="2"/>
              <w:lang w:val="en-GB"/>
              <w14:ligatures w14:val="standardContextual"/>
            </w:rPr>
          </w:pPr>
          <w:hyperlink w:anchor="_Toc227535391" w:history="1">
            <w:r w:rsidRPr="004B5C4C">
              <w:rPr>
                <w:rStyle w:val="Hyperlink"/>
                <w:rFonts w:ascii="Arial" w:hAnsi="Arial" w:cs="Arial"/>
                <w:noProof/>
              </w:rPr>
              <w:t>4.1 London as a Case Study</w:t>
            </w:r>
            <w:r w:rsidRPr="004B5C4C">
              <w:rPr>
                <w:rFonts w:ascii="Arial" w:hAnsi="Arial" w:cs="Arial"/>
                <w:noProof/>
                <w:webHidden/>
              </w:rPr>
              <w:tab/>
            </w:r>
            <w:r w:rsidRPr="004B5C4C">
              <w:rPr>
                <w:rFonts w:ascii="Arial" w:hAnsi="Arial" w:cs="Arial"/>
                <w:noProof/>
                <w:webHidden/>
              </w:rPr>
              <w:fldChar w:fldCharType="begin"/>
            </w:r>
            <w:r w:rsidRPr="004B5C4C">
              <w:rPr>
                <w:rFonts w:ascii="Arial" w:hAnsi="Arial" w:cs="Arial"/>
                <w:noProof/>
                <w:webHidden/>
              </w:rPr>
              <w:instrText xml:space="preserve"> PAGEREF _Toc227535391 \h </w:instrText>
            </w:r>
            <w:r w:rsidRPr="004B5C4C">
              <w:rPr>
                <w:rFonts w:ascii="Arial" w:hAnsi="Arial" w:cs="Arial"/>
                <w:noProof/>
                <w:webHidden/>
              </w:rPr>
            </w:r>
            <w:r w:rsidRPr="004B5C4C">
              <w:rPr>
                <w:rFonts w:ascii="Arial" w:hAnsi="Arial" w:cs="Arial"/>
                <w:noProof/>
                <w:webHidden/>
              </w:rPr>
              <w:fldChar w:fldCharType="separate"/>
            </w:r>
            <w:r w:rsidRPr="004B5C4C">
              <w:rPr>
                <w:rFonts w:ascii="Arial" w:hAnsi="Arial" w:cs="Arial"/>
                <w:noProof/>
                <w:webHidden/>
              </w:rPr>
              <w:t>6</w:t>
            </w:r>
            <w:r w:rsidRPr="004B5C4C">
              <w:rPr>
                <w:rFonts w:ascii="Arial" w:hAnsi="Arial" w:cs="Arial"/>
                <w:noProof/>
                <w:webHidden/>
              </w:rPr>
              <w:fldChar w:fldCharType="end"/>
            </w:r>
          </w:hyperlink>
        </w:p>
        <w:p w14:paraId="36447901" w14:textId="76CA902A" w:rsidR="004B5C4C" w:rsidRPr="004B5C4C" w:rsidRDefault="004B5C4C">
          <w:pPr>
            <w:pStyle w:val="TOC2"/>
            <w:tabs>
              <w:tab w:val="right" w:leader="dot" w:pos="9016"/>
            </w:tabs>
            <w:rPr>
              <w:rFonts w:ascii="Arial" w:eastAsiaTheme="minorEastAsia" w:hAnsi="Arial" w:cs="Arial"/>
              <w:b w:val="0"/>
              <w:bCs w:val="0"/>
              <w:noProof/>
              <w:kern w:val="2"/>
              <w:lang w:val="en-GB"/>
              <w14:ligatures w14:val="standardContextual"/>
            </w:rPr>
          </w:pPr>
          <w:hyperlink w:anchor="_Toc227535392" w:history="1">
            <w:r w:rsidRPr="004B5C4C">
              <w:rPr>
                <w:rStyle w:val="Hyperlink"/>
                <w:rFonts w:ascii="Arial" w:hAnsi="Arial" w:cs="Arial"/>
                <w:noProof/>
              </w:rPr>
              <w:t>4.2 Evaluation of Effectiveness</w:t>
            </w:r>
            <w:r w:rsidRPr="004B5C4C">
              <w:rPr>
                <w:rFonts w:ascii="Arial" w:hAnsi="Arial" w:cs="Arial"/>
                <w:noProof/>
                <w:webHidden/>
              </w:rPr>
              <w:tab/>
            </w:r>
            <w:r w:rsidRPr="004B5C4C">
              <w:rPr>
                <w:rFonts w:ascii="Arial" w:hAnsi="Arial" w:cs="Arial"/>
                <w:noProof/>
                <w:webHidden/>
              </w:rPr>
              <w:fldChar w:fldCharType="begin"/>
            </w:r>
            <w:r w:rsidRPr="004B5C4C">
              <w:rPr>
                <w:rFonts w:ascii="Arial" w:hAnsi="Arial" w:cs="Arial"/>
                <w:noProof/>
                <w:webHidden/>
              </w:rPr>
              <w:instrText xml:space="preserve"> PAGEREF _Toc227535392 \h </w:instrText>
            </w:r>
            <w:r w:rsidRPr="004B5C4C">
              <w:rPr>
                <w:rFonts w:ascii="Arial" w:hAnsi="Arial" w:cs="Arial"/>
                <w:noProof/>
                <w:webHidden/>
              </w:rPr>
            </w:r>
            <w:r w:rsidRPr="004B5C4C">
              <w:rPr>
                <w:rFonts w:ascii="Arial" w:hAnsi="Arial" w:cs="Arial"/>
                <w:noProof/>
                <w:webHidden/>
              </w:rPr>
              <w:fldChar w:fldCharType="separate"/>
            </w:r>
            <w:r w:rsidRPr="004B5C4C">
              <w:rPr>
                <w:rFonts w:ascii="Arial" w:hAnsi="Arial" w:cs="Arial"/>
                <w:noProof/>
                <w:webHidden/>
              </w:rPr>
              <w:t>6</w:t>
            </w:r>
            <w:r w:rsidRPr="004B5C4C">
              <w:rPr>
                <w:rFonts w:ascii="Arial" w:hAnsi="Arial" w:cs="Arial"/>
                <w:noProof/>
                <w:webHidden/>
              </w:rPr>
              <w:fldChar w:fldCharType="end"/>
            </w:r>
          </w:hyperlink>
        </w:p>
        <w:p w14:paraId="7BE2FE01" w14:textId="0F9DCF9E" w:rsidR="004B5C4C" w:rsidRPr="004B5C4C" w:rsidRDefault="004B5C4C">
          <w:pPr>
            <w:pStyle w:val="TOC1"/>
            <w:tabs>
              <w:tab w:val="right" w:leader="dot" w:pos="9016"/>
            </w:tabs>
            <w:rPr>
              <w:rFonts w:ascii="Arial" w:eastAsiaTheme="minorEastAsia" w:hAnsi="Arial" w:cs="Arial"/>
              <w:b w:val="0"/>
              <w:bCs w:val="0"/>
              <w:i w:val="0"/>
              <w:iCs w:val="0"/>
              <w:noProof/>
              <w:kern w:val="2"/>
              <w:sz w:val="22"/>
              <w:szCs w:val="22"/>
              <w:lang w:val="en-GB"/>
              <w14:ligatures w14:val="standardContextual"/>
            </w:rPr>
          </w:pPr>
          <w:hyperlink w:anchor="_Toc227535393" w:history="1">
            <w:r w:rsidRPr="004B5C4C">
              <w:rPr>
                <w:rStyle w:val="Hyperlink"/>
                <w:rFonts w:ascii="Arial" w:hAnsi="Arial" w:cs="Arial"/>
                <w:noProof/>
                <w:sz w:val="22"/>
                <w:szCs w:val="22"/>
              </w:rPr>
              <w:t>5. Recommendations for Improvement</w:t>
            </w:r>
            <w:r w:rsidRPr="004B5C4C">
              <w:rPr>
                <w:rFonts w:ascii="Arial" w:hAnsi="Arial" w:cs="Arial"/>
                <w:noProof/>
                <w:webHidden/>
                <w:sz w:val="22"/>
                <w:szCs w:val="22"/>
              </w:rPr>
              <w:tab/>
            </w:r>
            <w:r w:rsidRPr="004B5C4C">
              <w:rPr>
                <w:rFonts w:ascii="Arial" w:hAnsi="Arial" w:cs="Arial"/>
                <w:noProof/>
                <w:webHidden/>
                <w:sz w:val="22"/>
                <w:szCs w:val="22"/>
              </w:rPr>
              <w:fldChar w:fldCharType="begin"/>
            </w:r>
            <w:r w:rsidRPr="004B5C4C">
              <w:rPr>
                <w:rFonts w:ascii="Arial" w:hAnsi="Arial" w:cs="Arial"/>
                <w:noProof/>
                <w:webHidden/>
                <w:sz w:val="22"/>
                <w:szCs w:val="22"/>
              </w:rPr>
              <w:instrText xml:space="preserve"> PAGEREF _Toc227535393 \h </w:instrText>
            </w:r>
            <w:r w:rsidRPr="004B5C4C">
              <w:rPr>
                <w:rFonts w:ascii="Arial" w:hAnsi="Arial" w:cs="Arial"/>
                <w:noProof/>
                <w:webHidden/>
                <w:sz w:val="22"/>
                <w:szCs w:val="22"/>
              </w:rPr>
            </w:r>
            <w:r w:rsidRPr="004B5C4C">
              <w:rPr>
                <w:rFonts w:ascii="Arial" w:hAnsi="Arial" w:cs="Arial"/>
                <w:noProof/>
                <w:webHidden/>
                <w:sz w:val="22"/>
                <w:szCs w:val="22"/>
              </w:rPr>
              <w:fldChar w:fldCharType="separate"/>
            </w:r>
            <w:r w:rsidRPr="004B5C4C">
              <w:rPr>
                <w:rFonts w:ascii="Arial" w:hAnsi="Arial" w:cs="Arial"/>
                <w:noProof/>
                <w:webHidden/>
                <w:sz w:val="22"/>
                <w:szCs w:val="22"/>
              </w:rPr>
              <w:t>7</w:t>
            </w:r>
            <w:r w:rsidRPr="004B5C4C">
              <w:rPr>
                <w:rFonts w:ascii="Arial" w:hAnsi="Arial" w:cs="Arial"/>
                <w:noProof/>
                <w:webHidden/>
                <w:sz w:val="22"/>
                <w:szCs w:val="22"/>
              </w:rPr>
              <w:fldChar w:fldCharType="end"/>
            </w:r>
          </w:hyperlink>
        </w:p>
        <w:p w14:paraId="4E375E67" w14:textId="1459DECC" w:rsidR="004B5C4C" w:rsidRPr="004B5C4C" w:rsidRDefault="004B5C4C">
          <w:pPr>
            <w:pStyle w:val="TOC1"/>
            <w:tabs>
              <w:tab w:val="right" w:leader="dot" w:pos="9016"/>
            </w:tabs>
            <w:rPr>
              <w:rFonts w:ascii="Arial" w:eastAsiaTheme="minorEastAsia" w:hAnsi="Arial" w:cs="Arial"/>
              <w:b w:val="0"/>
              <w:bCs w:val="0"/>
              <w:i w:val="0"/>
              <w:iCs w:val="0"/>
              <w:noProof/>
              <w:kern w:val="2"/>
              <w:sz w:val="22"/>
              <w:szCs w:val="22"/>
              <w:lang w:val="en-GB"/>
              <w14:ligatures w14:val="standardContextual"/>
            </w:rPr>
          </w:pPr>
          <w:hyperlink w:anchor="_Toc227535394" w:history="1">
            <w:r w:rsidRPr="004B5C4C">
              <w:rPr>
                <w:rStyle w:val="Hyperlink"/>
                <w:rFonts w:ascii="Arial" w:hAnsi="Arial" w:cs="Arial"/>
                <w:noProof/>
                <w:sz w:val="22"/>
                <w:szCs w:val="22"/>
              </w:rPr>
              <w:t>6. Conclusion</w:t>
            </w:r>
            <w:r w:rsidRPr="004B5C4C">
              <w:rPr>
                <w:rFonts w:ascii="Arial" w:hAnsi="Arial" w:cs="Arial"/>
                <w:noProof/>
                <w:webHidden/>
                <w:sz w:val="22"/>
                <w:szCs w:val="22"/>
              </w:rPr>
              <w:tab/>
            </w:r>
            <w:r w:rsidRPr="004B5C4C">
              <w:rPr>
                <w:rFonts w:ascii="Arial" w:hAnsi="Arial" w:cs="Arial"/>
                <w:noProof/>
                <w:webHidden/>
                <w:sz w:val="22"/>
                <w:szCs w:val="22"/>
              </w:rPr>
              <w:fldChar w:fldCharType="begin"/>
            </w:r>
            <w:r w:rsidRPr="004B5C4C">
              <w:rPr>
                <w:rFonts w:ascii="Arial" w:hAnsi="Arial" w:cs="Arial"/>
                <w:noProof/>
                <w:webHidden/>
                <w:sz w:val="22"/>
                <w:szCs w:val="22"/>
              </w:rPr>
              <w:instrText xml:space="preserve"> PAGEREF _Toc227535394 \h </w:instrText>
            </w:r>
            <w:r w:rsidRPr="004B5C4C">
              <w:rPr>
                <w:rFonts w:ascii="Arial" w:hAnsi="Arial" w:cs="Arial"/>
                <w:noProof/>
                <w:webHidden/>
                <w:sz w:val="22"/>
                <w:szCs w:val="22"/>
              </w:rPr>
            </w:r>
            <w:r w:rsidRPr="004B5C4C">
              <w:rPr>
                <w:rFonts w:ascii="Arial" w:hAnsi="Arial" w:cs="Arial"/>
                <w:noProof/>
                <w:webHidden/>
                <w:sz w:val="22"/>
                <w:szCs w:val="22"/>
              </w:rPr>
              <w:fldChar w:fldCharType="separate"/>
            </w:r>
            <w:r w:rsidRPr="004B5C4C">
              <w:rPr>
                <w:rFonts w:ascii="Arial" w:hAnsi="Arial" w:cs="Arial"/>
                <w:noProof/>
                <w:webHidden/>
                <w:sz w:val="22"/>
                <w:szCs w:val="22"/>
              </w:rPr>
              <w:t>8</w:t>
            </w:r>
            <w:r w:rsidRPr="004B5C4C">
              <w:rPr>
                <w:rFonts w:ascii="Arial" w:hAnsi="Arial" w:cs="Arial"/>
                <w:noProof/>
                <w:webHidden/>
                <w:sz w:val="22"/>
                <w:szCs w:val="22"/>
              </w:rPr>
              <w:fldChar w:fldCharType="end"/>
            </w:r>
          </w:hyperlink>
        </w:p>
        <w:p w14:paraId="3D2D80CA" w14:textId="5F40609D" w:rsidR="004B5C4C" w:rsidRPr="004B5C4C" w:rsidRDefault="004B5C4C">
          <w:pPr>
            <w:pStyle w:val="TOC1"/>
            <w:tabs>
              <w:tab w:val="right" w:leader="dot" w:pos="9016"/>
            </w:tabs>
            <w:rPr>
              <w:rFonts w:ascii="Arial" w:eastAsiaTheme="minorEastAsia" w:hAnsi="Arial" w:cs="Arial"/>
              <w:b w:val="0"/>
              <w:bCs w:val="0"/>
              <w:i w:val="0"/>
              <w:iCs w:val="0"/>
              <w:noProof/>
              <w:kern w:val="2"/>
              <w:sz w:val="22"/>
              <w:szCs w:val="22"/>
              <w:lang w:val="en-GB"/>
              <w14:ligatures w14:val="standardContextual"/>
            </w:rPr>
          </w:pPr>
          <w:hyperlink w:anchor="_Toc227535395" w:history="1">
            <w:r w:rsidRPr="004B5C4C">
              <w:rPr>
                <w:rStyle w:val="Hyperlink"/>
                <w:rFonts w:ascii="Arial" w:hAnsi="Arial" w:cs="Arial"/>
                <w:noProof/>
                <w:sz w:val="22"/>
                <w:szCs w:val="22"/>
              </w:rPr>
              <w:t>References</w:t>
            </w:r>
            <w:r w:rsidRPr="004B5C4C">
              <w:rPr>
                <w:rFonts w:ascii="Arial" w:hAnsi="Arial" w:cs="Arial"/>
                <w:noProof/>
                <w:webHidden/>
                <w:sz w:val="22"/>
                <w:szCs w:val="22"/>
              </w:rPr>
              <w:tab/>
            </w:r>
            <w:r w:rsidRPr="004B5C4C">
              <w:rPr>
                <w:rFonts w:ascii="Arial" w:hAnsi="Arial" w:cs="Arial"/>
                <w:noProof/>
                <w:webHidden/>
                <w:sz w:val="22"/>
                <w:szCs w:val="22"/>
              </w:rPr>
              <w:fldChar w:fldCharType="begin"/>
            </w:r>
            <w:r w:rsidRPr="004B5C4C">
              <w:rPr>
                <w:rFonts w:ascii="Arial" w:hAnsi="Arial" w:cs="Arial"/>
                <w:noProof/>
                <w:webHidden/>
                <w:sz w:val="22"/>
                <w:szCs w:val="22"/>
              </w:rPr>
              <w:instrText xml:space="preserve"> PAGEREF _Toc227535395 \h </w:instrText>
            </w:r>
            <w:r w:rsidRPr="004B5C4C">
              <w:rPr>
                <w:rFonts w:ascii="Arial" w:hAnsi="Arial" w:cs="Arial"/>
                <w:noProof/>
                <w:webHidden/>
                <w:sz w:val="22"/>
                <w:szCs w:val="22"/>
              </w:rPr>
            </w:r>
            <w:r w:rsidRPr="004B5C4C">
              <w:rPr>
                <w:rFonts w:ascii="Arial" w:hAnsi="Arial" w:cs="Arial"/>
                <w:noProof/>
                <w:webHidden/>
                <w:sz w:val="22"/>
                <w:szCs w:val="22"/>
              </w:rPr>
              <w:fldChar w:fldCharType="separate"/>
            </w:r>
            <w:r w:rsidRPr="004B5C4C">
              <w:rPr>
                <w:rFonts w:ascii="Arial" w:hAnsi="Arial" w:cs="Arial"/>
                <w:noProof/>
                <w:webHidden/>
                <w:sz w:val="22"/>
                <w:szCs w:val="22"/>
              </w:rPr>
              <w:t>9</w:t>
            </w:r>
            <w:r w:rsidRPr="004B5C4C">
              <w:rPr>
                <w:rFonts w:ascii="Arial" w:hAnsi="Arial" w:cs="Arial"/>
                <w:noProof/>
                <w:webHidden/>
                <w:sz w:val="22"/>
                <w:szCs w:val="22"/>
              </w:rPr>
              <w:fldChar w:fldCharType="end"/>
            </w:r>
          </w:hyperlink>
        </w:p>
        <w:p w14:paraId="48E5EB6F" w14:textId="15B2AA64" w:rsidR="00334D02" w:rsidRPr="004B5C4C" w:rsidRDefault="00334D02">
          <w:pPr>
            <w:rPr>
              <w:rFonts w:ascii="Arial" w:hAnsi="Arial" w:cs="Arial"/>
            </w:rPr>
          </w:pPr>
          <w:r w:rsidRPr="004B5C4C">
            <w:rPr>
              <w:rFonts w:ascii="Arial" w:hAnsi="Arial" w:cs="Arial"/>
              <w:b/>
              <w:bCs/>
              <w:noProof/>
            </w:rPr>
            <w:fldChar w:fldCharType="end"/>
          </w:r>
        </w:p>
      </w:sdtContent>
    </w:sdt>
    <w:p w14:paraId="39583622" w14:textId="508A835A" w:rsidR="00334D02" w:rsidRPr="004B5C4C" w:rsidRDefault="00334D02">
      <w:pPr>
        <w:spacing w:after="160" w:line="278" w:lineRule="auto"/>
        <w:rPr>
          <w:rFonts w:ascii="Arial" w:hAnsi="Arial" w:cs="Arial"/>
        </w:rPr>
      </w:pPr>
      <w:r w:rsidRPr="004B5C4C">
        <w:rPr>
          <w:rFonts w:ascii="Arial" w:hAnsi="Arial" w:cs="Arial"/>
        </w:rPr>
        <w:br w:type="page"/>
      </w:r>
    </w:p>
    <w:p w14:paraId="6CDDF4E0" w14:textId="509D19C3" w:rsidR="00364617" w:rsidRPr="004B5C4C" w:rsidRDefault="00334D02" w:rsidP="004B5C4C">
      <w:pPr>
        <w:pStyle w:val="Heading1"/>
      </w:pPr>
      <w:bookmarkStart w:id="0" w:name="_Toc227535383"/>
      <w:r w:rsidRPr="004B5C4C">
        <w:lastRenderedPageBreak/>
        <w:t>Introduction</w:t>
      </w:r>
      <w:bookmarkEnd w:id="0"/>
    </w:p>
    <w:p w14:paraId="41EAC2B9" w14:textId="4B85EE8A" w:rsidR="00334D02" w:rsidRPr="004B5C4C" w:rsidRDefault="00334D02" w:rsidP="00334D02">
      <w:pPr>
        <w:rPr>
          <w:rFonts w:ascii="Arial" w:hAnsi="Arial" w:cs="Arial"/>
          <w:color w:val="000000"/>
        </w:rPr>
      </w:pPr>
      <w:r w:rsidRPr="004B5C4C">
        <w:rPr>
          <w:rFonts w:ascii="Arial" w:hAnsi="Arial" w:cs="Arial"/>
          <w:color w:val="000000"/>
        </w:rPr>
        <w:t>One of the key policy issues of the twenty-first century is the connection between public health and sustainable development. Adopted by all 193 member states in 2015, the United Nations' 2030 Agenda for Sustainable Development created seventeen Sustainable Development Goals (SDGs) as a global framework for attaining a more just, healthier, and environmentally stable society. SDG Goal 3, "Good Health and Wellbeing," and SDG Goal 10, "Reduced Inequalities," are critically examined in this paper, which assesses how these interconnected goals affect health outcomes at the international, national, and local levels. London is examined as a local case study, and the United Kingdom serves as the main national context.</w:t>
      </w:r>
    </w:p>
    <w:p w14:paraId="7F150248" w14:textId="4AE68301" w:rsidR="00334D02" w:rsidRPr="004B5C4C" w:rsidRDefault="00334D02" w:rsidP="00334D02">
      <w:pPr>
        <w:rPr>
          <w:rFonts w:ascii="Arial" w:hAnsi="Arial" w:cs="Arial"/>
          <w:color w:val="000000"/>
        </w:rPr>
      </w:pPr>
      <w:r w:rsidRPr="004B5C4C">
        <w:rPr>
          <w:rFonts w:ascii="Arial" w:hAnsi="Arial" w:cs="Arial"/>
          <w:color w:val="000000"/>
        </w:rPr>
        <w:t xml:space="preserve">The SDGs acknowledge that socioeconomic determinants like housing, education, income inequality, and environmental quality are inextricably linked to health. One of the best indicators of a person's life expectancy is still their postcode, which is a clear example of how health is produced far outside the hospital and clinic walls (Marmot et al., 2020). The efficacy of health and sustainability programs needs to be closely examined </w:t>
      </w:r>
      <w:proofErr w:type="gramStart"/>
      <w:r w:rsidRPr="004B5C4C">
        <w:rPr>
          <w:rFonts w:ascii="Arial" w:hAnsi="Arial" w:cs="Arial"/>
          <w:color w:val="000000"/>
        </w:rPr>
        <w:t>in light of</w:t>
      </w:r>
      <w:proofErr w:type="gramEnd"/>
      <w:r w:rsidRPr="004B5C4C">
        <w:rPr>
          <w:rFonts w:ascii="Arial" w:hAnsi="Arial" w:cs="Arial"/>
          <w:color w:val="000000"/>
        </w:rPr>
        <w:t xml:space="preserve"> the post-pandemic recovery, a cost-of-living crisis, and continued climatic pressures.</w:t>
      </w:r>
    </w:p>
    <w:p w14:paraId="0BAC699E" w14:textId="77777777" w:rsidR="00334D02" w:rsidRPr="004B5C4C" w:rsidRDefault="00334D02" w:rsidP="004B5C4C">
      <w:pPr>
        <w:pStyle w:val="Heading1"/>
      </w:pPr>
      <w:bookmarkStart w:id="1" w:name="_Toc227535384"/>
      <w:r w:rsidRPr="004B5C4C">
        <w:t>2. SDG Goal 3: Good Health and Wellbeing — Analysis</w:t>
      </w:r>
      <w:bookmarkEnd w:id="1"/>
    </w:p>
    <w:p w14:paraId="13FC5F91" w14:textId="77777777" w:rsidR="00334D02" w:rsidRPr="004B5C4C" w:rsidRDefault="00334D02" w:rsidP="004B5C4C">
      <w:pPr>
        <w:pStyle w:val="Heading2"/>
        <w:rPr>
          <w:rFonts w:ascii="Arial" w:hAnsi="Arial" w:cs="Arial"/>
          <w:sz w:val="22"/>
          <w:szCs w:val="22"/>
        </w:rPr>
      </w:pPr>
      <w:bookmarkStart w:id="2" w:name="_Toc227535385"/>
      <w:r w:rsidRPr="004B5C4C">
        <w:rPr>
          <w:rFonts w:ascii="Arial" w:hAnsi="Arial" w:cs="Arial"/>
          <w:sz w:val="22"/>
          <w:szCs w:val="22"/>
        </w:rPr>
        <w:t>2.1 Global Scope and Targets</w:t>
      </w:r>
      <w:bookmarkEnd w:id="2"/>
    </w:p>
    <w:p w14:paraId="55F9F276" w14:textId="40F81C44" w:rsidR="00334D02" w:rsidRPr="004B5C4C" w:rsidRDefault="00C30D76" w:rsidP="00334D02">
      <w:pPr>
        <w:rPr>
          <w:rFonts w:ascii="Arial" w:hAnsi="Arial" w:cs="Arial"/>
          <w:color w:val="000000"/>
        </w:rPr>
      </w:pPr>
      <w:r w:rsidRPr="004B5C4C">
        <w:rPr>
          <w:rFonts w:ascii="Arial" w:hAnsi="Arial" w:cs="Arial"/>
          <w:color w:val="000000"/>
        </w:rPr>
        <w:t>The reduction of mother and child mortality, the fight against infectious illnesses, the provision of mental health services, universal health coverage (UHC), and the capacity of the health workforce are just a few of the seventeen specific targets that make up SDG 3. It is one of the 2030 Agenda's broadest objectives, reflecting the World Health Organization's definition of health as "a state of complete physical, mental, and social wellbeing" rather than only the absence of disease (World Health Organization, 1948).</w:t>
      </w:r>
    </w:p>
    <w:p w14:paraId="34E340BE" w14:textId="2823F216" w:rsidR="00C30D76" w:rsidRPr="004B5C4C" w:rsidRDefault="00C30D76" w:rsidP="00334D02">
      <w:pPr>
        <w:rPr>
          <w:rFonts w:ascii="Arial" w:hAnsi="Arial" w:cs="Arial"/>
          <w:color w:val="000000"/>
        </w:rPr>
      </w:pPr>
      <w:r w:rsidRPr="004B5C4C">
        <w:rPr>
          <w:rFonts w:ascii="Arial" w:hAnsi="Arial" w:cs="Arial"/>
          <w:color w:val="000000"/>
        </w:rPr>
        <w:t>Progress towards SDG 3 has been quite unequal. Prior to the COVID-19 pandemic, tremendous progress had been made in under-five child mortality, with global rates falling by 59% between 1990 and 2019, as well as in the expansion of antiretroviral therapy for HIV (UNICEF, 2020). However, the pandemic reversed many of these achievements, resulting in a projected 14.9 million more deaths in 2020-2021 alone and revealing the catastrophic fragility of under-resourced health systems in low- and middle-income countries (WHO, 2022). By 2021, UHC coverage has remained stable at around 68 out of 100 on the UHC Service Coverage Index, considerably below the trajectory needed to meet the 2030 target (WHO and World Bank, 2023).</w:t>
      </w:r>
    </w:p>
    <w:p w14:paraId="042F2420" w14:textId="6045EDC6" w:rsidR="00C30D76" w:rsidRPr="004B5C4C" w:rsidRDefault="00C30D76" w:rsidP="00334D02">
      <w:pPr>
        <w:rPr>
          <w:rFonts w:ascii="Arial" w:hAnsi="Arial" w:cs="Arial"/>
          <w:color w:val="000000"/>
        </w:rPr>
      </w:pPr>
      <w:r w:rsidRPr="004B5C4C">
        <w:rPr>
          <w:rFonts w:ascii="Arial" w:hAnsi="Arial" w:cs="Arial"/>
          <w:color w:val="000000"/>
        </w:rPr>
        <w:t>Mental health is one of the most serious unmet concerns in SDG 3. One in every eight individuals worldwide suffers from a mental health issue, but in many countries, mental health services receive less than 2% of total health-care spending (WHO, 2022). This mismatch between burden and resource is most pronounced in Sub-Saharan Africa and South Asia, where treatment gaps surpass 90%. The COVID-19 pandemic exacerbated these pressures, with the global prevalence of anxiety and depression rising by 25% in 2020 (Santomauro et al., 2021).</w:t>
      </w:r>
    </w:p>
    <w:p w14:paraId="092E63AD" w14:textId="77777777" w:rsidR="00C30D76" w:rsidRPr="004B5C4C" w:rsidRDefault="00C30D76" w:rsidP="004B5C4C">
      <w:pPr>
        <w:pStyle w:val="Heading2"/>
        <w:rPr>
          <w:rFonts w:ascii="Arial" w:hAnsi="Arial" w:cs="Arial"/>
          <w:sz w:val="22"/>
          <w:szCs w:val="22"/>
        </w:rPr>
      </w:pPr>
      <w:bookmarkStart w:id="3" w:name="_Toc227535386"/>
      <w:r w:rsidRPr="004B5C4C">
        <w:rPr>
          <w:rFonts w:ascii="Arial" w:hAnsi="Arial" w:cs="Arial"/>
          <w:sz w:val="22"/>
          <w:szCs w:val="22"/>
        </w:rPr>
        <w:t>2.2 SDG 3 in a National Context: England and the NHS</w:t>
      </w:r>
      <w:bookmarkEnd w:id="3"/>
    </w:p>
    <w:p w14:paraId="15F8E9CF" w14:textId="40059739" w:rsidR="00C30D76" w:rsidRPr="004B5C4C" w:rsidRDefault="00C30D76" w:rsidP="00334D02">
      <w:pPr>
        <w:rPr>
          <w:rFonts w:ascii="Arial" w:hAnsi="Arial" w:cs="Arial"/>
          <w:color w:val="000000"/>
        </w:rPr>
      </w:pPr>
      <w:r w:rsidRPr="004B5C4C">
        <w:rPr>
          <w:rFonts w:ascii="Arial" w:hAnsi="Arial" w:cs="Arial"/>
          <w:color w:val="000000"/>
        </w:rPr>
        <w:t xml:space="preserve">In England, SDG 3 is primarily </w:t>
      </w:r>
      <w:proofErr w:type="spellStart"/>
      <w:r w:rsidRPr="004B5C4C">
        <w:rPr>
          <w:rFonts w:ascii="Arial" w:hAnsi="Arial" w:cs="Arial"/>
          <w:color w:val="000000"/>
        </w:rPr>
        <w:t>institutionalised</w:t>
      </w:r>
      <w:proofErr w:type="spellEnd"/>
      <w:r w:rsidRPr="004B5C4C">
        <w:rPr>
          <w:rFonts w:ascii="Arial" w:hAnsi="Arial" w:cs="Arial"/>
          <w:color w:val="000000"/>
        </w:rPr>
        <w:t xml:space="preserve"> through the National Health Service (NHS), which delivers nearly universal healthcare for free at the point of use and is funded by general taxes. The NHS Long Term Plan (2019) outlined goals that are consistent with key SDG 3 targets, including extending primary care and community services, reducing health </w:t>
      </w:r>
      <w:r w:rsidRPr="004B5C4C">
        <w:rPr>
          <w:rFonts w:ascii="Arial" w:hAnsi="Arial" w:cs="Arial"/>
          <w:color w:val="000000"/>
        </w:rPr>
        <w:lastRenderedPageBreak/>
        <w:t>disparities, strengthening mental health treatment, and investing in prevention rather than cure (NHS England, 2019).</w:t>
      </w:r>
    </w:p>
    <w:p w14:paraId="47C9B5B9" w14:textId="343B792A" w:rsidR="00C30D76" w:rsidRPr="004B5C4C" w:rsidRDefault="00C30D76" w:rsidP="00334D02">
      <w:pPr>
        <w:rPr>
          <w:rFonts w:ascii="Arial" w:hAnsi="Arial" w:cs="Arial"/>
          <w:color w:val="000000"/>
        </w:rPr>
      </w:pPr>
      <w:r w:rsidRPr="004B5C4C">
        <w:rPr>
          <w:rFonts w:ascii="Arial" w:hAnsi="Arial" w:cs="Arial"/>
          <w:color w:val="000000"/>
        </w:rPr>
        <w:t xml:space="preserve">Despite these goals, national progress on key SDG 3 criteria is uneven. Life expectancy gains, which had been steady for decades, came to a halt after 2010 and even reversed in the most destitute </w:t>
      </w:r>
      <w:proofErr w:type="spellStart"/>
      <w:r w:rsidRPr="004B5C4C">
        <w:rPr>
          <w:rFonts w:ascii="Arial" w:hAnsi="Arial" w:cs="Arial"/>
          <w:color w:val="000000"/>
        </w:rPr>
        <w:t>neighbourhoods</w:t>
      </w:r>
      <w:proofErr w:type="spellEnd"/>
      <w:r w:rsidRPr="004B5C4C">
        <w:rPr>
          <w:rFonts w:ascii="Arial" w:hAnsi="Arial" w:cs="Arial"/>
          <w:color w:val="000000"/>
        </w:rPr>
        <w:t xml:space="preserve"> </w:t>
      </w:r>
      <w:proofErr w:type="gramStart"/>
      <w:r w:rsidRPr="004B5C4C">
        <w:rPr>
          <w:rFonts w:ascii="Arial" w:hAnsi="Arial" w:cs="Arial"/>
          <w:color w:val="000000"/>
        </w:rPr>
        <w:t>as a result of</w:t>
      </w:r>
      <w:proofErr w:type="gramEnd"/>
      <w:r w:rsidRPr="004B5C4C">
        <w:rPr>
          <w:rFonts w:ascii="Arial" w:hAnsi="Arial" w:cs="Arial"/>
          <w:color w:val="000000"/>
        </w:rPr>
        <w:t xml:space="preserve"> a decade of austerity-driven cuts to public spending. The NHS is facing a workforce crisis, with over 100,000 unfilled positions reported in 2023 and elective treatment waiting lists expected to top 7.6 million by early 2024 (NHS England, 2024). These systemic challenges limit the ability to deliver on SDG 3's goal of timely, high-quality healthcare for all.</w:t>
      </w:r>
    </w:p>
    <w:p w14:paraId="79846E85" w14:textId="72619074" w:rsidR="00C30D76" w:rsidRPr="004B5C4C" w:rsidRDefault="00C30D76" w:rsidP="00334D02">
      <w:pPr>
        <w:rPr>
          <w:rFonts w:ascii="Arial" w:hAnsi="Arial" w:cs="Arial"/>
          <w:color w:val="000000"/>
        </w:rPr>
      </w:pPr>
      <w:r w:rsidRPr="004B5C4C">
        <w:rPr>
          <w:rFonts w:ascii="Arial" w:hAnsi="Arial" w:cs="Arial"/>
          <w:color w:val="000000"/>
        </w:rPr>
        <w:t>England's mental health policy has seen greater funding through NHS Talking Therapies (formerly IAPT) and the introduction of new Early Intervention in Psychosis programs. However, Child and Adolescent Mental Health Services (CAMHS) are chronically underfunded, with average wait times of more than 18 weeks for expert care (Care Quality Commission, 2023). This is a continuing gap between rhetorical commitment and resource deployment.</w:t>
      </w:r>
    </w:p>
    <w:p w14:paraId="070FC93C" w14:textId="77777777" w:rsidR="00C30D76" w:rsidRPr="004B5C4C" w:rsidRDefault="00C30D76" w:rsidP="004B5C4C">
      <w:pPr>
        <w:pStyle w:val="Heading1"/>
      </w:pPr>
      <w:bookmarkStart w:id="4" w:name="_Toc227535387"/>
      <w:r w:rsidRPr="004B5C4C">
        <w:t>3. SDG Goal 10: Reduced Inequalities — Analysis and Intersection with SDG 3</w:t>
      </w:r>
      <w:bookmarkEnd w:id="4"/>
    </w:p>
    <w:p w14:paraId="03A7B980" w14:textId="77777777" w:rsidR="00C30D76" w:rsidRPr="004B5C4C" w:rsidRDefault="00C30D76" w:rsidP="004B5C4C">
      <w:pPr>
        <w:pStyle w:val="Heading2"/>
        <w:rPr>
          <w:rFonts w:ascii="Arial" w:hAnsi="Arial" w:cs="Arial"/>
          <w:sz w:val="22"/>
          <w:szCs w:val="22"/>
        </w:rPr>
      </w:pPr>
      <w:bookmarkStart w:id="5" w:name="_Toc227535388"/>
      <w:r w:rsidRPr="004B5C4C">
        <w:rPr>
          <w:rFonts w:ascii="Arial" w:hAnsi="Arial" w:cs="Arial"/>
          <w:sz w:val="22"/>
          <w:szCs w:val="22"/>
        </w:rPr>
        <w:t>3.1 The Case for SDG 10 as a Health Determinant</w:t>
      </w:r>
      <w:bookmarkEnd w:id="5"/>
    </w:p>
    <w:p w14:paraId="1B437C99" w14:textId="3FF3E824" w:rsidR="00C30D76" w:rsidRPr="004B5C4C" w:rsidRDefault="00C30D76" w:rsidP="00334D02">
      <w:pPr>
        <w:rPr>
          <w:rFonts w:ascii="Arial" w:hAnsi="Arial" w:cs="Arial"/>
          <w:color w:val="000000"/>
        </w:rPr>
      </w:pPr>
      <w:r w:rsidRPr="004B5C4C">
        <w:rPr>
          <w:rFonts w:ascii="Arial" w:hAnsi="Arial" w:cs="Arial"/>
          <w:color w:val="000000"/>
        </w:rPr>
        <w:t>SDG Goal 10 — 'Reduced Inequalities' — is likely the most important structural enabler for accomplishing SDG 3. The data relating income disparity and bad health outcomes is wide and strong. Wilkinson and Pickett's famous study found that more unequal societies regularly yield poorer outcomes in a variety of social variables such as life expectancy, infant mortality, mental illness, obesity, and violence (Wilkinson and Pickett, 2009). The mechanism works in a number of ways: chronic stress brought on by low social status suppresses immune function and increases allostatic load; material deprivation restricts access to wholesome food, safe housing, and recreational opportunities; and structural inequality concentrates environmental hazards, such as pollution, damp housing, and food deserts, in the communities least able to absorb them.</w:t>
      </w:r>
    </w:p>
    <w:p w14:paraId="7208CE11" w14:textId="371EB0FD" w:rsidR="00C30D76" w:rsidRPr="004B5C4C" w:rsidRDefault="00C30D76" w:rsidP="00334D02">
      <w:pPr>
        <w:rPr>
          <w:rFonts w:ascii="Arial" w:hAnsi="Arial" w:cs="Arial"/>
          <w:color w:val="000000"/>
        </w:rPr>
      </w:pPr>
      <w:r w:rsidRPr="004B5C4C">
        <w:rPr>
          <w:rFonts w:ascii="Arial" w:hAnsi="Arial" w:cs="Arial"/>
          <w:color w:val="000000"/>
        </w:rPr>
        <w:t xml:space="preserve">The COVID-19 pandemic powerfully demonstrated the negative effects of inequality on health on a global scale. </w:t>
      </w:r>
      <w:proofErr w:type="spellStart"/>
      <w:r w:rsidRPr="004B5C4C">
        <w:rPr>
          <w:rFonts w:ascii="Arial" w:hAnsi="Arial" w:cs="Arial"/>
          <w:color w:val="000000"/>
        </w:rPr>
        <w:t>Racialised</w:t>
      </w:r>
      <w:proofErr w:type="spellEnd"/>
      <w:r w:rsidRPr="004B5C4C">
        <w:rPr>
          <w:rFonts w:ascii="Arial" w:hAnsi="Arial" w:cs="Arial"/>
          <w:color w:val="000000"/>
        </w:rPr>
        <w:t xml:space="preserve"> minorities, low-income workers, residents of impoverished urban areas, and those in insecure employment have disproportionately high mortality rates; these groups are precisely defined by their lack of the protective resources that SDG 10 aims to expand (Bhala et al., 2020). The long-lasting COVID-19 pandemic, which is expected to have affected 1.9 million people in the UK alone by 2023, has a similarly uneven distribution (Office for National Statistics, 2023).</w:t>
      </w:r>
    </w:p>
    <w:p w14:paraId="337892F8" w14:textId="77777777" w:rsidR="00C30D76" w:rsidRPr="004B5C4C" w:rsidRDefault="00C30D76" w:rsidP="004B5C4C">
      <w:pPr>
        <w:pStyle w:val="Heading2"/>
        <w:rPr>
          <w:rFonts w:ascii="Arial" w:hAnsi="Arial" w:cs="Arial"/>
          <w:sz w:val="22"/>
          <w:szCs w:val="22"/>
        </w:rPr>
      </w:pPr>
      <w:bookmarkStart w:id="6" w:name="_Toc227535389"/>
      <w:r w:rsidRPr="004B5C4C">
        <w:rPr>
          <w:rFonts w:ascii="Arial" w:hAnsi="Arial" w:cs="Arial"/>
          <w:sz w:val="22"/>
          <w:szCs w:val="22"/>
        </w:rPr>
        <w:t>3.2 SDG 10 in National Policy: The UK</w:t>
      </w:r>
      <w:bookmarkEnd w:id="6"/>
    </w:p>
    <w:p w14:paraId="46BBF37B" w14:textId="250C071F" w:rsidR="00C30D76" w:rsidRPr="004B5C4C" w:rsidRDefault="00C30D76" w:rsidP="00334D02">
      <w:pPr>
        <w:rPr>
          <w:rFonts w:ascii="Arial" w:hAnsi="Arial" w:cs="Arial"/>
          <w:color w:val="000000"/>
        </w:rPr>
      </w:pPr>
      <w:r w:rsidRPr="004B5C4C">
        <w:rPr>
          <w:rFonts w:ascii="Arial" w:hAnsi="Arial" w:cs="Arial"/>
          <w:color w:val="000000"/>
        </w:rPr>
        <w:t>When compared to similar Western European countries, the UK does poorly on measures of inequality. A comparatively high degree of income dispersion was indicated by the Gini coefficient for household income inequality in 2022–2023, which was higher than that of Germany, France, or the Nordic nations at 0.35 (Office for National Statistics, 2023). According to the 2020 Marmot Review Ten Years On, there is a nearly ten-year difference in life expectancy between the most and least deprived areas of England, and health disparities have increased since the 2010 report (Marmot et al., 2020).</w:t>
      </w:r>
    </w:p>
    <w:p w14:paraId="38A2917C" w14:textId="48E4B75E" w:rsidR="00C30D76" w:rsidRPr="004B5C4C" w:rsidRDefault="00C30D76" w:rsidP="00334D02">
      <w:pPr>
        <w:rPr>
          <w:rFonts w:ascii="Arial" w:hAnsi="Arial" w:cs="Arial"/>
          <w:color w:val="000000"/>
        </w:rPr>
      </w:pPr>
      <w:r w:rsidRPr="004B5C4C">
        <w:rPr>
          <w:rFonts w:ascii="Arial" w:hAnsi="Arial" w:cs="Arial"/>
          <w:color w:val="000000"/>
        </w:rPr>
        <w:t xml:space="preserve">The government's main reaction to socioeconomic and geographic inequality was the Levelling Up initiative, which was unveiled in 2022. Critics pointed out that the program lacked adequate funding, was primarily focused on physical regeneration rather than social </w:t>
      </w:r>
      <w:r w:rsidRPr="004B5C4C">
        <w:rPr>
          <w:rFonts w:ascii="Arial" w:hAnsi="Arial" w:cs="Arial"/>
          <w:color w:val="000000"/>
        </w:rPr>
        <w:lastRenderedPageBreak/>
        <w:t xml:space="preserve">determinants, and did not sufficiently address the structural drivers of inequality, such as </w:t>
      </w:r>
      <w:proofErr w:type="spellStart"/>
      <w:r w:rsidRPr="004B5C4C">
        <w:rPr>
          <w:rFonts w:ascii="Arial" w:hAnsi="Arial" w:cs="Arial"/>
          <w:color w:val="000000"/>
        </w:rPr>
        <w:t>labour</w:t>
      </w:r>
      <w:proofErr w:type="spellEnd"/>
      <w:r w:rsidRPr="004B5C4C">
        <w:rPr>
          <w:rFonts w:ascii="Arial" w:hAnsi="Arial" w:cs="Arial"/>
          <w:color w:val="000000"/>
        </w:rPr>
        <w:t xml:space="preserve"> market precarity, benefit levels, and housing costs, despite the white paper's ambitious language and twelve national missions, including improving health and wellbeing (Bambra et al., 2022). According to estimates from the Institute for Fiscal Studies, local authority spending in the most impoverished areas was still about 25% below 2010 levels in real terms, which directly limited the capability of the communities that most needed public health and social care (IFS, 2023).</w:t>
      </w:r>
    </w:p>
    <w:p w14:paraId="4DD29CE6" w14:textId="77777777" w:rsidR="00C30D76" w:rsidRPr="004B5C4C" w:rsidRDefault="00C30D76" w:rsidP="004B5C4C">
      <w:pPr>
        <w:pStyle w:val="Heading1"/>
      </w:pPr>
      <w:bookmarkStart w:id="7" w:name="_Toc227535390"/>
      <w:r w:rsidRPr="004B5C4C">
        <w:t>4. Local Health, Wellbeing and Sustainability Initiatives</w:t>
      </w:r>
      <w:bookmarkEnd w:id="7"/>
    </w:p>
    <w:p w14:paraId="23DA1453" w14:textId="77777777" w:rsidR="00C30D76" w:rsidRPr="004B5C4C" w:rsidRDefault="00C30D76" w:rsidP="004B5C4C">
      <w:pPr>
        <w:pStyle w:val="Heading2"/>
        <w:rPr>
          <w:rFonts w:ascii="Arial" w:hAnsi="Arial" w:cs="Arial"/>
          <w:sz w:val="22"/>
          <w:szCs w:val="22"/>
        </w:rPr>
      </w:pPr>
      <w:bookmarkStart w:id="8" w:name="_Toc227535391"/>
      <w:r w:rsidRPr="004B5C4C">
        <w:rPr>
          <w:rFonts w:ascii="Arial" w:hAnsi="Arial" w:cs="Arial"/>
          <w:sz w:val="22"/>
          <w:szCs w:val="22"/>
        </w:rPr>
        <w:t>4.1 London as a Case Study</w:t>
      </w:r>
      <w:bookmarkEnd w:id="8"/>
    </w:p>
    <w:p w14:paraId="1ED433C4" w14:textId="150E0284" w:rsidR="00C30D76" w:rsidRPr="004B5C4C" w:rsidRDefault="00C30D76" w:rsidP="00334D02">
      <w:pPr>
        <w:rPr>
          <w:rFonts w:ascii="Arial" w:hAnsi="Arial" w:cs="Arial"/>
          <w:color w:val="000000"/>
        </w:rPr>
      </w:pPr>
      <w:r w:rsidRPr="004B5C4C">
        <w:rPr>
          <w:rFonts w:ascii="Arial" w:hAnsi="Arial" w:cs="Arial"/>
          <w:color w:val="000000"/>
        </w:rPr>
        <w:t>Global SDG aspirations collide with hyper-local realities of inequality in London's rich and complex local setting. A framework for lowering disparities in health outcomes among London's 33 boroughs is outlined in the Greater London Authority's (GLA) 2022 revised Health Inequalities Strategy, which specifically draws on SDG commitments and Marmot principles (Greater London Authority, 2022). The London Living Wage campaign, the Good Work Standard, which promotes fair compensation and working conditions, and the Thrive LDN collaboration, which is financed by the NHS, are important workstreams.</w:t>
      </w:r>
    </w:p>
    <w:p w14:paraId="758499A9" w14:textId="446DA7DD" w:rsidR="00C30D76" w:rsidRPr="004B5C4C" w:rsidRDefault="00C30D76" w:rsidP="00334D02">
      <w:pPr>
        <w:rPr>
          <w:rFonts w:ascii="Arial" w:hAnsi="Arial" w:cs="Arial"/>
          <w:color w:val="000000"/>
        </w:rPr>
      </w:pPr>
      <w:r w:rsidRPr="004B5C4C">
        <w:rPr>
          <w:rFonts w:ascii="Arial" w:hAnsi="Arial" w:cs="Arial"/>
          <w:color w:val="000000"/>
        </w:rPr>
        <w:t>An innovative concept for integrating mental health promotion into non-clinical contexts like workplaces, schools, and community spaces is Thrive LDN, a collaboration between the GLA and NHS London. Its whole-system approach is in line with the equitable focus of SDG 10 as well as the mental health aims of SDG 3. However, a 2022 assessment found that implementation quality varied significantly between boroughs, with more impoverished areas—which have the highest need—often having the fewest community resources and the competence of the voluntary sector to conduct programs (Thrive LDN Evaluation, 2022).</w:t>
      </w:r>
    </w:p>
    <w:p w14:paraId="71917729" w14:textId="6EF15878" w:rsidR="00C30D76" w:rsidRPr="004B5C4C" w:rsidRDefault="00C30D76" w:rsidP="00334D02">
      <w:pPr>
        <w:rPr>
          <w:rFonts w:ascii="Arial" w:hAnsi="Arial" w:cs="Arial"/>
          <w:color w:val="000000"/>
        </w:rPr>
      </w:pPr>
      <w:r w:rsidRPr="004B5C4C">
        <w:rPr>
          <w:rFonts w:ascii="Arial" w:hAnsi="Arial" w:cs="Arial"/>
          <w:color w:val="000000"/>
        </w:rPr>
        <w:t xml:space="preserve">Understanding health consequences also depends on London's connection to environmental sustainability. Expanded throughout London in August 2023, the Ultra Low Emission Zone (ULEZ) is one of the world's most ambitious urban air quality initiatives. An estimated 4,000 premature deaths occur in London each year </w:t>
      </w:r>
      <w:proofErr w:type="gramStart"/>
      <w:r w:rsidRPr="004B5C4C">
        <w:rPr>
          <w:rFonts w:ascii="Arial" w:hAnsi="Arial" w:cs="Arial"/>
          <w:color w:val="000000"/>
        </w:rPr>
        <w:t>as a result of</w:t>
      </w:r>
      <w:proofErr w:type="gramEnd"/>
      <w:r w:rsidRPr="004B5C4C">
        <w:rPr>
          <w:rFonts w:ascii="Arial" w:hAnsi="Arial" w:cs="Arial"/>
          <w:color w:val="000000"/>
        </w:rPr>
        <w:t xml:space="preserve"> air pollution, which also raises the risk of cardiovascular disease, respiratory disorders, cognitive decline, and </w:t>
      </w:r>
      <w:proofErr w:type="spellStart"/>
      <w:r w:rsidRPr="004B5C4C">
        <w:rPr>
          <w:rFonts w:ascii="Arial" w:hAnsi="Arial" w:cs="Arial"/>
          <w:color w:val="000000"/>
        </w:rPr>
        <w:t>unfavourable</w:t>
      </w:r>
      <w:proofErr w:type="spellEnd"/>
      <w:r w:rsidRPr="004B5C4C">
        <w:rPr>
          <w:rFonts w:ascii="Arial" w:hAnsi="Arial" w:cs="Arial"/>
          <w:color w:val="000000"/>
        </w:rPr>
        <w:t xml:space="preserve"> birth outcomes. These health effects disproportionately affect impoverished communities and ethnic minorities who live close to major roads (Transport for London, 2023). According to preliminary evaluation data, the enlarged ULEZ decreased roadside nitrogen dioxide levels by as much as 46% in previously undiscovered locations, with the most polluted populations expected to reap the greatest health benefits (Imperial College London, 2024).</w:t>
      </w:r>
    </w:p>
    <w:p w14:paraId="7514980A" w14:textId="77777777" w:rsidR="00C30D76" w:rsidRPr="004B5C4C" w:rsidRDefault="00C30D76" w:rsidP="004B5C4C">
      <w:pPr>
        <w:pStyle w:val="Heading2"/>
        <w:rPr>
          <w:rFonts w:ascii="Arial" w:hAnsi="Arial" w:cs="Arial"/>
          <w:sz w:val="22"/>
          <w:szCs w:val="22"/>
        </w:rPr>
      </w:pPr>
      <w:bookmarkStart w:id="9" w:name="_Toc227535392"/>
      <w:r w:rsidRPr="004B5C4C">
        <w:rPr>
          <w:rFonts w:ascii="Arial" w:hAnsi="Arial" w:cs="Arial"/>
          <w:sz w:val="22"/>
          <w:szCs w:val="22"/>
        </w:rPr>
        <w:t>4.2 Evaluation of Effectiveness</w:t>
      </w:r>
      <w:bookmarkEnd w:id="9"/>
    </w:p>
    <w:p w14:paraId="4B577447" w14:textId="52AEE8C8" w:rsidR="00C30D76" w:rsidRPr="004B5C4C" w:rsidRDefault="00C30D76" w:rsidP="00334D02">
      <w:pPr>
        <w:rPr>
          <w:rFonts w:ascii="Arial" w:hAnsi="Arial" w:cs="Arial"/>
          <w:color w:val="000000"/>
        </w:rPr>
      </w:pPr>
      <w:r w:rsidRPr="004B5C4C">
        <w:rPr>
          <w:rFonts w:ascii="Arial" w:hAnsi="Arial" w:cs="Arial"/>
          <w:color w:val="000000"/>
        </w:rPr>
        <w:t xml:space="preserve">Both production and result data must be evaluated </w:t>
      </w:r>
      <w:proofErr w:type="gramStart"/>
      <w:r w:rsidRPr="004B5C4C">
        <w:rPr>
          <w:rFonts w:ascii="Arial" w:hAnsi="Arial" w:cs="Arial"/>
          <w:color w:val="000000"/>
        </w:rPr>
        <w:t>in order to</w:t>
      </w:r>
      <w:proofErr w:type="gramEnd"/>
      <w:r w:rsidRPr="004B5C4C">
        <w:rPr>
          <w:rFonts w:ascii="Arial" w:hAnsi="Arial" w:cs="Arial"/>
          <w:color w:val="000000"/>
        </w:rPr>
        <w:t xml:space="preserve"> determine how successful these programs are. By 2024, the London Living Wage, a voluntary employer accreditation program, had reached over 500,000 workers. Research indicates that workers who receive the Living Wage report better mental health, less financial stress, and increased job satisfaction, all of which directly support SDGs 3 and 10 (Living Wage Foundation, 2023). However, because the program is voluntary, workers in the most unstable and informal employment sectors—those most likely to be paid poorly—remain mostly unreached.</w:t>
      </w:r>
    </w:p>
    <w:p w14:paraId="6372DDAA" w14:textId="47F5AF44" w:rsidR="00C30D76" w:rsidRPr="004B5C4C" w:rsidRDefault="00C30D76" w:rsidP="00334D02">
      <w:pPr>
        <w:rPr>
          <w:rFonts w:ascii="Arial" w:hAnsi="Arial" w:cs="Arial"/>
          <w:color w:val="000000"/>
        </w:rPr>
      </w:pPr>
      <w:r w:rsidRPr="004B5C4C">
        <w:rPr>
          <w:rFonts w:ascii="Arial" w:hAnsi="Arial" w:cs="Arial"/>
          <w:color w:val="000000"/>
        </w:rPr>
        <w:t xml:space="preserve">Similarly, adoption among schools in the most impoverished boroughs has been uneven, </w:t>
      </w:r>
      <w:proofErr w:type="gramStart"/>
      <w:r w:rsidRPr="004B5C4C">
        <w:rPr>
          <w:rFonts w:ascii="Arial" w:hAnsi="Arial" w:cs="Arial"/>
          <w:color w:val="000000"/>
        </w:rPr>
        <w:t>despite the fact that</w:t>
      </w:r>
      <w:proofErr w:type="gramEnd"/>
      <w:r w:rsidRPr="004B5C4C">
        <w:rPr>
          <w:rFonts w:ascii="Arial" w:hAnsi="Arial" w:cs="Arial"/>
          <w:color w:val="000000"/>
        </w:rPr>
        <w:t xml:space="preserve"> Healthy Schools London offers a useful framework for whole-school health promotion. Without committed support and funding, schools that serve underprivileged communities experience the highest demands on staff time and resources, making ongoing involvement with supplementary wellbeing programs difficult (Public Health England, 2021).</w:t>
      </w:r>
    </w:p>
    <w:p w14:paraId="0593B2C4" w14:textId="77777777" w:rsidR="00C30D76" w:rsidRPr="004B5C4C" w:rsidRDefault="00C30D76" w:rsidP="004B5C4C">
      <w:pPr>
        <w:pStyle w:val="Heading1"/>
      </w:pPr>
      <w:bookmarkStart w:id="10" w:name="_Toc227535393"/>
      <w:r w:rsidRPr="004B5C4C">
        <w:lastRenderedPageBreak/>
        <w:t>5. Recommendations for Improvement</w:t>
      </w:r>
      <w:bookmarkEnd w:id="10"/>
    </w:p>
    <w:p w14:paraId="39016530" w14:textId="08E62417" w:rsidR="00C30D76" w:rsidRPr="004B5C4C" w:rsidRDefault="00C30D76" w:rsidP="00334D02">
      <w:pPr>
        <w:rPr>
          <w:rFonts w:ascii="Arial" w:hAnsi="Arial" w:cs="Arial"/>
          <w:color w:val="000000"/>
        </w:rPr>
      </w:pPr>
      <w:r w:rsidRPr="004B5C4C">
        <w:rPr>
          <w:rFonts w:ascii="Arial" w:hAnsi="Arial" w:cs="Arial"/>
          <w:color w:val="000000"/>
        </w:rPr>
        <w:t>The analysis presented above leads to the following evidence-based suggestions for national and local policymakers:</w:t>
      </w:r>
      <w:r w:rsidRPr="004B5C4C">
        <w:rPr>
          <w:rFonts w:ascii="Arial" w:hAnsi="Arial" w:cs="Arial"/>
          <w:color w:val="000000"/>
        </w:rPr>
        <w:br/>
      </w:r>
      <w:r w:rsidRPr="004B5C4C">
        <w:rPr>
          <w:rFonts w:ascii="Arial" w:hAnsi="Arial" w:cs="Arial"/>
          <w:color w:val="000000"/>
        </w:rPr>
        <w:br/>
        <w:t xml:space="preserve">First and foremost, national and local planning frameworks should </w:t>
      </w:r>
      <w:proofErr w:type="spellStart"/>
      <w:r w:rsidRPr="004B5C4C">
        <w:rPr>
          <w:rFonts w:ascii="Arial" w:hAnsi="Arial" w:cs="Arial"/>
          <w:color w:val="000000"/>
        </w:rPr>
        <w:t>prioritise</w:t>
      </w:r>
      <w:proofErr w:type="spellEnd"/>
      <w:r w:rsidRPr="004B5C4C">
        <w:rPr>
          <w:rFonts w:ascii="Arial" w:hAnsi="Arial" w:cs="Arial"/>
          <w:color w:val="000000"/>
        </w:rPr>
        <w:t xml:space="preserve"> reducing health disparities. Integrated Care Boards now have an obligation under the Health and Care Act 2022 to lessen inequality; however, this obligation must be backed by ring-fenced funding that is linked to deprivation indices rather than averaged across populations. Local authority health initiatives should be </w:t>
      </w:r>
      <w:proofErr w:type="spellStart"/>
      <w:r w:rsidRPr="004B5C4C">
        <w:rPr>
          <w:rFonts w:ascii="Arial" w:hAnsi="Arial" w:cs="Arial"/>
          <w:color w:val="000000"/>
        </w:rPr>
        <w:t>organised</w:t>
      </w:r>
      <w:proofErr w:type="spellEnd"/>
      <w:r w:rsidRPr="004B5C4C">
        <w:rPr>
          <w:rFonts w:ascii="Arial" w:hAnsi="Arial" w:cs="Arial"/>
          <w:color w:val="000000"/>
        </w:rPr>
        <w:t xml:space="preserve"> according to the Marmot framework, which addresses the socioeconomic determinants of health through early child development, education, employment, income, housing, and environment.</w:t>
      </w:r>
    </w:p>
    <w:p w14:paraId="0538E38F" w14:textId="13F93AB0" w:rsidR="00C30D76" w:rsidRPr="004B5C4C" w:rsidRDefault="00C30D76" w:rsidP="00334D02">
      <w:pPr>
        <w:rPr>
          <w:rFonts w:ascii="Arial" w:hAnsi="Arial" w:cs="Arial"/>
          <w:color w:val="000000"/>
        </w:rPr>
      </w:pPr>
      <w:r w:rsidRPr="004B5C4C">
        <w:rPr>
          <w:rFonts w:ascii="Arial" w:hAnsi="Arial" w:cs="Arial"/>
          <w:color w:val="000000"/>
        </w:rPr>
        <w:t>Second, investments in mental health must be commensurate with the burden. Despite an increase, England's spending on mental health is still below what the Mental Health Taskforce recommends. Mental health services should receive at least 13% of NHS funding, with a focus on community-based care, crisis care, and CAMHS. The legislative commitment to equal respect for mental and physical health, which has been in place since 2012, needs to be put into practice through commissioning decisions rather than just being stated verbally.</w:t>
      </w:r>
      <w:r w:rsidRPr="004B5C4C">
        <w:rPr>
          <w:rFonts w:ascii="Arial" w:hAnsi="Arial" w:cs="Arial"/>
          <w:color w:val="000000"/>
        </w:rPr>
        <w:br/>
        <w:t>Thirdly, in order to avoid shifting expenses onto the poorest citizens, social equality measures must be implemented in tandem with local sustainability programs like the ULEZ. Better funding is needed for scrappage programs, and low-emission transportation options like buses, bike lanes, and car clubs need to be available and reasonably priced throughout the city.</w:t>
      </w:r>
      <w:r w:rsidR="004B5C4C" w:rsidRPr="004B5C4C">
        <w:rPr>
          <w:rFonts w:ascii="Arial" w:hAnsi="Arial" w:cs="Arial"/>
          <w:color w:val="000000"/>
        </w:rPr>
        <w:t xml:space="preserve"> </w:t>
      </w:r>
      <w:r w:rsidR="004B5C4C" w:rsidRPr="004B5C4C">
        <w:rPr>
          <w:rFonts w:ascii="Arial" w:hAnsi="Arial" w:cs="Arial"/>
          <w:color w:val="000000"/>
        </w:rPr>
        <w:t>To increase public awareness and political support, the health co-benefits of clean air regulations should be widely highlighted.</w:t>
      </w:r>
    </w:p>
    <w:p w14:paraId="7A8E5609" w14:textId="019BEC3B" w:rsidR="004B5C4C" w:rsidRPr="004B5C4C" w:rsidRDefault="004B5C4C" w:rsidP="00334D02">
      <w:pPr>
        <w:rPr>
          <w:rFonts w:ascii="Arial" w:hAnsi="Arial" w:cs="Arial"/>
          <w:color w:val="000000"/>
        </w:rPr>
      </w:pPr>
      <w:r w:rsidRPr="004B5C4C">
        <w:rPr>
          <w:rFonts w:ascii="Arial" w:hAnsi="Arial" w:cs="Arial"/>
          <w:color w:val="000000"/>
        </w:rPr>
        <w:t>Lastly, strong accountability and monitoring systems are crucial. Using disaggregated data by deprivation, ethnicity, gender, and geography, local authorities and NHS bodies should be mandated to submit an annual report on their progress toward SDG 3 and SDG 10 indicators. A basic component of health and wellness board governance should include independent health equality audits, patterned after the strategy tested in Marmot Cities like Coventry and Greater Manchester.</w:t>
      </w:r>
    </w:p>
    <w:p w14:paraId="3330BDEB" w14:textId="77777777" w:rsidR="004B5C4C" w:rsidRPr="004B5C4C" w:rsidRDefault="004B5C4C" w:rsidP="004B5C4C">
      <w:pPr>
        <w:pStyle w:val="Heading1"/>
      </w:pPr>
      <w:bookmarkStart w:id="11" w:name="_Toc227535394"/>
      <w:r w:rsidRPr="004B5C4C">
        <w:t>6. Conclusion</w:t>
      </w:r>
      <w:bookmarkEnd w:id="11"/>
    </w:p>
    <w:p w14:paraId="20F35C82" w14:textId="42E40763" w:rsidR="004B5C4C" w:rsidRPr="004B5C4C" w:rsidRDefault="004B5C4C" w:rsidP="00334D02">
      <w:pPr>
        <w:rPr>
          <w:rFonts w:ascii="Arial" w:hAnsi="Arial" w:cs="Arial"/>
          <w:color w:val="000000"/>
        </w:rPr>
      </w:pPr>
      <w:r w:rsidRPr="004B5C4C">
        <w:rPr>
          <w:rFonts w:ascii="Arial" w:hAnsi="Arial" w:cs="Arial"/>
          <w:color w:val="000000"/>
        </w:rPr>
        <w:t>SDG Goal 3 and SDG Goal 10 are more than just aspirational objectives; they provide a moral and political framework for guaranteeing that health is viewed as a universal right rather than a privilege of the wealthy. Even though there is a lot of policy action at the international, national, and local levels, this analysis has shown that there are still large gaps between stated goals and actual experiences, especially for people living in the most impoverished places. Despite its original ideals, the NHS is unable to make up for the combined effects of structural inequality, poverty, pollution, and substandard housing. Integrated activity across sectors and scales, supported by sufficient and fair resource allocation, is necessary for sustainable health improvement.</w:t>
      </w:r>
    </w:p>
    <w:p w14:paraId="3B6174DE" w14:textId="15677391" w:rsidR="004B5C4C" w:rsidRPr="004B5C4C" w:rsidRDefault="004B5C4C" w:rsidP="00334D02">
      <w:pPr>
        <w:rPr>
          <w:rFonts w:ascii="Arial" w:hAnsi="Arial" w:cs="Arial"/>
          <w:color w:val="000000"/>
        </w:rPr>
      </w:pPr>
      <w:r w:rsidRPr="004B5C4C">
        <w:rPr>
          <w:rFonts w:ascii="Arial" w:hAnsi="Arial" w:cs="Arial"/>
          <w:color w:val="000000"/>
        </w:rPr>
        <w:t>The SDG 3 vision of healthy lives for all will not be achieved by 2030 if there is no renewed political resolve to address inequality as a health emergency.</w:t>
      </w:r>
    </w:p>
    <w:p w14:paraId="37BFBAF3" w14:textId="77777777" w:rsidR="004B5C4C" w:rsidRPr="004B5C4C" w:rsidRDefault="004B5C4C" w:rsidP="00334D02">
      <w:pPr>
        <w:rPr>
          <w:rFonts w:ascii="Arial" w:hAnsi="Arial" w:cs="Arial"/>
          <w:color w:val="000000"/>
        </w:rPr>
      </w:pPr>
    </w:p>
    <w:p w14:paraId="60F050D7" w14:textId="7E5A3366" w:rsidR="004B5C4C" w:rsidRPr="004B5C4C" w:rsidRDefault="004B5C4C">
      <w:pPr>
        <w:spacing w:after="160" w:line="278" w:lineRule="auto"/>
        <w:rPr>
          <w:rFonts w:ascii="Arial" w:hAnsi="Arial" w:cs="Arial"/>
          <w:color w:val="000000"/>
        </w:rPr>
      </w:pPr>
      <w:r w:rsidRPr="004B5C4C">
        <w:rPr>
          <w:rFonts w:ascii="Arial" w:hAnsi="Arial" w:cs="Arial"/>
          <w:color w:val="000000"/>
        </w:rPr>
        <w:br w:type="page"/>
      </w:r>
    </w:p>
    <w:p w14:paraId="216F0802" w14:textId="334B3385" w:rsidR="004B5C4C" w:rsidRPr="004B5C4C" w:rsidRDefault="004B5C4C" w:rsidP="004B5C4C">
      <w:pPr>
        <w:pStyle w:val="Heading1"/>
      </w:pPr>
      <w:bookmarkStart w:id="12" w:name="_Toc227535395"/>
      <w:r w:rsidRPr="004B5C4C">
        <w:lastRenderedPageBreak/>
        <w:t>References</w:t>
      </w:r>
      <w:bookmarkEnd w:id="12"/>
    </w:p>
    <w:p w14:paraId="47E0AD36"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Bambra, C., Munford, L., Brown, H., Wilding, A., Konstantinou, C., Maddison, J., Sowden, S., Verbov, G., Pearce, J. and Whitehead, M. (2022) Health for Wealth: Building a Healthier Northern Powerhouse for UK Productivity. Newcastle: Newcastle University. Available at: https://www.ncl.ac.uk/media/wwwnclacuk/medicalsciences/files/HforWReport.pdf [Accessed 12 April 2026].</w:t>
      </w:r>
    </w:p>
    <w:p w14:paraId="1161C3B7"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 xml:space="preserve">Bhala, N., Curry, G., Martineau, A.R., Agyemang, C. and Bhopal, R. (2020) 'Sharpening the global focus on ethnicity and race in the time of COVID-19', The Lancet, 395(10238), pp. 1673–1676. </w:t>
      </w:r>
      <w:proofErr w:type="spellStart"/>
      <w:r w:rsidRPr="004B5C4C">
        <w:rPr>
          <w:rFonts w:ascii="Arial" w:eastAsia="Arial" w:hAnsi="Arial" w:cs="Arial"/>
        </w:rPr>
        <w:t>doi</w:t>
      </w:r>
      <w:proofErr w:type="spellEnd"/>
      <w:r w:rsidRPr="004B5C4C">
        <w:rPr>
          <w:rFonts w:ascii="Arial" w:eastAsia="Arial" w:hAnsi="Arial" w:cs="Arial"/>
        </w:rPr>
        <w:t>: 10.1016/S0140-6736(20)31102-8.</w:t>
      </w:r>
    </w:p>
    <w:p w14:paraId="6E9E07D0"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Care Quality Commission (2023) Mental Health Act: Monitoring the Mental Health Act in 2022/23. Newcastle: CQC. Available at: https://www.cqc.org.uk/publications/monitoring-mental-health-act [Accessed 12 April 2026].</w:t>
      </w:r>
    </w:p>
    <w:p w14:paraId="3F9EA994"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Greater London Authority (2022) Health Inequalities Strategy 2022. London: GLA. Available at: https://www.london.gov.uk/programmes-strategies/health-and-wellbeing/health-inequalities/health-inequalities-strategy [Accessed 12 April 2026].</w:t>
      </w:r>
    </w:p>
    <w:p w14:paraId="44DC65B6"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Imperial College London (2024) Evaluation of the Impact of ULEZ Expansion on Air Quality in London. London: Imperial College London. Available at: https://www.imperial.ac.uk/news/252004/study-expanded-ulez-reduced-nitrogen-dioxide/ [Accessed 12 April 2026].</w:t>
      </w:r>
    </w:p>
    <w:p w14:paraId="5636D3E1"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Institute for Fiscal Studies (2023) Local Government Funding in England. London: IFS. Available at: https://ifs.org.uk/research-projects/local-government-funding-in-england [Accessed 12 April 2026].</w:t>
      </w:r>
    </w:p>
    <w:p w14:paraId="106B33A3"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Living Wage Foundation (2023) The Living Wage: Outcomes for Workers. London: Living Wage Foundation. Available at: https://www.livingwage.org.uk/research-and-reports [Accessed 12 April 2026].</w:t>
      </w:r>
    </w:p>
    <w:p w14:paraId="7BA89FF8"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Marmot, M., Allen, J., Boyce, T., Goldblatt, P. and Morrison, J. (2020) Health Equity in England: The Marmot Review 10 Years On. London: Institute of Health Equity. Available at: https://www.health.org.uk/publications/reports/the-marmot-review-10-years-on [Accessed 12 April 2026].</w:t>
      </w:r>
    </w:p>
    <w:p w14:paraId="0F0DF04C"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NHS England (2019) The NHS Long Term Plan. Leeds: NHS England. Available at: https://www.longtermplan.nhs.uk/publication/nhs-long-term-plan/ [Accessed 12 April 2026].</w:t>
      </w:r>
    </w:p>
    <w:p w14:paraId="24C8492F"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NHS England (2024) NHS England Board Papers: Elective Recovery Update, February 2024. Leeds: NHS England. Available at: https://www.england.nhs.uk/wp-content/uploads/2024/02/elective-recovery-update-0224.pdf [Accessed 12 April 2026].</w:t>
      </w:r>
    </w:p>
    <w:p w14:paraId="32AC650B"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Office for National Statistics (2023) Household Income Inequality, UK: Financial Year Ending 2023. Newport: ONS. Available at: https://www.ons.gov.uk/peoplepopulationandcommunity/personalandhouseholdfinances/incomeandwealth/bulletins/householdincomeinequalityfinancial/financialyearending2023 [Accessed 12 April 2026].</w:t>
      </w:r>
    </w:p>
    <w:p w14:paraId="1AAD3017"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Office for National Statistics (2023) Prevalence of Ongoing Symptoms Following Coronavirus (COVID-19) Infection in the UK: January 2023. Newport: ONS. Available at: https://www.ons.gov.uk/peoplepopulationandcommunity/healthandsocialcare/conditionsanddiseases/bulletins/prevalenceofongoingsymptomsfollowingcoronaviruscovid19infectionintheuk/1june2023 [Accessed 12 April 2026].</w:t>
      </w:r>
    </w:p>
    <w:p w14:paraId="011A94B6"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lastRenderedPageBreak/>
        <w:t>Public Health England (2021) Healthy Schools London: Annual Report 2020–21. London: PHE/UKHSA. Available at: https://www.healthyschoolslondon.org.uk [Accessed 12 April 2026].</w:t>
      </w:r>
    </w:p>
    <w:p w14:paraId="73C7BFFD"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 xml:space="preserve">Santomauro, D.F., Herrera, A.M.M., Shadid, J. et al. (2021) 'Global prevalence and burden of depressive and anxiety disorders in 204 countries and territories in 2020 due to the COVID-19 pandemic', The Lancet, 398(10312), pp. 1700–1712. </w:t>
      </w:r>
      <w:proofErr w:type="spellStart"/>
      <w:r w:rsidRPr="004B5C4C">
        <w:rPr>
          <w:rFonts w:ascii="Arial" w:eastAsia="Arial" w:hAnsi="Arial" w:cs="Arial"/>
        </w:rPr>
        <w:t>doi</w:t>
      </w:r>
      <w:proofErr w:type="spellEnd"/>
      <w:r w:rsidRPr="004B5C4C">
        <w:rPr>
          <w:rFonts w:ascii="Arial" w:eastAsia="Arial" w:hAnsi="Arial" w:cs="Arial"/>
        </w:rPr>
        <w:t>: 10.1016/S0140-6736(21)02143-7.</w:t>
      </w:r>
    </w:p>
    <w:p w14:paraId="511D3DC1"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Thrive LDN (2022) Thrive LDN Evaluation Report 2021/22. London: Greater London Authority. Available at: https://thriveldn.co.uk/resources/thrive-ldn-annual-reports/ [Accessed 12 April 2026].</w:t>
      </w:r>
    </w:p>
    <w:p w14:paraId="69D6E941"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Transport for London (2023) ULEZ Expansion: Air Quality Evidence. London: TfL. Available at: https://tfl.gov.uk/modes/driving/ultra-low-emission-zone/ulez-expansion-2023 [Accessed 12 April 2026].</w:t>
      </w:r>
    </w:p>
    <w:p w14:paraId="74BF6223"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UNICEF (2020) Levels and Trends in Child Mortality Report 2020. New York: UNICEF. Available at: https://www.unicef.org/reports/levels-and-trends-child-mortality-report-2020 [Accessed 12 April 2026].</w:t>
      </w:r>
    </w:p>
    <w:p w14:paraId="6D24DEC2"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Wilkinson, R. and Pickett, K. (2009) The Spirit Level: Why More Equal Societies Almost Always Do Better. London: Allen Lane.</w:t>
      </w:r>
    </w:p>
    <w:p w14:paraId="3A82B708"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World Health Organization (1948) Constitution of the World Health Organization. Geneva: WHO. Available at: https://www.who.int/about/governance/constitution [Accessed 12 April 2026].</w:t>
      </w:r>
    </w:p>
    <w:p w14:paraId="43B47FCE"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World Health Organization (2022) World Mental Health Report: Transforming Mental Health for All. Geneva: WHO. Available at: https://www.who.int/publications/i/item/9789240049338 [Accessed 12 April 2026].</w:t>
      </w:r>
    </w:p>
    <w:p w14:paraId="7E97C9C3" w14:textId="77777777" w:rsidR="004B5C4C" w:rsidRPr="004B5C4C" w:rsidRDefault="004B5C4C" w:rsidP="004B5C4C">
      <w:pPr>
        <w:pStyle w:val="ListParagraph"/>
        <w:numPr>
          <w:ilvl w:val="0"/>
          <w:numId w:val="1"/>
        </w:numPr>
        <w:spacing w:after="80"/>
        <w:contextualSpacing w:val="0"/>
        <w:jc w:val="both"/>
        <w:rPr>
          <w:rFonts w:ascii="Arial" w:hAnsi="Arial" w:cs="Arial"/>
        </w:rPr>
      </w:pPr>
      <w:r w:rsidRPr="004B5C4C">
        <w:rPr>
          <w:rFonts w:ascii="Arial" w:eastAsia="Arial" w:hAnsi="Arial" w:cs="Arial"/>
        </w:rPr>
        <w:t>World Health Organization and World Bank (2023) Tracking Universal Health Coverage: 2023 Global Monitoring Report. Geneva: WHO. Available at: https://www.who.int/publications/i/item/9789240080379 [Accessed 12 April 2026].</w:t>
      </w:r>
    </w:p>
    <w:p w14:paraId="6572D473" w14:textId="77777777" w:rsidR="004B5C4C" w:rsidRPr="00334D02" w:rsidRDefault="004B5C4C" w:rsidP="00334D02">
      <w:pPr>
        <w:rPr>
          <w:lang w:val="en-GB" w:eastAsia="en-US"/>
        </w:rPr>
      </w:pPr>
    </w:p>
    <w:sectPr w:rsidR="004B5C4C" w:rsidRPr="00334D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11BC7"/>
    <w:multiLevelType w:val="hybridMultilevel"/>
    <w:tmpl w:val="B9F223B2"/>
    <w:lvl w:ilvl="0" w:tplc="D33C3756">
      <w:start w:val="1"/>
      <w:numFmt w:val="decimal"/>
      <w:lvlText w:val="%1."/>
      <w:lvlJc w:val="left"/>
      <w:pPr>
        <w:ind w:left="720" w:hanging="360"/>
      </w:pPr>
    </w:lvl>
    <w:lvl w:ilvl="1" w:tplc="56764B28">
      <w:numFmt w:val="decimal"/>
      <w:lvlText w:val=""/>
      <w:lvlJc w:val="left"/>
    </w:lvl>
    <w:lvl w:ilvl="2" w:tplc="C8D06D86">
      <w:numFmt w:val="decimal"/>
      <w:lvlText w:val=""/>
      <w:lvlJc w:val="left"/>
    </w:lvl>
    <w:lvl w:ilvl="3" w:tplc="375C424C">
      <w:numFmt w:val="decimal"/>
      <w:lvlText w:val=""/>
      <w:lvlJc w:val="left"/>
    </w:lvl>
    <w:lvl w:ilvl="4" w:tplc="AAC00A9C">
      <w:numFmt w:val="decimal"/>
      <w:lvlText w:val=""/>
      <w:lvlJc w:val="left"/>
    </w:lvl>
    <w:lvl w:ilvl="5" w:tplc="6CA0B29A">
      <w:numFmt w:val="decimal"/>
      <w:lvlText w:val=""/>
      <w:lvlJc w:val="left"/>
    </w:lvl>
    <w:lvl w:ilvl="6" w:tplc="485693E0">
      <w:numFmt w:val="decimal"/>
      <w:lvlText w:val=""/>
      <w:lvlJc w:val="left"/>
    </w:lvl>
    <w:lvl w:ilvl="7" w:tplc="8DD0E1E6">
      <w:numFmt w:val="decimal"/>
      <w:lvlText w:val=""/>
      <w:lvlJc w:val="left"/>
    </w:lvl>
    <w:lvl w:ilvl="8" w:tplc="EC425844">
      <w:numFmt w:val="decimal"/>
      <w:lvlText w:val=""/>
      <w:lvlJc w:val="left"/>
    </w:lvl>
  </w:abstractNum>
  <w:num w:numId="1" w16cid:durableId="10578226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D02"/>
    <w:rsid w:val="000566AB"/>
    <w:rsid w:val="00334D02"/>
    <w:rsid w:val="00364617"/>
    <w:rsid w:val="004B5C4C"/>
    <w:rsid w:val="009B2FEE"/>
    <w:rsid w:val="00B230FE"/>
    <w:rsid w:val="00BF6F63"/>
    <w:rsid w:val="00C30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423B"/>
  <w15:chartTrackingRefBased/>
  <w15:docId w15:val="{1740EEFF-389C-2346-9484-993420F25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02"/>
    <w:pPr>
      <w:spacing w:after="220" w:line="240" w:lineRule="auto"/>
    </w:pPr>
    <w:rPr>
      <w:rFonts w:ascii="Century Schoolbook" w:eastAsia="Century Schoolbook" w:hAnsi="Century Schoolbook" w:cs="Century Schoolbook"/>
      <w:kern w:val="0"/>
      <w:sz w:val="22"/>
      <w:szCs w:val="22"/>
      <w:lang w:val="en" w:eastAsia="en-GB"/>
      <w14:ligatures w14:val="none"/>
    </w:rPr>
  </w:style>
  <w:style w:type="paragraph" w:styleId="Heading1">
    <w:name w:val="heading 1"/>
    <w:basedOn w:val="Normal"/>
    <w:next w:val="Normal"/>
    <w:link w:val="Heading1Char"/>
    <w:uiPriority w:val="9"/>
    <w:qFormat/>
    <w:rsid w:val="00334D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4D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D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D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D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D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D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D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D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4D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D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D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D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D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D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D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D02"/>
    <w:rPr>
      <w:rFonts w:eastAsiaTheme="majorEastAsia" w:cstheme="majorBidi"/>
      <w:color w:val="272727" w:themeColor="text1" w:themeTint="D8"/>
    </w:rPr>
  </w:style>
  <w:style w:type="paragraph" w:styleId="Title">
    <w:name w:val="Title"/>
    <w:basedOn w:val="Normal"/>
    <w:next w:val="Normal"/>
    <w:link w:val="TitleChar"/>
    <w:uiPriority w:val="10"/>
    <w:qFormat/>
    <w:rsid w:val="00334D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D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D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D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D02"/>
    <w:pPr>
      <w:spacing w:before="160"/>
      <w:jc w:val="center"/>
    </w:pPr>
    <w:rPr>
      <w:i/>
      <w:iCs/>
      <w:color w:val="404040" w:themeColor="text1" w:themeTint="BF"/>
    </w:rPr>
  </w:style>
  <w:style w:type="character" w:customStyle="1" w:styleId="QuoteChar">
    <w:name w:val="Quote Char"/>
    <w:basedOn w:val="DefaultParagraphFont"/>
    <w:link w:val="Quote"/>
    <w:uiPriority w:val="29"/>
    <w:rsid w:val="00334D02"/>
    <w:rPr>
      <w:i/>
      <w:iCs/>
      <w:color w:val="404040" w:themeColor="text1" w:themeTint="BF"/>
    </w:rPr>
  </w:style>
  <w:style w:type="paragraph" w:styleId="ListParagraph">
    <w:name w:val="List Paragraph"/>
    <w:basedOn w:val="Normal"/>
    <w:qFormat/>
    <w:rsid w:val="00334D02"/>
    <w:pPr>
      <w:ind w:left="720"/>
      <w:contextualSpacing/>
    </w:pPr>
  </w:style>
  <w:style w:type="character" w:styleId="IntenseEmphasis">
    <w:name w:val="Intense Emphasis"/>
    <w:basedOn w:val="DefaultParagraphFont"/>
    <w:uiPriority w:val="21"/>
    <w:qFormat/>
    <w:rsid w:val="00334D02"/>
    <w:rPr>
      <w:i/>
      <w:iCs/>
      <w:color w:val="0F4761" w:themeColor="accent1" w:themeShade="BF"/>
    </w:rPr>
  </w:style>
  <w:style w:type="paragraph" w:styleId="IntenseQuote">
    <w:name w:val="Intense Quote"/>
    <w:basedOn w:val="Normal"/>
    <w:next w:val="Normal"/>
    <w:link w:val="IntenseQuoteChar"/>
    <w:uiPriority w:val="30"/>
    <w:qFormat/>
    <w:rsid w:val="00334D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D02"/>
    <w:rPr>
      <w:i/>
      <w:iCs/>
      <w:color w:val="0F4761" w:themeColor="accent1" w:themeShade="BF"/>
    </w:rPr>
  </w:style>
  <w:style w:type="character" w:styleId="IntenseReference">
    <w:name w:val="Intense Reference"/>
    <w:basedOn w:val="DefaultParagraphFont"/>
    <w:uiPriority w:val="32"/>
    <w:qFormat/>
    <w:rsid w:val="00334D02"/>
    <w:rPr>
      <w:b/>
      <w:bCs/>
      <w:smallCaps/>
      <w:color w:val="0F4761" w:themeColor="accent1" w:themeShade="BF"/>
      <w:spacing w:val="5"/>
    </w:rPr>
  </w:style>
  <w:style w:type="paragraph" w:styleId="TOCHeading">
    <w:name w:val="TOC Heading"/>
    <w:basedOn w:val="Heading1"/>
    <w:next w:val="Normal"/>
    <w:uiPriority w:val="39"/>
    <w:unhideWhenUsed/>
    <w:qFormat/>
    <w:rsid w:val="00334D02"/>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34D02"/>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334D02"/>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334D02"/>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334D02"/>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334D02"/>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334D02"/>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334D02"/>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334D02"/>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334D02"/>
    <w:pPr>
      <w:spacing w:after="0"/>
      <w:ind w:left="1760"/>
    </w:pPr>
    <w:rPr>
      <w:rFonts w:asciiTheme="minorHAnsi" w:hAnsiTheme="minorHAnsi"/>
      <w:sz w:val="20"/>
      <w:szCs w:val="20"/>
    </w:rPr>
  </w:style>
  <w:style w:type="character" w:styleId="Hyperlink">
    <w:name w:val="Hyperlink"/>
    <w:basedOn w:val="DefaultParagraphFont"/>
    <w:uiPriority w:val="99"/>
    <w:unhideWhenUsed/>
    <w:rsid w:val="004B5C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3D9EB-54BA-A041-82CB-BBD1F8F86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3076</Words>
  <Characters>17538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Kainat Ahmad</dc:creator>
  <cp:keywords/>
  <dc:description/>
  <cp:lastModifiedBy>Kainat Ahmad</cp:lastModifiedBy>
  <cp:revision>1</cp:revision>
  <dcterms:created xsi:type="dcterms:W3CDTF">2026-04-19T22:31:00Z</dcterms:created>
  <dcterms:modified xsi:type="dcterms:W3CDTF">2026-04-19T22:57:00Z</dcterms:modified>
</cp:coreProperties>
</file>