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869A6" w14:textId="77777777" w:rsidR="00C256A6" w:rsidRDefault="00C256A6" w:rsidP="00570294">
      <w:pPr>
        <w:spacing w:line="480" w:lineRule="auto"/>
        <w:rPr>
          <w:rFonts w:ascii="Arial" w:hAnsi="Arial" w:cs="Arial"/>
        </w:rPr>
      </w:pPr>
    </w:p>
    <w:p w14:paraId="094D9D95" w14:textId="6572C3DF" w:rsidR="00C256A6" w:rsidRPr="00C256A6" w:rsidRDefault="00C256A6" w:rsidP="00C256A6">
      <w:pPr>
        <w:rPr>
          <w:rFonts w:ascii="Arial Black" w:hAnsi="Arial Black" w:cs="Arial"/>
          <w:sz w:val="48"/>
          <w:szCs w:val="48"/>
        </w:rPr>
      </w:pPr>
      <w:r w:rsidRPr="00C256A6">
        <w:rPr>
          <w:rFonts w:ascii="Arial Black" w:hAnsi="Arial Black" w:cs="Arial"/>
          <w:sz w:val="48"/>
          <w:szCs w:val="48"/>
        </w:rPr>
        <w:t xml:space="preserve">Student name:  Loredana Morosan </w:t>
      </w:r>
    </w:p>
    <w:p w14:paraId="01A320B8" w14:textId="77777777" w:rsidR="00C256A6" w:rsidRPr="00C256A6" w:rsidRDefault="00C256A6" w:rsidP="00C256A6">
      <w:pPr>
        <w:rPr>
          <w:rFonts w:ascii="Arial Black" w:hAnsi="Arial Black" w:cs="Arial"/>
          <w:sz w:val="48"/>
          <w:szCs w:val="48"/>
        </w:rPr>
      </w:pPr>
      <w:r w:rsidRPr="00C256A6">
        <w:rPr>
          <w:rFonts w:ascii="Arial Black" w:hAnsi="Arial Black" w:cs="Arial"/>
          <w:sz w:val="48"/>
          <w:szCs w:val="48"/>
        </w:rPr>
        <w:t xml:space="preserve">Programme: BA (Hons) Business Management </w:t>
      </w:r>
    </w:p>
    <w:p w14:paraId="6A2AE02C" w14:textId="77777777" w:rsidR="00C256A6" w:rsidRPr="00C256A6" w:rsidRDefault="00C256A6" w:rsidP="00C256A6">
      <w:pPr>
        <w:rPr>
          <w:rFonts w:ascii="Arial Black" w:hAnsi="Arial Black" w:cs="Arial"/>
          <w:sz w:val="48"/>
          <w:szCs w:val="48"/>
        </w:rPr>
      </w:pPr>
      <w:r w:rsidRPr="00C256A6">
        <w:rPr>
          <w:rFonts w:ascii="Arial Black" w:hAnsi="Arial Black" w:cs="Arial"/>
          <w:sz w:val="48"/>
          <w:szCs w:val="48"/>
        </w:rPr>
        <w:t xml:space="preserve">Module: Learning in the Digital Era </w:t>
      </w:r>
    </w:p>
    <w:p w14:paraId="3175966D" w14:textId="77777777" w:rsidR="00C256A6" w:rsidRPr="00C256A6" w:rsidRDefault="00C256A6" w:rsidP="00C256A6">
      <w:pPr>
        <w:rPr>
          <w:rFonts w:ascii="Arial Black" w:hAnsi="Arial Black" w:cs="Arial"/>
          <w:sz w:val="48"/>
          <w:szCs w:val="48"/>
        </w:rPr>
      </w:pPr>
      <w:r w:rsidRPr="00C256A6">
        <w:rPr>
          <w:rFonts w:ascii="Arial Black" w:hAnsi="Arial Black" w:cs="Arial"/>
          <w:sz w:val="48"/>
          <w:szCs w:val="48"/>
        </w:rPr>
        <w:t>Module code: BMBM4008</w:t>
      </w:r>
    </w:p>
    <w:p w14:paraId="4DD0C77C" w14:textId="1D286349" w:rsidR="00C256A6" w:rsidRPr="00C256A6" w:rsidRDefault="00C256A6" w:rsidP="00C256A6">
      <w:pPr>
        <w:rPr>
          <w:rFonts w:ascii="Arial Black" w:hAnsi="Arial Black" w:cs="Arial"/>
          <w:sz w:val="48"/>
          <w:szCs w:val="48"/>
        </w:rPr>
      </w:pPr>
      <w:r w:rsidRPr="00C256A6">
        <w:rPr>
          <w:rFonts w:ascii="Arial Black" w:hAnsi="Arial Black" w:cs="Arial"/>
          <w:sz w:val="48"/>
          <w:szCs w:val="48"/>
        </w:rPr>
        <w:t>Lecturer: Philippa Fitzgeral</w:t>
      </w:r>
    </w:p>
    <w:p w14:paraId="5D81BB15" w14:textId="77777777" w:rsidR="00C256A6" w:rsidRPr="00C256A6" w:rsidRDefault="00C256A6" w:rsidP="00C256A6">
      <w:pPr>
        <w:rPr>
          <w:rFonts w:ascii="Arial Black" w:hAnsi="Arial Black" w:cs="Arial"/>
          <w:sz w:val="48"/>
          <w:szCs w:val="48"/>
        </w:rPr>
      </w:pPr>
      <w:r w:rsidRPr="00C256A6">
        <w:rPr>
          <w:rFonts w:ascii="Arial Black" w:hAnsi="Arial Black" w:cs="Arial"/>
          <w:sz w:val="48"/>
          <w:szCs w:val="48"/>
        </w:rPr>
        <w:t xml:space="preserve">Assignment Title: Video and Supporting </w:t>
      </w:r>
    </w:p>
    <w:p w14:paraId="0149D3B2" w14:textId="313B16CC" w:rsidR="00C256A6" w:rsidRPr="00C256A6" w:rsidRDefault="00C256A6" w:rsidP="00C256A6">
      <w:pPr>
        <w:rPr>
          <w:rFonts w:ascii="Arial Black" w:hAnsi="Arial Black" w:cs="Arial"/>
          <w:sz w:val="48"/>
          <w:szCs w:val="48"/>
        </w:rPr>
      </w:pPr>
      <w:r w:rsidRPr="00C256A6">
        <w:rPr>
          <w:rFonts w:ascii="Arial Black" w:hAnsi="Arial Black" w:cs="Arial"/>
          <w:sz w:val="48"/>
          <w:szCs w:val="48"/>
        </w:rPr>
        <w:t xml:space="preserve">Submission deadline: Monday 8th December 23.59  </w:t>
      </w:r>
    </w:p>
    <w:p w14:paraId="54592565" w14:textId="77777777" w:rsidR="00C256A6" w:rsidRDefault="00C256A6" w:rsidP="00570294">
      <w:pPr>
        <w:spacing w:line="480" w:lineRule="auto"/>
        <w:rPr>
          <w:rFonts w:ascii="Arial" w:hAnsi="Arial" w:cs="Arial"/>
        </w:rPr>
      </w:pPr>
    </w:p>
    <w:p w14:paraId="450D9D85" w14:textId="77777777" w:rsidR="00C256A6" w:rsidRDefault="00C256A6" w:rsidP="00570294">
      <w:pPr>
        <w:spacing w:line="480" w:lineRule="auto"/>
        <w:rPr>
          <w:rFonts w:ascii="Arial" w:hAnsi="Arial" w:cs="Arial"/>
        </w:rPr>
      </w:pPr>
    </w:p>
    <w:p w14:paraId="3D1C27FF" w14:textId="77777777" w:rsidR="00C256A6" w:rsidRDefault="00C256A6" w:rsidP="00570294">
      <w:pPr>
        <w:spacing w:line="480" w:lineRule="auto"/>
        <w:rPr>
          <w:rFonts w:ascii="Arial" w:hAnsi="Arial" w:cs="Arial"/>
        </w:rPr>
      </w:pPr>
    </w:p>
    <w:p w14:paraId="179957A0" w14:textId="77777777" w:rsidR="00C256A6" w:rsidRDefault="00C256A6" w:rsidP="00570294">
      <w:pPr>
        <w:spacing w:line="480" w:lineRule="auto"/>
        <w:rPr>
          <w:rFonts w:ascii="Arial" w:hAnsi="Arial" w:cs="Arial"/>
        </w:rPr>
      </w:pPr>
    </w:p>
    <w:p w14:paraId="50B2D9FF" w14:textId="2BC09ED0" w:rsidR="00BA0D5F" w:rsidRDefault="00570294" w:rsidP="00570294">
      <w:pPr>
        <w:spacing w:line="480" w:lineRule="auto"/>
        <w:rPr>
          <w:rFonts w:ascii="Arial" w:hAnsi="Arial" w:cs="Arial"/>
        </w:rPr>
      </w:pPr>
      <w:r w:rsidRPr="00570294">
        <w:rPr>
          <w:rFonts w:ascii="Arial" w:hAnsi="Arial" w:cs="Arial"/>
        </w:rPr>
        <w:lastRenderedPageBreak/>
        <w:t>In this video blog, I share my reflections of the Learning in the Digital Era module and the many changes I went through in the first week of this module. The Learning in the Digital Era module helped me to grow and change my way of thinking about how I learn, how I manage my time, and how I use technology to assist with my success as a student. Going into the module, I thought I already knew everything and had a good grasp on how I studied because I had been studying for a year. But through the completion of the tasks, including taking a VARK questionnaire and doing the activities associated with Kolb's Learning Cycle and the time management audit, I discovered that there were gaps in my way of studying, and they made me reconsider my methods of completing academic work.</w:t>
      </w:r>
    </w:p>
    <w:p w14:paraId="4AD50BC2" w14:textId="77777777" w:rsidR="00BA0D5F" w:rsidRDefault="00570294" w:rsidP="00570294">
      <w:pPr>
        <w:spacing w:line="480" w:lineRule="auto"/>
        <w:rPr>
          <w:rFonts w:ascii="Arial" w:hAnsi="Arial" w:cs="Arial"/>
        </w:rPr>
      </w:pPr>
      <w:r w:rsidRPr="00570294">
        <w:rPr>
          <w:rFonts w:ascii="Arial" w:hAnsi="Arial" w:cs="Arial"/>
        </w:rPr>
        <w:t>When I took the VARK questionnaire, I learned that my learning style preferences were not aligned with the way I used to study. I was often forcing myself into a way of studying that wasn't suited for me, and as a result, I was struggling more than I should have with some of my tasks. Zou et al. (2025) state that when students use personali</w:t>
      </w:r>
      <w:r w:rsidR="00BA0D5F">
        <w:rPr>
          <w:rFonts w:ascii="Arial" w:hAnsi="Arial" w:cs="Arial"/>
        </w:rPr>
        <w:t>s</w:t>
      </w:r>
      <w:r w:rsidRPr="00570294">
        <w:rPr>
          <w:rFonts w:ascii="Arial" w:hAnsi="Arial" w:cs="Arial"/>
        </w:rPr>
        <w:t>ed learning strategies, they increase the efficiency of their academic work and decrease their cognitive overload. This is exactly how I felt once I started using study methods that aligned with my VARK questionnaire results.</w:t>
      </w:r>
    </w:p>
    <w:p w14:paraId="4A595D60" w14:textId="77777777" w:rsidR="00BA0D5F" w:rsidRDefault="00570294" w:rsidP="00570294">
      <w:pPr>
        <w:spacing w:line="480" w:lineRule="auto"/>
        <w:rPr>
          <w:rFonts w:ascii="Arial" w:hAnsi="Arial" w:cs="Arial"/>
        </w:rPr>
      </w:pPr>
      <w:r w:rsidRPr="00570294">
        <w:rPr>
          <w:rFonts w:ascii="Arial" w:hAnsi="Arial" w:cs="Arial"/>
        </w:rPr>
        <w:t>Kolb's Learning Cycle provided me with another important reali</w:t>
      </w:r>
      <w:r w:rsidR="00BA0D5F">
        <w:rPr>
          <w:rFonts w:ascii="Arial" w:hAnsi="Arial" w:cs="Arial"/>
        </w:rPr>
        <w:t>s</w:t>
      </w:r>
      <w:r w:rsidRPr="00570294">
        <w:rPr>
          <w:rFonts w:ascii="Arial" w:hAnsi="Arial" w:cs="Arial"/>
        </w:rPr>
        <w:t xml:space="preserve">ation about my studying habits. I found that I tended to skip the reflective portion of the Kolb Learning Cycle when completing my assignments. Instead of moving through the Kolb Learning Cycle completely (i.e. from preparing for your assignment, doing the assignment, to reflecting on your work), I was skipping directly from finishing my assignment to starting my next assignment. As a result, I was unable to determine how I could grow in my studies by fixing mistakes I had made. In reflecting on my </w:t>
      </w:r>
      <w:r w:rsidRPr="00570294">
        <w:rPr>
          <w:rFonts w:ascii="Arial" w:hAnsi="Arial" w:cs="Arial"/>
        </w:rPr>
        <w:lastRenderedPageBreak/>
        <w:t>experiences, Bunch (2025) describes how critical thinking develops from applying the lessons that have been learned from our reflections.</w:t>
      </w:r>
    </w:p>
    <w:p w14:paraId="2FAC42B7" w14:textId="77777777" w:rsidR="0082677A" w:rsidRDefault="00570294" w:rsidP="00570294">
      <w:pPr>
        <w:spacing w:line="480" w:lineRule="auto"/>
        <w:rPr>
          <w:rFonts w:ascii="Arial" w:hAnsi="Arial" w:cs="Arial"/>
        </w:rPr>
      </w:pPr>
      <w:r w:rsidRPr="00570294">
        <w:rPr>
          <w:rFonts w:ascii="Arial" w:hAnsi="Arial" w:cs="Arial"/>
        </w:rPr>
        <w:t xml:space="preserve">I had a surprise when I began exploring Moodle in a deeper manner. In Year 1, I primarily used Moodle for downloading PowerPoint slides and knowing when things were due; therefore, I never had any exposure to other features like guided units, interactive lessons, integrated digital literacy, and academic integrity modules. According to Pinto and Leite (2020), </w:t>
      </w:r>
      <w:r w:rsidR="00BA0D5F" w:rsidRPr="00570294">
        <w:rPr>
          <w:rFonts w:ascii="Arial" w:hAnsi="Arial" w:cs="Arial"/>
        </w:rPr>
        <w:t>for</w:t>
      </w:r>
      <w:r w:rsidRPr="00570294">
        <w:rPr>
          <w:rFonts w:ascii="Arial" w:hAnsi="Arial" w:cs="Arial"/>
        </w:rPr>
        <w:t xml:space="preserve"> digital learning environments to be successful, students must interact with all of its features and not just the surface-level features of digital learning environments. This fundamental understanding allowed me to fully appreciate the level of support that I had previously neglected to use.</w:t>
      </w:r>
    </w:p>
    <w:p w14:paraId="2E1F4378" w14:textId="1343EB72" w:rsidR="00570294" w:rsidRPr="00570294" w:rsidRDefault="00570294" w:rsidP="00570294">
      <w:pPr>
        <w:spacing w:line="480" w:lineRule="auto"/>
        <w:rPr>
          <w:rFonts w:ascii="Arial" w:hAnsi="Arial" w:cs="Arial"/>
        </w:rPr>
      </w:pPr>
      <w:r w:rsidRPr="00570294">
        <w:rPr>
          <w:rFonts w:ascii="Arial" w:hAnsi="Arial" w:cs="Arial"/>
        </w:rPr>
        <w:t>My time management audit allowed me to identify several poor habits related to time management, including procrastination, unstructured study sessions, and multitasking. Selwyn (2016) states that the use of computers and mobile devices has greatly affected the way we manage our time and often serves as sources of distractions that can lead to wasted time, which ultimately results in last minute completion of assignments. Through recognizing these patterns in my studying, I have decided to create a more structured method of developing a study plan, setting realistic goals, and breaking large projects into manageable tasks.</w:t>
      </w:r>
    </w:p>
    <w:p w14:paraId="01200D5D" w14:textId="4E4B0E84" w:rsidR="00570294" w:rsidRDefault="00570294" w:rsidP="00570294">
      <w:pPr>
        <w:spacing w:line="480" w:lineRule="auto"/>
        <w:rPr>
          <w:rFonts w:ascii="Arial" w:hAnsi="Arial" w:cs="Arial"/>
        </w:rPr>
      </w:pPr>
      <w:r w:rsidRPr="00570294">
        <w:rPr>
          <w:rFonts w:ascii="Arial" w:hAnsi="Arial" w:cs="Arial"/>
        </w:rPr>
        <w:t>This week has provided me an opportunity for greater self-awareness, knowledge of the many different tools available for digital learning, and the realisation that effective study strategies must be intentional. This newfound understanding will continue to play a major role in how I approach upcoming academic assignments.</w:t>
      </w:r>
    </w:p>
    <w:p w14:paraId="4FB9A7A8" w14:textId="77777777" w:rsidR="00A5112D" w:rsidRDefault="00A5112D" w:rsidP="00570294">
      <w:pPr>
        <w:spacing w:line="480" w:lineRule="auto"/>
        <w:rPr>
          <w:rFonts w:ascii="Arial" w:hAnsi="Arial" w:cs="Arial"/>
        </w:rPr>
      </w:pPr>
    </w:p>
    <w:p w14:paraId="5D36DD99" w14:textId="7ECF1CCD" w:rsidR="00A5112D" w:rsidRPr="00A5112D" w:rsidRDefault="00A5112D" w:rsidP="00570294">
      <w:pPr>
        <w:spacing w:line="480" w:lineRule="auto"/>
        <w:rPr>
          <w:rFonts w:ascii="Arial" w:hAnsi="Arial" w:cs="Arial"/>
          <w:b/>
          <w:bCs/>
        </w:rPr>
      </w:pPr>
      <w:r w:rsidRPr="00A5112D">
        <w:rPr>
          <w:rFonts w:ascii="Arial" w:hAnsi="Arial" w:cs="Arial"/>
          <w:b/>
          <w:bCs/>
        </w:rPr>
        <w:lastRenderedPageBreak/>
        <w:t xml:space="preserve">References </w:t>
      </w:r>
    </w:p>
    <w:p w14:paraId="5287DF44" w14:textId="68AD31E5" w:rsidR="00A5112D" w:rsidRDefault="00A5112D" w:rsidP="00570294">
      <w:pPr>
        <w:spacing w:line="480" w:lineRule="auto"/>
        <w:rPr>
          <w:rFonts w:ascii="Arial" w:hAnsi="Arial" w:cs="Arial"/>
        </w:rPr>
      </w:pPr>
      <w:r w:rsidRPr="00A5112D">
        <w:rPr>
          <w:rFonts w:ascii="Arial" w:hAnsi="Arial" w:cs="Arial"/>
        </w:rPr>
        <w:t xml:space="preserve">Kuo-Wei, L., 2025. An integrated framework for Gen AI-assisted management learning: Insights from Kolb's learning cycle theory and knowledge types of perspectives. </w:t>
      </w:r>
      <w:r w:rsidRPr="00A5112D">
        <w:rPr>
          <w:rFonts w:ascii="Arial" w:hAnsi="Arial" w:cs="Arial"/>
          <w:i/>
          <w:iCs/>
        </w:rPr>
        <w:t>The International Journal of Management Education</w:t>
      </w:r>
      <w:r w:rsidRPr="00A5112D">
        <w:rPr>
          <w:rFonts w:ascii="Arial" w:hAnsi="Arial" w:cs="Arial"/>
        </w:rPr>
        <w:t>, 23(2), p.101164.</w:t>
      </w:r>
    </w:p>
    <w:p w14:paraId="199E06DB" w14:textId="31AD5621" w:rsidR="00A5112D" w:rsidRDefault="00A5112D" w:rsidP="00570294">
      <w:pPr>
        <w:spacing w:line="480" w:lineRule="auto"/>
        <w:rPr>
          <w:rFonts w:ascii="Arial" w:hAnsi="Arial" w:cs="Arial"/>
        </w:rPr>
      </w:pPr>
      <w:r w:rsidRPr="00A5112D">
        <w:rPr>
          <w:rFonts w:ascii="Arial" w:hAnsi="Arial" w:cs="Arial"/>
        </w:rPr>
        <w:t xml:space="preserve">Saikrishna, M.B., 2025. </w:t>
      </w:r>
      <w:r w:rsidRPr="00A5112D">
        <w:rPr>
          <w:rFonts w:ascii="Arial" w:hAnsi="Arial" w:cs="Arial"/>
          <w:i/>
          <w:iCs/>
        </w:rPr>
        <w:t>Leveraging job rotation programs for experiential learning in organizations through the lens of Kolb’s experiential learning theory</w:t>
      </w:r>
      <w:r w:rsidRPr="00A5112D">
        <w:rPr>
          <w:rFonts w:ascii="Arial" w:hAnsi="Arial" w:cs="Arial"/>
        </w:rPr>
        <w:t>. Development and Learning in Organi</w:t>
      </w:r>
      <w:r>
        <w:rPr>
          <w:rFonts w:ascii="Arial" w:hAnsi="Arial" w:cs="Arial"/>
        </w:rPr>
        <w:t>s</w:t>
      </w:r>
      <w:r w:rsidRPr="00A5112D">
        <w:rPr>
          <w:rFonts w:ascii="Arial" w:hAnsi="Arial" w:cs="Arial"/>
        </w:rPr>
        <w:t>ations: An International Journal.</w:t>
      </w:r>
    </w:p>
    <w:p w14:paraId="5F4F90FF" w14:textId="77777777" w:rsidR="00A5112D" w:rsidRDefault="00A5112D" w:rsidP="00570294">
      <w:pPr>
        <w:spacing w:line="480" w:lineRule="auto"/>
        <w:rPr>
          <w:rFonts w:ascii="Arial" w:hAnsi="Arial" w:cs="Arial"/>
        </w:rPr>
      </w:pPr>
    </w:p>
    <w:p w14:paraId="177FEFB5" w14:textId="77777777" w:rsidR="00A5112D" w:rsidRDefault="00A5112D" w:rsidP="00570294">
      <w:pPr>
        <w:spacing w:line="480" w:lineRule="auto"/>
        <w:rPr>
          <w:rFonts w:ascii="Arial" w:hAnsi="Arial" w:cs="Arial"/>
        </w:rPr>
      </w:pPr>
    </w:p>
    <w:p w14:paraId="18F8E04A" w14:textId="77777777" w:rsidR="00A5112D" w:rsidRDefault="00A5112D" w:rsidP="00570294">
      <w:pPr>
        <w:spacing w:line="480" w:lineRule="auto"/>
        <w:rPr>
          <w:rFonts w:ascii="Arial" w:hAnsi="Arial" w:cs="Arial"/>
        </w:rPr>
      </w:pPr>
    </w:p>
    <w:p w14:paraId="770C545A" w14:textId="77777777" w:rsidR="00A5112D" w:rsidRDefault="00A5112D" w:rsidP="00570294">
      <w:pPr>
        <w:spacing w:line="480" w:lineRule="auto"/>
        <w:rPr>
          <w:rFonts w:ascii="Arial" w:hAnsi="Arial" w:cs="Arial"/>
        </w:rPr>
      </w:pPr>
    </w:p>
    <w:p w14:paraId="21C59F45" w14:textId="77777777" w:rsidR="00A5112D" w:rsidRDefault="00A5112D" w:rsidP="00570294">
      <w:pPr>
        <w:spacing w:line="480" w:lineRule="auto"/>
        <w:rPr>
          <w:rFonts w:ascii="Arial" w:hAnsi="Arial" w:cs="Arial"/>
        </w:rPr>
      </w:pPr>
    </w:p>
    <w:p w14:paraId="6DA80FB4" w14:textId="77777777" w:rsidR="00A5112D" w:rsidRDefault="00A5112D" w:rsidP="00570294">
      <w:pPr>
        <w:spacing w:line="480" w:lineRule="auto"/>
        <w:rPr>
          <w:rFonts w:ascii="Arial" w:hAnsi="Arial" w:cs="Arial"/>
        </w:rPr>
      </w:pPr>
    </w:p>
    <w:p w14:paraId="4224D1BB" w14:textId="77777777" w:rsidR="00A5112D" w:rsidRDefault="00A5112D" w:rsidP="00570294">
      <w:pPr>
        <w:spacing w:line="480" w:lineRule="auto"/>
        <w:rPr>
          <w:rFonts w:ascii="Arial" w:hAnsi="Arial" w:cs="Arial"/>
        </w:rPr>
      </w:pPr>
    </w:p>
    <w:p w14:paraId="15FF3D5B" w14:textId="77777777" w:rsidR="00A5112D" w:rsidRDefault="00A5112D" w:rsidP="00570294">
      <w:pPr>
        <w:spacing w:line="480" w:lineRule="auto"/>
        <w:rPr>
          <w:rFonts w:ascii="Arial" w:hAnsi="Arial" w:cs="Arial"/>
        </w:rPr>
      </w:pPr>
    </w:p>
    <w:p w14:paraId="157ED597" w14:textId="77777777" w:rsidR="00A5112D" w:rsidRDefault="00A5112D" w:rsidP="00570294">
      <w:pPr>
        <w:spacing w:line="480" w:lineRule="auto"/>
        <w:rPr>
          <w:rFonts w:ascii="Arial" w:hAnsi="Arial" w:cs="Arial"/>
        </w:rPr>
      </w:pPr>
    </w:p>
    <w:p w14:paraId="25F23BE5" w14:textId="77777777" w:rsidR="00A5112D" w:rsidRDefault="00A5112D" w:rsidP="00570294">
      <w:pPr>
        <w:spacing w:line="480" w:lineRule="auto"/>
        <w:rPr>
          <w:rFonts w:ascii="Arial" w:hAnsi="Arial" w:cs="Arial"/>
        </w:rPr>
      </w:pPr>
    </w:p>
    <w:p w14:paraId="1F5DCD15" w14:textId="77777777" w:rsidR="00A5112D" w:rsidRDefault="00A5112D" w:rsidP="00570294">
      <w:pPr>
        <w:spacing w:line="480" w:lineRule="auto"/>
        <w:rPr>
          <w:rFonts w:ascii="Arial" w:hAnsi="Arial" w:cs="Arial"/>
        </w:rPr>
      </w:pPr>
    </w:p>
    <w:p w14:paraId="21EFFA7A" w14:textId="77777777" w:rsidR="00A5112D" w:rsidRDefault="00A5112D" w:rsidP="00570294">
      <w:pPr>
        <w:spacing w:line="480" w:lineRule="auto"/>
        <w:rPr>
          <w:rFonts w:ascii="Arial" w:hAnsi="Arial" w:cs="Arial"/>
        </w:rPr>
      </w:pPr>
    </w:p>
    <w:p w14:paraId="692CB46E" w14:textId="77777777" w:rsidR="00A5112D" w:rsidRDefault="00A5112D" w:rsidP="00570294">
      <w:pPr>
        <w:spacing w:line="480" w:lineRule="auto"/>
        <w:rPr>
          <w:rFonts w:ascii="Arial" w:hAnsi="Arial" w:cs="Arial"/>
        </w:rPr>
      </w:pPr>
    </w:p>
    <w:p w14:paraId="07FB4B22" w14:textId="7D181A26" w:rsidR="00A5112D" w:rsidRDefault="00A5112D" w:rsidP="00570294">
      <w:pPr>
        <w:spacing w:line="480" w:lineRule="auto"/>
        <w:rPr>
          <w:rFonts w:ascii="Arial" w:hAnsi="Arial" w:cs="Arial"/>
          <w:b/>
          <w:bCs/>
        </w:rPr>
      </w:pPr>
      <w:r w:rsidRPr="00A5112D">
        <w:rPr>
          <w:rFonts w:ascii="Arial" w:hAnsi="Arial" w:cs="Arial"/>
          <w:b/>
          <w:bCs/>
          <w:noProof/>
        </w:rPr>
        <w:lastRenderedPageBreak/>
        <w:drawing>
          <wp:anchor distT="0" distB="0" distL="114300" distR="114300" simplePos="0" relativeHeight="251659264" behindDoc="1" locked="0" layoutInCell="1" allowOverlap="1" wp14:anchorId="35E91F2D" wp14:editId="3A254113">
            <wp:simplePos x="0" y="0"/>
            <wp:positionH relativeFrom="margin">
              <wp:align>left</wp:align>
            </wp:positionH>
            <wp:positionV relativeFrom="paragraph">
              <wp:posOffset>386764</wp:posOffset>
            </wp:positionV>
            <wp:extent cx="5729605" cy="5880100"/>
            <wp:effectExtent l="0" t="0" r="4445" b="6350"/>
            <wp:wrapTight wrapText="bothSides">
              <wp:wrapPolygon edited="0">
                <wp:start x="0" y="0"/>
                <wp:lineTo x="0" y="21553"/>
                <wp:lineTo x="21545" y="21553"/>
                <wp:lineTo x="21545" y="0"/>
                <wp:lineTo x="0" y="0"/>
              </wp:wrapPolygon>
            </wp:wrapTight>
            <wp:docPr id="6531499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9605" cy="5880100"/>
                    </a:xfrm>
                    <a:prstGeom prst="rect">
                      <a:avLst/>
                    </a:prstGeom>
                    <a:noFill/>
                    <a:ln>
                      <a:noFill/>
                    </a:ln>
                  </pic:spPr>
                </pic:pic>
              </a:graphicData>
            </a:graphic>
          </wp:anchor>
        </w:drawing>
      </w:r>
      <w:r w:rsidRPr="00A5112D">
        <w:rPr>
          <w:rFonts w:ascii="Arial" w:hAnsi="Arial" w:cs="Arial"/>
          <w:b/>
          <w:bCs/>
        </w:rPr>
        <w:t>Appendix</w:t>
      </w:r>
    </w:p>
    <w:p w14:paraId="6AB23913" w14:textId="77777777" w:rsidR="00875CB5" w:rsidRDefault="00875CB5" w:rsidP="00570294">
      <w:pPr>
        <w:spacing w:line="480" w:lineRule="auto"/>
        <w:rPr>
          <w:rFonts w:ascii="Arial" w:hAnsi="Arial" w:cs="Arial"/>
          <w:b/>
          <w:bCs/>
        </w:rPr>
      </w:pPr>
    </w:p>
    <w:p w14:paraId="2A5D1B5F" w14:textId="77777777" w:rsidR="00875CB5" w:rsidRDefault="00875CB5" w:rsidP="00570294">
      <w:pPr>
        <w:spacing w:line="480" w:lineRule="auto"/>
        <w:rPr>
          <w:rFonts w:ascii="Arial" w:hAnsi="Arial" w:cs="Arial"/>
          <w:b/>
          <w:bCs/>
        </w:rPr>
      </w:pPr>
    </w:p>
    <w:p w14:paraId="1B9AFDC3" w14:textId="77777777" w:rsidR="00875CB5" w:rsidRPr="00A5112D" w:rsidRDefault="00875CB5" w:rsidP="00570294">
      <w:pPr>
        <w:spacing w:line="480" w:lineRule="auto"/>
        <w:rPr>
          <w:rFonts w:ascii="Arial" w:hAnsi="Arial" w:cs="Arial"/>
          <w:b/>
          <w:bCs/>
        </w:rPr>
      </w:pPr>
    </w:p>
    <w:p w14:paraId="6B3AEE06" w14:textId="604F1B1B" w:rsidR="00A5112D" w:rsidRDefault="00875CB5" w:rsidP="00570294">
      <w:pPr>
        <w:spacing w:line="480" w:lineRule="auto"/>
        <w:rPr>
          <w:rFonts w:ascii="Arial" w:hAnsi="Arial" w:cs="Arial"/>
        </w:rPr>
      </w:pPr>
      <w:r>
        <w:rPr>
          <w:rFonts w:ascii="Arial" w:hAnsi="Arial" w:cs="Arial"/>
        </w:rPr>
        <w:object w:dxaOrig="1504" w:dyaOrig="980" w14:anchorId="55CFCD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5" o:title=""/>
          </v:shape>
          <o:OLEObject Type="Embed" ProgID="Package" ShapeID="_x0000_i1025" DrawAspect="Icon" ObjectID="_1827262219" r:id="rId6"/>
        </w:object>
      </w:r>
    </w:p>
    <w:p w14:paraId="6B18EB67" w14:textId="77777777" w:rsidR="00A5112D" w:rsidRDefault="00A5112D" w:rsidP="00570294">
      <w:pPr>
        <w:spacing w:line="480" w:lineRule="auto"/>
        <w:rPr>
          <w:rFonts w:ascii="Arial" w:hAnsi="Arial" w:cs="Arial"/>
        </w:rPr>
      </w:pPr>
    </w:p>
    <w:p w14:paraId="7D3F044D" w14:textId="77777777" w:rsidR="00A5112D" w:rsidRDefault="00A5112D" w:rsidP="00570294">
      <w:pPr>
        <w:spacing w:line="480" w:lineRule="auto"/>
        <w:rPr>
          <w:rFonts w:ascii="Arial" w:hAnsi="Arial" w:cs="Arial"/>
        </w:rPr>
      </w:pPr>
    </w:p>
    <w:p w14:paraId="6CE298F5" w14:textId="0EA83E42" w:rsidR="00A5112D" w:rsidRDefault="00A5112D" w:rsidP="00570294">
      <w:pPr>
        <w:spacing w:line="480" w:lineRule="auto"/>
        <w:rPr>
          <w:rFonts w:ascii="Arial" w:hAnsi="Arial" w:cs="Arial"/>
        </w:rPr>
      </w:pPr>
      <w:r>
        <w:rPr>
          <w:rFonts w:ascii="Arial" w:hAnsi="Arial" w:cs="Arial"/>
          <w:noProof/>
        </w:rPr>
        <w:drawing>
          <wp:inline distT="0" distB="0" distL="0" distR="0" wp14:anchorId="6A60856F" wp14:editId="3C6DBA45">
            <wp:extent cx="5729605" cy="2997835"/>
            <wp:effectExtent l="0" t="0" r="4445" b="0"/>
            <wp:docPr id="4542307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9605" cy="2997835"/>
                    </a:xfrm>
                    <a:prstGeom prst="rect">
                      <a:avLst/>
                    </a:prstGeom>
                    <a:noFill/>
                    <a:ln>
                      <a:noFill/>
                    </a:ln>
                  </pic:spPr>
                </pic:pic>
              </a:graphicData>
            </a:graphic>
          </wp:inline>
        </w:drawing>
      </w:r>
    </w:p>
    <w:p w14:paraId="051FF55A" w14:textId="633FC6C1" w:rsidR="00A5112D" w:rsidRPr="00570294" w:rsidRDefault="00A5112D" w:rsidP="00570294">
      <w:pPr>
        <w:spacing w:line="480" w:lineRule="auto"/>
        <w:rPr>
          <w:rFonts w:ascii="Arial" w:hAnsi="Arial" w:cs="Arial"/>
        </w:rPr>
      </w:pPr>
    </w:p>
    <w:sectPr w:rsidR="00A5112D" w:rsidRPr="00570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294"/>
    <w:rsid w:val="000D6A89"/>
    <w:rsid w:val="00570294"/>
    <w:rsid w:val="0082677A"/>
    <w:rsid w:val="00875CB5"/>
    <w:rsid w:val="00A5112D"/>
    <w:rsid w:val="00BA0D5F"/>
    <w:rsid w:val="00C256A6"/>
    <w:rsid w:val="00D96A97"/>
    <w:rsid w:val="00F54519"/>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2E768"/>
  <w15:chartTrackingRefBased/>
  <w15:docId w15:val="{939A1720-5C32-4F76-B99B-490C951D1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2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02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2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2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2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2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2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2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2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2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02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2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2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2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2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2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2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294"/>
    <w:rPr>
      <w:rFonts w:eastAsiaTheme="majorEastAsia" w:cstheme="majorBidi"/>
      <w:color w:val="272727" w:themeColor="text1" w:themeTint="D8"/>
    </w:rPr>
  </w:style>
  <w:style w:type="paragraph" w:styleId="Title">
    <w:name w:val="Title"/>
    <w:basedOn w:val="Normal"/>
    <w:next w:val="Normal"/>
    <w:link w:val="TitleChar"/>
    <w:uiPriority w:val="10"/>
    <w:qFormat/>
    <w:rsid w:val="005702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2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2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2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294"/>
    <w:pPr>
      <w:spacing w:before="160"/>
      <w:jc w:val="center"/>
    </w:pPr>
    <w:rPr>
      <w:i/>
      <w:iCs/>
      <w:color w:val="404040" w:themeColor="text1" w:themeTint="BF"/>
    </w:rPr>
  </w:style>
  <w:style w:type="character" w:customStyle="1" w:styleId="QuoteChar">
    <w:name w:val="Quote Char"/>
    <w:basedOn w:val="DefaultParagraphFont"/>
    <w:link w:val="Quote"/>
    <w:uiPriority w:val="29"/>
    <w:rsid w:val="00570294"/>
    <w:rPr>
      <w:i/>
      <w:iCs/>
      <w:color w:val="404040" w:themeColor="text1" w:themeTint="BF"/>
    </w:rPr>
  </w:style>
  <w:style w:type="paragraph" w:styleId="ListParagraph">
    <w:name w:val="List Paragraph"/>
    <w:basedOn w:val="Normal"/>
    <w:uiPriority w:val="34"/>
    <w:qFormat/>
    <w:rsid w:val="00570294"/>
    <w:pPr>
      <w:ind w:left="720"/>
      <w:contextualSpacing/>
    </w:pPr>
  </w:style>
  <w:style w:type="character" w:styleId="IntenseEmphasis">
    <w:name w:val="Intense Emphasis"/>
    <w:basedOn w:val="DefaultParagraphFont"/>
    <w:uiPriority w:val="21"/>
    <w:qFormat/>
    <w:rsid w:val="00570294"/>
    <w:rPr>
      <w:i/>
      <w:iCs/>
      <w:color w:val="0F4761" w:themeColor="accent1" w:themeShade="BF"/>
    </w:rPr>
  </w:style>
  <w:style w:type="paragraph" w:styleId="IntenseQuote">
    <w:name w:val="Intense Quote"/>
    <w:basedOn w:val="Normal"/>
    <w:next w:val="Normal"/>
    <w:link w:val="IntenseQuoteChar"/>
    <w:uiPriority w:val="30"/>
    <w:qFormat/>
    <w:rsid w:val="005702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294"/>
    <w:rPr>
      <w:i/>
      <w:iCs/>
      <w:color w:val="0F4761" w:themeColor="accent1" w:themeShade="BF"/>
    </w:rPr>
  </w:style>
  <w:style w:type="character" w:styleId="IntenseReference">
    <w:name w:val="Intense Reference"/>
    <w:basedOn w:val="DefaultParagraphFont"/>
    <w:uiPriority w:val="32"/>
    <w:qFormat/>
    <w:rsid w:val="005702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oleObject" Target="embeddings/oleObject1.bin"/><Relationship Id="rId5" Type="http://schemas.openxmlformats.org/officeDocument/2006/relationships/image" Target="media/image2.emf"/><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TotalTime>
  <Pages>6</Pages>
  <Words>664</Words>
  <Characters>3786</Characters>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2025-12-10T01:45:00Z</dcterms:created>
  <dcterms:modified xsi:type="dcterms:W3CDTF">2025-12-15T00:03:00Z</dcterms:modified>
</cp:coreProperties>
</file>