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4CCFB" w14:textId="751864A4" w:rsidR="00FE427B" w:rsidRDefault="00FE427B" w:rsidP="00FE427B">
      <w:pPr>
        <w:spacing w:line="360" w:lineRule="auto"/>
        <w:rPr>
          <w:rFonts w:ascii="Times New Roman" w:eastAsia="Times New Roman" w:hAnsi="Times New Roman" w:cs="Times New Roman"/>
          <w:b/>
          <w:color w:val="222222"/>
          <w:sz w:val="40"/>
          <w:szCs w:val="40"/>
        </w:rPr>
      </w:pPr>
      <w:r>
        <w:rPr>
          <w:rFonts w:ascii="Times New Roman" w:eastAsia="Times New Roman" w:hAnsi="Times New Roman" w:cs="Times New Roman"/>
          <w:b/>
          <w:color w:val="222222"/>
          <w:sz w:val="40"/>
          <w:szCs w:val="40"/>
        </w:rPr>
        <w:t xml:space="preserve">                            </w:t>
      </w:r>
      <w:r>
        <w:rPr>
          <w:rFonts w:ascii="Times New Roman" w:eastAsia="Times New Roman" w:hAnsi="Times New Roman" w:cs="Times New Roman"/>
          <w:b/>
          <w:color w:val="222222"/>
          <w:sz w:val="40"/>
          <w:szCs w:val="40"/>
        </w:rPr>
        <w:t xml:space="preserve">Assignment Nr </w:t>
      </w:r>
      <w:r>
        <w:rPr>
          <w:rFonts w:ascii="Times New Roman" w:eastAsia="Times New Roman" w:hAnsi="Times New Roman" w:cs="Times New Roman"/>
          <w:b/>
          <w:color w:val="222222"/>
          <w:sz w:val="40"/>
          <w:szCs w:val="40"/>
        </w:rPr>
        <w:t>2</w:t>
      </w:r>
    </w:p>
    <w:p w14:paraId="0FA86745" w14:textId="77777777" w:rsidR="00FE427B" w:rsidRDefault="00FE427B" w:rsidP="00FE427B">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222222"/>
          <w:sz w:val="40"/>
          <w:szCs w:val="40"/>
        </w:rPr>
        <w:t>Module Name: Community Engagement</w:t>
      </w:r>
    </w:p>
    <w:p w14:paraId="4A8E6A61" w14:textId="77777777" w:rsidR="00FE427B" w:rsidRDefault="00FE427B" w:rsidP="00FE427B">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222222"/>
          <w:sz w:val="40"/>
          <w:szCs w:val="40"/>
        </w:rPr>
        <w:t>Module Code: LCBB4002</w:t>
      </w:r>
    </w:p>
    <w:p w14:paraId="5493DA70" w14:textId="77777777" w:rsidR="00FE427B" w:rsidRDefault="00FE427B" w:rsidP="00FE427B">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222222"/>
          <w:sz w:val="40"/>
          <w:szCs w:val="40"/>
        </w:rPr>
        <w:t>Student Name: Adrian Adasan (2123845)</w:t>
      </w:r>
    </w:p>
    <w:p w14:paraId="472FD44D" w14:textId="77777777" w:rsidR="00FE427B" w:rsidRDefault="00FE427B" w:rsidP="00FE427B">
      <w:pPr>
        <w:spacing w:line="360" w:lineRule="auto"/>
        <w:jc w:val="center"/>
        <w:rPr>
          <w:rFonts w:ascii="Times New Roman" w:eastAsia="Times New Roman" w:hAnsi="Times New Roman" w:cs="Times New Roman"/>
          <w:b/>
          <w:bCs/>
          <w:sz w:val="40"/>
          <w:szCs w:val="40"/>
          <w:shd w:val="clear" w:color="auto" w:fill="FFFFFF"/>
        </w:rPr>
      </w:pPr>
      <w:r>
        <w:rPr>
          <w:rFonts w:ascii="Times New Roman" w:eastAsia="Times New Roman" w:hAnsi="Times New Roman" w:cs="Times New Roman"/>
          <w:b/>
          <w:color w:val="222222"/>
          <w:sz w:val="40"/>
          <w:szCs w:val="40"/>
        </w:rPr>
        <w:t>Lecturer:</w:t>
      </w:r>
      <w:r>
        <w:rPr>
          <w:rFonts w:ascii="Times New Roman" w:eastAsia="Times New Roman" w:hAnsi="Times New Roman" w:cs="Times New Roman"/>
          <w:b/>
          <w:bCs/>
          <w:sz w:val="40"/>
          <w:szCs w:val="40"/>
          <w:shd w:val="clear" w:color="auto" w:fill="FFFFFF"/>
        </w:rPr>
        <w:t xml:space="preserve"> Toyin Adisa </w:t>
      </w:r>
    </w:p>
    <w:p w14:paraId="10F0711B" w14:textId="77777777" w:rsidR="00FE427B" w:rsidRDefault="00FE427B" w:rsidP="00FE427B">
      <w:pPr>
        <w:spacing w:line="360" w:lineRule="auto"/>
        <w:jc w:val="center"/>
        <w:rPr>
          <w:rFonts w:ascii="Times New Roman" w:eastAsia="Times New Roman" w:hAnsi="Times New Roman" w:cs="Times New Roman"/>
          <w:b/>
          <w:bCs/>
          <w:sz w:val="40"/>
          <w:szCs w:val="40"/>
          <w:shd w:val="clear" w:color="auto" w:fill="FFFFFF"/>
        </w:rPr>
      </w:pPr>
      <w:r>
        <w:rPr>
          <w:rFonts w:ascii="Times New Roman" w:eastAsia="Times New Roman" w:hAnsi="Times New Roman" w:cs="Times New Roman"/>
          <w:b/>
          <w:bCs/>
          <w:sz w:val="40"/>
          <w:szCs w:val="40"/>
          <w:shd w:val="clear" w:color="auto" w:fill="FFFFFF"/>
        </w:rPr>
        <w:t>Date:04/09/22</w:t>
      </w:r>
    </w:p>
    <w:p w14:paraId="00000002" w14:textId="1EF3BA0A" w:rsidR="00A2563E" w:rsidRDefault="00000000">
      <w:pPr>
        <w:jc w:val="center"/>
        <w:rPr>
          <w:rFonts w:ascii="Times New Roman" w:eastAsia="Times New Roman" w:hAnsi="Times New Roman" w:cs="Times New Roman"/>
          <w:b/>
          <w:sz w:val="28"/>
          <w:szCs w:val="28"/>
        </w:rPr>
      </w:pPr>
      <w:r>
        <w:br w:type="page"/>
      </w:r>
    </w:p>
    <w:p w14:paraId="00000003" w14:textId="77777777" w:rsidR="00A2563E" w:rsidRDefault="00000000">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sdt>
      <w:sdtPr>
        <w:id w:val="932941161"/>
        <w:docPartObj>
          <w:docPartGallery w:val="Table of Contents"/>
          <w:docPartUnique/>
        </w:docPartObj>
      </w:sdtPr>
      <w:sdtContent>
        <w:p w14:paraId="00000004" w14:textId="77777777" w:rsidR="00A2563E" w:rsidRDefault="00000000">
          <w:pPr>
            <w:tabs>
              <w:tab w:val="right" w:pos="9025"/>
            </w:tabs>
            <w:spacing w:before="80" w:line="240" w:lineRule="auto"/>
          </w:pPr>
          <w:r>
            <w:fldChar w:fldCharType="begin"/>
          </w:r>
          <w:r>
            <w:instrText xml:space="preserve"> TOC \h \u \z </w:instrText>
          </w:r>
          <w:r>
            <w:fldChar w:fldCharType="separate"/>
          </w:r>
          <w:hyperlink w:anchor="_heading=h.gjdgxs">
            <w:r>
              <w:rPr>
                <w:b/>
              </w:rPr>
              <w:t>Introduction:</w:t>
            </w:r>
          </w:hyperlink>
          <w:r>
            <w:rPr>
              <w:b/>
            </w:rPr>
            <w:tab/>
          </w:r>
          <w:r>
            <w:fldChar w:fldCharType="begin"/>
          </w:r>
          <w:r>
            <w:instrText xml:space="preserve"> PAGEREF _heading=h.gjdgxs \h </w:instrText>
          </w:r>
          <w:r>
            <w:fldChar w:fldCharType="separate"/>
          </w:r>
          <w:r>
            <w:rPr>
              <w:b/>
            </w:rPr>
            <w:t>3</w:t>
          </w:r>
          <w:hyperlink w:anchor="_heading=h.gjdgxs" w:history="1"/>
        </w:p>
        <w:p w14:paraId="00000005" w14:textId="77777777" w:rsidR="00A2563E" w:rsidRDefault="00000000">
          <w:pPr>
            <w:tabs>
              <w:tab w:val="right" w:pos="9025"/>
            </w:tabs>
            <w:spacing w:before="200" w:line="240" w:lineRule="auto"/>
          </w:pPr>
          <w:r>
            <w:fldChar w:fldCharType="end"/>
          </w:r>
          <w:hyperlink w:anchor="_heading=h.30j0zll">
            <w:r>
              <w:rPr>
                <w:b/>
              </w:rPr>
              <w:t>Recommendations of stakeholders' engagement through social media</w:t>
            </w:r>
          </w:hyperlink>
          <w:r>
            <w:rPr>
              <w:b/>
            </w:rPr>
            <w:tab/>
          </w:r>
          <w:r>
            <w:fldChar w:fldCharType="begin"/>
          </w:r>
          <w:r>
            <w:instrText xml:space="preserve"> PAGEREF _heading=h.30j0zll \h </w:instrText>
          </w:r>
          <w:r>
            <w:fldChar w:fldCharType="separate"/>
          </w:r>
          <w:r>
            <w:rPr>
              <w:b/>
            </w:rPr>
            <w:t>3</w:t>
          </w:r>
          <w:hyperlink w:anchor="_heading=h.30j0zll" w:history="1"/>
        </w:p>
        <w:p w14:paraId="00000006" w14:textId="77777777" w:rsidR="00A2563E" w:rsidRDefault="00000000">
          <w:pPr>
            <w:tabs>
              <w:tab w:val="right" w:pos="9025"/>
            </w:tabs>
            <w:spacing w:before="200" w:line="240" w:lineRule="auto"/>
          </w:pPr>
          <w:r>
            <w:fldChar w:fldCharType="end"/>
          </w:r>
          <w:hyperlink w:anchor="_heading=h.1fob9te">
            <w:r>
              <w:rPr>
                <w:b/>
              </w:rPr>
              <w:t>Analysis  of relevant avenues to promote community participation, collaboration, diversity, and inclusion to increase community engagement  programme</w:t>
            </w:r>
          </w:hyperlink>
          <w:r>
            <w:rPr>
              <w:b/>
            </w:rPr>
            <w:tab/>
          </w:r>
          <w:r>
            <w:fldChar w:fldCharType="begin"/>
          </w:r>
          <w:r>
            <w:instrText xml:space="preserve"> PAGEREF _heading=h.1fob9te \h </w:instrText>
          </w:r>
          <w:r>
            <w:fldChar w:fldCharType="separate"/>
          </w:r>
          <w:r>
            <w:rPr>
              <w:b/>
            </w:rPr>
            <w:t>4</w:t>
          </w:r>
          <w:hyperlink w:anchor="_heading=h.1fob9te" w:history="1"/>
        </w:p>
        <w:p w14:paraId="00000007" w14:textId="77777777" w:rsidR="00A2563E" w:rsidRDefault="00000000">
          <w:pPr>
            <w:tabs>
              <w:tab w:val="right" w:pos="9025"/>
            </w:tabs>
            <w:spacing w:before="200" w:line="240" w:lineRule="auto"/>
          </w:pPr>
          <w:r>
            <w:fldChar w:fldCharType="end"/>
          </w:r>
          <w:hyperlink w:anchor="_heading=h.3znysh7">
            <w:r>
              <w:rPr>
                <w:b/>
              </w:rPr>
              <w:t>Conclusion:</w:t>
            </w:r>
          </w:hyperlink>
          <w:r>
            <w:rPr>
              <w:b/>
            </w:rPr>
            <w:tab/>
          </w:r>
          <w:r>
            <w:fldChar w:fldCharType="begin"/>
          </w:r>
          <w:r>
            <w:instrText xml:space="preserve"> PAGEREF _heading=h.3znysh7 \h </w:instrText>
          </w:r>
          <w:r>
            <w:fldChar w:fldCharType="separate"/>
          </w:r>
          <w:r>
            <w:rPr>
              <w:b/>
            </w:rPr>
            <w:t>6</w:t>
          </w:r>
          <w:hyperlink w:anchor="_heading=h.3znysh7" w:history="1"/>
        </w:p>
        <w:p w14:paraId="00000008" w14:textId="77777777" w:rsidR="00A2563E" w:rsidRDefault="00000000">
          <w:pPr>
            <w:tabs>
              <w:tab w:val="right" w:pos="9025"/>
            </w:tabs>
            <w:spacing w:before="200" w:after="80" w:line="240" w:lineRule="auto"/>
          </w:pPr>
          <w:r>
            <w:fldChar w:fldCharType="end"/>
          </w:r>
          <w:hyperlink w:anchor="_heading=h.2et92p0">
            <w:r>
              <w:rPr>
                <w:b/>
              </w:rPr>
              <w:t>References:</w:t>
            </w:r>
          </w:hyperlink>
          <w:r>
            <w:rPr>
              <w:b/>
            </w:rPr>
            <w:tab/>
          </w:r>
          <w:r>
            <w:fldChar w:fldCharType="begin"/>
          </w:r>
          <w:r>
            <w:instrText xml:space="preserve"> PAGEREF _heading=h.2et92p0 \h </w:instrText>
          </w:r>
          <w:r>
            <w:fldChar w:fldCharType="separate"/>
          </w:r>
          <w:r>
            <w:rPr>
              <w:b/>
            </w:rPr>
            <w:t>7</w:t>
          </w:r>
          <w:r>
            <w:fldChar w:fldCharType="end"/>
          </w:r>
          <w:r>
            <w:fldChar w:fldCharType="end"/>
          </w:r>
        </w:p>
      </w:sdtContent>
    </w:sdt>
    <w:p w14:paraId="00000009" w14:textId="77777777" w:rsidR="00A2563E" w:rsidRDefault="00A2563E">
      <w:pPr>
        <w:rPr>
          <w:b/>
        </w:rPr>
      </w:pPr>
    </w:p>
    <w:p w14:paraId="0000000A" w14:textId="77777777" w:rsidR="00A2563E" w:rsidRDefault="00A2563E">
      <w:pPr>
        <w:jc w:val="center"/>
        <w:rPr>
          <w:b/>
        </w:rPr>
      </w:pPr>
    </w:p>
    <w:sdt>
      <w:sdtPr>
        <w:id w:val="1631596556"/>
        <w:docPartObj>
          <w:docPartGallery w:val="Table of Contents"/>
          <w:docPartUnique/>
        </w:docPartObj>
      </w:sdtPr>
      <w:sdtContent>
        <w:p w14:paraId="0000000B" w14:textId="77777777" w:rsidR="00A2563E" w:rsidRDefault="00000000">
          <w:pPr>
            <w:tabs>
              <w:tab w:val="right" w:pos="9025"/>
            </w:tabs>
            <w:spacing w:before="200" w:after="80" w:line="240" w:lineRule="auto"/>
          </w:pPr>
          <w:fldSimple w:instr=" TOC \h \u \z "/>
        </w:p>
      </w:sdtContent>
    </w:sdt>
    <w:p w14:paraId="0000000C" w14:textId="77777777" w:rsidR="00A2563E" w:rsidRDefault="00A2563E">
      <w:pPr>
        <w:rPr>
          <w:b/>
        </w:rPr>
      </w:pPr>
    </w:p>
    <w:p w14:paraId="0000000D" w14:textId="77777777" w:rsidR="00A2563E" w:rsidRDefault="00000000">
      <w:pPr>
        <w:jc w:val="center"/>
        <w:rPr>
          <w:b/>
        </w:rPr>
      </w:pPr>
      <w:r>
        <w:br w:type="page"/>
      </w:r>
    </w:p>
    <w:p w14:paraId="0000000E" w14:textId="77777777" w:rsidR="00A2563E" w:rsidRDefault="00A2563E">
      <w:pPr>
        <w:rPr>
          <w:b/>
        </w:rPr>
      </w:pPr>
    </w:p>
    <w:p w14:paraId="0000000F" w14:textId="77777777" w:rsidR="00A2563E" w:rsidRDefault="00000000">
      <w:pPr>
        <w:pStyle w:val="Heading1"/>
      </w:pPr>
      <w:bookmarkStart w:id="0" w:name="_heading=h.gjdgxs" w:colFirst="0" w:colLast="0"/>
      <w:bookmarkEnd w:id="0"/>
      <w:r>
        <w:t>Introduction:</w:t>
      </w:r>
    </w:p>
    <w:p w14:paraId="00000010"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reflective report is to create a reflective case study about a community-led recovery programme by the mayor of London.</w:t>
      </w:r>
    </w:p>
    <w:p w14:paraId="00000011"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reflection will </w:t>
      </w:r>
      <w:proofErr w:type="gramStart"/>
      <w:r>
        <w:rPr>
          <w:rFonts w:ascii="Times New Roman" w:eastAsia="Times New Roman" w:hAnsi="Times New Roman" w:cs="Times New Roman"/>
          <w:sz w:val="24"/>
          <w:szCs w:val="24"/>
        </w:rPr>
        <w:t>tell</w:t>
      </w:r>
      <w:proofErr w:type="gramEnd"/>
      <w:r>
        <w:rPr>
          <w:rFonts w:ascii="Times New Roman" w:eastAsia="Times New Roman" w:hAnsi="Times New Roman" w:cs="Times New Roman"/>
          <w:sz w:val="24"/>
          <w:szCs w:val="24"/>
        </w:rPr>
        <w:t xml:space="preserve"> about an established relationship between stakeholders and strategies which will be suitable for them to get from social media platforms. The reflective study also will give a clear exploration of relevant avenues with the promotion of community participation, collaboration and diversity. The topic also includes socio-cultural integration and multiculturalism. </w:t>
      </w:r>
    </w:p>
    <w:p w14:paraId="00000012"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related to </w:t>
      </w:r>
      <w:proofErr w:type="gramStart"/>
      <w:r>
        <w:rPr>
          <w:rFonts w:ascii="Times New Roman" w:eastAsia="Times New Roman" w:hAnsi="Times New Roman" w:cs="Times New Roman"/>
          <w:sz w:val="24"/>
          <w:szCs w:val="24"/>
        </w:rPr>
        <w:t>a  community</w:t>
      </w:r>
      <w:proofErr w:type="gramEnd"/>
      <w:r>
        <w:rPr>
          <w:rFonts w:ascii="Times New Roman" w:eastAsia="Times New Roman" w:hAnsi="Times New Roman" w:cs="Times New Roman"/>
          <w:sz w:val="24"/>
          <w:szCs w:val="24"/>
        </w:rPr>
        <w:t xml:space="preserve">-led recovery programme which was launched by the mayor of London. The programme aims to enable the underdeveloped community of the UK to reshape their life after covid disaster. London's and its surrounding area's recovery and to shape the area as a greener, fairer, resilient place. For </w:t>
      </w:r>
      <w:proofErr w:type="gramStart"/>
      <w:r>
        <w:rPr>
          <w:rFonts w:ascii="Times New Roman" w:eastAsia="Times New Roman" w:hAnsi="Times New Roman" w:cs="Times New Roman"/>
          <w:sz w:val="24"/>
          <w:szCs w:val="24"/>
        </w:rPr>
        <w:t>this 15 community organisations</w:t>
      </w:r>
      <w:proofErr w:type="gramEnd"/>
      <w:r>
        <w:rPr>
          <w:rFonts w:ascii="Times New Roman" w:eastAsia="Times New Roman" w:hAnsi="Times New Roman" w:cs="Times New Roman"/>
          <w:sz w:val="24"/>
          <w:szCs w:val="24"/>
        </w:rPr>
        <w:t xml:space="preserve"> have got an award to provide a social action project with a focus on covid 19 impact (London, 2022).</w:t>
      </w:r>
    </w:p>
    <w:p w14:paraId="00000013"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Recommendations of stakeholders' engagement through social media</w:t>
      </w:r>
    </w:p>
    <w:p w14:paraId="00000014"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define community-level stakeholders genuine introductions of business owners, community workers and representatives of indigenous groups are needed. The community and stakeholder engagement plan reflect the actions to engage the community-based organisations to represent the local business, labour unions, local governments, tribes etc. community means the local community of both town and geographically proximal area with which a broader group of interest will add to identify as a part of the engagement plan.  Community development plan engagement with stakeholders is about relationship building. This relationship can be maintained through a plan that will create a community-organised local municipality (</w:t>
      </w:r>
      <w:r>
        <w:rPr>
          <w:rFonts w:ascii="Times New Roman" w:eastAsia="Times New Roman" w:hAnsi="Times New Roman" w:cs="Times New Roman"/>
          <w:color w:val="222222"/>
          <w:sz w:val="24"/>
          <w:szCs w:val="24"/>
          <w:highlight w:val="white"/>
        </w:rPr>
        <w:t>Evans, 2021).</w:t>
      </w:r>
    </w:p>
    <w:p w14:paraId="00000015"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Stakeholders use social media nowadays to pin every major opportunity of the community development plan. Some stakeholders regularly use social media for community-led development programme engagement. They follow some policies for this with a relevant presence on social media. For the relevant presence in social media stakeholders, perfect identification is necessary (London, 2022).</w:t>
      </w:r>
    </w:p>
    <w:p w14:paraId="00000016"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media presence:</w:t>
      </w:r>
      <w:r>
        <w:rPr>
          <w:rFonts w:ascii="Times New Roman" w:eastAsia="Times New Roman" w:hAnsi="Times New Roman" w:cs="Times New Roman"/>
          <w:sz w:val="24"/>
          <w:szCs w:val="24"/>
        </w:rPr>
        <w:t xml:space="preserve"> Nowadays digital platforms are the most trustable source of stakeholders' engagement in community programmes. Community development programme organisers maintain a relevant presence on social networks to engage stakeholders with their activity. The programme organiser needs to reach out to all the stakeholders who will be found on social media (</w:t>
      </w:r>
      <w:r>
        <w:rPr>
          <w:rFonts w:ascii="Times New Roman" w:eastAsia="Times New Roman" w:hAnsi="Times New Roman" w:cs="Times New Roman"/>
          <w:color w:val="222222"/>
          <w:sz w:val="24"/>
          <w:szCs w:val="24"/>
          <w:highlight w:val="white"/>
        </w:rPr>
        <w:t xml:space="preserve">Gray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proofErr w:type="gramStart"/>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reach out to every stakeholder, the programme organiser </w:t>
      </w:r>
      <w:r>
        <w:rPr>
          <w:rFonts w:ascii="Times New Roman" w:eastAsia="Times New Roman" w:hAnsi="Times New Roman" w:cs="Times New Roman"/>
          <w:sz w:val="24"/>
          <w:szCs w:val="24"/>
        </w:rPr>
        <w:lastRenderedPageBreak/>
        <w:t xml:space="preserve">has already established a relevant profile for each network. Business contracts with a stakeholder allow the programme holder to do an NHS trust contract with them. So, an official NHS trust place would be appropriate for them through any social media platform like LinkedIn, Twitter, or Facebook. This development programme will also have its own social media account. The advantage the stakeholder can get from their social media platform is that identification is known to themselves by liking the programme's website page. The stakeholder can allow the organiser by letting them follow the programme's website and add them in the future. Service users on Facebook and Twitter are looking for such community development programmes for </w:t>
      </w:r>
      <w:proofErr w:type="gramStart"/>
      <w:r>
        <w:rPr>
          <w:rFonts w:ascii="Times New Roman" w:eastAsia="Times New Roman" w:hAnsi="Times New Roman" w:cs="Times New Roman"/>
          <w:sz w:val="24"/>
          <w:szCs w:val="24"/>
        </w:rPr>
        <w:t>collaboration  (</w:t>
      </w:r>
      <w:proofErr w:type="gramEnd"/>
      <w:r>
        <w:fldChar w:fldCharType="begin"/>
      </w:r>
      <w:r>
        <w:instrText xml:space="preserve"> HYPERLINK "https://journals.sagepub.com/doi/10.1177/1524839919894948" \h </w:instrText>
      </w:r>
      <w:r>
        <w:fldChar w:fldCharType="separate"/>
      </w:r>
      <w:r>
        <w:rPr>
          <w:rFonts w:ascii="Times New Roman" w:eastAsia="Times New Roman" w:hAnsi="Times New Roman" w:cs="Times New Roman"/>
          <w:sz w:val="24"/>
          <w:szCs w:val="24"/>
        </w:rPr>
        <w:t>journals. sage pub</w:t>
      </w:r>
      <w:r>
        <w:rPr>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2020).  </w:t>
      </w:r>
    </w:p>
    <w:p w14:paraId="00000017"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Stakeholder conversation: </w:t>
      </w:r>
      <w:r>
        <w:rPr>
          <w:rFonts w:ascii="Times New Roman" w:eastAsia="Times New Roman" w:hAnsi="Times New Roman" w:cs="Times New Roman"/>
          <w:sz w:val="24"/>
          <w:szCs w:val="24"/>
        </w:rPr>
        <w:t xml:space="preserve">some of the stakeholders can be engaged with community development programmes through social media. Local authorities often talk on social media about the community development programme so that local people feel more worthy to join the programme and look for social housing and more. The community may have to face both positive and negative comments. But it is also the fact that people of the same community have to stand for each other and thus increase the number of </w:t>
      </w:r>
      <w:proofErr w:type="gramStart"/>
      <w:r>
        <w:rPr>
          <w:rFonts w:ascii="Times New Roman" w:eastAsia="Times New Roman" w:hAnsi="Times New Roman" w:cs="Times New Roman"/>
          <w:sz w:val="24"/>
          <w:szCs w:val="24"/>
        </w:rPr>
        <w:t>audience</w:t>
      </w:r>
      <w:proofErr w:type="gramEnd"/>
      <w:r>
        <w:rPr>
          <w:rFonts w:ascii="Times New Roman" w:eastAsia="Times New Roman" w:hAnsi="Times New Roman" w:cs="Times New Roman"/>
          <w:sz w:val="24"/>
          <w:szCs w:val="24"/>
        </w:rPr>
        <w:t xml:space="preserve"> for the particular programme. It is tough for stakeholders to understand local community impact all the time.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they can use social platforms like Google Alert to allow Stakeholders to flag up the conversation by monitoring chosen keywords as it is being searched. If stakeholders set up some principal keywords related to their important staff and the data about your service and </w:t>
      </w:r>
      <w:proofErr w:type="gramStart"/>
      <w:r>
        <w:rPr>
          <w:rFonts w:ascii="Times New Roman" w:eastAsia="Times New Roman" w:hAnsi="Times New Roman" w:cs="Times New Roman"/>
          <w:sz w:val="24"/>
          <w:szCs w:val="24"/>
        </w:rPr>
        <w:t>buildings</w:t>
      </w:r>
      <w:proofErr w:type="gramEnd"/>
      <w:r>
        <w:rPr>
          <w:rFonts w:ascii="Times New Roman" w:eastAsia="Times New Roman" w:hAnsi="Times New Roman" w:cs="Times New Roman"/>
          <w:sz w:val="24"/>
          <w:szCs w:val="24"/>
        </w:rPr>
        <w:t xml:space="preserve"> they will get an email every second when those content-related material keywords are searched on the web. For this, any negative conversation may come to an end before it escalates. Stakeholders then immediately start to remove the public's false rumour. Different social media sites like a social mention and brand watch give stakeholders the facility to monitor the keywords in detail across the various social media platforms. Besides this kind of monitoring gives stakeholders some extra power to increase their reputation through online management. Organisers of any community program always make permanent business relations with their stakeholders by following them or adding them to the friend list and they identify their stakeholders by collecting their business preference data over time  (</w:t>
      </w:r>
      <w:hyperlink r:id="rId7">
        <w:r>
          <w:rPr>
            <w:rFonts w:ascii="Times New Roman" w:eastAsia="Times New Roman" w:hAnsi="Times New Roman" w:cs="Times New Roman"/>
            <w:sz w:val="24"/>
            <w:szCs w:val="24"/>
          </w:rPr>
          <w:t>journals. sage pub</w:t>
        </w:r>
      </w:hyperlink>
      <w:r>
        <w:rPr>
          <w:rFonts w:ascii="Times New Roman" w:eastAsia="Times New Roman" w:hAnsi="Times New Roman" w:cs="Times New Roman"/>
          <w:sz w:val="24"/>
          <w:szCs w:val="24"/>
        </w:rPr>
        <w:t xml:space="preserve">, 2020).  </w:t>
      </w:r>
    </w:p>
    <w:p w14:paraId="00000018"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 stakeholders with interest: </w:t>
      </w:r>
      <w:r>
        <w:rPr>
          <w:rFonts w:ascii="Times New Roman" w:eastAsia="Times New Roman" w:hAnsi="Times New Roman" w:cs="Times New Roman"/>
          <w:sz w:val="24"/>
          <w:szCs w:val="24"/>
        </w:rPr>
        <w:t xml:space="preserve"> For Targeting their stakeholders London's mayor community engagement programme's organising body can use social media by giving services, people, events, places and other relevant things information.  A valuable network will be built up by the community which is the centre of such a programme. Online platforms will serve as eyes and ears to solve the problem of locality by finding the witness from there. Social media serves as a reciprocal way of communication between companies and stakeholders. </w:t>
      </w:r>
      <w:r>
        <w:rPr>
          <w:rFonts w:ascii="Times New Roman" w:eastAsia="Times New Roman" w:hAnsi="Times New Roman" w:cs="Times New Roman"/>
          <w:sz w:val="24"/>
          <w:szCs w:val="24"/>
        </w:rPr>
        <w:lastRenderedPageBreak/>
        <w:t xml:space="preserve">Stakeholders can easily get to know about their company's expectations from them in terms of company success. Their ideas, beliefs and opinions related to any programme of the company accelerated the transfers of specific information to some target audience. Stakeholders' relationship with organising bodies get momentum as the latter engage themselves to focus on the interventions to let them be targeted by organising bodies for common interest (Rsearchgate, 2018). </w:t>
      </w:r>
    </w:p>
    <w:p w14:paraId="00000019"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Relevant content on social media: </w:t>
      </w:r>
      <w:r>
        <w:rPr>
          <w:rFonts w:ascii="Times New Roman" w:eastAsia="Times New Roman" w:hAnsi="Times New Roman" w:cs="Times New Roman"/>
          <w:sz w:val="24"/>
          <w:szCs w:val="24"/>
        </w:rPr>
        <w:t xml:space="preserve">Stakeholders are needed for a relevant Audience for monitoring the community engagement programme growth.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developing relevant content through social media is a kind of vital task for them. In a fairly competitive environment, stakeholders' engagement is considered the centre of the relationship and is measured by the level of their social media participation (</w:t>
      </w:r>
      <w:hyperlink r:id="rId8">
        <w:r>
          <w:rPr>
            <w:rFonts w:ascii="Times New Roman" w:eastAsia="Times New Roman" w:hAnsi="Times New Roman" w:cs="Times New Roman"/>
            <w:sz w:val="24"/>
            <w:szCs w:val="24"/>
          </w:rPr>
          <w:t>kahootz</w:t>
        </w:r>
      </w:hyperlink>
      <w:r>
        <w:rPr>
          <w:rFonts w:ascii="Times New Roman" w:eastAsia="Times New Roman" w:hAnsi="Times New Roman" w:cs="Times New Roman"/>
          <w:sz w:val="24"/>
          <w:szCs w:val="24"/>
        </w:rPr>
        <w:t xml:space="preserve">, 2013). For achieving their goals stakeholders are given some categorised engagement level by the company where profound engagement of stakeholders can be understood through the 'comment' tool. Multiple stakeholders' relationships with organisations are getting more focus rather than single stakeholders' relations. Because in a turbulent market environment influence of various stakeholders' relations with any management or development programme of the company gets more important to show the different aspects of their relationship with the organising body. This two-way communication helps in enhancing the image of an organisation by increasing its online reputation. Consumer satisfaction and loyalty can be vital causes of stakeholders' social media sickness and attraction of the market participant begin to increase (Rsearchgate, 2018). </w:t>
      </w:r>
    </w:p>
    <w:p w14:paraId="0000001A"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2013</w:t>
      </w:r>
    </w:p>
    <w:p w14:paraId="0000001B" w14:textId="77777777" w:rsidR="00A2563E"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Analysis  of</w:t>
      </w:r>
      <w:proofErr w:type="gramEnd"/>
      <w:r>
        <w:rPr>
          <w:rFonts w:ascii="Times New Roman" w:eastAsia="Times New Roman" w:hAnsi="Times New Roman" w:cs="Times New Roman"/>
          <w:sz w:val="24"/>
          <w:szCs w:val="24"/>
        </w:rPr>
        <w:t xml:space="preserve"> relevant avenues to promote community participation, collaboration, diversity, and inclusion to increase community engagement  programme</w:t>
      </w:r>
    </w:p>
    <w:p w14:paraId="0000001C"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community participation: </w:t>
      </w:r>
      <w:r>
        <w:rPr>
          <w:rFonts w:ascii="Times New Roman" w:eastAsia="Times New Roman" w:hAnsi="Times New Roman" w:cs="Times New Roman"/>
          <w:sz w:val="24"/>
          <w:szCs w:val="24"/>
        </w:rPr>
        <w:t xml:space="preserve">community participation means the involvement of the people of some </w:t>
      </w:r>
      <w:proofErr w:type="gramStart"/>
      <w:r>
        <w:rPr>
          <w:rFonts w:ascii="Times New Roman" w:eastAsia="Times New Roman" w:hAnsi="Times New Roman" w:cs="Times New Roman"/>
          <w:sz w:val="24"/>
          <w:szCs w:val="24"/>
        </w:rPr>
        <w:t>particular community</w:t>
      </w:r>
      <w:proofErr w:type="gramEnd"/>
      <w:r>
        <w:rPr>
          <w:rFonts w:ascii="Times New Roman" w:eastAsia="Times New Roman" w:hAnsi="Times New Roman" w:cs="Times New Roman"/>
          <w:sz w:val="24"/>
          <w:szCs w:val="24"/>
        </w:rPr>
        <w:t xml:space="preserve"> in a project or any kind of development programme to solve their problems. In this programme, people are not forced but they participate voluntarily. When new sanitation facilities of the surroundings are unaccustomed to the people of some communities their voluntary participants are expected to flag their problem. Mayor of London's community-led recovery program is for covid victim community support.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this pilot programme can demand the voluntary participation of Londoners and spread the program to a wider audience. Community participation can take place through the following activities like needs assessment, planning, mobilising, training, and implementation.  Londoners are expected to make community participation to motivate people to work together (Aese.psu, 2011). Through this participation, people motivate people to work together. London's people can feel a sense of </w:t>
      </w:r>
      <w:r>
        <w:rPr>
          <w:rFonts w:ascii="Times New Roman" w:eastAsia="Times New Roman" w:hAnsi="Times New Roman" w:cs="Times New Roman"/>
          <w:sz w:val="24"/>
          <w:szCs w:val="24"/>
        </w:rPr>
        <w:lastRenderedPageBreak/>
        <w:t xml:space="preserve">community support to recognise the benefits of their involvement. Mutual help from both governing bodies and the community can be a solution for covid victims to recover their economy quickly.  Genuine community participation can serve a better service to their own lives for the </w:t>
      </w:r>
      <w:proofErr w:type="gramStart"/>
      <w:r>
        <w:rPr>
          <w:rFonts w:ascii="Times New Roman" w:eastAsia="Times New Roman" w:hAnsi="Times New Roman" w:cs="Times New Roman"/>
          <w:sz w:val="24"/>
          <w:szCs w:val="24"/>
        </w:rPr>
        <w:t>community as a whole</w:t>
      </w:r>
      <w:proofErr w:type="gramEnd"/>
      <w:r>
        <w:rPr>
          <w:rFonts w:ascii="Times New Roman" w:eastAsia="Times New Roman" w:hAnsi="Times New Roman" w:cs="Times New Roman"/>
          <w:sz w:val="24"/>
          <w:szCs w:val="24"/>
        </w:rPr>
        <w:t>. Generally, people tend to participate in any kind of community development programme. Their actions and attitudes serve as the biggest incentive for this programme. Listening to and learning about the problems of the community will build the successful foundation of a community engagement programme that gives recognition of their problem satisfaction (Eropa, 2005).</w:t>
      </w:r>
    </w:p>
    <w:p w14:paraId="0000001D"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Collaboration:</w:t>
      </w:r>
      <w:r>
        <w:rPr>
          <w:rFonts w:ascii="Times New Roman" w:eastAsia="Times New Roman" w:hAnsi="Times New Roman" w:cs="Times New Roman"/>
          <w:sz w:val="24"/>
          <w:szCs w:val="24"/>
        </w:rPr>
        <w:t xml:space="preserve"> Community-based collaboration is a process in which citizens of a special community work together to reach a shared goal (</w:t>
      </w:r>
      <w:r>
        <w:rPr>
          <w:rFonts w:ascii="Times New Roman" w:eastAsia="Times New Roman" w:hAnsi="Times New Roman" w:cs="Times New Roman"/>
          <w:color w:val="222222"/>
          <w:sz w:val="24"/>
          <w:szCs w:val="24"/>
          <w:highlight w:val="white"/>
        </w:rPr>
        <w:t xml:space="preserve">Alamanos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type of process needs a shared commitment in case of decision-making from the allocation of financial resources. The potentiality of community engagement programmes in London is not going to work if they do not develop a specific pattern of collaboration. On the other hand, an effective collaboration reflects its results in a win-win situation that will create a flexible working environment where the authority of taking challenges is shared with the involvement of improving outcomes. In the case of the London mayor's community engagement programme, these collaborations support the speedy recovery covid affected situations and enhance their business growth. The term collaboration is based on four different topics: vision, commitment, leadership and action.  A good action plan is needed alongside the roles and responsibilities which is the characteristic of effective collaboration. The collaboration process is given value in the community engagement health research programme of London (</w:t>
      </w:r>
      <w:r>
        <w:rPr>
          <w:rFonts w:ascii="Times New Roman" w:eastAsia="Times New Roman" w:hAnsi="Times New Roman" w:cs="Times New Roman"/>
          <w:color w:val="222222"/>
          <w:sz w:val="24"/>
          <w:szCs w:val="24"/>
          <w:highlight w:val="white"/>
        </w:rPr>
        <w:t>Troise</w:t>
      </w:r>
      <w:r>
        <w:rPr>
          <w:rFonts w:ascii="Times New Roman" w:eastAsia="Times New Roman" w:hAnsi="Times New Roman" w:cs="Times New Roman"/>
          <w:sz w:val="24"/>
          <w:szCs w:val="24"/>
        </w:rPr>
        <w:t xml:space="preserve"> and </w:t>
      </w:r>
      <w:r>
        <w:rPr>
          <w:rFonts w:ascii="Times New Roman" w:eastAsia="Times New Roman" w:hAnsi="Times New Roman" w:cs="Times New Roman"/>
          <w:color w:val="222222"/>
          <w:sz w:val="24"/>
          <w:szCs w:val="24"/>
          <w:highlight w:val="white"/>
        </w:rPr>
        <w:t>Camilleri, 2021). Collaboration</w:t>
      </w:r>
      <w:r>
        <w:rPr>
          <w:rFonts w:ascii="Times New Roman" w:eastAsia="Times New Roman" w:hAnsi="Times New Roman" w:cs="Times New Roman"/>
          <w:sz w:val="24"/>
          <w:szCs w:val="24"/>
        </w:rPr>
        <w:t xml:space="preserve"> between community members and clinicians and organisations is examined as a convenient sample of those community engagement programmes that will let the community focus on future health research programming (</w:t>
      </w:r>
      <w:hyperlink r:id="rId9">
        <w:r>
          <w:rPr>
            <w:rFonts w:ascii="Times New Roman" w:eastAsia="Times New Roman" w:hAnsi="Times New Roman" w:cs="Times New Roman"/>
            <w:sz w:val="24"/>
            <w:szCs w:val="24"/>
          </w:rPr>
          <w:t>journals. sage pub</w:t>
        </w:r>
      </w:hyperlink>
      <w:r>
        <w:rPr>
          <w:rFonts w:ascii="Times New Roman" w:eastAsia="Times New Roman" w:hAnsi="Times New Roman" w:cs="Times New Roman"/>
          <w:sz w:val="24"/>
          <w:szCs w:val="24"/>
        </w:rPr>
        <w:t xml:space="preserve">, 2020).  </w:t>
      </w:r>
    </w:p>
    <w:p w14:paraId="0000001E"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Diversity: </w:t>
      </w:r>
      <w:r>
        <w:rPr>
          <w:rFonts w:ascii="Times New Roman" w:eastAsia="Times New Roman" w:hAnsi="Times New Roman" w:cs="Times New Roman"/>
          <w:sz w:val="24"/>
          <w:szCs w:val="24"/>
        </w:rPr>
        <w:t xml:space="preserve">The diversity definition has a broader way of meaning. Diversity emphasises </w:t>
      </w:r>
      <w:proofErr w:type="gramStart"/>
      <w:r>
        <w:rPr>
          <w:rFonts w:ascii="Times New Roman" w:eastAsia="Times New Roman" w:hAnsi="Times New Roman" w:cs="Times New Roman"/>
          <w:sz w:val="24"/>
          <w:szCs w:val="24"/>
        </w:rPr>
        <w:t>physical,  geographical</w:t>
      </w:r>
      <w:proofErr w:type="gramEnd"/>
      <w:r>
        <w:rPr>
          <w:rFonts w:ascii="Times New Roman" w:eastAsia="Times New Roman" w:hAnsi="Times New Roman" w:cs="Times New Roman"/>
          <w:sz w:val="24"/>
          <w:szCs w:val="24"/>
        </w:rPr>
        <w:t xml:space="preserve">, and cultural characteristics that make every individual do every unique service. Diversity can be an inclusive programme that may be included as a meaningful way to make London's COVID community engagement programme better. If Community engagement programmes get the diverse populations' </w:t>
      </w:r>
      <w:proofErr w:type="gramStart"/>
      <w:r>
        <w:rPr>
          <w:rFonts w:ascii="Times New Roman" w:eastAsia="Times New Roman" w:hAnsi="Times New Roman" w:cs="Times New Roman"/>
          <w:sz w:val="24"/>
          <w:szCs w:val="24"/>
        </w:rPr>
        <w:t>support</w:t>
      </w:r>
      <w:proofErr w:type="gramEnd"/>
      <w:r>
        <w:rPr>
          <w:rFonts w:ascii="Times New Roman" w:eastAsia="Times New Roman" w:hAnsi="Times New Roman" w:cs="Times New Roman"/>
          <w:sz w:val="24"/>
          <w:szCs w:val="24"/>
        </w:rPr>
        <w:t xml:space="preserve"> they will move towards its success one step forward (Diversity. Umich, 2022). A collaboration with a diverse community of stakeholders can leverage the strength of its diversity to create an inclusive environment. Diversity supports advanced health and wellness with enriched work </w:t>
      </w:r>
      <w:proofErr w:type="gramStart"/>
      <w:r>
        <w:rPr>
          <w:rFonts w:ascii="Times New Roman" w:eastAsia="Times New Roman" w:hAnsi="Times New Roman" w:cs="Times New Roman"/>
          <w:sz w:val="24"/>
          <w:szCs w:val="24"/>
        </w:rPr>
        <w:t>experiences,  Diversity</w:t>
      </w:r>
      <w:proofErr w:type="gramEnd"/>
      <w:r>
        <w:rPr>
          <w:rFonts w:ascii="Times New Roman" w:eastAsia="Times New Roman" w:hAnsi="Times New Roman" w:cs="Times New Roman"/>
          <w:sz w:val="24"/>
          <w:szCs w:val="24"/>
        </w:rPr>
        <w:t xml:space="preserve"> should remain as an inclusion policy that would promote patient-centred care with sustainability. London is the living palace of several cultural people and covid impacts them in a negative way.  </w:t>
      </w:r>
      <w:r>
        <w:rPr>
          <w:rFonts w:ascii="Times New Roman" w:eastAsia="Times New Roman" w:hAnsi="Times New Roman" w:cs="Times New Roman"/>
          <w:sz w:val="24"/>
          <w:szCs w:val="24"/>
        </w:rPr>
        <w:lastRenderedPageBreak/>
        <w:t>Communities that are the deep victims of the covid will get recovery support from the community-led Action grant from the Mayor of London. But all kinds of people can donate to the donation fund of the programme if they have a little bit of humanity in them.  Transparent and accountable diversity indicates that diversity adjusts to meet the needs of the community from a broader perspective (Wmchealt, 2022).</w:t>
      </w:r>
    </w:p>
    <w:p w14:paraId="0000001F"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socio-cultural integration and </w:t>
      </w:r>
      <w:proofErr w:type="gramStart"/>
      <w:r>
        <w:rPr>
          <w:rFonts w:ascii="Times New Roman" w:eastAsia="Times New Roman" w:hAnsi="Times New Roman" w:cs="Times New Roman"/>
          <w:b/>
          <w:sz w:val="24"/>
          <w:szCs w:val="24"/>
        </w:rPr>
        <w:t>multiculturalism</w:t>
      </w:r>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w:t>
      </w:r>
    </w:p>
    <w:p w14:paraId="00000020"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Multiculturalism can be offered as a benefit of increasing diversity in a community engagement programme (Wolfestonegroup, 2018). The Term multiculturalism supports the different cultural group's equal rights in which none of the existing cultures is considered insignificant. Culture is the integrated part of the society that pays special attention to cultural tolerance, Coexistence, togetherness and acceptance. The United Kingdom is a source of a diverse population with different identities and values. England has so many regions with cultural diversity and new concepts. British cultural groups have enriched the country's culture to give extra emphasis on the value of diversity. As society and culture share an integrated relationship, participation from diverse cultural backgrounds will increase the community engagement programme's advantage on an international level. Diverse community </w:t>
      </w:r>
    </w:p>
    <w:p w14:paraId="00000021"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 increase the understanding of the programme concept from a broader level. This 'To understand and be understood' process will fundamentally work for much bilateral trade for the programme. The role of local culture is associated with interpretations that often represent the entire way of life.  Culture is seen as a shared product of the society that can be reflected as a shared attachment among the community members for progression.  Though values and rules reflect the common understanding that often is taken for granted, these norms give shape to the programme's acceptance of all actions of individual and social systems within their communities. Multiculturalism will provide an arena in which rules represent the criteria of community act towards others (Extension. Psu. Edu, 2020). </w:t>
      </w:r>
    </w:p>
    <w:p w14:paraId="00000022" w14:textId="77777777" w:rsidR="00A2563E" w:rsidRDefault="00A2563E">
      <w:pPr>
        <w:spacing w:line="360" w:lineRule="auto"/>
        <w:jc w:val="both"/>
        <w:rPr>
          <w:rFonts w:ascii="Times New Roman" w:eastAsia="Times New Roman" w:hAnsi="Times New Roman" w:cs="Times New Roman"/>
          <w:b/>
          <w:sz w:val="24"/>
          <w:szCs w:val="24"/>
        </w:rPr>
      </w:pPr>
    </w:p>
    <w:p w14:paraId="00000023" w14:textId="77777777" w:rsidR="00A2563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24"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engagement programme of the London mayor got a bunch of recommendations through this report.  Stakeholders are necessary to benefit from any programme.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they want to get involved with this programme. Nowadays social media is the utmost choice for programme organisers to show their interest publicly. Organisers stalk them by their comments and make them their programme's stakeholders. To target stakeholders, organisers look after their relevant concepts and conversation. Besides different topics like diversity, collaboration, and multiculturalism, community participation serves a positive </w:t>
      </w:r>
      <w:r>
        <w:rPr>
          <w:rFonts w:ascii="Times New Roman" w:eastAsia="Times New Roman" w:hAnsi="Times New Roman" w:cs="Times New Roman"/>
          <w:sz w:val="24"/>
          <w:szCs w:val="24"/>
        </w:rPr>
        <w:lastRenderedPageBreak/>
        <w:t xml:space="preserve">impact on this </w:t>
      </w:r>
      <w:proofErr w:type="gramStart"/>
      <w:r>
        <w:rPr>
          <w:rFonts w:ascii="Times New Roman" w:eastAsia="Times New Roman" w:hAnsi="Times New Roman" w:cs="Times New Roman"/>
          <w:sz w:val="24"/>
          <w:szCs w:val="24"/>
        </w:rPr>
        <w:t>particular community</w:t>
      </w:r>
      <w:proofErr w:type="gramEnd"/>
      <w:r>
        <w:rPr>
          <w:rFonts w:ascii="Times New Roman" w:eastAsia="Times New Roman" w:hAnsi="Times New Roman" w:cs="Times New Roman"/>
          <w:sz w:val="24"/>
          <w:szCs w:val="24"/>
        </w:rPr>
        <w:t xml:space="preserve"> development programme. For the programme's promotion, the above-mentioned parts are necessary to lead the programme towards development.</w:t>
      </w:r>
      <w:r>
        <w:br w:type="page"/>
      </w:r>
    </w:p>
    <w:p w14:paraId="00000025" w14:textId="77777777" w:rsidR="00A2563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0000026"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Troise, C. and Camilleri, M.A., 2021. The use of digital media for marketing, CSR communication and stakeholder engagement. In Strategic corporate communication in the digital age. Emerald Publishing Limited.</w:t>
      </w:r>
    </w:p>
    <w:p w14:paraId="00000027"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Alamanos, A., Rolston, A. and Papaioannou, G., 2021. Development of a decision support system for sustainable environmental management and stakeholder engagement. Hydrology, 8(1), p.40.</w:t>
      </w:r>
    </w:p>
    <w:p w14:paraId="00000028"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Gray, D.M., Nolan, T.S., Gregory, J. and Joseph, J.J., 2021. Diversity in clinical trials: an opportunity and imperative for community engagement. The Lancet Gastroenterology &amp; Hepatology, 6(8), pp.605-607.</w:t>
      </w:r>
    </w:p>
    <w:p w14:paraId="00000029"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Evans, T., 2021. Family history: Community and collaboration. In Family History and Historians in Australia and New Zealand (pp. 197-208). Routledge.</w:t>
      </w:r>
    </w:p>
    <w:p w14:paraId="0000002A"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Europa, 2005. [online] Available at: &lt;https://ec.europa.eu/echo/files/evaluation/watsan2005/annex_files/WEDC/es/ES12CD.pd&gt; [Accessed 29 August 2022].</w:t>
      </w:r>
    </w:p>
    <w:p w14:paraId="0000002B"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Researchgate, 2018. [online] Available at: &lt;https://www.researchgate.net/publication/330025069_Stakeholder_engagement_via_social_media_an_analysis_of_third-party_logistics_companies&gt; [Accessed 29 August 2022].</w:t>
      </w:r>
    </w:p>
    <w:p w14:paraId="0000002C"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 2022. [online] Available at: &lt;https://www.london.gov.uk/what-we-do/funding/community-led-recovery-programme#:~:text=The%20Mayor%20of%20London%20launched,resilient%20than%20it%20was%20before.&gt; [Accessed 29 August 2022].</w:t>
      </w:r>
    </w:p>
    <w:p w14:paraId="0000002D"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Journals. sagepub, 2022. [online] Available at: &lt;https://journals.sagepub.com/doi/10.1177/1524839919894948&gt; [Accessed 29 August 2022].</w:t>
      </w:r>
    </w:p>
    <w:p w14:paraId="0000002E"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Kahootz, 2013. How To Use </w:t>
      </w:r>
      <w:proofErr w:type="gramStart"/>
      <w:r>
        <w:rPr>
          <w:rFonts w:ascii="Times New Roman" w:eastAsia="Times New Roman" w:hAnsi="Times New Roman" w:cs="Times New Roman"/>
          <w:sz w:val="24"/>
          <w:szCs w:val="24"/>
        </w:rPr>
        <w:t>Social Media</w:t>
      </w:r>
      <w:proofErr w:type="gramEnd"/>
      <w:r>
        <w:rPr>
          <w:rFonts w:ascii="Times New Roman" w:eastAsia="Times New Roman" w:hAnsi="Times New Roman" w:cs="Times New Roman"/>
          <w:sz w:val="24"/>
          <w:szCs w:val="24"/>
        </w:rPr>
        <w:t xml:space="preserve"> To Engage Stakeholders | Kahootz. [online] Kahootz. Available at: &lt;https://www.kahootz.com/how-to-use-social-media-for-stakeholder-engagement/&gt; [Accessed 29 August 2022].</w:t>
      </w:r>
    </w:p>
    <w:p w14:paraId="0000002F"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Diversity.umich</w:t>
      </w:r>
      <w:proofErr w:type="gramStart"/>
      <w:r>
        <w:rPr>
          <w:rFonts w:ascii="Times New Roman" w:eastAsia="Times New Roman" w:hAnsi="Times New Roman" w:cs="Times New Roman"/>
          <w:sz w:val="24"/>
          <w:szCs w:val="24"/>
        </w:rPr>
        <w:t>,  2022</w:t>
      </w:r>
      <w:proofErr w:type="gramEnd"/>
      <w:r>
        <w:rPr>
          <w:rFonts w:ascii="Times New Roman" w:eastAsia="Times New Roman" w:hAnsi="Times New Roman" w:cs="Times New Roman"/>
          <w:sz w:val="24"/>
          <w:szCs w:val="24"/>
        </w:rPr>
        <w:t>. Engaging Your Community | Diversity, Equity &amp; Inclusion | University of Michigan. [online] Available at: &lt;https://diversity.umich.edu/strategic-plan/dei-strategic-planning-toolkit/engaging-your-community/&gt; [Accessed 29 August 2022].</w:t>
      </w:r>
    </w:p>
    <w:p w14:paraId="00000030" w14:textId="77777777" w:rsidR="00A2563E"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Extension,  2020</w:t>
      </w:r>
      <w:proofErr w:type="gramEnd"/>
      <w:r>
        <w:rPr>
          <w:rFonts w:ascii="Times New Roman" w:eastAsia="Times New Roman" w:hAnsi="Times New Roman" w:cs="Times New Roman"/>
          <w:sz w:val="24"/>
          <w:szCs w:val="24"/>
        </w:rPr>
        <w:t>. Importance of Incorporating Local Culture into Community Development. [online] Available at: &lt;https://extension.psu.edu/importance-of-incorporating-local-culture-into-community-development&gt; [Accessed 29 August 2022].</w:t>
      </w:r>
    </w:p>
    <w:p w14:paraId="00000031"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Aese, 2011. What is Community </w:t>
      </w:r>
      <w:proofErr w:type="gramStart"/>
      <w:r>
        <w:rPr>
          <w:rFonts w:ascii="Times New Roman" w:eastAsia="Times New Roman" w:hAnsi="Times New Roman" w:cs="Times New Roman"/>
          <w:sz w:val="24"/>
          <w:szCs w:val="24"/>
        </w:rPr>
        <w:t>Engagement?.</w:t>
      </w:r>
      <w:proofErr w:type="gramEnd"/>
      <w:r>
        <w:rPr>
          <w:rFonts w:ascii="Times New Roman" w:eastAsia="Times New Roman" w:hAnsi="Times New Roman" w:cs="Times New Roman"/>
          <w:sz w:val="24"/>
          <w:szCs w:val="24"/>
        </w:rPr>
        <w:t xml:space="preserve"> [online] Available at: &lt;https://aese.psu.edu/research/centers/cecd/engagement-toolbox/engagement/what-is-community-engagement#:~:text=Community%20Engagement%20is%E2%80%A6the%20process,environmental%20and%20behavioral%20changes%20that&gt; [Accessed 29 August 2022].</w:t>
      </w:r>
    </w:p>
    <w:p w14:paraId="00000032" w14:textId="77777777" w:rsidR="00A2563E"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Wmchealth,  2022</w:t>
      </w:r>
      <w:proofErr w:type="gramEnd"/>
      <w:r>
        <w:rPr>
          <w:rFonts w:ascii="Times New Roman" w:eastAsia="Times New Roman" w:hAnsi="Times New Roman" w:cs="Times New Roman"/>
          <w:sz w:val="24"/>
          <w:szCs w:val="24"/>
        </w:rPr>
        <w:t>. Diversity and Community Engagement. [online] Available at: &lt;https://www.wmchealth.org/diversity-and-community-engagement&gt; [Accessed 29 August 2022].</w:t>
      </w:r>
    </w:p>
    <w:p w14:paraId="00000033" w14:textId="77777777" w:rsidR="00A2563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Wolfestone </w:t>
      </w:r>
      <w:proofErr w:type="gramStart"/>
      <w:r>
        <w:rPr>
          <w:rFonts w:ascii="Times New Roman" w:eastAsia="Times New Roman" w:hAnsi="Times New Roman" w:cs="Times New Roman"/>
          <w:sz w:val="24"/>
          <w:szCs w:val="24"/>
        </w:rPr>
        <w:t>Group,  2018</w:t>
      </w:r>
      <w:proofErr w:type="gramEnd"/>
      <w:r>
        <w:rPr>
          <w:rFonts w:ascii="Times New Roman" w:eastAsia="Times New Roman" w:hAnsi="Times New Roman" w:cs="Times New Roman"/>
          <w:sz w:val="24"/>
          <w:szCs w:val="24"/>
        </w:rPr>
        <w:t>. The Benefits of Multiculturalism in the Workplace. [online] Available at: &lt;https://wolfestonegroup.com/insights/blogs/benefits-multiculturalism-workplace&gt; [Accessed 29 August 2022].</w:t>
      </w:r>
    </w:p>
    <w:p w14:paraId="00000034" w14:textId="77777777" w:rsidR="00A2563E" w:rsidRDefault="00A2563E">
      <w:pPr>
        <w:spacing w:line="360" w:lineRule="auto"/>
        <w:jc w:val="both"/>
        <w:rPr>
          <w:rFonts w:ascii="Times New Roman" w:eastAsia="Times New Roman" w:hAnsi="Times New Roman" w:cs="Times New Roman"/>
          <w:sz w:val="24"/>
          <w:szCs w:val="24"/>
        </w:rPr>
      </w:pPr>
    </w:p>
    <w:p w14:paraId="00000035" w14:textId="77777777" w:rsidR="00A2563E" w:rsidRDefault="00A2563E"/>
    <w:p w14:paraId="00000036" w14:textId="77777777" w:rsidR="00A2563E" w:rsidRDefault="00A2563E"/>
    <w:p w14:paraId="00000037" w14:textId="77777777" w:rsidR="00A2563E" w:rsidRDefault="00A2563E"/>
    <w:sectPr w:rsidR="00A2563E">
      <w:footerReference w:type="default" r:id="rId10"/>
      <w:footerReference w:type="firs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A4AE9" w14:textId="77777777" w:rsidR="000F4ED0" w:rsidRDefault="000F4ED0">
      <w:pPr>
        <w:spacing w:line="240" w:lineRule="auto"/>
      </w:pPr>
      <w:r>
        <w:separator/>
      </w:r>
    </w:p>
  </w:endnote>
  <w:endnote w:type="continuationSeparator" w:id="0">
    <w:p w14:paraId="6AB78F5C" w14:textId="77777777" w:rsidR="000F4ED0" w:rsidRDefault="000F4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1EB384F7" w:rsidR="00A2563E" w:rsidRDefault="00000000">
    <w:pPr>
      <w:jc w:val="right"/>
    </w:pPr>
    <w:r>
      <w:fldChar w:fldCharType="begin"/>
    </w:r>
    <w:r>
      <w:instrText>PAGE</w:instrText>
    </w:r>
    <w:r>
      <w:fldChar w:fldCharType="separate"/>
    </w:r>
    <w:r w:rsidR="00FE427B">
      <w:rPr>
        <w:noProof/>
      </w:rPr>
      <w:t>2</w:t>
    </w:r>
    <w:r>
      <w:fldChar w:fldCharType="end"/>
    </w:r>
  </w:p>
  <w:p w14:paraId="0000003A" w14:textId="77777777" w:rsidR="00A2563E" w:rsidRDefault="00A2563E">
    <w:pPr>
      <w:widowControl w:val="0"/>
      <w:pBdr>
        <w:top w:val="nil"/>
        <w:left w:val="nil"/>
        <w:bottom w:val="nil"/>
        <w:right w:val="nil"/>
        <w:between w:val="nil"/>
      </w:pBd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77777777" w:rsidR="00A2563E" w:rsidRDefault="00000000">
    <w:pPr>
      <w:jc w:val="right"/>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9B981" w14:textId="77777777" w:rsidR="000F4ED0" w:rsidRDefault="000F4ED0">
      <w:pPr>
        <w:spacing w:line="240" w:lineRule="auto"/>
      </w:pPr>
      <w:r>
        <w:separator/>
      </w:r>
    </w:p>
  </w:footnote>
  <w:footnote w:type="continuationSeparator" w:id="0">
    <w:p w14:paraId="666BEFB2" w14:textId="77777777" w:rsidR="000F4ED0" w:rsidRDefault="000F4E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63E"/>
    <w:rsid w:val="000F4ED0"/>
    <w:rsid w:val="00A2563E"/>
    <w:rsid w:val="00FE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09BE1"/>
  <w15:docId w15:val="{B354BA7B-0965-466D-8955-42C288729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638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hootz.com/how-to-use-social-media-for-stakeholder-eng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doi/10.1177/152483991989494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sagepub.com/doi/10.1177/1524839919894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RbVwZ8m0GF00S80dhqqtgkTrs7g==">AMUW2mXbZ4a7emukP1fUjP5NVkiIw7Bb88i6Vr5D4vgyxhFyFk6fm/mldBqeafyrzuFbitml8BzM8c7gGBDdq9cG5wJ0AbzaHN3csIsBNM13I5MudMeQvQZGX+iVZNQS2qlv2bNnokw6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2802</Words>
  <Characters>15974</Characters>
  <Application>Microsoft Office Word</Application>
  <DocSecurity>0</DocSecurity>
  <Lines>133</Lines>
  <Paragraphs>37</Paragraphs>
  <ScaleCrop>false</ScaleCrop>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Adasan (2123845)</cp:lastModifiedBy>
  <cp:revision>3</cp:revision>
  <dcterms:created xsi:type="dcterms:W3CDTF">2022-09-04T17:39:00Z</dcterms:created>
  <dcterms:modified xsi:type="dcterms:W3CDTF">2022-09-04T17:40:00Z</dcterms:modified>
</cp:coreProperties>
</file>