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5BBAC22" w14:textId="77777777" w:rsidR="00AB67EE" w:rsidRDefault="00AB67EE">
      <w:pPr>
        <w:spacing w:after="480" w:line="360" w:lineRule="auto"/>
        <w:jc w:val="center"/>
        <w:rPr>
          <w:b/>
          <w:bCs/>
          <w:sz w:val="32"/>
          <w:szCs w:val="32"/>
        </w:rPr>
      </w:pPr>
    </w:p>
    <w:p w14:paraId="2AAA98B1" w14:textId="77777777" w:rsidR="00AB67EE" w:rsidRDefault="00AB67EE">
      <w:pPr>
        <w:spacing w:after="480" w:line="360" w:lineRule="auto"/>
        <w:jc w:val="center"/>
        <w:rPr>
          <w:b/>
          <w:bCs/>
          <w:sz w:val="32"/>
          <w:szCs w:val="32"/>
        </w:rPr>
      </w:pPr>
    </w:p>
    <w:p w14:paraId="195F2A53" w14:textId="77777777" w:rsidR="00AB67EE" w:rsidRDefault="00AB67EE">
      <w:pPr>
        <w:spacing w:after="480" w:line="360" w:lineRule="auto"/>
        <w:jc w:val="center"/>
        <w:rPr>
          <w:b/>
          <w:bCs/>
          <w:sz w:val="32"/>
          <w:szCs w:val="32"/>
        </w:rPr>
      </w:pPr>
    </w:p>
    <w:p w14:paraId="5393A9D0" w14:textId="1271232D" w:rsidR="00605126" w:rsidRDefault="00AB67EE">
      <w:pPr>
        <w:spacing w:after="480" w:line="360" w:lineRule="auto"/>
        <w:jc w:val="center"/>
        <w:rPr>
          <w:b/>
          <w:bCs/>
          <w:sz w:val="32"/>
          <w:szCs w:val="32"/>
        </w:rPr>
      </w:pPr>
      <w:r>
        <w:rPr>
          <w:b/>
          <w:bCs/>
          <w:noProof/>
          <w:sz w:val="32"/>
          <w:szCs w:val="32"/>
        </w:rPr>
        <w:drawing>
          <wp:anchor distT="0" distB="0" distL="114300" distR="114300" simplePos="0" relativeHeight="251658240" behindDoc="0" locked="0" layoutInCell="1" allowOverlap="1" wp14:anchorId="2570BD68" wp14:editId="111FF7C6">
            <wp:simplePos x="0" y="0"/>
            <wp:positionH relativeFrom="margin">
              <wp:align>left</wp:align>
            </wp:positionH>
            <wp:positionV relativeFrom="margin">
              <wp:align>top</wp:align>
            </wp:positionV>
            <wp:extent cx="2324100" cy="774700"/>
            <wp:effectExtent l="0" t="0" r="0" b="0"/>
            <wp:wrapSquare wrapText="bothSides"/>
            <wp:docPr id="1766519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519881" name="Picture 1766519881"/>
                    <pic:cNvPicPr/>
                  </pic:nvPicPr>
                  <pic:blipFill>
                    <a:blip r:embed="rId6">
                      <a:extLst>
                        <a:ext uri="{28A0092B-C50C-407E-A947-70E740481C1C}">
                          <a14:useLocalDpi xmlns:a14="http://schemas.microsoft.com/office/drawing/2010/main" val="0"/>
                        </a:ext>
                      </a:extLst>
                    </a:blip>
                    <a:stretch>
                      <a:fillRect/>
                    </a:stretch>
                  </pic:blipFill>
                  <pic:spPr>
                    <a:xfrm>
                      <a:off x="0" y="0"/>
                      <a:ext cx="2324100" cy="774700"/>
                    </a:xfrm>
                    <a:prstGeom prst="rect">
                      <a:avLst/>
                    </a:prstGeom>
                  </pic:spPr>
                </pic:pic>
              </a:graphicData>
            </a:graphic>
          </wp:anchor>
        </w:drawing>
      </w:r>
      <w:r w:rsidR="00000000">
        <w:rPr>
          <w:b/>
          <w:bCs/>
          <w:sz w:val="32"/>
          <w:szCs w:val="32"/>
        </w:rPr>
        <w:t>Evaluating Communication Style Differences between UK and Japanese Teams in the BAE Systems–Mitsubishi Heavy Industries Global Combat Air Programme Partnership</w:t>
      </w:r>
    </w:p>
    <w:p w14:paraId="349CA75B" w14:textId="77777777" w:rsidR="00AB67EE" w:rsidRDefault="00AB67EE">
      <w:pPr>
        <w:spacing w:after="480" w:line="360" w:lineRule="auto"/>
        <w:jc w:val="center"/>
        <w:rPr>
          <w:b/>
          <w:bCs/>
          <w:sz w:val="32"/>
          <w:szCs w:val="32"/>
        </w:rPr>
      </w:pPr>
    </w:p>
    <w:tbl>
      <w:tblPr>
        <w:tblW w:w="7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4200"/>
      </w:tblGrid>
      <w:tr w:rsidR="00AB67EE" w:rsidRPr="00F66041" w14:paraId="62BFFBD9" w14:textId="77777777" w:rsidTr="00154D04">
        <w:tc>
          <w:tcPr>
            <w:tcW w:w="3000" w:type="dxa"/>
            <w:shd w:val="clear" w:color="auto" w:fill="CAEDFB" w:themeFill="accent4" w:themeFillTint="33"/>
            <w:tcMar>
              <w:top w:w="80" w:type="dxa"/>
              <w:left w:w="120" w:type="dxa"/>
              <w:bottom w:w="80" w:type="dxa"/>
              <w:right w:w="120" w:type="dxa"/>
            </w:tcMar>
          </w:tcPr>
          <w:p w14:paraId="37AFB624" w14:textId="77777777" w:rsidR="00AB67EE" w:rsidRPr="00F66041" w:rsidRDefault="00AB67EE" w:rsidP="00154D04">
            <w:pPr>
              <w:rPr>
                <w:b/>
                <w:bCs/>
              </w:rPr>
            </w:pPr>
            <w:r w:rsidRPr="00F66041">
              <w:rPr>
                <w:b/>
                <w:bCs/>
              </w:rPr>
              <w:t>Student name</w:t>
            </w:r>
          </w:p>
        </w:tc>
        <w:tc>
          <w:tcPr>
            <w:tcW w:w="4200" w:type="dxa"/>
            <w:shd w:val="clear" w:color="auto" w:fill="FFFFFF"/>
            <w:tcMar>
              <w:top w:w="80" w:type="dxa"/>
              <w:left w:w="120" w:type="dxa"/>
              <w:bottom w:w="80" w:type="dxa"/>
              <w:right w:w="120" w:type="dxa"/>
            </w:tcMar>
          </w:tcPr>
          <w:p w14:paraId="6AEB5F9D" w14:textId="77777777" w:rsidR="00AB67EE" w:rsidRPr="00F66041" w:rsidRDefault="00AB67EE" w:rsidP="00154D04">
            <w:r w:rsidRPr="00F66041">
              <w:t>Anamaria Fermesanu</w:t>
            </w:r>
          </w:p>
        </w:tc>
      </w:tr>
      <w:tr w:rsidR="00AB67EE" w:rsidRPr="00F66041" w14:paraId="0D3E59C1" w14:textId="77777777" w:rsidTr="00154D04">
        <w:tc>
          <w:tcPr>
            <w:tcW w:w="3000" w:type="dxa"/>
            <w:shd w:val="clear" w:color="auto" w:fill="CAEDFB" w:themeFill="accent4" w:themeFillTint="33"/>
            <w:tcMar>
              <w:top w:w="80" w:type="dxa"/>
              <w:left w:w="120" w:type="dxa"/>
              <w:bottom w:w="80" w:type="dxa"/>
              <w:right w:w="120" w:type="dxa"/>
            </w:tcMar>
          </w:tcPr>
          <w:p w14:paraId="7A2DB0BC" w14:textId="77777777" w:rsidR="00AB67EE" w:rsidRPr="00F66041" w:rsidRDefault="00AB67EE" w:rsidP="00154D04">
            <w:pPr>
              <w:rPr>
                <w:b/>
                <w:bCs/>
                <w:color w:val="8DD873" w:themeColor="accent6" w:themeTint="99"/>
              </w:rPr>
            </w:pPr>
            <w:r w:rsidRPr="00F66041">
              <w:rPr>
                <w:b/>
                <w:bCs/>
              </w:rPr>
              <w:t>Student ID</w:t>
            </w:r>
          </w:p>
        </w:tc>
        <w:tc>
          <w:tcPr>
            <w:tcW w:w="4200" w:type="dxa"/>
            <w:shd w:val="clear" w:color="auto" w:fill="FFFFFF"/>
            <w:tcMar>
              <w:top w:w="80" w:type="dxa"/>
              <w:left w:w="120" w:type="dxa"/>
              <w:bottom w:w="80" w:type="dxa"/>
              <w:right w:w="120" w:type="dxa"/>
            </w:tcMar>
          </w:tcPr>
          <w:p w14:paraId="45E214A2" w14:textId="77777777" w:rsidR="00AB67EE" w:rsidRPr="00F66041" w:rsidRDefault="00AB67EE" w:rsidP="00154D04">
            <w:r w:rsidRPr="00F66041">
              <w:t>1907760</w:t>
            </w:r>
          </w:p>
        </w:tc>
      </w:tr>
      <w:tr w:rsidR="00AB67EE" w:rsidRPr="00F66041" w14:paraId="3F6CBD74" w14:textId="77777777" w:rsidTr="00154D04">
        <w:tc>
          <w:tcPr>
            <w:tcW w:w="3000" w:type="dxa"/>
            <w:shd w:val="clear" w:color="auto" w:fill="CAEDFB" w:themeFill="accent4" w:themeFillTint="33"/>
            <w:tcMar>
              <w:top w:w="80" w:type="dxa"/>
              <w:left w:w="120" w:type="dxa"/>
              <w:bottom w:w="80" w:type="dxa"/>
              <w:right w:w="120" w:type="dxa"/>
            </w:tcMar>
          </w:tcPr>
          <w:p w14:paraId="2C05FEDB" w14:textId="77777777" w:rsidR="00AB67EE" w:rsidRPr="00F66041" w:rsidRDefault="00AB67EE" w:rsidP="00154D04">
            <w:pPr>
              <w:rPr>
                <w:b/>
                <w:bCs/>
              </w:rPr>
            </w:pPr>
            <w:r w:rsidRPr="00F66041">
              <w:rPr>
                <w:b/>
                <w:bCs/>
              </w:rPr>
              <w:t>Module</w:t>
            </w:r>
          </w:p>
        </w:tc>
        <w:tc>
          <w:tcPr>
            <w:tcW w:w="4200" w:type="dxa"/>
            <w:shd w:val="clear" w:color="auto" w:fill="FFFFFF"/>
            <w:tcMar>
              <w:top w:w="80" w:type="dxa"/>
              <w:left w:w="120" w:type="dxa"/>
              <w:bottom w:w="80" w:type="dxa"/>
              <w:right w:w="120" w:type="dxa"/>
            </w:tcMar>
          </w:tcPr>
          <w:p w14:paraId="7D0EE4CE" w14:textId="17831E56" w:rsidR="00AB67EE" w:rsidRPr="00AB67EE" w:rsidRDefault="00AB67EE" w:rsidP="00154D04">
            <w:pPr>
              <w:rPr>
                <w:bCs/>
              </w:rPr>
            </w:pPr>
            <w:r w:rsidRPr="00AB67EE">
              <w:rPr>
                <w:rFonts w:ascii="Arial" w:hAnsi="Arial" w:cs="Arial"/>
                <w:bCs/>
                <w:sz w:val="22"/>
                <w:szCs w:val="22"/>
              </w:rPr>
              <w:t>International Business Communications</w:t>
            </w:r>
          </w:p>
        </w:tc>
      </w:tr>
      <w:tr w:rsidR="00AB67EE" w:rsidRPr="00F66041" w14:paraId="52DA16FB" w14:textId="77777777" w:rsidTr="00154D04">
        <w:tc>
          <w:tcPr>
            <w:tcW w:w="3000" w:type="dxa"/>
            <w:shd w:val="clear" w:color="auto" w:fill="CAEDFB" w:themeFill="accent4" w:themeFillTint="33"/>
            <w:tcMar>
              <w:top w:w="80" w:type="dxa"/>
              <w:left w:w="120" w:type="dxa"/>
              <w:bottom w:w="80" w:type="dxa"/>
              <w:right w:w="120" w:type="dxa"/>
            </w:tcMar>
          </w:tcPr>
          <w:p w14:paraId="49ACE654" w14:textId="77777777" w:rsidR="00AB67EE" w:rsidRPr="00F66041" w:rsidRDefault="00AB67EE" w:rsidP="00154D04">
            <w:pPr>
              <w:rPr>
                <w:b/>
                <w:bCs/>
              </w:rPr>
            </w:pPr>
            <w:r w:rsidRPr="00F66041">
              <w:rPr>
                <w:b/>
                <w:bCs/>
              </w:rPr>
              <w:t>Module code</w:t>
            </w:r>
          </w:p>
        </w:tc>
        <w:tc>
          <w:tcPr>
            <w:tcW w:w="4200" w:type="dxa"/>
            <w:shd w:val="clear" w:color="auto" w:fill="FFFFFF"/>
            <w:tcMar>
              <w:top w:w="80" w:type="dxa"/>
              <w:left w:w="120" w:type="dxa"/>
              <w:bottom w:w="80" w:type="dxa"/>
              <w:right w:w="120" w:type="dxa"/>
            </w:tcMar>
          </w:tcPr>
          <w:p w14:paraId="090D0088" w14:textId="6A996C20" w:rsidR="00AB67EE" w:rsidRPr="00AB67EE" w:rsidRDefault="00AB67EE" w:rsidP="00154D04">
            <w:pPr>
              <w:rPr>
                <w:bCs/>
              </w:rPr>
            </w:pPr>
            <w:r w:rsidRPr="00AB67EE">
              <w:rPr>
                <w:rFonts w:ascii="Arial" w:hAnsi="Arial" w:cs="Arial"/>
                <w:bCs/>
                <w:sz w:val="22"/>
                <w:szCs w:val="22"/>
              </w:rPr>
              <w:t>LCBB6023</w:t>
            </w:r>
          </w:p>
        </w:tc>
      </w:tr>
      <w:tr w:rsidR="00AB67EE" w:rsidRPr="00F66041" w14:paraId="7F5EF9B0" w14:textId="77777777" w:rsidTr="00154D04">
        <w:tc>
          <w:tcPr>
            <w:tcW w:w="3000" w:type="dxa"/>
            <w:shd w:val="clear" w:color="auto" w:fill="CAEDFB" w:themeFill="accent4" w:themeFillTint="33"/>
            <w:tcMar>
              <w:top w:w="80" w:type="dxa"/>
              <w:left w:w="120" w:type="dxa"/>
              <w:bottom w:w="80" w:type="dxa"/>
              <w:right w:w="120" w:type="dxa"/>
            </w:tcMar>
          </w:tcPr>
          <w:p w14:paraId="13B07028" w14:textId="77777777" w:rsidR="00AB67EE" w:rsidRPr="00F66041" w:rsidRDefault="00AB67EE" w:rsidP="00154D04">
            <w:pPr>
              <w:rPr>
                <w:b/>
                <w:bCs/>
              </w:rPr>
            </w:pPr>
            <w:r w:rsidRPr="00F66041">
              <w:rPr>
                <w:b/>
                <w:bCs/>
              </w:rPr>
              <w:t>Lecturer</w:t>
            </w:r>
          </w:p>
        </w:tc>
        <w:tc>
          <w:tcPr>
            <w:tcW w:w="4200" w:type="dxa"/>
            <w:shd w:val="clear" w:color="auto" w:fill="FFFFFF"/>
            <w:tcMar>
              <w:top w:w="80" w:type="dxa"/>
              <w:left w:w="120" w:type="dxa"/>
              <w:bottom w:w="80" w:type="dxa"/>
              <w:right w:w="120" w:type="dxa"/>
            </w:tcMar>
          </w:tcPr>
          <w:p w14:paraId="72CB6141" w14:textId="6CC12801" w:rsidR="00AB67EE" w:rsidRPr="00AB67EE" w:rsidRDefault="00AB67EE" w:rsidP="00154D04">
            <w:proofErr w:type="spellStart"/>
            <w:r w:rsidRPr="00AB67EE">
              <w:rPr>
                <w:rFonts w:ascii="Arial" w:eastAsia="Arial" w:hAnsi="Arial" w:cs="Arial"/>
                <w:color w:val="000000" w:themeColor="text1"/>
                <w:sz w:val="22"/>
                <w:szCs w:val="22"/>
              </w:rPr>
              <w:t>Rexon</w:t>
            </w:r>
            <w:proofErr w:type="spellEnd"/>
            <w:r w:rsidRPr="00AB67EE">
              <w:rPr>
                <w:rFonts w:ascii="Arial" w:eastAsia="Arial" w:hAnsi="Arial" w:cs="Arial"/>
                <w:color w:val="000000" w:themeColor="text1"/>
                <w:sz w:val="22"/>
                <w:szCs w:val="22"/>
              </w:rPr>
              <w:t xml:space="preserve"> </w:t>
            </w:r>
            <w:proofErr w:type="spellStart"/>
            <w:r w:rsidRPr="00AB67EE">
              <w:rPr>
                <w:rFonts w:ascii="Arial" w:eastAsia="Arial" w:hAnsi="Arial" w:cs="Arial"/>
                <w:color w:val="000000" w:themeColor="text1"/>
                <w:sz w:val="22"/>
                <w:szCs w:val="22"/>
              </w:rPr>
              <w:t>Nting</w:t>
            </w:r>
            <w:proofErr w:type="spellEnd"/>
          </w:p>
        </w:tc>
      </w:tr>
      <w:tr w:rsidR="00AB67EE" w:rsidRPr="00F66041" w14:paraId="5BC89696" w14:textId="77777777" w:rsidTr="00154D04">
        <w:tc>
          <w:tcPr>
            <w:tcW w:w="3000" w:type="dxa"/>
            <w:shd w:val="clear" w:color="auto" w:fill="CAEDFB" w:themeFill="accent4" w:themeFillTint="33"/>
            <w:tcMar>
              <w:top w:w="80" w:type="dxa"/>
              <w:left w:w="120" w:type="dxa"/>
              <w:bottom w:w="80" w:type="dxa"/>
              <w:right w:w="120" w:type="dxa"/>
            </w:tcMar>
          </w:tcPr>
          <w:p w14:paraId="799DD789" w14:textId="77777777" w:rsidR="00AB67EE" w:rsidRPr="00F66041" w:rsidRDefault="00AB67EE" w:rsidP="00154D04">
            <w:pPr>
              <w:rPr>
                <w:b/>
                <w:bCs/>
              </w:rPr>
            </w:pPr>
            <w:r w:rsidRPr="00F66041">
              <w:rPr>
                <w:b/>
                <w:bCs/>
              </w:rPr>
              <w:t>Assignment Title</w:t>
            </w:r>
          </w:p>
        </w:tc>
        <w:tc>
          <w:tcPr>
            <w:tcW w:w="4200" w:type="dxa"/>
            <w:shd w:val="clear" w:color="auto" w:fill="FFFFFF" w:themeFill="background1"/>
            <w:tcMar>
              <w:top w:w="80" w:type="dxa"/>
              <w:left w:w="120" w:type="dxa"/>
              <w:bottom w:w="80" w:type="dxa"/>
              <w:right w:w="120" w:type="dxa"/>
            </w:tcMar>
          </w:tcPr>
          <w:p w14:paraId="376293B0" w14:textId="267FF23A" w:rsidR="00AB67EE" w:rsidRPr="00AB67EE" w:rsidRDefault="00AB67EE" w:rsidP="00AB67EE">
            <w:pPr>
              <w:spacing w:before="120" w:after="120"/>
              <w:jc w:val="both"/>
              <w:rPr>
                <w:rFonts w:ascii="Arial" w:hAnsi="Arial" w:cs="Arial"/>
                <w:sz w:val="22"/>
                <w:szCs w:val="22"/>
              </w:rPr>
            </w:pPr>
            <w:r w:rsidRPr="00AB67EE">
              <w:rPr>
                <w:rFonts w:ascii="Arial" w:hAnsi="Arial" w:cs="Arial"/>
                <w:sz w:val="22"/>
                <w:szCs w:val="22"/>
              </w:rPr>
              <w:t>Component 2: Coursework</w:t>
            </w:r>
            <w:r>
              <w:rPr>
                <w:rFonts w:ascii="Arial" w:hAnsi="Arial" w:cs="Arial"/>
                <w:sz w:val="22"/>
                <w:szCs w:val="22"/>
              </w:rPr>
              <w:t xml:space="preserve"> </w:t>
            </w:r>
            <w:r w:rsidRPr="00AB67EE">
              <w:rPr>
                <w:rFonts w:ascii="Arial" w:hAnsi="Arial" w:cs="Arial"/>
                <w:sz w:val="22"/>
                <w:szCs w:val="22"/>
              </w:rPr>
              <w:t>Essay</w:t>
            </w:r>
          </w:p>
        </w:tc>
      </w:tr>
    </w:tbl>
    <w:p w14:paraId="2705031D" w14:textId="77777777" w:rsidR="00AB67EE" w:rsidRDefault="00AB67EE">
      <w:pPr>
        <w:spacing w:after="480" w:line="360" w:lineRule="auto"/>
        <w:jc w:val="center"/>
        <w:rPr>
          <w:b/>
          <w:bCs/>
          <w:sz w:val="32"/>
          <w:szCs w:val="32"/>
        </w:rPr>
      </w:pPr>
    </w:p>
    <w:p w14:paraId="1006C3E5" w14:textId="77777777" w:rsidR="00AB67EE" w:rsidRDefault="00AB67EE">
      <w:pPr>
        <w:spacing w:after="480" w:line="360" w:lineRule="auto"/>
        <w:jc w:val="center"/>
        <w:rPr>
          <w:b/>
          <w:bCs/>
          <w:sz w:val="32"/>
          <w:szCs w:val="32"/>
        </w:rPr>
      </w:pPr>
    </w:p>
    <w:p w14:paraId="09719A42" w14:textId="77777777" w:rsidR="00AB67EE" w:rsidRDefault="00AB67EE">
      <w:pPr>
        <w:spacing w:after="480" w:line="360" w:lineRule="auto"/>
        <w:jc w:val="center"/>
        <w:rPr>
          <w:b/>
          <w:bCs/>
          <w:sz w:val="32"/>
          <w:szCs w:val="32"/>
        </w:rPr>
      </w:pPr>
    </w:p>
    <w:p w14:paraId="7B7E7A5C" w14:textId="77777777" w:rsidR="00AB67EE" w:rsidRDefault="00AB67EE">
      <w:pPr>
        <w:spacing w:after="480" w:line="360" w:lineRule="auto"/>
        <w:jc w:val="center"/>
        <w:rPr>
          <w:b/>
          <w:bCs/>
          <w:sz w:val="32"/>
          <w:szCs w:val="32"/>
        </w:rPr>
      </w:pPr>
    </w:p>
    <w:p w14:paraId="4BADC882" w14:textId="77777777" w:rsidR="00AB67EE" w:rsidRDefault="00AB67EE">
      <w:pPr>
        <w:spacing w:after="480" w:line="360" w:lineRule="auto"/>
        <w:jc w:val="center"/>
        <w:rPr>
          <w:b/>
          <w:bCs/>
          <w:sz w:val="32"/>
          <w:szCs w:val="32"/>
        </w:rPr>
      </w:pPr>
    </w:p>
    <w:p w14:paraId="62E664DB" w14:textId="77777777" w:rsidR="00605126" w:rsidRDefault="00000000">
      <w:pPr>
        <w:pStyle w:val="Heading1"/>
        <w:spacing w:before="360" w:after="240" w:line="360" w:lineRule="auto"/>
      </w:pPr>
      <w:bookmarkStart w:id="0" w:name="_Toc237851367"/>
      <w:r>
        <w:rPr>
          <w:b/>
          <w:bCs/>
          <w:color w:val="000000"/>
          <w:sz w:val="28"/>
          <w:szCs w:val="28"/>
        </w:rPr>
        <w:lastRenderedPageBreak/>
        <w:t>Table of Contents</w:t>
      </w:r>
      <w:bookmarkEnd w:id="0"/>
    </w:p>
    <w:sdt>
      <w:sdtPr>
        <w:alias w:val="Table of Contents"/>
        <w:id w:val="-1529022682"/>
      </w:sdtPr>
      <w:sdtContent>
        <w:p w14:paraId="57D395E2" w14:textId="6B2D2356" w:rsidR="00AB67EE" w:rsidRDefault="00000000">
          <w:pPr>
            <w:pStyle w:val="TOC1"/>
            <w:tabs>
              <w:tab w:val="right" w:leader="dot" w:pos="9016"/>
            </w:tabs>
            <w:rPr>
              <w:noProof/>
            </w:rPr>
          </w:pPr>
          <w:r>
            <w:fldChar w:fldCharType="begin"/>
          </w:r>
          <w:r>
            <w:instrText>TOC \h \o "1-2"</w:instrText>
          </w:r>
          <w:r>
            <w:fldChar w:fldCharType="separate"/>
          </w:r>
          <w:hyperlink w:anchor="_Toc237851367" w:history="1">
            <w:r w:rsidR="00AB67EE" w:rsidRPr="007D42CE">
              <w:rPr>
                <w:rStyle w:val="Hyperlink"/>
                <w:b/>
                <w:bCs/>
                <w:noProof/>
              </w:rPr>
              <w:t>Table of Contents</w:t>
            </w:r>
            <w:r w:rsidR="00AB67EE">
              <w:rPr>
                <w:noProof/>
              </w:rPr>
              <w:tab/>
            </w:r>
            <w:r w:rsidR="00AB67EE">
              <w:rPr>
                <w:noProof/>
              </w:rPr>
              <w:fldChar w:fldCharType="begin"/>
            </w:r>
            <w:r w:rsidR="00AB67EE">
              <w:rPr>
                <w:noProof/>
              </w:rPr>
              <w:instrText xml:space="preserve"> PAGEREF _Toc237851367 \h </w:instrText>
            </w:r>
            <w:r w:rsidR="00AB67EE">
              <w:rPr>
                <w:noProof/>
              </w:rPr>
            </w:r>
            <w:r w:rsidR="00AB67EE">
              <w:rPr>
                <w:noProof/>
              </w:rPr>
              <w:fldChar w:fldCharType="separate"/>
            </w:r>
            <w:r w:rsidR="00AB67EE">
              <w:rPr>
                <w:noProof/>
              </w:rPr>
              <w:t>2</w:t>
            </w:r>
            <w:r w:rsidR="00AB67EE">
              <w:rPr>
                <w:noProof/>
              </w:rPr>
              <w:fldChar w:fldCharType="end"/>
            </w:r>
          </w:hyperlink>
        </w:p>
        <w:p w14:paraId="6B29E4C7" w14:textId="60C121B2" w:rsidR="00AB67EE" w:rsidRDefault="00AB67EE">
          <w:pPr>
            <w:pStyle w:val="TOC1"/>
            <w:tabs>
              <w:tab w:val="right" w:leader="dot" w:pos="9016"/>
            </w:tabs>
            <w:rPr>
              <w:noProof/>
            </w:rPr>
          </w:pPr>
          <w:hyperlink w:anchor="_Toc237851368" w:history="1">
            <w:r w:rsidRPr="007D42CE">
              <w:rPr>
                <w:rStyle w:val="Hyperlink"/>
                <w:b/>
                <w:bCs/>
                <w:noProof/>
              </w:rPr>
              <w:t>1. Introduction</w:t>
            </w:r>
            <w:r>
              <w:rPr>
                <w:noProof/>
              </w:rPr>
              <w:tab/>
            </w:r>
            <w:r>
              <w:rPr>
                <w:noProof/>
              </w:rPr>
              <w:fldChar w:fldCharType="begin"/>
            </w:r>
            <w:r>
              <w:rPr>
                <w:noProof/>
              </w:rPr>
              <w:instrText xml:space="preserve"> PAGEREF _Toc237851368 \h </w:instrText>
            </w:r>
            <w:r>
              <w:rPr>
                <w:noProof/>
              </w:rPr>
            </w:r>
            <w:r>
              <w:rPr>
                <w:noProof/>
              </w:rPr>
              <w:fldChar w:fldCharType="separate"/>
            </w:r>
            <w:r>
              <w:rPr>
                <w:noProof/>
              </w:rPr>
              <w:t>3</w:t>
            </w:r>
            <w:r>
              <w:rPr>
                <w:noProof/>
              </w:rPr>
              <w:fldChar w:fldCharType="end"/>
            </w:r>
          </w:hyperlink>
        </w:p>
        <w:p w14:paraId="413A92CA" w14:textId="03DE0C57" w:rsidR="00AB67EE" w:rsidRDefault="00AB67EE">
          <w:pPr>
            <w:pStyle w:val="TOC1"/>
            <w:tabs>
              <w:tab w:val="right" w:leader="dot" w:pos="9016"/>
            </w:tabs>
            <w:rPr>
              <w:noProof/>
            </w:rPr>
          </w:pPr>
          <w:hyperlink w:anchor="_Toc237851369" w:history="1">
            <w:r w:rsidRPr="007D42CE">
              <w:rPr>
                <w:rStyle w:val="Hyperlink"/>
                <w:b/>
                <w:bCs/>
                <w:noProof/>
              </w:rPr>
              <w:t>2. The Partnership in Context</w:t>
            </w:r>
            <w:r>
              <w:rPr>
                <w:noProof/>
              </w:rPr>
              <w:tab/>
            </w:r>
            <w:r>
              <w:rPr>
                <w:noProof/>
              </w:rPr>
              <w:fldChar w:fldCharType="begin"/>
            </w:r>
            <w:r>
              <w:rPr>
                <w:noProof/>
              </w:rPr>
              <w:instrText xml:space="preserve"> PAGEREF _Toc237851369 \h </w:instrText>
            </w:r>
            <w:r>
              <w:rPr>
                <w:noProof/>
              </w:rPr>
            </w:r>
            <w:r>
              <w:rPr>
                <w:noProof/>
              </w:rPr>
              <w:fldChar w:fldCharType="separate"/>
            </w:r>
            <w:r>
              <w:rPr>
                <w:noProof/>
              </w:rPr>
              <w:t>4</w:t>
            </w:r>
            <w:r>
              <w:rPr>
                <w:noProof/>
              </w:rPr>
              <w:fldChar w:fldCharType="end"/>
            </w:r>
          </w:hyperlink>
        </w:p>
        <w:p w14:paraId="7F1E29D1" w14:textId="2FF61FF6" w:rsidR="00AB67EE" w:rsidRDefault="00AB67EE">
          <w:pPr>
            <w:pStyle w:val="TOC2"/>
            <w:tabs>
              <w:tab w:val="right" w:leader="dot" w:pos="9016"/>
            </w:tabs>
            <w:rPr>
              <w:noProof/>
            </w:rPr>
          </w:pPr>
          <w:hyperlink w:anchor="_Toc237851370" w:history="1">
            <w:r w:rsidRPr="007D42CE">
              <w:rPr>
                <w:rStyle w:val="Hyperlink"/>
                <w:b/>
                <w:bCs/>
                <w:noProof/>
              </w:rPr>
              <w:t>2.1 The market and the moment</w:t>
            </w:r>
            <w:r>
              <w:rPr>
                <w:noProof/>
              </w:rPr>
              <w:tab/>
            </w:r>
            <w:r>
              <w:rPr>
                <w:noProof/>
              </w:rPr>
              <w:fldChar w:fldCharType="begin"/>
            </w:r>
            <w:r>
              <w:rPr>
                <w:noProof/>
              </w:rPr>
              <w:instrText xml:space="preserve"> PAGEREF _Toc237851370 \h </w:instrText>
            </w:r>
            <w:r>
              <w:rPr>
                <w:noProof/>
              </w:rPr>
            </w:r>
            <w:r>
              <w:rPr>
                <w:noProof/>
              </w:rPr>
              <w:fldChar w:fldCharType="separate"/>
            </w:r>
            <w:r>
              <w:rPr>
                <w:noProof/>
              </w:rPr>
              <w:t>4</w:t>
            </w:r>
            <w:r>
              <w:rPr>
                <w:noProof/>
              </w:rPr>
              <w:fldChar w:fldCharType="end"/>
            </w:r>
          </w:hyperlink>
        </w:p>
        <w:p w14:paraId="43374058" w14:textId="57818230" w:rsidR="00AB67EE" w:rsidRDefault="00AB67EE">
          <w:pPr>
            <w:pStyle w:val="TOC2"/>
            <w:tabs>
              <w:tab w:val="right" w:leader="dot" w:pos="9016"/>
            </w:tabs>
            <w:rPr>
              <w:noProof/>
            </w:rPr>
          </w:pPr>
          <w:hyperlink w:anchor="_Toc237851371" w:history="1">
            <w:r w:rsidRPr="007D42CE">
              <w:rPr>
                <w:rStyle w:val="Hyperlink"/>
                <w:b/>
                <w:bCs/>
                <w:noProof/>
              </w:rPr>
              <w:t>2.2 Two companies, two corporate worlds</w:t>
            </w:r>
            <w:r>
              <w:rPr>
                <w:noProof/>
              </w:rPr>
              <w:tab/>
            </w:r>
            <w:r>
              <w:rPr>
                <w:noProof/>
              </w:rPr>
              <w:fldChar w:fldCharType="begin"/>
            </w:r>
            <w:r>
              <w:rPr>
                <w:noProof/>
              </w:rPr>
              <w:instrText xml:space="preserve"> PAGEREF _Toc237851371 \h </w:instrText>
            </w:r>
            <w:r>
              <w:rPr>
                <w:noProof/>
              </w:rPr>
            </w:r>
            <w:r>
              <w:rPr>
                <w:noProof/>
              </w:rPr>
              <w:fldChar w:fldCharType="separate"/>
            </w:r>
            <w:r>
              <w:rPr>
                <w:noProof/>
              </w:rPr>
              <w:t>4</w:t>
            </w:r>
            <w:r>
              <w:rPr>
                <w:noProof/>
              </w:rPr>
              <w:fldChar w:fldCharType="end"/>
            </w:r>
          </w:hyperlink>
        </w:p>
        <w:p w14:paraId="39AC4EC1" w14:textId="3E08DFAB" w:rsidR="00AB67EE" w:rsidRDefault="00AB67EE">
          <w:pPr>
            <w:pStyle w:val="TOC1"/>
            <w:tabs>
              <w:tab w:val="right" w:leader="dot" w:pos="9016"/>
            </w:tabs>
            <w:rPr>
              <w:noProof/>
            </w:rPr>
          </w:pPr>
          <w:hyperlink w:anchor="_Toc237851372" w:history="1">
            <w:r w:rsidRPr="007D42CE">
              <w:rPr>
                <w:rStyle w:val="Hyperlink"/>
                <w:b/>
                <w:bCs/>
                <w:noProof/>
              </w:rPr>
              <w:t>3. Theoretical Foundations</w:t>
            </w:r>
            <w:r>
              <w:rPr>
                <w:noProof/>
              </w:rPr>
              <w:tab/>
            </w:r>
            <w:r>
              <w:rPr>
                <w:noProof/>
              </w:rPr>
              <w:fldChar w:fldCharType="begin"/>
            </w:r>
            <w:r>
              <w:rPr>
                <w:noProof/>
              </w:rPr>
              <w:instrText xml:space="preserve"> PAGEREF _Toc237851372 \h </w:instrText>
            </w:r>
            <w:r>
              <w:rPr>
                <w:noProof/>
              </w:rPr>
            </w:r>
            <w:r>
              <w:rPr>
                <w:noProof/>
              </w:rPr>
              <w:fldChar w:fldCharType="separate"/>
            </w:r>
            <w:r>
              <w:rPr>
                <w:noProof/>
              </w:rPr>
              <w:t>5</w:t>
            </w:r>
            <w:r>
              <w:rPr>
                <w:noProof/>
              </w:rPr>
              <w:fldChar w:fldCharType="end"/>
            </w:r>
          </w:hyperlink>
        </w:p>
        <w:p w14:paraId="22561356" w14:textId="4F5D0AD1" w:rsidR="00AB67EE" w:rsidRDefault="00AB67EE">
          <w:pPr>
            <w:pStyle w:val="TOC2"/>
            <w:tabs>
              <w:tab w:val="right" w:leader="dot" w:pos="9016"/>
            </w:tabs>
            <w:rPr>
              <w:noProof/>
            </w:rPr>
          </w:pPr>
          <w:hyperlink w:anchor="_Toc237851373" w:history="1">
            <w:r w:rsidRPr="007D42CE">
              <w:rPr>
                <w:rStyle w:val="Hyperlink"/>
                <w:b/>
                <w:bCs/>
                <w:noProof/>
              </w:rPr>
              <w:t>3.1 Hofstede’s cultural dimensions</w:t>
            </w:r>
            <w:r>
              <w:rPr>
                <w:noProof/>
              </w:rPr>
              <w:tab/>
            </w:r>
            <w:r>
              <w:rPr>
                <w:noProof/>
              </w:rPr>
              <w:fldChar w:fldCharType="begin"/>
            </w:r>
            <w:r>
              <w:rPr>
                <w:noProof/>
              </w:rPr>
              <w:instrText xml:space="preserve"> PAGEREF _Toc237851373 \h </w:instrText>
            </w:r>
            <w:r>
              <w:rPr>
                <w:noProof/>
              </w:rPr>
            </w:r>
            <w:r>
              <w:rPr>
                <w:noProof/>
              </w:rPr>
              <w:fldChar w:fldCharType="separate"/>
            </w:r>
            <w:r>
              <w:rPr>
                <w:noProof/>
              </w:rPr>
              <w:t>5</w:t>
            </w:r>
            <w:r>
              <w:rPr>
                <w:noProof/>
              </w:rPr>
              <w:fldChar w:fldCharType="end"/>
            </w:r>
          </w:hyperlink>
        </w:p>
        <w:p w14:paraId="5B30A02F" w14:textId="7F90A3AA" w:rsidR="00AB67EE" w:rsidRDefault="00AB67EE">
          <w:pPr>
            <w:pStyle w:val="TOC2"/>
            <w:tabs>
              <w:tab w:val="right" w:leader="dot" w:pos="9016"/>
            </w:tabs>
            <w:rPr>
              <w:noProof/>
            </w:rPr>
          </w:pPr>
          <w:hyperlink w:anchor="_Toc237851374" w:history="1">
            <w:r w:rsidRPr="007D42CE">
              <w:rPr>
                <w:rStyle w:val="Hyperlink"/>
                <w:b/>
                <w:bCs/>
                <w:noProof/>
              </w:rPr>
              <w:t>3.2 Hall’s high-context and low-context communication</w:t>
            </w:r>
            <w:r>
              <w:rPr>
                <w:noProof/>
              </w:rPr>
              <w:tab/>
            </w:r>
            <w:r>
              <w:rPr>
                <w:noProof/>
              </w:rPr>
              <w:fldChar w:fldCharType="begin"/>
            </w:r>
            <w:r>
              <w:rPr>
                <w:noProof/>
              </w:rPr>
              <w:instrText xml:space="preserve"> PAGEREF _Toc237851374 \h </w:instrText>
            </w:r>
            <w:r>
              <w:rPr>
                <w:noProof/>
              </w:rPr>
            </w:r>
            <w:r>
              <w:rPr>
                <w:noProof/>
              </w:rPr>
              <w:fldChar w:fldCharType="separate"/>
            </w:r>
            <w:r>
              <w:rPr>
                <w:noProof/>
              </w:rPr>
              <w:t>6</w:t>
            </w:r>
            <w:r>
              <w:rPr>
                <w:noProof/>
              </w:rPr>
              <w:fldChar w:fldCharType="end"/>
            </w:r>
          </w:hyperlink>
        </w:p>
        <w:p w14:paraId="737E1206" w14:textId="3B116A3D" w:rsidR="00AB67EE" w:rsidRDefault="00AB67EE">
          <w:pPr>
            <w:pStyle w:val="TOC2"/>
            <w:tabs>
              <w:tab w:val="right" w:leader="dot" w:pos="9016"/>
            </w:tabs>
            <w:rPr>
              <w:noProof/>
            </w:rPr>
          </w:pPr>
          <w:hyperlink w:anchor="_Toc237851375" w:history="1">
            <w:r w:rsidRPr="007D42CE">
              <w:rPr>
                <w:rStyle w:val="Hyperlink"/>
                <w:b/>
                <w:bCs/>
                <w:noProof/>
              </w:rPr>
              <w:t>3.3 Trompenaars and Hampden-Turner’s seven dimensions of culture</w:t>
            </w:r>
            <w:r>
              <w:rPr>
                <w:noProof/>
              </w:rPr>
              <w:tab/>
            </w:r>
            <w:r>
              <w:rPr>
                <w:noProof/>
              </w:rPr>
              <w:fldChar w:fldCharType="begin"/>
            </w:r>
            <w:r>
              <w:rPr>
                <w:noProof/>
              </w:rPr>
              <w:instrText xml:space="preserve"> PAGEREF _Toc237851375 \h </w:instrText>
            </w:r>
            <w:r>
              <w:rPr>
                <w:noProof/>
              </w:rPr>
            </w:r>
            <w:r>
              <w:rPr>
                <w:noProof/>
              </w:rPr>
              <w:fldChar w:fldCharType="separate"/>
            </w:r>
            <w:r>
              <w:rPr>
                <w:noProof/>
              </w:rPr>
              <w:t>7</w:t>
            </w:r>
            <w:r>
              <w:rPr>
                <w:noProof/>
              </w:rPr>
              <w:fldChar w:fldCharType="end"/>
            </w:r>
          </w:hyperlink>
        </w:p>
        <w:p w14:paraId="4686600C" w14:textId="044838BB" w:rsidR="00AB67EE" w:rsidRDefault="00AB67EE">
          <w:pPr>
            <w:pStyle w:val="TOC2"/>
            <w:tabs>
              <w:tab w:val="right" w:leader="dot" w:pos="9016"/>
            </w:tabs>
            <w:rPr>
              <w:noProof/>
            </w:rPr>
          </w:pPr>
          <w:hyperlink w:anchor="_Toc237851376" w:history="1">
            <w:r w:rsidRPr="007D42CE">
              <w:rPr>
                <w:rStyle w:val="Hyperlink"/>
                <w:b/>
                <w:bCs/>
                <w:noProof/>
              </w:rPr>
              <w:t>3.4 Meyer’s Culture Map</w:t>
            </w:r>
            <w:r>
              <w:rPr>
                <w:noProof/>
              </w:rPr>
              <w:tab/>
            </w:r>
            <w:r>
              <w:rPr>
                <w:noProof/>
              </w:rPr>
              <w:fldChar w:fldCharType="begin"/>
            </w:r>
            <w:r>
              <w:rPr>
                <w:noProof/>
              </w:rPr>
              <w:instrText xml:space="preserve"> PAGEREF _Toc237851376 \h </w:instrText>
            </w:r>
            <w:r>
              <w:rPr>
                <w:noProof/>
              </w:rPr>
            </w:r>
            <w:r>
              <w:rPr>
                <w:noProof/>
              </w:rPr>
              <w:fldChar w:fldCharType="separate"/>
            </w:r>
            <w:r>
              <w:rPr>
                <w:noProof/>
              </w:rPr>
              <w:t>7</w:t>
            </w:r>
            <w:r>
              <w:rPr>
                <w:noProof/>
              </w:rPr>
              <w:fldChar w:fldCharType="end"/>
            </w:r>
          </w:hyperlink>
        </w:p>
        <w:p w14:paraId="2C1F8D8B" w14:textId="7CE21E5C" w:rsidR="00AB67EE" w:rsidRDefault="00AB67EE">
          <w:pPr>
            <w:pStyle w:val="TOC1"/>
            <w:tabs>
              <w:tab w:val="right" w:leader="dot" w:pos="9016"/>
            </w:tabs>
            <w:rPr>
              <w:noProof/>
            </w:rPr>
          </w:pPr>
          <w:hyperlink w:anchor="_Toc237851377" w:history="1">
            <w:r w:rsidRPr="007D42CE">
              <w:rPr>
                <w:rStyle w:val="Hyperlink"/>
                <w:b/>
                <w:bCs/>
                <w:noProof/>
              </w:rPr>
              <w:t>4. Evaluating Communication Differences in the Joint Teams</w:t>
            </w:r>
            <w:r>
              <w:rPr>
                <w:noProof/>
              </w:rPr>
              <w:tab/>
            </w:r>
            <w:r>
              <w:rPr>
                <w:noProof/>
              </w:rPr>
              <w:fldChar w:fldCharType="begin"/>
            </w:r>
            <w:r>
              <w:rPr>
                <w:noProof/>
              </w:rPr>
              <w:instrText xml:space="preserve"> PAGEREF _Toc237851377 \h </w:instrText>
            </w:r>
            <w:r>
              <w:rPr>
                <w:noProof/>
              </w:rPr>
            </w:r>
            <w:r>
              <w:rPr>
                <w:noProof/>
              </w:rPr>
              <w:fldChar w:fldCharType="separate"/>
            </w:r>
            <w:r>
              <w:rPr>
                <w:noProof/>
              </w:rPr>
              <w:t>8</w:t>
            </w:r>
            <w:r>
              <w:rPr>
                <w:noProof/>
              </w:rPr>
              <w:fldChar w:fldCharType="end"/>
            </w:r>
          </w:hyperlink>
        </w:p>
        <w:p w14:paraId="5185D786" w14:textId="4F708755" w:rsidR="00AB67EE" w:rsidRDefault="00AB67EE">
          <w:pPr>
            <w:pStyle w:val="TOC2"/>
            <w:tabs>
              <w:tab w:val="right" w:leader="dot" w:pos="9016"/>
            </w:tabs>
            <w:rPr>
              <w:noProof/>
            </w:rPr>
          </w:pPr>
          <w:hyperlink w:anchor="_Toc237851378" w:history="1">
            <w:r w:rsidRPr="007D42CE">
              <w:rPr>
                <w:rStyle w:val="Hyperlink"/>
                <w:b/>
                <w:bCs/>
                <w:noProof/>
              </w:rPr>
              <w:t>4.1 Directness, silence and the meaning of “yes”</w:t>
            </w:r>
            <w:r>
              <w:rPr>
                <w:noProof/>
              </w:rPr>
              <w:tab/>
            </w:r>
            <w:r>
              <w:rPr>
                <w:noProof/>
              </w:rPr>
              <w:fldChar w:fldCharType="begin"/>
            </w:r>
            <w:r>
              <w:rPr>
                <w:noProof/>
              </w:rPr>
              <w:instrText xml:space="preserve"> PAGEREF _Toc237851378 \h </w:instrText>
            </w:r>
            <w:r>
              <w:rPr>
                <w:noProof/>
              </w:rPr>
            </w:r>
            <w:r>
              <w:rPr>
                <w:noProof/>
              </w:rPr>
              <w:fldChar w:fldCharType="separate"/>
            </w:r>
            <w:r>
              <w:rPr>
                <w:noProof/>
              </w:rPr>
              <w:t>8</w:t>
            </w:r>
            <w:r>
              <w:rPr>
                <w:noProof/>
              </w:rPr>
              <w:fldChar w:fldCharType="end"/>
            </w:r>
          </w:hyperlink>
        </w:p>
        <w:p w14:paraId="16AA1B34" w14:textId="6F4C1884" w:rsidR="00AB67EE" w:rsidRDefault="00AB67EE">
          <w:pPr>
            <w:pStyle w:val="TOC2"/>
            <w:tabs>
              <w:tab w:val="right" w:leader="dot" w:pos="9016"/>
            </w:tabs>
            <w:rPr>
              <w:noProof/>
            </w:rPr>
          </w:pPr>
          <w:hyperlink w:anchor="_Toc237851379" w:history="1">
            <w:r w:rsidRPr="007D42CE">
              <w:rPr>
                <w:rStyle w:val="Hyperlink"/>
                <w:b/>
                <w:bCs/>
                <w:noProof/>
              </w:rPr>
              <w:t>4.2 Decision-making: consensus versus accountability</w:t>
            </w:r>
            <w:r>
              <w:rPr>
                <w:noProof/>
              </w:rPr>
              <w:tab/>
            </w:r>
            <w:r>
              <w:rPr>
                <w:noProof/>
              </w:rPr>
              <w:fldChar w:fldCharType="begin"/>
            </w:r>
            <w:r>
              <w:rPr>
                <w:noProof/>
              </w:rPr>
              <w:instrText xml:space="preserve"> PAGEREF _Toc237851379 \h </w:instrText>
            </w:r>
            <w:r>
              <w:rPr>
                <w:noProof/>
              </w:rPr>
            </w:r>
            <w:r>
              <w:rPr>
                <w:noProof/>
              </w:rPr>
              <w:fldChar w:fldCharType="separate"/>
            </w:r>
            <w:r>
              <w:rPr>
                <w:noProof/>
              </w:rPr>
              <w:t>9</w:t>
            </w:r>
            <w:r>
              <w:rPr>
                <w:noProof/>
              </w:rPr>
              <w:fldChar w:fldCharType="end"/>
            </w:r>
          </w:hyperlink>
        </w:p>
        <w:p w14:paraId="16E26678" w14:textId="4BC37478" w:rsidR="00AB67EE" w:rsidRDefault="00AB67EE">
          <w:pPr>
            <w:pStyle w:val="TOC2"/>
            <w:tabs>
              <w:tab w:val="right" w:leader="dot" w:pos="9016"/>
            </w:tabs>
            <w:rPr>
              <w:noProof/>
            </w:rPr>
          </w:pPr>
          <w:hyperlink w:anchor="_Toc237851380" w:history="1">
            <w:r w:rsidRPr="007D42CE">
              <w:rPr>
                <w:rStyle w:val="Hyperlink"/>
                <w:b/>
                <w:bCs/>
                <w:noProof/>
              </w:rPr>
              <w:t>4.3 Hierarchy, meetings and the management of face</w:t>
            </w:r>
            <w:r>
              <w:rPr>
                <w:noProof/>
              </w:rPr>
              <w:tab/>
            </w:r>
            <w:r>
              <w:rPr>
                <w:noProof/>
              </w:rPr>
              <w:fldChar w:fldCharType="begin"/>
            </w:r>
            <w:r>
              <w:rPr>
                <w:noProof/>
              </w:rPr>
              <w:instrText xml:space="preserve"> PAGEREF _Toc237851380 \h </w:instrText>
            </w:r>
            <w:r>
              <w:rPr>
                <w:noProof/>
              </w:rPr>
            </w:r>
            <w:r>
              <w:rPr>
                <w:noProof/>
              </w:rPr>
              <w:fldChar w:fldCharType="separate"/>
            </w:r>
            <w:r>
              <w:rPr>
                <w:noProof/>
              </w:rPr>
              <w:t>10</w:t>
            </w:r>
            <w:r>
              <w:rPr>
                <w:noProof/>
              </w:rPr>
              <w:fldChar w:fldCharType="end"/>
            </w:r>
          </w:hyperlink>
        </w:p>
        <w:p w14:paraId="0681D580" w14:textId="6119A5B0" w:rsidR="00AB67EE" w:rsidRDefault="00AB67EE">
          <w:pPr>
            <w:pStyle w:val="TOC2"/>
            <w:tabs>
              <w:tab w:val="right" w:leader="dot" w:pos="9016"/>
            </w:tabs>
            <w:rPr>
              <w:noProof/>
            </w:rPr>
          </w:pPr>
          <w:hyperlink w:anchor="_Toc237851381" w:history="1">
            <w:r w:rsidRPr="007D42CE">
              <w:rPr>
                <w:rStyle w:val="Hyperlink"/>
                <w:b/>
                <w:bCs/>
                <w:noProof/>
              </w:rPr>
              <w:t>4.4 Language, distance and the digital layer</w:t>
            </w:r>
            <w:r>
              <w:rPr>
                <w:noProof/>
              </w:rPr>
              <w:tab/>
            </w:r>
            <w:r>
              <w:rPr>
                <w:noProof/>
              </w:rPr>
              <w:fldChar w:fldCharType="begin"/>
            </w:r>
            <w:r>
              <w:rPr>
                <w:noProof/>
              </w:rPr>
              <w:instrText xml:space="preserve"> PAGEREF _Toc237851381 \h </w:instrText>
            </w:r>
            <w:r>
              <w:rPr>
                <w:noProof/>
              </w:rPr>
            </w:r>
            <w:r>
              <w:rPr>
                <w:noProof/>
              </w:rPr>
              <w:fldChar w:fldCharType="separate"/>
            </w:r>
            <w:r>
              <w:rPr>
                <w:noProof/>
              </w:rPr>
              <w:t>11</w:t>
            </w:r>
            <w:r>
              <w:rPr>
                <w:noProof/>
              </w:rPr>
              <w:fldChar w:fldCharType="end"/>
            </w:r>
          </w:hyperlink>
        </w:p>
        <w:p w14:paraId="3DE8430D" w14:textId="15A25A20" w:rsidR="00AB67EE" w:rsidRDefault="00AB67EE">
          <w:pPr>
            <w:pStyle w:val="TOC1"/>
            <w:tabs>
              <w:tab w:val="right" w:leader="dot" w:pos="9016"/>
            </w:tabs>
            <w:rPr>
              <w:noProof/>
            </w:rPr>
          </w:pPr>
          <w:hyperlink w:anchor="_Toc237851382" w:history="1">
            <w:r w:rsidRPr="007D42CE">
              <w:rPr>
                <w:rStyle w:val="Hyperlink"/>
                <w:b/>
                <w:bCs/>
                <w:noProof/>
              </w:rPr>
              <w:t>5. The Limits of the Frameworks</w:t>
            </w:r>
            <w:r>
              <w:rPr>
                <w:noProof/>
              </w:rPr>
              <w:tab/>
            </w:r>
            <w:r>
              <w:rPr>
                <w:noProof/>
              </w:rPr>
              <w:fldChar w:fldCharType="begin"/>
            </w:r>
            <w:r>
              <w:rPr>
                <w:noProof/>
              </w:rPr>
              <w:instrText xml:space="preserve"> PAGEREF _Toc237851382 \h </w:instrText>
            </w:r>
            <w:r>
              <w:rPr>
                <w:noProof/>
              </w:rPr>
            </w:r>
            <w:r>
              <w:rPr>
                <w:noProof/>
              </w:rPr>
              <w:fldChar w:fldCharType="separate"/>
            </w:r>
            <w:r>
              <w:rPr>
                <w:noProof/>
              </w:rPr>
              <w:t>12</w:t>
            </w:r>
            <w:r>
              <w:rPr>
                <w:noProof/>
              </w:rPr>
              <w:fldChar w:fldCharType="end"/>
            </w:r>
          </w:hyperlink>
        </w:p>
        <w:p w14:paraId="1261225E" w14:textId="0B7ABE3A" w:rsidR="00AB67EE" w:rsidRDefault="00AB67EE">
          <w:pPr>
            <w:pStyle w:val="TOC1"/>
            <w:tabs>
              <w:tab w:val="right" w:leader="dot" w:pos="9016"/>
            </w:tabs>
            <w:rPr>
              <w:noProof/>
            </w:rPr>
          </w:pPr>
          <w:hyperlink w:anchor="_Toc237851383" w:history="1">
            <w:r w:rsidRPr="007D42CE">
              <w:rPr>
                <w:rStyle w:val="Hyperlink"/>
                <w:b/>
                <w:bCs/>
                <w:noProof/>
              </w:rPr>
              <w:t>6. Building a Third Culture: Practical Implications</w:t>
            </w:r>
            <w:r>
              <w:rPr>
                <w:noProof/>
              </w:rPr>
              <w:tab/>
            </w:r>
            <w:r>
              <w:rPr>
                <w:noProof/>
              </w:rPr>
              <w:fldChar w:fldCharType="begin"/>
            </w:r>
            <w:r>
              <w:rPr>
                <w:noProof/>
              </w:rPr>
              <w:instrText xml:space="preserve"> PAGEREF _Toc237851383 \h </w:instrText>
            </w:r>
            <w:r>
              <w:rPr>
                <w:noProof/>
              </w:rPr>
            </w:r>
            <w:r>
              <w:rPr>
                <w:noProof/>
              </w:rPr>
              <w:fldChar w:fldCharType="separate"/>
            </w:r>
            <w:r>
              <w:rPr>
                <w:noProof/>
              </w:rPr>
              <w:t>13</w:t>
            </w:r>
            <w:r>
              <w:rPr>
                <w:noProof/>
              </w:rPr>
              <w:fldChar w:fldCharType="end"/>
            </w:r>
          </w:hyperlink>
        </w:p>
        <w:p w14:paraId="33701F0E" w14:textId="05584C86" w:rsidR="00AB67EE" w:rsidRDefault="00AB67EE">
          <w:pPr>
            <w:pStyle w:val="TOC1"/>
            <w:tabs>
              <w:tab w:val="right" w:leader="dot" w:pos="9016"/>
            </w:tabs>
            <w:rPr>
              <w:noProof/>
            </w:rPr>
          </w:pPr>
          <w:hyperlink w:anchor="_Toc237851384" w:history="1">
            <w:r w:rsidRPr="007D42CE">
              <w:rPr>
                <w:rStyle w:val="Hyperlink"/>
                <w:b/>
                <w:bCs/>
                <w:noProof/>
              </w:rPr>
              <w:t>7. Conclusion</w:t>
            </w:r>
            <w:r>
              <w:rPr>
                <w:noProof/>
              </w:rPr>
              <w:tab/>
            </w:r>
            <w:r>
              <w:rPr>
                <w:noProof/>
              </w:rPr>
              <w:fldChar w:fldCharType="begin"/>
            </w:r>
            <w:r>
              <w:rPr>
                <w:noProof/>
              </w:rPr>
              <w:instrText xml:space="preserve"> PAGEREF _Toc237851384 \h </w:instrText>
            </w:r>
            <w:r>
              <w:rPr>
                <w:noProof/>
              </w:rPr>
            </w:r>
            <w:r>
              <w:rPr>
                <w:noProof/>
              </w:rPr>
              <w:fldChar w:fldCharType="separate"/>
            </w:r>
            <w:r>
              <w:rPr>
                <w:noProof/>
              </w:rPr>
              <w:t>14</w:t>
            </w:r>
            <w:r>
              <w:rPr>
                <w:noProof/>
              </w:rPr>
              <w:fldChar w:fldCharType="end"/>
            </w:r>
          </w:hyperlink>
        </w:p>
        <w:p w14:paraId="6F642AAF" w14:textId="6899F588" w:rsidR="00AB67EE" w:rsidRDefault="00AB67EE">
          <w:pPr>
            <w:pStyle w:val="TOC1"/>
            <w:tabs>
              <w:tab w:val="right" w:leader="dot" w:pos="9016"/>
            </w:tabs>
            <w:rPr>
              <w:noProof/>
            </w:rPr>
          </w:pPr>
          <w:hyperlink w:anchor="_Toc237851385" w:history="1">
            <w:r w:rsidRPr="007D42CE">
              <w:rPr>
                <w:rStyle w:val="Hyperlink"/>
                <w:b/>
                <w:bCs/>
                <w:noProof/>
              </w:rPr>
              <w:t>References</w:t>
            </w:r>
            <w:r>
              <w:rPr>
                <w:noProof/>
              </w:rPr>
              <w:tab/>
            </w:r>
            <w:r>
              <w:rPr>
                <w:noProof/>
              </w:rPr>
              <w:fldChar w:fldCharType="begin"/>
            </w:r>
            <w:r>
              <w:rPr>
                <w:noProof/>
              </w:rPr>
              <w:instrText xml:space="preserve"> PAGEREF _Toc237851385 \h </w:instrText>
            </w:r>
            <w:r>
              <w:rPr>
                <w:noProof/>
              </w:rPr>
            </w:r>
            <w:r>
              <w:rPr>
                <w:noProof/>
              </w:rPr>
              <w:fldChar w:fldCharType="separate"/>
            </w:r>
            <w:r>
              <w:rPr>
                <w:noProof/>
              </w:rPr>
              <w:t>16</w:t>
            </w:r>
            <w:r>
              <w:rPr>
                <w:noProof/>
              </w:rPr>
              <w:fldChar w:fldCharType="end"/>
            </w:r>
          </w:hyperlink>
        </w:p>
        <w:p w14:paraId="1ECA86D7" w14:textId="70C66A2A" w:rsidR="00605126" w:rsidRDefault="00000000">
          <w:r>
            <w:fldChar w:fldCharType="end"/>
          </w:r>
        </w:p>
      </w:sdtContent>
    </w:sdt>
    <w:p w14:paraId="5AA3989B" w14:textId="77777777" w:rsidR="00605126" w:rsidRDefault="00000000">
      <w:r>
        <w:br w:type="page"/>
      </w:r>
    </w:p>
    <w:p w14:paraId="51225C7B" w14:textId="77777777" w:rsidR="00605126" w:rsidRDefault="00000000">
      <w:pPr>
        <w:pStyle w:val="Heading1"/>
        <w:spacing w:before="360" w:after="240" w:line="360" w:lineRule="auto"/>
      </w:pPr>
      <w:bookmarkStart w:id="1" w:name="_Toc237851368"/>
      <w:r>
        <w:rPr>
          <w:b/>
          <w:bCs/>
          <w:color w:val="000000"/>
          <w:sz w:val="28"/>
          <w:szCs w:val="28"/>
        </w:rPr>
        <w:lastRenderedPageBreak/>
        <w:t>1. Introduction</w:t>
      </w:r>
      <w:bookmarkEnd w:id="1"/>
    </w:p>
    <w:p w14:paraId="2E42C349" w14:textId="77777777" w:rsidR="00605126" w:rsidRDefault="00000000">
      <w:pPr>
        <w:spacing w:after="200" w:line="360" w:lineRule="auto"/>
        <w:jc w:val="both"/>
      </w:pPr>
      <w:r>
        <w:t xml:space="preserve">In December 2022, the governments of the United Kingdom, Japan and Italy announced the Global Combat Air Programme (GCAP), a trilateral undertaking to design, build and deliver a sixth-generation fighter aircraft by 2035 (Ministry of Defence, 2022). The announcement was historic for a simple reason: it marked the first time since 1945 that Japan had committed to developing a major combat aircraft with any partner other than the United States. At the industrial heart of the programme sit two national champions, BAE Systems of the United Kingdom and Mitsubishi Heavy Industries (MHI) of Japan, who, alongside Italy’s Leonardo, formalised their collaboration in June 2025 through </w:t>
      </w:r>
      <w:proofErr w:type="spellStart"/>
      <w:r>
        <w:t>Edgewing</w:t>
      </w:r>
      <w:proofErr w:type="spellEnd"/>
      <w:r>
        <w:t xml:space="preserve">, a joint venture headquartered in Reading in which each partner holds an equal one-third share (BAE Systems, 2025). In July 2026, the programme’s governmental agency awarded </w:t>
      </w:r>
      <w:proofErr w:type="spellStart"/>
      <w:r>
        <w:t>Edgewing</w:t>
      </w:r>
      <w:proofErr w:type="spellEnd"/>
      <w:r>
        <w:t xml:space="preserve"> a £4.6 billion contract to complete detailed design, moving the partnership from political declaration into the daily reality of thousands of British and Japanese engineers working on a single aircraft (Aviation Week, 2026).</w:t>
      </w:r>
    </w:p>
    <w:p w14:paraId="524A90E0" w14:textId="77777777" w:rsidR="00605126" w:rsidRDefault="00000000">
      <w:pPr>
        <w:spacing w:after="200" w:line="360" w:lineRule="auto"/>
        <w:jc w:val="both"/>
      </w:pPr>
      <w:r>
        <w:t xml:space="preserve">That daily reality is the subject of this essay. While GCAP is formally trilateral, the sharpest cultural interface within it is the one between the British and Japanese teams, and it is on this axis that the essay concentrates. Aerospace programmes fail far more often through human friction than through physics, and the communication styles of British and Japanese engineers differ in ways that are well documented, deeply rooted and, if left unmanaged, capable of producing exactly the kinds of misunderstanding that delay programmes and corrode trust. The Japanese language even has words for the mechanisms involved, from </w:t>
      </w:r>
      <w:proofErr w:type="spellStart"/>
      <w:r>
        <w:rPr>
          <w:i/>
          <w:iCs/>
        </w:rPr>
        <w:t>nemawashi</w:t>
      </w:r>
      <w:proofErr w:type="spellEnd"/>
      <w:r>
        <w:t xml:space="preserve">, the quiet groundwork laid before a decision, to </w:t>
      </w:r>
      <w:proofErr w:type="spellStart"/>
      <w:r>
        <w:rPr>
          <w:i/>
          <w:iCs/>
        </w:rPr>
        <w:t>tatemae</w:t>
      </w:r>
      <w:proofErr w:type="spellEnd"/>
      <w:r>
        <w:t>, the public position that may diverge from private feeling, and these concepts have no comfortable English equivalents.</w:t>
      </w:r>
    </w:p>
    <w:p w14:paraId="11A4B48C" w14:textId="02B7F21B" w:rsidR="00605126" w:rsidRDefault="00000000">
      <w:pPr>
        <w:spacing w:after="200" w:line="360" w:lineRule="auto"/>
        <w:jc w:val="both"/>
      </w:pPr>
      <w:r>
        <w:t xml:space="preserve">The structure is straightforward enough. The essay begins with the business and cultural context of the two companies and the partnership itself, before setting out the theoretical toolkit: Hofstede’s cultural dimensions, Hall’s high-context and low-context communication theory, and Trompenaars and Hampden-Turner’s seven dimensions of culture, with Meyer’s more recent synthesis and Ting-Toomey’s face-negotiation theory brought in where they earn their keep. The longest section then puts these frameworks to work on concrete situations the joint UK–Japanese teams will </w:t>
      </w:r>
      <w:r w:rsidR="00E14E23">
        <w:t>face</w:t>
      </w:r>
      <w:r>
        <w:t xml:space="preserve">, because that is where misunderstanding lives, in meetings and emails rather than in textbooks. After that the lens turns on the theories themselves. Their </w:t>
      </w:r>
      <w:r>
        <w:lastRenderedPageBreak/>
        <w:t>limitations, this essay will argue, matter as much as their insights. Recommendations and a conclusion close the piece.</w:t>
      </w:r>
    </w:p>
    <w:p w14:paraId="76AF2A29" w14:textId="6C7E3198" w:rsidR="00605126" w:rsidRDefault="00000000">
      <w:pPr>
        <w:spacing w:after="200" w:line="360" w:lineRule="auto"/>
        <w:jc w:val="both"/>
      </w:pPr>
      <w:r>
        <w:t xml:space="preserve">The argument running throughout is this: cultural dimension theories are genuinely useful diagnostic tools for anticipating where British and Japanese communication styles will collide, but they are maps, not territories. Applied mechanically, they harden into stereotypes and become a source of </w:t>
      </w:r>
      <w:r w:rsidR="00E14E23">
        <w:t>miscommunication</w:t>
      </w:r>
      <w:r>
        <w:t>. The success of the BAE–MHI relationship will therefore depend less on either side learning the other’s rulebook than on the joint teams negotiating what Casmir (1999) calls a third culture, a set of shared working norms that belongs to neither nation but serves both.</w:t>
      </w:r>
    </w:p>
    <w:p w14:paraId="38F155CA" w14:textId="77777777" w:rsidR="00605126" w:rsidRDefault="00000000">
      <w:pPr>
        <w:pStyle w:val="Heading1"/>
        <w:spacing w:before="360" w:after="240" w:line="360" w:lineRule="auto"/>
      </w:pPr>
      <w:bookmarkStart w:id="2" w:name="_Toc237851369"/>
      <w:r>
        <w:rPr>
          <w:b/>
          <w:bCs/>
          <w:color w:val="000000"/>
          <w:sz w:val="28"/>
          <w:szCs w:val="28"/>
        </w:rPr>
        <w:t>2. The Partnership in Context</w:t>
      </w:r>
      <w:bookmarkEnd w:id="2"/>
    </w:p>
    <w:p w14:paraId="1D74F9A1" w14:textId="77777777" w:rsidR="00605126" w:rsidRDefault="00000000">
      <w:pPr>
        <w:pStyle w:val="Heading2"/>
        <w:spacing w:before="280" w:after="200" w:line="360" w:lineRule="auto"/>
      </w:pPr>
      <w:bookmarkStart w:id="3" w:name="_Toc237851370"/>
      <w:r>
        <w:rPr>
          <w:b/>
          <w:bCs/>
          <w:color w:val="000000"/>
          <w:sz w:val="24"/>
          <w:szCs w:val="24"/>
        </w:rPr>
        <w:t>2.1 The market and the moment</w:t>
      </w:r>
      <w:bookmarkEnd w:id="3"/>
    </w:p>
    <w:p w14:paraId="2B9967C3" w14:textId="77777777" w:rsidR="00605126" w:rsidRDefault="00000000">
      <w:pPr>
        <w:spacing w:after="200" w:line="360" w:lineRule="auto"/>
        <w:jc w:val="both"/>
      </w:pPr>
      <w:r>
        <w:t>GCAP did not emerge in a vacuum. Both countries face the same strategic arithmetic: modern combat aircraft have become so expensive that almost no nation can afford to develop one alone, and both the Royal Air Force’s Eurofighter Typhoon and Japan’s Mitsubishi F-2 will reach the end of their service lives in the 2030s (Leonardo, 2026). For the United Kingdom, GCAP secures the future of a combat air sector that supports tens of thousands of skilled jobs concentrated around BAE’s historic site at Warton in Lancashire. For Japan, the calculation is more radical. Since the Second World War, Japan’s defence industry has operated under constitutional pacifism, tight export restrictions and near-total dependence on American partners; MHI built the F-2 as a junior partner to Lockheed Martin and assembles F-35s under licence. GCAP elevates MHI, for the first time, to co-leadership of a frontier aircraft programme with European rather than American partners (</w:t>
      </w:r>
      <w:proofErr w:type="spellStart"/>
      <w:r>
        <w:t>Kavout</w:t>
      </w:r>
      <w:proofErr w:type="spellEnd"/>
      <w:r>
        <w:t>, 2026). The stakes of getting the collaboration right are therefore not merely commercial but strategic, and for Japan almost civilisational: a visible test of whether its industry can operate as an equal in a non-American partnership.</w:t>
      </w:r>
    </w:p>
    <w:p w14:paraId="372E6840" w14:textId="77777777" w:rsidR="00605126" w:rsidRDefault="00000000">
      <w:pPr>
        <w:pStyle w:val="Heading2"/>
        <w:spacing w:before="280" w:after="200" w:line="360" w:lineRule="auto"/>
      </w:pPr>
      <w:bookmarkStart w:id="4" w:name="_Toc237851371"/>
      <w:r>
        <w:rPr>
          <w:b/>
          <w:bCs/>
          <w:color w:val="000000"/>
          <w:sz w:val="24"/>
          <w:szCs w:val="24"/>
        </w:rPr>
        <w:t>2.2 Two companies, two corporate worlds</w:t>
      </w:r>
      <w:bookmarkEnd w:id="4"/>
    </w:p>
    <w:p w14:paraId="0A6232E0" w14:textId="77777777" w:rsidR="00605126" w:rsidRDefault="00000000">
      <w:pPr>
        <w:spacing w:after="200" w:line="360" w:lineRule="auto"/>
        <w:jc w:val="both"/>
      </w:pPr>
      <w:r>
        <w:t xml:space="preserve">BAE Systems is Europe’s largest defence contractor, employing over 100,000 people, listed in London and answerable to institutional shareholders on quarterly cycles. Its corporate culture reflects the wider norms of the liberal market economy in which it sits: individual accountability, relatively fluid labour markets, and a management style in which decisions are </w:t>
      </w:r>
      <w:r>
        <w:lastRenderedPageBreak/>
        <w:t xml:space="preserve">made by empowered individuals and debated openly, sometimes bluntly, in meetings. Mitsubishi Heavy Industries, by contrast, is one of the anchor companies of Japanese heavy industry, embedded in the Mitsubishi </w:t>
      </w:r>
      <w:r>
        <w:rPr>
          <w:i/>
          <w:iCs/>
        </w:rPr>
        <w:t>keiretsu</w:t>
      </w:r>
      <w:r>
        <w:t xml:space="preserve"> network and shaped by the post-war employment institutions described by Nishiyama (2000): long-term employment, seniority-influenced progression (</w:t>
      </w:r>
      <w:proofErr w:type="spellStart"/>
      <w:r>
        <w:rPr>
          <w:i/>
          <w:iCs/>
        </w:rPr>
        <w:t>nenkō</w:t>
      </w:r>
      <w:proofErr w:type="spellEnd"/>
      <w:r>
        <w:rPr>
          <w:i/>
          <w:iCs/>
        </w:rPr>
        <w:t xml:space="preserve"> </w:t>
      </w:r>
      <w:proofErr w:type="spellStart"/>
      <w:r>
        <w:rPr>
          <w:i/>
          <w:iCs/>
        </w:rPr>
        <w:t>joretsu</w:t>
      </w:r>
      <w:proofErr w:type="spellEnd"/>
      <w:r>
        <w:t>), and an expectation that the company constitutes a community rather than merely a contractual arrangement. Although these institutions have weakened since the 1990s, they continue to shape how information moves, how disagreement is voiced and how decisions are made inside Japanese firms.</w:t>
      </w:r>
    </w:p>
    <w:p w14:paraId="744663C2" w14:textId="77777777" w:rsidR="00605126" w:rsidRDefault="00000000">
      <w:pPr>
        <w:spacing w:after="200" w:line="360" w:lineRule="auto"/>
        <w:jc w:val="both"/>
      </w:pPr>
      <w:r>
        <w:t xml:space="preserve">The programme’s architecture is itself an exercise in cultural balancing. The intergovernmental agency that manages GCAP is headquartered in the United Kingdom but led by a Japanese chief executive, while the industrial joint venture </w:t>
      </w:r>
      <w:proofErr w:type="spellStart"/>
      <w:r>
        <w:t>Edgewing</w:t>
      </w:r>
      <w:proofErr w:type="spellEnd"/>
      <w:r>
        <w:t xml:space="preserve"> is based in Reading under an Italian chief executive, with engineering sites being developed at Warton, Turin and Nagoya (Aviation Week, 2026). British and Japanese engineers are consequently not communicating at arm’s length through formal contractual interfaces, as in a conventional supplier relationship, but sitting in integrated teams, co-authoring a single digital design. Every design review, risk board and progress meeting is therefore also an intercultural encounter, and the 2035 in-service date leaves remarkably little slack for the delays that miscommunication produces.</w:t>
      </w:r>
    </w:p>
    <w:p w14:paraId="4B6E0602" w14:textId="77777777" w:rsidR="00605126" w:rsidRDefault="00000000">
      <w:pPr>
        <w:pStyle w:val="Heading1"/>
        <w:spacing w:before="360" w:after="240" w:line="360" w:lineRule="auto"/>
      </w:pPr>
      <w:bookmarkStart w:id="5" w:name="_Toc237851372"/>
      <w:r>
        <w:rPr>
          <w:b/>
          <w:bCs/>
          <w:color w:val="000000"/>
          <w:sz w:val="28"/>
          <w:szCs w:val="28"/>
        </w:rPr>
        <w:t>3. Theoretical Foundations</w:t>
      </w:r>
      <w:bookmarkEnd w:id="5"/>
    </w:p>
    <w:p w14:paraId="56E95038" w14:textId="77777777" w:rsidR="00605126" w:rsidRDefault="00000000">
      <w:pPr>
        <w:pStyle w:val="Heading2"/>
        <w:spacing w:before="280" w:after="200" w:line="360" w:lineRule="auto"/>
      </w:pPr>
      <w:bookmarkStart w:id="6" w:name="_Toc237851373"/>
      <w:r>
        <w:rPr>
          <w:b/>
          <w:bCs/>
          <w:color w:val="000000"/>
          <w:sz w:val="24"/>
          <w:szCs w:val="24"/>
        </w:rPr>
        <w:t>3.1 Hofstede’s cultural dimensions</w:t>
      </w:r>
      <w:bookmarkEnd w:id="6"/>
    </w:p>
    <w:p w14:paraId="4FB757D9" w14:textId="77777777" w:rsidR="00605126" w:rsidRDefault="00000000">
      <w:pPr>
        <w:spacing w:after="200" w:line="360" w:lineRule="auto"/>
        <w:jc w:val="both"/>
      </w:pPr>
      <w:r>
        <w:t>Hofstede’s framework remains the most widely used instrument for comparing national cultures. Derived originally from attitude surveys of IBM employees across more than fifty countries and later extended, it scores nations on six dimensions: power distance, individualism versus collectivism, masculinity versus femininity, uncertainty avoidance, long-term orientation and indulgence versus restraint (Hofstede, Hofstede and Minkov, 2010). The published scores for the United Kingdom and Japan are set out in Table 1, and the pattern they reveal is striking: on four of the six dimensions the two countries sit far apart, and the largest gaps concern precisely the things engineering programmes run on, namely the tolerance of ambiguity, the balance between individual and group, and the time horizon of planning.</w:t>
      </w:r>
    </w:p>
    <w:p w14:paraId="2CE25C43" w14:textId="77777777" w:rsidR="00E14E23" w:rsidRDefault="00E14E23">
      <w:pPr>
        <w:spacing w:after="200" w:line="360" w:lineRule="auto"/>
        <w:jc w:val="both"/>
      </w:pPr>
    </w:p>
    <w:p w14:paraId="550B871A" w14:textId="77777777" w:rsidR="00E14E23" w:rsidRDefault="00E14E23">
      <w:pPr>
        <w:spacing w:after="200" w:line="360" w:lineRule="auto"/>
        <w:jc w:val="both"/>
      </w:pPr>
    </w:p>
    <w:tbl>
      <w:tblPr>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 w:type="dxa"/>
          <w:right w:w="10" w:type="dxa"/>
        </w:tblCellMar>
        <w:tblLook w:val="04A0" w:firstRow="1" w:lastRow="0" w:firstColumn="1" w:lastColumn="0" w:noHBand="0" w:noVBand="1"/>
      </w:tblPr>
      <w:tblGrid>
        <w:gridCol w:w="3005"/>
        <w:gridCol w:w="3005"/>
        <w:gridCol w:w="3005"/>
      </w:tblGrid>
      <w:tr w:rsidR="00605126" w14:paraId="11DC92AC" w14:textId="77777777" w:rsidTr="00C24062">
        <w:tc>
          <w:tcPr>
            <w:tcW w:w="3005" w:type="dxa"/>
            <w:shd w:val="clear" w:color="auto" w:fill="FAE2D5" w:themeFill="accent2" w:themeFillTint="33"/>
            <w:tcMar>
              <w:top w:w="80" w:type="dxa"/>
              <w:left w:w="120" w:type="dxa"/>
              <w:bottom w:w="80" w:type="dxa"/>
              <w:right w:w="120" w:type="dxa"/>
            </w:tcMar>
          </w:tcPr>
          <w:p w14:paraId="47B20210" w14:textId="77777777" w:rsidR="00605126" w:rsidRDefault="00000000">
            <w:pPr>
              <w:jc w:val="center"/>
            </w:pPr>
            <w:r>
              <w:rPr>
                <w:b/>
                <w:bCs/>
                <w:sz w:val="22"/>
                <w:szCs w:val="22"/>
              </w:rPr>
              <w:lastRenderedPageBreak/>
              <w:t>Dimension</w:t>
            </w:r>
          </w:p>
        </w:tc>
        <w:tc>
          <w:tcPr>
            <w:tcW w:w="3005" w:type="dxa"/>
            <w:shd w:val="clear" w:color="auto" w:fill="FAE2D5" w:themeFill="accent2" w:themeFillTint="33"/>
            <w:tcMar>
              <w:top w:w="80" w:type="dxa"/>
              <w:left w:w="120" w:type="dxa"/>
              <w:bottom w:w="80" w:type="dxa"/>
              <w:right w:w="120" w:type="dxa"/>
            </w:tcMar>
          </w:tcPr>
          <w:p w14:paraId="1305FEAD" w14:textId="77777777" w:rsidR="00605126" w:rsidRDefault="00000000">
            <w:pPr>
              <w:jc w:val="center"/>
            </w:pPr>
            <w:r>
              <w:rPr>
                <w:b/>
                <w:bCs/>
                <w:sz w:val="22"/>
                <w:szCs w:val="22"/>
              </w:rPr>
              <w:t>United Kingdom</w:t>
            </w:r>
          </w:p>
        </w:tc>
        <w:tc>
          <w:tcPr>
            <w:tcW w:w="3005" w:type="dxa"/>
            <w:shd w:val="clear" w:color="auto" w:fill="FAE2D5" w:themeFill="accent2" w:themeFillTint="33"/>
            <w:tcMar>
              <w:top w:w="80" w:type="dxa"/>
              <w:left w:w="120" w:type="dxa"/>
              <w:bottom w:w="80" w:type="dxa"/>
              <w:right w:w="120" w:type="dxa"/>
            </w:tcMar>
          </w:tcPr>
          <w:p w14:paraId="6807E4AC" w14:textId="77777777" w:rsidR="00605126" w:rsidRDefault="00000000">
            <w:pPr>
              <w:jc w:val="center"/>
            </w:pPr>
            <w:r>
              <w:rPr>
                <w:b/>
                <w:bCs/>
                <w:sz w:val="22"/>
                <w:szCs w:val="22"/>
              </w:rPr>
              <w:t>Japan</w:t>
            </w:r>
          </w:p>
        </w:tc>
      </w:tr>
      <w:tr w:rsidR="00605126" w14:paraId="607163FA" w14:textId="77777777" w:rsidTr="00C24062">
        <w:tc>
          <w:tcPr>
            <w:tcW w:w="3005" w:type="dxa"/>
            <w:tcMar>
              <w:top w:w="80" w:type="dxa"/>
              <w:left w:w="120" w:type="dxa"/>
              <w:bottom w:w="80" w:type="dxa"/>
              <w:right w:w="120" w:type="dxa"/>
            </w:tcMar>
          </w:tcPr>
          <w:p w14:paraId="55F39172" w14:textId="77777777" w:rsidR="00605126" w:rsidRDefault="00000000">
            <w:pPr>
              <w:jc w:val="center"/>
            </w:pPr>
            <w:r>
              <w:rPr>
                <w:sz w:val="22"/>
                <w:szCs w:val="22"/>
              </w:rPr>
              <w:t>Power distance</w:t>
            </w:r>
          </w:p>
        </w:tc>
        <w:tc>
          <w:tcPr>
            <w:tcW w:w="3005" w:type="dxa"/>
            <w:tcMar>
              <w:top w:w="80" w:type="dxa"/>
              <w:left w:w="120" w:type="dxa"/>
              <w:bottom w:w="80" w:type="dxa"/>
              <w:right w:w="120" w:type="dxa"/>
            </w:tcMar>
          </w:tcPr>
          <w:p w14:paraId="7C1FAEC2" w14:textId="77777777" w:rsidR="00605126" w:rsidRDefault="00000000">
            <w:pPr>
              <w:jc w:val="center"/>
            </w:pPr>
            <w:r>
              <w:rPr>
                <w:sz w:val="22"/>
                <w:szCs w:val="22"/>
              </w:rPr>
              <w:t>35</w:t>
            </w:r>
          </w:p>
        </w:tc>
        <w:tc>
          <w:tcPr>
            <w:tcW w:w="3005" w:type="dxa"/>
            <w:tcMar>
              <w:top w:w="80" w:type="dxa"/>
              <w:left w:w="120" w:type="dxa"/>
              <w:bottom w:w="80" w:type="dxa"/>
              <w:right w:w="120" w:type="dxa"/>
            </w:tcMar>
          </w:tcPr>
          <w:p w14:paraId="66803B57" w14:textId="77777777" w:rsidR="00605126" w:rsidRDefault="00000000">
            <w:pPr>
              <w:jc w:val="center"/>
            </w:pPr>
            <w:r>
              <w:rPr>
                <w:sz w:val="22"/>
                <w:szCs w:val="22"/>
              </w:rPr>
              <w:t>54</w:t>
            </w:r>
          </w:p>
        </w:tc>
      </w:tr>
      <w:tr w:rsidR="00605126" w14:paraId="3B4C37FC" w14:textId="77777777" w:rsidTr="00C24062">
        <w:tc>
          <w:tcPr>
            <w:tcW w:w="3005" w:type="dxa"/>
            <w:tcMar>
              <w:top w:w="80" w:type="dxa"/>
              <w:left w:w="120" w:type="dxa"/>
              <w:bottom w:w="80" w:type="dxa"/>
              <w:right w:w="120" w:type="dxa"/>
            </w:tcMar>
          </w:tcPr>
          <w:p w14:paraId="791552D2" w14:textId="77777777" w:rsidR="00605126" w:rsidRDefault="00000000">
            <w:pPr>
              <w:jc w:val="center"/>
            </w:pPr>
            <w:r>
              <w:rPr>
                <w:sz w:val="22"/>
                <w:szCs w:val="22"/>
              </w:rPr>
              <w:t>Individualism</w:t>
            </w:r>
          </w:p>
        </w:tc>
        <w:tc>
          <w:tcPr>
            <w:tcW w:w="3005" w:type="dxa"/>
            <w:tcMar>
              <w:top w:w="80" w:type="dxa"/>
              <w:left w:w="120" w:type="dxa"/>
              <w:bottom w:w="80" w:type="dxa"/>
              <w:right w:w="120" w:type="dxa"/>
            </w:tcMar>
          </w:tcPr>
          <w:p w14:paraId="42173CCC" w14:textId="77777777" w:rsidR="00605126" w:rsidRDefault="00000000">
            <w:pPr>
              <w:jc w:val="center"/>
            </w:pPr>
            <w:r>
              <w:rPr>
                <w:sz w:val="22"/>
                <w:szCs w:val="22"/>
              </w:rPr>
              <w:t>89</w:t>
            </w:r>
          </w:p>
        </w:tc>
        <w:tc>
          <w:tcPr>
            <w:tcW w:w="3005" w:type="dxa"/>
            <w:tcMar>
              <w:top w:w="80" w:type="dxa"/>
              <w:left w:w="120" w:type="dxa"/>
              <w:bottom w:w="80" w:type="dxa"/>
              <w:right w:w="120" w:type="dxa"/>
            </w:tcMar>
          </w:tcPr>
          <w:p w14:paraId="1084375A" w14:textId="77777777" w:rsidR="00605126" w:rsidRDefault="00000000">
            <w:pPr>
              <w:jc w:val="center"/>
            </w:pPr>
            <w:r>
              <w:rPr>
                <w:sz w:val="22"/>
                <w:szCs w:val="22"/>
              </w:rPr>
              <w:t>46</w:t>
            </w:r>
          </w:p>
        </w:tc>
      </w:tr>
      <w:tr w:rsidR="00605126" w14:paraId="37D21DB8" w14:textId="77777777" w:rsidTr="00C24062">
        <w:tc>
          <w:tcPr>
            <w:tcW w:w="3005" w:type="dxa"/>
            <w:tcMar>
              <w:top w:w="80" w:type="dxa"/>
              <w:left w:w="120" w:type="dxa"/>
              <w:bottom w:w="80" w:type="dxa"/>
              <w:right w:w="120" w:type="dxa"/>
            </w:tcMar>
          </w:tcPr>
          <w:p w14:paraId="760C928A" w14:textId="77777777" w:rsidR="00605126" w:rsidRDefault="00000000">
            <w:pPr>
              <w:jc w:val="center"/>
            </w:pPr>
            <w:r>
              <w:rPr>
                <w:sz w:val="22"/>
                <w:szCs w:val="22"/>
              </w:rPr>
              <w:t>Masculinity</w:t>
            </w:r>
          </w:p>
        </w:tc>
        <w:tc>
          <w:tcPr>
            <w:tcW w:w="3005" w:type="dxa"/>
            <w:tcMar>
              <w:top w:w="80" w:type="dxa"/>
              <w:left w:w="120" w:type="dxa"/>
              <w:bottom w:w="80" w:type="dxa"/>
              <w:right w:w="120" w:type="dxa"/>
            </w:tcMar>
          </w:tcPr>
          <w:p w14:paraId="5B5EA9B9" w14:textId="77777777" w:rsidR="00605126" w:rsidRDefault="00000000">
            <w:pPr>
              <w:jc w:val="center"/>
            </w:pPr>
            <w:r>
              <w:rPr>
                <w:sz w:val="22"/>
                <w:szCs w:val="22"/>
              </w:rPr>
              <w:t>66</w:t>
            </w:r>
          </w:p>
        </w:tc>
        <w:tc>
          <w:tcPr>
            <w:tcW w:w="3005" w:type="dxa"/>
            <w:tcMar>
              <w:top w:w="80" w:type="dxa"/>
              <w:left w:w="120" w:type="dxa"/>
              <w:bottom w:w="80" w:type="dxa"/>
              <w:right w:w="120" w:type="dxa"/>
            </w:tcMar>
          </w:tcPr>
          <w:p w14:paraId="59A20622" w14:textId="77777777" w:rsidR="00605126" w:rsidRDefault="00000000">
            <w:pPr>
              <w:jc w:val="center"/>
            </w:pPr>
            <w:r>
              <w:rPr>
                <w:sz w:val="22"/>
                <w:szCs w:val="22"/>
              </w:rPr>
              <w:t>95</w:t>
            </w:r>
          </w:p>
        </w:tc>
      </w:tr>
      <w:tr w:rsidR="00605126" w14:paraId="19B88A87" w14:textId="77777777" w:rsidTr="00C24062">
        <w:tc>
          <w:tcPr>
            <w:tcW w:w="3005" w:type="dxa"/>
            <w:tcMar>
              <w:top w:w="80" w:type="dxa"/>
              <w:left w:w="120" w:type="dxa"/>
              <w:bottom w:w="80" w:type="dxa"/>
              <w:right w:w="120" w:type="dxa"/>
            </w:tcMar>
          </w:tcPr>
          <w:p w14:paraId="12CAEDBE" w14:textId="77777777" w:rsidR="00605126" w:rsidRDefault="00000000">
            <w:pPr>
              <w:jc w:val="center"/>
            </w:pPr>
            <w:r>
              <w:rPr>
                <w:sz w:val="22"/>
                <w:szCs w:val="22"/>
              </w:rPr>
              <w:t>Uncertainty avoidance</w:t>
            </w:r>
          </w:p>
        </w:tc>
        <w:tc>
          <w:tcPr>
            <w:tcW w:w="3005" w:type="dxa"/>
            <w:tcMar>
              <w:top w:w="80" w:type="dxa"/>
              <w:left w:w="120" w:type="dxa"/>
              <w:bottom w:w="80" w:type="dxa"/>
              <w:right w:w="120" w:type="dxa"/>
            </w:tcMar>
          </w:tcPr>
          <w:p w14:paraId="0E0F59F5" w14:textId="77777777" w:rsidR="00605126" w:rsidRDefault="00000000">
            <w:pPr>
              <w:jc w:val="center"/>
            </w:pPr>
            <w:r>
              <w:rPr>
                <w:sz w:val="22"/>
                <w:szCs w:val="22"/>
              </w:rPr>
              <w:t>35</w:t>
            </w:r>
          </w:p>
        </w:tc>
        <w:tc>
          <w:tcPr>
            <w:tcW w:w="3005" w:type="dxa"/>
            <w:tcMar>
              <w:top w:w="80" w:type="dxa"/>
              <w:left w:w="120" w:type="dxa"/>
              <w:bottom w:w="80" w:type="dxa"/>
              <w:right w:w="120" w:type="dxa"/>
            </w:tcMar>
          </w:tcPr>
          <w:p w14:paraId="7DFACDDD" w14:textId="77777777" w:rsidR="00605126" w:rsidRDefault="00000000">
            <w:pPr>
              <w:jc w:val="center"/>
            </w:pPr>
            <w:r>
              <w:rPr>
                <w:sz w:val="22"/>
                <w:szCs w:val="22"/>
              </w:rPr>
              <w:t>92</w:t>
            </w:r>
          </w:p>
        </w:tc>
      </w:tr>
      <w:tr w:rsidR="00605126" w14:paraId="5069BBE9" w14:textId="77777777" w:rsidTr="00C24062">
        <w:tc>
          <w:tcPr>
            <w:tcW w:w="3005" w:type="dxa"/>
            <w:tcMar>
              <w:top w:w="80" w:type="dxa"/>
              <w:left w:w="120" w:type="dxa"/>
              <w:bottom w:w="80" w:type="dxa"/>
              <w:right w:w="120" w:type="dxa"/>
            </w:tcMar>
          </w:tcPr>
          <w:p w14:paraId="57A71E74" w14:textId="77777777" w:rsidR="00605126" w:rsidRDefault="00000000">
            <w:pPr>
              <w:jc w:val="center"/>
            </w:pPr>
            <w:r>
              <w:rPr>
                <w:sz w:val="22"/>
                <w:szCs w:val="22"/>
              </w:rPr>
              <w:t>Long-term orientation</w:t>
            </w:r>
          </w:p>
        </w:tc>
        <w:tc>
          <w:tcPr>
            <w:tcW w:w="3005" w:type="dxa"/>
            <w:tcMar>
              <w:top w:w="80" w:type="dxa"/>
              <w:left w:w="120" w:type="dxa"/>
              <w:bottom w:w="80" w:type="dxa"/>
              <w:right w:w="120" w:type="dxa"/>
            </w:tcMar>
          </w:tcPr>
          <w:p w14:paraId="414837EF" w14:textId="77777777" w:rsidR="00605126" w:rsidRDefault="00000000">
            <w:pPr>
              <w:jc w:val="center"/>
            </w:pPr>
            <w:r>
              <w:rPr>
                <w:sz w:val="22"/>
                <w:szCs w:val="22"/>
              </w:rPr>
              <w:t>51</w:t>
            </w:r>
          </w:p>
        </w:tc>
        <w:tc>
          <w:tcPr>
            <w:tcW w:w="3005" w:type="dxa"/>
            <w:tcMar>
              <w:top w:w="80" w:type="dxa"/>
              <w:left w:w="120" w:type="dxa"/>
              <w:bottom w:w="80" w:type="dxa"/>
              <w:right w:w="120" w:type="dxa"/>
            </w:tcMar>
          </w:tcPr>
          <w:p w14:paraId="0A96A5F7" w14:textId="77777777" w:rsidR="00605126" w:rsidRDefault="00000000">
            <w:pPr>
              <w:jc w:val="center"/>
            </w:pPr>
            <w:r>
              <w:rPr>
                <w:sz w:val="22"/>
                <w:szCs w:val="22"/>
              </w:rPr>
              <w:t>88</w:t>
            </w:r>
          </w:p>
        </w:tc>
      </w:tr>
      <w:tr w:rsidR="00605126" w14:paraId="31A13704" w14:textId="77777777" w:rsidTr="00C24062">
        <w:tc>
          <w:tcPr>
            <w:tcW w:w="3005" w:type="dxa"/>
            <w:tcMar>
              <w:top w:w="80" w:type="dxa"/>
              <w:left w:w="120" w:type="dxa"/>
              <w:bottom w:w="80" w:type="dxa"/>
              <w:right w:w="120" w:type="dxa"/>
            </w:tcMar>
          </w:tcPr>
          <w:p w14:paraId="035AC8EB" w14:textId="77777777" w:rsidR="00605126" w:rsidRDefault="00000000">
            <w:pPr>
              <w:jc w:val="center"/>
            </w:pPr>
            <w:r>
              <w:rPr>
                <w:sz w:val="22"/>
                <w:szCs w:val="22"/>
              </w:rPr>
              <w:t>Indulgence</w:t>
            </w:r>
          </w:p>
        </w:tc>
        <w:tc>
          <w:tcPr>
            <w:tcW w:w="3005" w:type="dxa"/>
            <w:tcMar>
              <w:top w:w="80" w:type="dxa"/>
              <w:left w:w="120" w:type="dxa"/>
              <w:bottom w:w="80" w:type="dxa"/>
              <w:right w:w="120" w:type="dxa"/>
            </w:tcMar>
          </w:tcPr>
          <w:p w14:paraId="4CDA88BB" w14:textId="77777777" w:rsidR="00605126" w:rsidRDefault="00000000">
            <w:pPr>
              <w:jc w:val="center"/>
            </w:pPr>
            <w:r>
              <w:rPr>
                <w:sz w:val="22"/>
                <w:szCs w:val="22"/>
              </w:rPr>
              <w:t>69</w:t>
            </w:r>
          </w:p>
        </w:tc>
        <w:tc>
          <w:tcPr>
            <w:tcW w:w="3005" w:type="dxa"/>
            <w:tcMar>
              <w:top w:w="80" w:type="dxa"/>
              <w:left w:w="120" w:type="dxa"/>
              <w:bottom w:w="80" w:type="dxa"/>
              <w:right w:w="120" w:type="dxa"/>
            </w:tcMar>
          </w:tcPr>
          <w:p w14:paraId="76BC51F6" w14:textId="77777777" w:rsidR="00605126" w:rsidRDefault="00000000">
            <w:pPr>
              <w:jc w:val="center"/>
            </w:pPr>
            <w:r>
              <w:rPr>
                <w:sz w:val="22"/>
                <w:szCs w:val="22"/>
              </w:rPr>
              <w:t>42</w:t>
            </w:r>
          </w:p>
        </w:tc>
      </w:tr>
    </w:tbl>
    <w:p w14:paraId="10C85678" w14:textId="77777777" w:rsidR="00605126" w:rsidRDefault="00000000">
      <w:pPr>
        <w:spacing w:before="120" w:after="240" w:line="360" w:lineRule="auto"/>
        <w:jc w:val="center"/>
      </w:pPr>
      <w:r>
        <w:rPr>
          <w:i/>
          <w:iCs/>
          <w:sz w:val="20"/>
          <w:szCs w:val="20"/>
        </w:rPr>
        <w:t>Table 1: Hofstede dimension scores for the UK and Japan (Hofstede, Hofstede and Minkov, 2010)</w:t>
      </w:r>
    </w:p>
    <w:p w14:paraId="70A9EE0A" w14:textId="77777777" w:rsidR="00605126" w:rsidRDefault="00000000">
      <w:pPr>
        <w:spacing w:after="200" w:line="360" w:lineRule="auto"/>
        <w:jc w:val="both"/>
      </w:pPr>
      <w:r>
        <w:t>Not all six gaps carry equal weight for this analysis. The individualism gap (89 against 46) predicts that British engineers will locate responsibility, credit and voice in the individual, while their Japanese colleagues will locate them in the group. Wider still is the uncertainty avoidance gap, 35 against 92. Japan is among the most uncertainty-avoiding societies Hofstede measured, which he links to exhaustive planning, dense rules and a deep discomfort with open-ended commitments; Britain’s low score implies the opposite, a comfort with improvisation and even a certain national pride in muddling through. And Japan’s long-term orientation score of 88 against Britain’s 51 suggests the two sides will hold quite different assumptions about how quickly trust can be built and results demanded.</w:t>
      </w:r>
    </w:p>
    <w:p w14:paraId="421DFB88" w14:textId="77777777" w:rsidR="00605126" w:rsidRDefault="00000000">
      <w:pPr>
        <w:pStyle w:val="Heading2"/>
        <w:spacing w:before="280" w:after="200" w:line="360" w:lineRule="auto"/>
      </w:pPr>
      <w:bookmarkStart w:id="7" w:name="_Toc237851374"/>
      <w:r>
        <w:rPr>
          <w:b/>
          <w:bCs/>
          <w:color w:val="000000"/>
          <w:sz w:val="24"/>
          <w:szCs w:val="24"/>
        </w:rPr>
        <w:t>3.2 Hall’s high-context and low-context communication</w:t>
      </w:r>
      <w:bookmarkEnd w:id="7"/>
    </w:p>
    <w:p w14:paraId="13475AAA" w14:textId="77777777" w:rsidR="00605126" w:rsidRDefault="00000000">
      <w:pPr>
        <w:spacing w:after="200" w:line="360" w:lineRule="auto"/>
        <w:jc w:val="both"/>
      </w:pPr>
      <w:r>
        <w:t xml:space="preserve">Where Hofstede quantifies values, Hall (1976) describes how meaning itself is transmitted. In low-context cultures, communication is expected to be explicit: the message is in the words, and a good communicator says what they mean precisely and completely. In high-context cultures, much of the message resides outside the words, in the relationship, the setting, the silences and what is deliberately left unsaid; the listener is responsible for reading the situation. Hall and Hall (1987) place Japan at the extreme high-context end of the spectrum, and Japanese practice supplies the vocabulary: </w:t>
      </w:r>
      <w:proofErr w:type="spellStart"/>
      <w:r>
        <w:rPr>
          <w:i/>
          <w:iCs/>
        </w:rPr>
        <w:t>ishin-denshin</w:t>
      </w:r>
      <w:proofErr w:type="spellEnd"/>
      <w:r>
        <w:t xml:space="preserve"> (communication without words), </w:t>
      </w:r>
      <w:proofErr w:type="spellStart"/>
      <w:r>
        <w:rPr>
          <w:i/>
          <w:iCs/>
        </w:rPr>
        <w:t>kuuki</w:t>
      </w:r>
      <w:proofErr w:type="spellEnd"/>
      <w:r>
        <w:rPr>
          <w:i/>
          <w:iCs/>
        </w:rPr>
        <w:t xml:space="preserve"> wo </w:t>
      </w:r>
      <w:proofErr w:type="spellStart"/>
      <w:r>
        <w:rPr>
          <w:i/>
          <w:iCs/>
        </w:rPr>
        <w:t>yomu</w:t>
      </w:r>
      <w:proofErr w:type="spellEnd"/>
      <w:r>
        <w:t xml:space="preserve"> (reading the air), and the distinction between </w:t>
      </w:r>
      <w:proofErr w:type="spellStart"/>
      <w:r>
        <w:rPr>
          <w:i/>
          <w:iCs/>
        </w:rPr>
        <w:t>honne</w:t>
      </w:r>
      <w:proofErr w:type="spellEnd"/>
      <w:r>
        <w:t xml:space="preserve">, one’s true feeling, and </w:t>
      </w:r>
      <w:proofErr w:type="spellStart"/>
      <w:r>
        <w:rPr>
          <w:i/>
          <w:iCs/>
        </w:rPr>
        <w:t>tatemae</w:t>
      </w:r>
      <w:proofErr w:type="spellEnd"/>
      <w:r>
        <w:t>, the position one presents publicly to preserve harmony (</w:t>
      </w:r>
      <w:proofErr w:type="spellStart"/>
      <w:r>
        <w:rPr>
          <w:i/>
          <w:iCs/>
        </w:rPr>
        <w:t>wa</w:t>
      </w:r>
      <w:proofErr w:type="spellEnd"/>
      <w:r>
        <w:t>).</w:t>
      </w:r>
    </w:p>
    <w:p w14:paraId="336DDF76" w14:textId="6F339033" w:rsidR="00605126" w:rsidRDefault="00000000">
      <w:pPr>
        <w:spacing w:after="200" w:line="360" w:lineRule="auto"/>
        <w:jc w:val="both"/>
      </w:pPr>
      <w:r>
        <w:t xml:space="preserve">The United Kingdom is conventionally classed as </w:t>
      </w:r>
      <w:r w:rsidR="00E14E23">
        <w:t>low context</w:t>
      </w:r>
      <w:r>
        <w:t xml:space="preserve">, but the classification needs care. Meyer (2014) observes that British professional communication is explicit about facts yet notoriously indirect about evaluation, wrapping criticism in understatement, irony and coded politeness, so that “that is quite interesting” may mean the opposite of what it says. This </w:t>
      </w:r>
      <w:r>
        <w:lastRenderedPageBreak/>
        <w:t>peculiarity matters for the analysis that follows, because it means the British are not simply the straightforward half of the pairing; they carry their own high-context habits into precisely the conversations, such as the delivery of negative feedback, where clarity is most needed.</w:t>
      </w:r>
    </w:p>
    <w:p w14:paraId="19227215" w14:textId="77777777" w:rsidR="00605126" w:rsidRDefault="00000000">
      <w:pPr>
        <w:pStyle w:val="Heading2"/>
        <w:spacing w:before="280" w:after="200" w:line="360" w:lineRule="auto"/>
      </w:pPr>
      <w:bookmarkStart w:id="8" w:name="_Toc237851375"/>
      <w:r>
        <w:rPr>
          <w:b/>
          <w:bCs/>
          <w:color w:val="000000"/>
          <w:sz w:val="24"/>
          <w:szCs w:val="24"/>
        </w:rPr>
        <w:t>3.3 Trompenaars and Hampden-Turner’s seven dimensions of culture</w:t>
      </w:r>
      <w:bookmarkEnd w:id="8"/>
    </w:p>
    <w:p w14:paraId="597F5CA7" w14:textId="77777777" w:rsidR="00605126" w:rsidRDefault="00000000">
      <w:pPr>
        <w:spacing w:after="200" w:line="360" w:lineRule="auto"/>
        <w:jc w:val="both"/>
      </w:pPr>
      <w:r>
        <w:t xml:space="preserve">Trompenaars and Hampden-Turner (2012), drawing on a database of tens of thousands of managerial questionnaire responses, propose seven dimensions of culture, and several of them catch UK–Japan contrasts that slip through Hofstede’s net. Take universalism versus particularism. British business culture is strongly universalist: the contract means what it says and applies regardless of relationship. Japanese culture leans the other way, treating the state of the relationship as something that legitimately modifies how obligations are read, so that renegotiating terms with a trusted partner is not bad faith but good sense. The specific–diffuse dimension cuts even deeper. The British compartmentalise, bounding the working relationship by working hours and the task at hand, whereas Japanese business relationships spill outward into evening meals and socialising, a practice so institutionalised it has acquired its own portmanteau, </w:t>
      </w:r>
      <w:proofErr w:type="spellStart"/>
      <w:r>
        <w:rPr>
          <w:i/>
          <w:iCs/>
        </w:rPr>
        <w:t>nommunication</w:t>
      </w:r>
      <w:proofErr w:type="spellEnd"/>
      <w:r>
        <w:t xml:space="preserve">, from </w:t>
      </w:r>
      <w:proofErr w:type="spellStart"/>
      <w:r>
        <w:rPr>
          <w:i/>
          <w:iCs/>
        </w:rPr>
        <w:t>nomu</w:t>
      </w:r>
      <w:proofErr w:type="spellEnd"/>
      <w:r>
        <w:t>, to drink. There is also achievement versus ascription: British organisations confer status primarily on demonstrated performance, while Japanese organisations have historically ascribed it partly through age, tenure and affiliation. The remaining dimensions largely reinforce the Hofstede picture, although one detail is worth pausing on. Both nations sit towards the neutral pole on emotional display, discipline in the Japanese case, reserve in the British, and this superficial resemblance can mask everything else that differs beneath it.</w:t>
      </w:r>
    </w:p>
    <w:p w14:paraId="06126862" w14:textId="77777777" w:rsidR="00605126" w:rsidRDefault="00000000">
      <w:pPr>
        <w:pStyle w:val="Heading2"/>
        <w:spacing w:before="280" w:after="200" w:line="360" w:lineRule="auto"/>
      </w:pPr>
      <w:bookmarkStart w:id="9" w:name="_Toc237851376"/>
      <w:r>
        <w:rPr>
          <w:b/>
          <w:bCs/>
          <w:color w:val="000000"/>
          <w:sz w:val="24"/>
          <w:szCs w:val="24"/>
        </w:rPr>
        <w:t>3.4 Meyer’s Culture Map</w:t>
      </w:r>
      <w:bookmarkEnd w:id="9"/>
    </w:p>
    <w:p w14:paraId="0B3B38CB" w14:textId="77777777" w:rsidR="00605126" w:rsidRDefault="00000000">
      <w:pPr>
        <w:spacing w:after="200" w:line="360" w:lineRule="auto"/>
        <w:jc w:val="both"/>
      </w:pPr>
      <w:r>
        <w:t xml:space="preserve">Meyer (2014) offers the most operationally useful synthesis. Her Culture Map disaggregates working culture into eight scales and, crucially for this essay, separates how cultures communicate from how they decide and disagree. On her deciding scale Japan is the most consensual culture she maps, while Britain sits towards the top-down, individual-decision end; on her disagreeing scale Britain tolerates open confrontation of ideas far more readily than Japan, where public disagreement is heard as an attack on the person. These scales convert the abstract dimension gaps into testable predictions about what will </w:t>
      </w:r>
      <w:proofErr w:type="gramStart"/>
      <w:r>
        <w:t>actually happen</w:t>
      </w:r>
      <w:proofErr w:type="gramEnd"/>
      <w:r>
        <w:t xml:space="preserve"> in a meeting room, and it is to those meeting rooms that the essay now turns.</w:t>
      </w:r>
    </w:p>
    <w:p w14:paraId="79FE7845" w14:textId="77777777" w:rsidR="00605126" w:rsidRDefault="00000000">
      <w:pPr>
        <w:pStyle w:val="Heading1"/>
        <w:spacing w:before="360" w:after="240" w:line="360" w:lineRule="auto"/>
      </w:pPr>
      <w:bookmarkStart w:id="10" w:name="_Toc237851377"/>
      <w:r>
        <w:rPr>
          <w:b/>
          <w:bCs/>
          <w:color w:val="000000"/>
          <w:sz w:val="28"/>
          <w:szCs w:val="28"/>
        </w:rPr>
        <w:lastRenderedPageBreak/>
        <w:t>4. Evaluating Communication Differences in the Joint Teams</w:t>
      </w:r>
      <w:bookmarkEnd w:id="10"/>
    </w:p>
    <w:p w14:paraId="3258D592" w14:textId="77777777" w:rsidR="00605126" w:rsidRDefault="00000000">
      <w:pPr>
        <w:pStyle w:val="Heading2"/>
        <w:spacing w:before="280" w:after="200" w:line="360" w:lineRule="auto"/>
      </w:pPr>
      <w:bookmarkStart w:id="11" w:name="_Toc237851378"/>
      <w:r>
        <w:rPr>
          <w:b/>
          <w:bCs/>
          <w:color w:val="000000"/>
          <w:sz w:val="24"/>
          <w:szCs w:val="24"/>
        </w:rPr>
        <w:t>4.1 Directness, silence and the meaning of “yes”</w:t>
      </w:r>
      <w:bookmarkEnd w:id="11"/>
    </w:p>
    <w:p w14:paraId="1506081A" w14:textId="77777777" w:rsidR="00605126" w:rsidRDefault="00000000">
      <w:pPr>
        <w:spacing w:after="200" w:line="360" w:lineRule="auto"/>
        <w:jc w:val="both"/>
      </w:pPr>
      <w:r>
        <w:t xml:space="preserve">Consider a scenario that will recur weekly across the life of GCAP: a joint design review at Reading or Warton, in which a British lead engineer presents a proposed change to the aircraft’s systems architecture and closes with the question, “Any objections?” The room is silent. To the British engineer, operating on low-context assumptions, silence following an explicit invitation to object is consent; the change is </w:t>
      </w:r>
      <w:proofErr w:type="spellStart"/>
      <w:r>
        <w:t>minuted</w:t>
      </w:r>
      <w:proofErr w:type="spellEnd"/>
      <w:r>
        <w:t xml:space="preserve"> as agreed. To the Japanese engineers present, the silence may mean something entirely different: that objections exist but cannot be voiced in an open forum without embarrassing the presenter, that the appropriate people have not yet been consulted, or simply that non-native English speakers need more time to formulate a response than the rhythm of a British meeting allows. Hall’s framework predicts this collision exactly. In high-context communication the burden falls on the listener to detect the objection in the hesitation, the intake of breath, the carefully qualified phrase; in low-context communication an unvoiced objection effectively does not exist (Hall, 1976; Hall and Hall, 1987).</w:t>
      </w:r>
    </w:p>
    <w:p w14:paraId="23717A8E" w14:textId="3DBAEAE1" w:rsidR="00605126" w:rsidRDefault="00000000">
      <w:pPr>
        <w:spacing w:after="200" w:line="360" w:lineRule="auto"/>
        <w:jc w:val="both"/>
      </w:pPr>
      <w:r>
        <w:t xml:space="preserve">The problem compounds around the Japanese word </w:t>
      </w:r>
      <w:r w:rsidR="00FE213D">
        <w:t>“</w:t>
      </w:r>
      <w:proofErr w:type="spellStart"/>
      <w:r>
        <w:rPr>
          <w:i/>
          <w:iCs/>
        </w:rPr>
        <w:t>hai</w:t>
      </w:r>
      <w:proofErr w:type="spellEnd"/>
      <w:r>
        <w:t xml:space="preserve"> </w:t>
      </w:r>
      <w:r w:rsidR="00FE213D">
        <w:t>“and</w:t>
      </w:r>
      <w:r>
        <w:t xml:space="preserve"> its English rendering as “yes”. As Nishiyama (2000) emphasises, </w:t>
      </w:r>
      <w:r w:rsidR="00FE213D">
        <w:t>“</w:t>
      </w:r>
      <w:proofErr w:type="spellStart"/>
      <w:r>
        <w:rPr>
          <w:i/>
          <w:iCs/>
        </w:rPr>
        <w:t>hai</w:t>
      </w:r>
      <w:proofErr w:type="spellEnd"/>
      <w:r w:rsidR="00FE213D">
        <w:rPr>
          <w:i/>
          <w:iCs/>
        </w:rPr>
        <w:t>”</w:t>
      </w:r>
      <w:r>
        <w:t xml:space="preserve"> frequently signals “I am listening” or “I understand what you are saying” rather than “I agree”, a usage rooted in the </w:t>
      </w:r>
      <w:proofErr w:type="spellStart"/>
      <w:r>
        <w:rPr>
          <w:i/>
          <w:iCs/>
        </w:rPr>
        <w:t>honne</w:t>
      </w:r>
      <w:proofErr w:type="spellEnd"/>
      <w:r>
        <w:t>–</w:t>
      </w:r>
      <w:proofErr w:type="spellStart"/>
      <w:r>
        <w:rPr>
          <w:i/>
          <w:iCs/>
        </w:rPr>
        <w:t>tatemae</w:t>
      </w:r>
      <w:proofErr w:type="spellEnd"/>
      <w:r>
        <w:t xml:space="preserve"> distinction: preserving the surface harmony of the meeting is a duty, and genuine reservations are conveyed later, privately, through intermediaries or through the quiet withholding of implementation. A British manager who leaves a meeting believing agreement has been </w:t>
      </w:r>
      <w:r w:rsidR="00E14E23">
        <w:t>secured and</w:t>
      </w:r>
      <w:r>
        <w:t xml:space="preserve"> then observes weeks of apparent inaction from the Japanese side, is liable to draw the worst available conclusion, namely bad faith, when the accurate conclusion is that no agreement was ever given. Meyer (2014) documents this exact pattern in Western–Japanese collaborations, and in an engineering programme where design freezes cascade through thousands of dependent tasks, a phantom agreement of this kind is not a social awkwardness but a schedule risk.</w:t>
      </w:r>
    </w:p>
    <w:p w14:paraId="53775A66" w14:textId="44B9DD97" w:rsidR="00605126" w:rsidRDefault="00000000">
      <w:pPr>
        <w:spacing w:after="200" w:line="360" w:lineRule="auto"/>
        <w:jc w:val="both"/>
      </w:pPr>
      <w:r>
        <w:t xml:space="preserve">The trap, however, is double-sided, and this is where the British side’s self-image as plain speakers </w:t>
      </w:r>
      <w:r w:rsidR="00E14E23">
        <w:t>deserve</w:t>
      </w:r>
      <w:r>
        <w:t xml:space="preserve"> scrutiny. British professional culture delivers negative evaluation through </w:t>
      </w:r>
      <w:r w:rsidR="00E14E23">
        <w:t>downgrades</w:t>
      </w:r>
      <w:r>
        <w:t xml:space="preserve"> and irony: “you might want to have another look at the thermal margins” can be a serious instruction, and “not bad at all” can be high praise. Meyer (2014) classifies the UK as more indirect with negative feedback than almost any other low-context culture. Japanese </w:t>
      </w:r>
      <w:r>
        <w:lastRenderedPageBreak/>
        <w:t>engineers, trained to decode enormous subtlety in Japanese, cannot be assumed to decode British subtlety in a second language; coded criticism may simply not register as criticism. The result is a partnership in which each side believes it has communicated and each side is wrong: the Japanese objection never surfaces in the meeting, and the British objection surfaces but in a dialect of understatement the listener has no key to. Neither Hofstede nor Hall alone captures this symmetry, which is why the combined application of frameworks matters.</w:t>
      </w:r>
    </w:p>
    <w:p w14:paraId="24D3D977" w14:textId="77777777" w:rsidR="00605126" w:rsidRDefault="00000000">
      <w:pPr>
        <w:pStyle w:val="Heading2"/>
        <w:spacing w:before="280" w:after="200" w:line="360" w:lineRule="auto"/>
      </w:pPr>
      <w:bookmarkStart w:id="12" w:name="_Toc237851379"/>
      <w:r>
        <w:rPr>
          <w:b/>
          <w:bCs/>
          <w:color w:val="000000"/>
          <w:sz w:val="24"/>
          <w:szCs w:val="24"/>
        </w:rPr>
        <w:t>4.2 Decision-making: consensus versus accountability</w:t>
      </w:r>
      <w:bookmarkEnd w:id="12"/>
    </w:p>
    <w:p w14:paraId="6E4A7EF9" w14:textId="3ACBFDAB" w:rsidR="00605126" w:rsidRDefault="00000000">
      <w:pPr>
        <w:spacing w:after="200" w:line="360" w:lineRule="auto"/>
        <w:jc w:val="both"/>
      </w:pPr>
      <w:r>
        <w:t xml:space="preserve">If communication style is the surface of the collaboration, decision-making is its engine room, and here the frameworks predict the deepest structural friction. Japanese organisations characteristically decide through </w:t>
      </w:r>
      <w:r w:rsidR="00FE213D">
        <w:t>“</w:t>
      </w:r>
      <w:proofErr w:type="spellStart"/>
      <w:r>
        <w:rPr>
          <w:i/>
          <w:iCs/>
        </w:rPr>
        <w:t>ringi</w:t>
      </w:r>
      <w:proofErr w:type="spellEnd"/>
      <w:r w:rsidR="00FE213D">
        <w:rPr>
          <w:i/>
          <w:iCs/>
        </w:rPr>
        <w:t>”</w:t>
      </w:r>
      <w:r>
        <w:t xml:space="preserve">, the circulation of a formal proposal document for successive approval, preceded by </w:t>
      </w:r>
      <w:r w:rsidR="00FE213D">
        <w:t>“</w:t>
      </w:r>
      <w:proofErr w:type="spellStart"/>
      <w:r>
        <w:rPr>
          <w:i/>
          <w:iCs/>
        </w:rPr>
        <w:t>nemawashi</w:t>
      </w:r>
      <w:proofErr w:type="spellEnd"/>
      <w:r w:rsidR="00FE213D">
        <w:rPr>
          <w:i/>
          <w:iCs/>
        </w:rPr>
        <w:t>”</w:t>
      </w:r>
      <w:r>
        <w:t>, literally the “root-binding” of a tree before transplanting: patient, informal, one-to-one consultation with every stakeholder before any formal meeting occurs (Nishiyama, 2000). The consequence, as Meyer (2014) observes, is that in Japan the meeting is where a decision is ratified, not where it is made; by the time the room convenes, consensus already exists. British practice inverts this. The meeting is the arena: options are debated, sometimes combatively, a decision is taken by the accountable individual, and, crucially, that decision is treated as provisional, open to revision as new information arrives.</w:t>
      </w:r>
    </w:p>
    <w:p w14:paraId="3AF60101" w14:textId="2D344C12" w:rsidR="00605126" w:rsidRDefault="00000000">
      <w:pPr>
        <w:spacing w:after="200" w:line="360" w:lineRule="auto"/>
        <w:jc w:val="both"/>
      </w:pPr>
      <w:r>
        <w:t xml:space="preserve">Hofstede’s dimensions explain why each side finds the other’s method not merely different but faintly irresponsible. Japan’s uncertainty avoidance score of 92 underwrites the demand for exhaustive analysis before commitment: a decision, once made, is a promise, and remaking it is a small breach of trust. Britain’s score of 35, combined with an individualism score of 89, underwrites the opposite instinct, that speed matters more than completeness and that an empowered engineer should decide, try, and correct course (Hofstede, Hofstede and Minkov, 2010). Project each pattern onto GCAP’s compressed timeline and the misreadings write themselves. British engineers, watching a proposal disappear into weeks of Japanese internal consultation, perceive bureaucratic paralysis and may attempt to force the pace, not realising that pressuring individuals to commit before </w:t>
      </w:r>
      <w:r w:rsidR="00FE213D">
        <w:t>“</w:t>
      </w:r>
      <w:proofErr w:type="spellStart"/>
      <w:r>
        <w:rPr>
          <w:i/>
          <w:iCs/>
        </w:rPr>
        <w:t>nemawashi</w:t>
      </w:r>
      <w:proofErr w:type="spellEnd"/>
      <w:r w:rsidR="00FE213D">
        <w:rPr>
          <w:i/>
          <w:iCs/>
        </w:rPr>
        <w:t>”</w:t>
      </w:r>
      <w:r>
        <w:t xml:space="preserve"> is complete asks them to do something organisationally impossible. Japanese engineers, watching a British decision agreed on Tuesday and amended the following month, perceive unreliability and may quietly conclude that British commitments cannot be planned against. Each side experiences the other as the risk.</w:t>
      </w:r>
    </w:p>
    <w:p w14:paraId="0A916872" w14:textId="77777777" w:rsidR="00605126" w:rsidRDefault="00000000">
      <w:pPr>
        <w:spacing w:after="200" w:line="360" w:lineRule="auto"/>
        <w:jc w:val="both"/>
      </w:pPr>
      <w:r>
        <w:lastRenderedPageBreak/>
        <w:t>There is a further asymmetry worth naming, because it is the one most likely to be missed by a British manager: Japanese consensus decision-making is slow to decide but extremely fast to implement, precisely because every objection was surfaced and resolved in advance, whereas the British pattern of deciding quickly tends to relocate the argument to the implementation phase. Over a thirteen-year programme these may even out; within any single design cycle, they collide. A joint team that has not explicitly discussed which decision logic governs which class of decision will discover the difference through conflict, usually at the worst possible moment.</w:t>
      </w:r>
    </w:p>
    <w:p w14:paraId="0760922B" w14:textId="77777777" w:rsidR="00605126" w:rsidRDefault="00000000">
      <w:pPr>
        <w:pStyle w:val="Heading2"/>
        <w:spacing w:before="280" w:after="200" w:line="360" w:lineRule="auto"/>
      </w:pPr>
      <w:bookmarkStart w:id="13" w:name="_Toc237851380"/>
      <w:r>
        <w:rPr>
          <w:b/>
          <w:bCs/>
          <w:color w:val="000000"/>
          <w:sz w:val="24"/>
          <w:szCs w:val="24"/>
        </w:rPr>
        <w:t>4.3 Hierarchy, meetings and the management of face</w:t>
      </w:r>
      <w:bookmarkEnd w:id="13"/>
    </w:p>
    <w:p w14:paraId="1ED42A4E" w14:textId="77777777" w:rsidR="00605126" w:rsidRDefault="00000000">
      <w:pPr>
        <w:spacing w:after="200" w:line="360" w:lineRule="auto"/>
        <w:jc w:val="both"/>
      </w:pPr>
      <w:r>
        <w:t>Hofstede’s power distance gap between the two countries is moderate on paper, 35 against 54, but the lived difference in meeting behaviour is larger than the numbers suggest, because Japanese hierarchy operates through seniority and role in ways the index only partially captures. In a Japanese engineering team, a junior engineer who publicly contradicts a senior colleague, or worse, a senior figure from the partner company, commits a serious social transgression regardless of technical merit; the correct channel for dissent is upward, private and preferably anticipatory. British engineering culture, shaped by an aviation safety tradition that actively institutionalises challenge, treats the junior engineer who speaks up in the room as displaying exactly the professionalism the industry demands. When these norms share a meeting, the predictable outcome is that British participants dominate the airtime and then misinterpret the resulting quiet: Japanese reticence is read as absence of ideas, or worse, absence of competence, when it is the presence of discipline (Meyer, 2014).</w:t>
      </w:r>
    </w:p>
    <w:p w14:paraId="4C67AC08" w14:textId="4DAB64E9" w:rsidR="00605126" w:rsidRDefault="00000000">
      <w:pPr>
        <w:spacing w:after="200" w:line="360" w:lineRule="auto"/>
        <w:jc w:val="both"/>
      </w:pPr>
      <w:r>
        <w:t xml:space="preserve">Closely entangled with hierarchy is face, and here Ting-Toomey’s face-negotiation theory adds precision the dimensional frameworks lack. The theory holds that all cultures manage face during conflict, but collectivist, high-context cultures characteristically prioritise the other party’s face and mutual face, favouring avoiding and obliging conflict styles, while individualist, low-context cultures prioritise self-face and favour direct, dominating styles (Ting-Toomey, 2005). This predicts not just that a Japanese engineer will avoid public disagreement, but that a British engineer defending his own position vigorously in a joint meeting will genuinely believe he is doing his job well while his counterparts read the same behaviour as a face-threatening act. Causing another to lose face publicly in Japan damages not only the individual relationship but one’s own standing (Nishiyama, 2000). The defence-industrial world offers a vivid cautionary tale in the McLaren–Honda Formula One partnership </w:t>
      </w:r>
      <w:r>
        <w:lastRenderedPageBreak/>
        <w:t xml:space="preserve">of 2015 to 2017, in which McLaren’s public criticism of Honda’s engines, including openly derisive remarks amplified by the team’s leadership, poisoned the working relationship beyond repair and contributed to a divorce that hindsight judged avoidable. The lesson for GCAP is direct: British habits of robust public banter and visible blame allocation, harmless within a British team, </w:t>
      </w:r>
      <w:r w:rsidR="00E14E23">
        <w:t>can inflict</w:t>
      </w:r>
      <w:r>
        <w:t xml:space="preserve"> durable relational damage across the cultural interface. Under Hofstede’s masculinity dimension, on which Japan scores 95, the highest in his dataset, professional excellence carries intense personal significance in Japanese working life, which raises rather than lowers the emotional cost of public criticism (Hofstede, Hofstede and Minkov, 2010).</w:t>
      </w:r>
    </w:p>
    <w:p w14:paraId="403F8380" w14:textId="77777777" w:rsidR="00605126" w:rsidRDefault="00000000">
      <w:pPr>
        <w:pStyle w:val="Heading2"/>
        <w:spacing w:before="280" w:after="200" w:line="360" w:lineRule="auto"/>
      </w:pPr>
      <w:bookmarkStart w:id="14" w:name="_Toc237851381"/>
      <w:r>
        <w:rPr>
          <w:b/>
          <w:bCs/>
          <w:color w:val="000000"/>
          <w:sz w:val="24"/>
          <w:szCs w:val="24"/>
        </w:rPr>
        <w:t>4.4 Language, distance and the digital layer</w:t>
      </w:r>
      <w:bookmarkEnd w:id="14"/>
    </w:p>
    <w:p w14:paraId="5FA4A21C" w14:textId="4A32183E" w:rsidR="00605126" w:rsidRDefault="00000000">
      <w:pPr>
        <w:spacing w:after="200" w:line="360" w:lineRule="auto"/>
        <w:jc w:val="both"/>
      </w:pPr>
      <w:r>
        <w:t xml:space="preserve">Cutting across </w:t>
      </w:r>
      <w:r w:rsidR="00E14E23">
        <w:t>all</w:t>
      </w:r>
      <w:r>
        <w:t xml:space="preserve"> the above is the fact that the partnership operates in English, which grants the British side a structural advantage that is easy for its beneficiaries not to notice. Tenzer, Pudelko and </w:t>
      </w:r>
      <w:proofErr w:type="spellStart"/>
      <w:r>
        <w:t>Harzing</w:t>
      </w:r>
      <w:proofErr w:type="spellEnd"/>
      <w:r>
        <w:t xml:space="preserve"> (2014) demonstrate that language barriers in multinational teams degrade not only information transfer but trust formation itself: colleagues struggling in a second language are subconsciously judged less competent, participate less, and are interrupted more, and they know it. In GCAP’s joint teams </w:t>
      </w:r>
      <w:r w:rsidR="00E14E23">
        <w:t>these dynamic layers</w:t>
      </w:r>
      <w:r>
        <w:t xml:space="preserve"> onto the cultural ones already described, so that a Japanese engineer’s silence in a design review may simultaneously reflect high-context restraint, hierarchical discipline and the ordinary cognitive load of technical argument in a foreign language. The British interpretation machinery, receiving only the silence, cannot distinguish these causes.</w:t>
      </w:r>
    </w:p>
    <w:p w14:paraId="49EBF97E" w14:textId="77777777" w:rsidR="00605126" w:rsidRDefault="00000000">
      <w:pPr>
        <w:spacing w:after="200" w:line="360" w:lineRule="auto"/>
        <w:jc w:val="both"/>
      </w:pPr>
      <w:r>
        <w:t xml:space="preserve">Distance and medium sharpen the problem further. The nine-hour separation between Warton and Nagoya pushes routine coordination into email and brief video calls, and these are precisely the channels that strip out the contextual information, tone, hesitation, atmosphere, on which high-context communicators rely (Hall and Hall, 1987). Meanwhile the security classification inherent to a combat aircraft programme restricts the informal channels, the coffee conversations and social messaging, through which intercultural teams normally repair misunderstandings. Trompenaars’ specific–diffuse dimension identifies a subtler casualty of distance: if Japanese trust is built diffusely, through shared meals and time spent together beyond the task, then a collaboration conducted principally over video calls starves the relationship of exactly the inputs the Japanese side needs, while the British side, comfortable with specific task-bounded relationships, may not even register the deficit (Trompenaars and Hampden-Turner, 2012). The programme’s heavy use of shared digital engineering models is, </w:t>
      </w:r>
      <w:r>
        <w:lastRenderedPageBreak/>
        <w:t>interestingly, a partial mitigation: a digital twin is the ultimate low-context artefact, explicit and unambiguous, and may function as a neutral common language where verbal communication falters. But models cannot negotiate priorities or repair trust, and the residue of ambiguity always lands back in human conversation.</w:t>
      </w:r>
    </w:p>
    <w:p w14:paraId="7CCF3122" w14:textId="77777777" w:rsidR="00605126" w:rsidRDefault="00000000">
      <w:pPr>
        <w:pStyle w:val="Heading1"/>
        <w:spacing w:before="360" w:after="240" w:line="360" w:lineRule="auto"/>
      </w:pPr>
      <w:bookmarkStart w:id="15" w:name="_Toc237851382"/>
      <w:r>
        <w:rPr>
          <w:b/>
          <w:bCs/>
          <w:color w:val="000000"/>
          <w:sz w:val="28"/>
          <w:szCs w:val="28"/>
        </w:rPr>
        <w:t>5. The Limits of the Frameworks</w:t>
      </w:r>
      <w:bookmarkEnd w:id="15"/>
    </w:p>
    <w:p w14:paraId="339CE7CE" w14:textId="5BB8E7B9" w:rsidR="00605126" w:rsidRDefault="00000000">
      <w:pPr>
        <w:spacing w:after="200" w:line="360" w:lineRule="auto"/>
        <w:jc w:val="both"/>
      </w:pPr>
      <w:r>
        <w:t xml:space="preserve">An essay that stopped at the previous section would earn the frameworks too easy a </w:t>
      </w:r>
      <w:r w:rsidR="00C24062">
        <w:t>victory and</w:t>
      </w:r>
      <w:r>
        <w:t xml:space="preserve"> would repeat the error it warns against. The most influential critique remains McSweeney (2002), whose attack on Hofstede is methodological and conceptual at once: the original data came from a single company’s employees answering attitude surveys, an unrepresentative sample from which to characterise entire nations; the dimensions assume that culture is national, uniform and stable, when nations contain regions, classes, generations and organisations whose values diverge enormously; and the reasoning is circular, inferring culture from responses and then using culture to explain them. The critique has never been convincingly answered. </w:t>
      </w:r>
      <w:proofErr w:type="spellStart"/>
      <w:r>
        <w:t>Venaik</w:t>
      </w:r>
      <w:proofErr w:type="spellEnd"/>
      <w:r>
        <w:t xml:space="preserve"> and Brewer (2013) add the ecological fallacy: Hofstede’s scores describe differences between national averages and say nothing reliable about any individual. The 29-year-old MHI software engineer who did her </w:t>
      </w:r>
      <w:proofErr w:type="spellStart"/>
      <w:proofErr w:type="gramStart"/>
      <w:r>
        <w:t>masters</w:t>
      </w:r>
      <w:proofErr w:type="spellEnd"/>
      <w:proofErr w:type="gramEnd"/>
      <w:r>
        <w:t xml:space="preserve"> degree in London and the 58-year-old Warton veteran who has worked with Japan since the 1990s may each sit closer to the other’s national profile than to their own.</w:t>
      </w:r>
    </w:p>
    <w:p w14:paraId="25758674" w14:textId="370DD847" w:rsidR="00605126" w:rsidRDefault="00000000">
      <w:pPr>
        <w:spacing w:after="200" w:line="360" w:lineRule="auto"/>
        <w:jc w:val="both"/>
      </w:pPr>
      <w:r>
        <w:t xml:space="preserve">The data’s age compounds the problem. The core surveys predate the internet, and Japan </w:t>
      </w:r>
      <w:r w:rsidR="00C24062">
        <w:t>has</w:t>
      </w:r>
      <w:r>
        <w:t xml:space="preserve"> changed: lifetime employment has eroded, younger professionals are measurably more individualistic and mobile than their parents’ generation, and MHI itself has spent two decades internationalising through programmes such as F-35 assembly and civil aerospace supply chains. A framework calibrated on the salaryman of 1970 will systematically overpredict the traditionalism of the engineer of 2026. The GLOBE study (House et al., 2004), the most ambitious attempt to remedy these defects, surveyed managers across 62 societies on </w:t>
      </w:r>
      <w:r w:rsidR="00185D71">
        <w:t xml:space="preserve">9 </w:t>
      </w:r>
      <w:r>
        <w:t xml:space="preserve">dimensions and, tellingly, sometimes contradicts Hofstede outright; its separation of cultural practices (how things are) from cultural values (how respondents think things should be) reveals, for instance, that societies scoring high on uncertainty-avoidance practices often aspire to less of it, a nuance flattened by a single score. That the two most authoritative measurement projects in the field can disagree about the same countries is itself evidence of how fragile these constructs are. Kirkman, Lowe and Gibson (2006), reviewing a quarter-century of research </w:t>
      </w:r>
      <w:r>
        <w:lastRenderedPageBreak/>
        <w:t>built on Hofstede, reach a similarly deflationary conclusion: national culture explains real but modest amounts of variance in workplace behaviour, routinely outweighed by organisational, professional and situational factors.</w:t>
      </w:r>
    </w:p>
    <w:p w14:paraId="28B3E7F5" w14:textId="2944756B" w:rsidR="00605126" w:rsidRDefault="00000000">
      <w:pPr>
        <w:spacing w:after="200" w:line="360" w:lineRule="auto"/>
        <w:jc w:val="both"/>
      </w:pPr>
      <w:r>
        <w:t xml:space="preserve">That last point carries </w:t>
      </w:r>
      <w:r w:rsidR="00C24062">
        <w:t>force</w:t>
      </w:r>
      <w:r>
        <w:t xml:space="preserve"> here, because aerospace engineering is itself a culture, and arguably a stronger one than either nation supplies. British and Japanese GCAP engineers share educations in the same physics, reverence for the same safety norms, fluency in the same modelling tools and membership of the same small global community of combat-air specialists. Adler and Aycan (2018) argue that such professional cultures can dominate national ones in technical collaboration, which suggests the joint teams may converge faster than the frameworks predict. Osland and Bird (2000) supply the essay’s most important warning in this connection: cultural frameworks, taught badly, produce “sophisticated stereotyping”, in which managers stop observing the actual person in front of them because the model has already told them who that person is. A British manager who has read Hofstede and therefore interprets every Japanese silence as face-saving disagreement is not communicating better; he has merely exchanged one form of deafness for </w:t>
      </w:r>
      <w:r w:rsidR="00C24062">
        <w:t>another and</w:t>
      </w:r>
      <w:r>
        <w:t xml:space="preserve"> has done so with confidence. The frameworks, in short, are best treated as hypothesis generators, alerting managers to what might be happening, never as verdicts on what is.</w:t>
      </w:r>
    </w:p>
    <w:p w14:paraId="18D6775A" w14:textId="77777777" w:rsidR="00605126" w:rsidRDefault="00000000">
      <w:pPr>
        <w:pStyle w:val="Heading1"/>
        <w:spacing w:before="360" w:after="240" w:line="360" w:lineRule="auto"/>
      </w:pPr>
      <w:bookmarkStart w:id="16" w:name="_Toc237851383"/>
      <w:r>
        <w:rPr>
          <w:b/>
          <w:bCs/>
          <w:color w:val="000000"/>
          <w:sz w:val="28"/>
          <w:szCs w:val="28"/>
        </w:rPr>
        <w:t>6. Building a Third Culture: Practical Implications</w:t>
      </w:r>
      <w:bookmarkEnd w:id="16"/>
    </w:p>
    <w:p w14:paraId="76AD66E6" w14:textId="77777777" w:rsidR="00605126" w:rsidRDefault="00000000">
      <w:pPr>
        <w:spacing w:after="200" w:line="360" w:lineRule="auto"/>
        <w:jc w:val="both"/>
      </w:pPr>
      <w:r>
        <w:t>If the analysis above is right, the practical task facing GCAP’s joint teams is not for either side to master the other’s etiquette but to construct, deliberately, what Casmir (1999) terms a third culture: a negotiated set of team norms that borrows from both traditions and belongs to neither. What might that look like in practice?</w:t>
      </w:r>
    </w:p>
    <w:p w14:paraId="75517006" w14:textId="565A9131" w:rsidR="00605126" w:rsidRDefault="00000000">
      <w:pPr>
        <w:spacing w:after="200" w:line="360" w:lineRule="auto"/>
        <w:jc w:val="both"/>
      </w:pPr>
      <w:r>
        <w:t xml:space="preserve">The most immediate opportunity is meeting design. Circulating papers and proposed decisions well before meetings accommodates </w:t>
      </w:r>
      <w:r w:rsidR="00185D71">
        <w:t>“</w:t>
      </w:r>
      <w:proofErr w:type="spellStart"/>
      <w:r>
        <w:rPr>
          <w:i/>
          <w:iCs/>
        </w:rPr>
        <w:t>nemawashi</w:t>
      </w:r>
      <w:proofErr w:type="spellEnd"/>
      <w:r w:rsidR="00185D71">
        <w:rPr>
          <w:i/>
          <w:iCs/>
        </w:rPr>
        <w:t>”</w:t>
      </w:r>
      <w:r>
        <w:t>, gives non-native English speakers processing time, and costs the British side nothing but discipline. The mirror-image practice, issuing explicit written minutes recording what was and was not decided, serves the low-context need for an unambiguous record while protecting the Japanese side from the phantom-agreement problem described earlier. Simple structural devices help too: collecting written comments before discussion opens, or deliberately canvassing junior engineers first, blunts both the hierarchy effect and the airtime asymmetry (Brett, Behfar and Kern, 2006).</w:t>
      </w:r>
    </w:p>
    <w:p w14:paraId="50439ABA" w14:textId="2C40E28D" w:rsidR="00605126" w:rsidRDefault="00000000">
      <w:pPr>
        <w:spacing w:after="200" w:line="360" w:lineRule="auto"/>
        <w:jc w:val="both"/>
      </w:pPr>
      <w:r>
        <w:lastRenderedPageBreak/>
        <w:t xml:space="preserve">Decision protocols deserve the same deliberate treatment, rather than being left to collide. Meyer (2014) recommends that multicultural teams agree in advance which decisions are consensual and fixed and which are top-down and revisable, and label them as such. Applied to GCAP, a design freeze belongs in the Japanese register, decided slowly and then genuinely frozen, while routine lower-level engineering choices can safely run on the faster British logic. Beyond process, the programme should invest in people who span the boundary: bicultural or long-tenured individuals trusted on both sides, whose quiet translation work is repeatedly found to be among the strongest predictors of multinational team performance. Formal development helps here as well, provided it takes the right form; cultural intelligence training of the kind Earley and Ang (2003) describe builds observation and adaptation, which is worth far more than memorised lists of national </w:t>
      </w:r>
      <w:proofErr w:type="gramStart"/>
      <w:r>
        <w:t>do</w:t>
      </w:r>
      <w:r w:rsidR="00294B8B">
        <w:t>’</w:t>
      </w:r>
      <w:r>
        <w:t>s</w:t>
      </w:r>
      <w:proofErr w:type="gramEnd"/>
      <w:r>
        <w:t xml:space="preserve"> and </w:t>
      </w:r>
      <w:r w:rsidR="00294B8B">
        <w:t>don’ts</w:t>
      </w:r>
      <w:r>
        <w:t xml:space="preserve">. And none of </w:t>
      </w:r>
      <w:r w:rsidR="00294B8B">
        <w:t>this substitute</w:t>
      </w:r>
      <w:r>
        <w:t xml:space="preserve"> for shared time. Trust of the kind Japan’s long-term orientation demands is built through co-location and rotation between Warton, Reading and Nagoya, in corridors and over meals, and no framework, however well taught, replaces it.</w:t>
      </w:r>
    </w:p>
    <w:p w14:paraId="4C93B7D9" w14:textId="77777777" w:rsidR="00605126" w:rsidRDefault="00000000">
      <w:pPr>
        <w:pStyle w:val="Heading1"/>
        <w:spacing w:before="360" w:after="240" w:line="360" w:lineRule="auto"/>
      </w:pPr>
      <w:bookmarkStart w:id="17" w:name="_Toc237851384"/>
      <w:r>
        <w:rPr>
          <w:b/>
          <w:bCs/>
          <w:color w:val="000000"/>
          <w:sz w:val="28"/>
          <w:szCs w:val="28"/>
        </w:rPr>
        <w:t>7. Conclusion</w:t>
      </w:r>
      <w:bookmarkEnd w:id="17"/>
    </w:p>
    <w:p w14:paraId="5A00D759" w14:textId="77777777" w:rsidR="00605126" w:rsidRDefault="00000000">
      <w:pPr>
        <w:spacing w:after="200" w:line="360" w:lineRule="auto"/>
        <w:jc w:val="both"/>
      </w:pPr>
      <w:r>
        <w:t>Where does this leave the Country Director responsible for making the BAE–MHI relationship work? The frameworks examined here earned their keep. Hall’s high-context and low-context distinction explains why silence, indirect refusal and the ambiguous “yes” will be the most common everyday sites of misunderstanding. Hofstede’s dimensions, above all the vast uncertainty avoidance gap, explain why the two sides decide differently and why each experiences the other’s decision logic as a risk. Trompenaars’ specific–diffuse and universalist–particularist dimensions, together with Ting-Toomey’s face-negotiation theory, illuminate the relational machinery of trust-building and face-work that the older frameworks treat only obliquely. And Meyer’s scales expose the less obvious hazard: British indirectness about criticism is every bit as capable of causing miscommunication as Japanese indirectness about dissent.</w:t>
      </w:r>
    </w:p>
    <w:p w14:paraId="6D52512A" w14:textId="43D12B5E" w:rsidR="00605126" w:rsidRDefault="00000000">
      <w:pPr>
        <w:spacing w:after="200" w:line="360" w:lineRule="auto"/>
        <w:jc w:val="both"/>
      </w:pPr>
      <w:r>
        <w:t xml:space="preserve">Yet half the analysis has been about the frameworks’ limits, and that was not a formality. National scores are averages built on dated data. They describe neither the individual engineer nor the powerful shared professional culture of </w:t>
      </w:r>
      <w:r w:rsidR="00294B8B">
        <w:t>aerospace and</w:t>
      </w:r>
      <w:r>
        <w:t xml:space="preserve"> applied as rules rather than hypotheses they generate the sophisticated stereotyping that damages the very communication they promise to improve. The conclusion for practice is accordingly double-edged. GCAP’s </w:t>
      </w:r>
      <w:r>
        <w:lastRenderedPageBreak/>
        <w:t xml:space="preserve">leaders should absolutely use these theories, as this essay has, to anticipate where friction will </w:t>
      </w:r>
      <w:r w:rsidR="00E14E23">
        <w:t>concentrate</w:t>
      </w:r>
      <w:r>
        <w:t xml:space="preserve"> in the meaning of silence, the pace of decisions, the management of face, the asymmetries of language. But every prediction should be held as provisional, tested against the actual people in the room, and the sustained managerial effort should go into building a negotiated third culture of shared team norms. An aircraft that three nations will fly for half a century is being designed by people who must first design a way of talking to each other. On the evidence assembled here, that second design task deserves to be managed with the same rigour as the first.</w:t>
      </w:r>
    </w:p>
    <w:p w14:paraId="0A009E50" w14:textId="77777777" w:rsidR="00605126" w:rsidRDefault="00000000">
      <w:r>
        <w:br w:type="page"/>
      </w:r>
    </w:p>
    <w:p w14:paraId="54C625AC" w14:textId="77777777" w:rsidR="00605126" w:rsidRDefault="00000000">
      <w:pPr>
        <w:pStyle w:val="Heading1"/>
        <w:spacing w:before="360" w:after="240" w:line="360" w:lineRule="auto"/>
      </w:pPr>
      <w:bookmarkStart w:id="18" w:name="_Toc237851385"/>
      <w:r>
        <w:rPr>
          <w:b/>
          <w:bCs/>
          <w:color w:val="000000"/>
          <w:sz w:val="28"/>
          <w:szCs w:val="28"/>
        </w:rPr>
        <w:lastRenderedPageBreak/>
        <w:t>References</w:t>
      </w:r>
      <w:bookmarkEnd w:id="18"/>
    </w:p>
    <w:p w14:paraId="50A023AE" w14:textId="77777777" w:rsidR="00605126" w:rsidRDefault="00000000">
      <w:pPr>
        <w:spacing w:after="200" w:line="360" w:lineRule="auto"/>
        <w:ind w:left="720" w:hanging="720"/>
      </w:pPr>
      <w:r>
        <w:t xml:space="preserve">Adler, N.J. and Aycan, Z. (2018) ‘Cross-cultural interaction: what we know and what we need to know’, </w:t>
      </w:r>
      <w:r>
        <w:rPr>
          <w:i/>
          <w:iCs/>
        </w:rPr>
        <w:t xml:space="preserve">Annual Review of Organizational Psychology and Organizational </w:t>
      </w:r>
      <w:proofErr w:type="spellStart"/>
      <w:r>
        <w:rPr>
          <w:i/>
          <w:iCs/>
        </w:rPr>
        <w:t>Behavior</w:t>
      </w:r>
      <w:proofErr w:type="spellEnd"/>
      <w:r>
        <w:t>, 5, pp. 307–333.</w:t>
      </w:r>
    </w:p>
    <w:p w14:paraId="2A85AF24" w14:textId="77777777" w:rsidR="00605126" w:rsidRDefault="00000000">
      <w:pPr>
        <w:spacing w:after="200" w:line="360" w:lineRule="auto"/>
        <w:ind w:left="720" w:hanging="720"/>
      </w:pPr>
      <w:r>
        <w:t>Aviation Week (2026) ‘</w:t>
      </w:r>
      <w:proofErr w:type="spellStart"/>
      <w:r>
        <w:t>Edgewing</w:t>
      </w:r>
      <w:proofErr w:type="spellEnd"/>
      <w:r>
        <w:t xml:space="preserve"> readying global footprint for GCAP engineering’, </w:t>
      </w:r>
      <w:r>
        <w:rPr>
          <w:i/>
          <w:iCs/>
        </w:rPr>
        <w:t>Aviation Week &amp; Space Technology</w:t>
      </w:r>
      <w:r>
        <w:t>, 21 July. Available at: https://aviationweek.com/defense/aircraft-propulsion/edgewing-readying-global-footprint-gcap-engineering (Accessed: 26 July 2026).</w:t>
      </w:r>
    </w:p>
    <w:p w14:paraId="659CC541" w14:textId="77777777" w:rsidR="00605126" w:rsidRDefault="00000000">
      <w:pPr>
        <w:spacing w:after="200" w:line="360" w:lineRule="auto"/>
        <w:ind w:left="720" w:hanging="720"/>
      </w:pPr>
      <w:r>
        <w:t xml:space="preserve">BAE Systems (2025) </w:t>
      </w:r>
      <w:r>
        <w:rPr>
          <w:i/>
          <w:iCs/>
        </w:rPr>
        <w:t xml:space="preserve">Industry partners launch joint venture company </w:t>
      </w:r>
      <w:proofErr w:type="spellStart"/>
      <w:r>
        <w:rPr>
          <w:i/>
          <w:iCs/>
        </w:rPr>
        <w:t>Edgewing</w:t>
      </w:r>
      <w:proofErr w:type="spellEnd"/>
      <w:r>
        <w:rPr>
          <w:i/>
          <w:iCs/>
        </w:rPr>
        <w:t xml:space="preserve"> to deliver next generation combat aircraft</w:t>
      </w:r>
      <w:r>
        <w:t>. Available at: https://www.baesystems.com (Accessed: 26 July 2026).</w:t>
      </w:r>
    </w:p>
    <w:p w14:paraId="4A482BE6" w14:textId="77777777" w:rsidR="00605126" w:rsidRDefault="00000000">
      <w:pPr>
        <w:spacing w:after="200" w:line="360" w:lineRule="auto"/>
        <w:ind w:left="720" w:hanging="720"/>
      </w:pPr>
      <w:r>
        <w:t xml:space="preserve">Brett, J., Behfar, K. and Kern, M.C. (2006) ‘Managing multicultural teams’, </w:t>
      </w:r>
      <w:r>
        <w:rPr>
          <w:i/>
          <w:iCs/>
        </w:rPr>
        <w:t>Harvard Business Review</w:t>
      </w:r>
      <w:r>
        <w:t>, 84(11), pp. 84–91.</w:t>
      </w:r>
    </w:p>
    <w:p w14:paraId="4DC8F5DD" w14:textId="77777777" w:rsidR="00605126" w:rsidRDefault="00000000">
      <w:pPr>
        <w:spacing w:after="200" w:line="360" w:lineRule="auto"/>
        <w:ind w:left="720" w:hanging="720"/>
      </w:pPr>
      <w:r>
        <w:t xml:space="preserve">Casmir, F.L. (1999) ‘Foundations for the study of intercultural communication based on a </w:t>
      </w:r>
      <w:proofErr w:type="gramStart"/>
      <w:r>
        <w:t>third-culture</w:t>
      </w:r>
      <w:proofErr w:type="gramEnd"/>
      <w:r>
        <w:t xml:space="preserve"> building model’, </w:t>
      </w:r>
      <w:r>
        <w:rPr>
          <w:i/>
          <w:iCs/>
        </w:rPr>
        <w:t>International Journal of Intercultural Relations</w:t>
      </w:r>
      <w:r>
        <w:t>, 23(1), pp. 91–116.</w:t>
      </w:r>
    </w:p>
    <w:p w14:paraId="318CFAEC" w14:textId="77777777" w:rsidR="00605126" w:rsidRDefault="00000000">
      <w:pPr>
        <w:spacing w:after="200" w:line="360" w:lineRule="auto"/>
        <w:ind w:left="720" w:hanging="720"/>
      </w:pPr>
      <w:r>
        <w:t xml:space="preserve">Earley, P.C. and Ang, S. (2003) </w:t>
      </w:r>
      <w:r>
        <w:rPr>
          <w:i/>
          <w:iCs/>
        </w:rPr>
        <w:t>Cultural intelligence: individual interactions across cultures</w:t>
      </w:r>
      <w:r>
        <w:t>. Stanford: Stanford University Press.</w:t>
      </w:r>
    </w:p>
    <w:p w14:paraId="08830F32" w14:textId="77777777" w:rsidR="00605126" w:rsidRDefault="00000000">
      <w:pPr>
        <w:spacing w:after="200" w:line="360" w:lineRule="auto"/>
        <w:ind w:left="720" w:hanging="720"/>
      </w:pPr>
      <w:r>
        <w:t xml:space="preserve">Hall, E.T. (1976) </w:t>
      </w:r>
      <w:r>
        <w:rPr>
          <w:i/>
          <w:iCs/>
        </w:rPr>
        <w:t>Beyond culture</w:t>
      </w:r>
      <w:r>
        <w:t>. New York: Anchor Books.</w:t>
      </w:r>
    </w:p>
    <w:p w14:paraId="26EAB460" w14:textId="77777777" w:rsidR="00605126" w:rsidRDefault="00000000">
      <w:pPr>
        <w:spacing w:after="200" w:line="360" w:lineRule="auto"/>
        <w:ind w:left="720" w:hanging="720"/>
      </w:pPr>
      <w:r>
        <w:t xml:space="preserve">Hall, E.T. and Hall, M.R. (1987) </w:t>
      </w:r>
      <w:r>
        <w:rPr>
          <w:i/>
          <w:iCs/>
        </w:rPr>
        <w:t>Hidden differences: doing business with the Japanese</w:t>
      </w:r>
      <w:r>
        <w:t>. New York: Anchor Press.</w:t>
      </w:r>
    </w:p>
    <w:p w14:paraId="15169E18" w14:textId="77777777" w:rsidR="00605126" w:rsidRDefault="00000000">
      <w:pPr>
        <w:spacing w:after="200" w:line="360" w:lineRule="auto"/>
        <w:ind w:left="720" w:hanging="720"/>
      </w:pPr>
      <w:r>
        <w:t xml:space="preserve">Hofstede, G., Hofstede, G.J. and Minkov, M. (2010) </w:t>
      </w:r>
      <w:r>
        <w:rPr>
          <w:i/>
          <w:iCs/>
        </w:rPr>
        <w:t>Cultures and organizations: software of the mind</w:t>
      </w:r>
      <w:r>
        <w:t xml:space="preserve">. 3rd </w:t>
      </w:r>
      <w:proofErr w:type="spellStart"/>
      <w:r>
        <w:t>edn</w:t>
      </w:r>
      <w:proofErr w:type="spellEnd"/>
      <w:r>
        <w:t>. New York: McGraw-Hill.</w:t>
      </w:r>
    </w:p>
    <w:p w14:paraId="1FBBC2AE" w14:textId="77777777" w:rsidR="00605126" w:rsidRDefault="00000000">
      <w:pPr>
        <w:spacing w:after="200" w:line="360" w:lineRule="auto"/>
        <w:ind w:left="720" w:hanging="720"/>
      </w:pPr>
      <w:r>
        <w:t xml:space="preserve">House, R.J., Hanges, P.J., Javidan, M., Dorfman, P.W. and Gupta, V. (eds.) (2004) </w:t>
      </w:r>
      <w:r>
        <w:rPr>
          <w:i/>
          <w:iCs/>
        </w:rPr>
        <w:t>Culture, leadership, and organizations: the GLOBE study of 62 societies</w:t>
      </w:r>
      <w:r>
        <w:t>. Thousand Oaks: Sage.</w:t>
      </w:r>
    </w:p>
    <w:p w14:paraId="01285D63" w14:textId="77777777" w:rsidR="00605126" w:rsidRDefault="00000000">
      <w:pPr>
        <w:spacing w:after="200" w:line="360" w:lineRule="auto"/>
        <w:ind w:left="720" w:hanging="720"/>
      </w:pPr>
      <w:proofErr w:type="spellStart"/>
      <w:r>
        <w:lastRenderedPageBreak/>
        <w:t>Kavout</w:t>
      </w:r>
      <w:proofErr w:type="spellEnd"/>
      <w:r>
        <w:t xml:space="preserve"> (2026) </w:t>
      </w:r>
      <w:r>
        <w:rPr>
          <w:i/>
          <w:iCs/>
        </w:rPr>
        <w:t xml:space="preserve">Beyond the F-35: GCAP’s $6.14 billion contract signals a new era of global </w:t>
      </w:r>
      <w:proofErr w:type="spellStart"/>
      <w:r>
        <w:rPr>
          <w:i/>
          <w:iCs/>
        </w:rPr>
        <w:t>defense</w:t>
      </w:r>
      <w:proofErr w:type="spellEnd"/>
      <w:r>
        <w:rPr>
          <w:i/>
          <w:iCs/>
        </w:rPr>
        <w:t xml:space="preserve"> collaboration</w:t>
      </w:r>
      <w:r>
        <w:t>. Available at: https://www.kavout.com (Accessed: 26 July 2026).</w:t>
      </w:r>
    </w:p>
    <w:p w14:paraId="04936015" w14:textId="77777777" w:rsidR="00605126" w:rsidRDefault="00000000">
      <w:pPr>
        <w:spacing w:after="200" w:line="360" w:lineRule="auto"/>
        <w:ind w:left="720" w:hanging="720"/>
      </w:pPr>
      <w:r>
        <w:t xml:space="preserve">Kirkman, B.L., Lowe, K.B. and Gibson, C.B. (2006) ‘A quarter century of Culture’s Consequences: a review of empirical research incorporating Hofstede’s cultural values framework’, </w:t>
      </w:r>
      <w:r>
        <w:rPr>
          <w:i/>
          <w:iCs/>
        </w:rPr>
        <w:t>Journal of International Business Studies</w:t>
      </w:r>
      <w:r>
        <w:t>, 37(3), pp. 285–320.</w:t>
      </w:r>
    </w:p>
    <w:p w14:paraId="24D9B330" w14:textId="77777777" w:rsidR="00605126" w:rsidRDefault="00000000">
      <w:pPr>
        <w:spacing w:after="200" w:line="360" w:lineRule="auto"/>
        <w:ind w:left="720" w:hanging="720"/>
      </w:pPr>
      <w:r>
        <w:t xml:space="preserve">Leonardo (2026) </w:t>
      </w:r>
      <w:r>
        <w:rPr>
          <w:i/>
          <w:iCs/>
        </w:rPr>
        <w:t>Global Combat Air Programme (GCAP): developing the future of combat air</w:t>
      </w:r>
      <w:r>
        <w:t>. Available at: https://uk.leonardo.com/en/fcas/gcap (Accessed: 26 July 2026).</w:t>
      </w:r>
    </w:p>
    <w:p w14:paraId="4EBC0833" w14:textId="77777777" w:rsidR="00605126" w:rsidRDefault="00000000">
      <w:pPr>
        <w:spacing w:after="200" w:line="360" w:lineRule="auto"/>
        <w:ind w:left="720" w:hanging="720"/>
      </w:pPr>
      <w:r>
        <w:t xml:space="preserve">McSweeney, B. (2002) ‘Hofstede’s model of national cultural differences and their consequences: a triumph of faith – a failure of analysis’, </w:t>
      </w:r>
      <w:r>
        <w:rPr>
          <w:i/>
          <w:iCs/>
        </w:rPr>
        <w:t>Human Relations</w:t>
      </w:r>
      <w:r>
        <w:t>, 55(1), pp. 89–118.</w:t>
      </w:r>
    </w:p>
    <w:p w14:paraId="1E9360DD" w14:textId="77777777" w:rsidR="00605126" w:rsidRDefault="00000000">
      <w:pPr>
        <w:spacing w:after="200" w:line="360" w:lineRule="auto"/>
        <w:ind w:left="720" w:hanging="720"/>
      </w:pPr>
      <w:r>
        <w:t xml:space="preserve">Meyer, E. (2014) </w:t>
      </w:r>
      <w:r>
        <w:rPr>
          <w:i/>
          <w:iCs/>
        </w:rPr>
        <w:t>The culture map: breaking through the invisible boundaries of global business</w:t>
      </w:r>
      <w:r>
        <w:t>. New York: PublicAffairs.</w:t>
      </w:r>
    </w:p>
    <w:p w14:paraId="16F7AF5E" w14:textId="77777777" w:rsidR="00605126" w:rsidRDefault="00000000">
      <w:pPr>
        <w:spacing w:after="200" w:line="360" w:lineRule="auto"/>
        <w:ind w:left="720" w:hanging="720"/>
      </w:pPr>
      <w:r>
        <w:t xml:space="preserve">Ministry of Defence (2022) </w:t>
      </w:r>
      <w:r>
        <w:rPr>
          <w:i/>
          <w:iCs/>
        </w:rPr>
        <w:t>UK, Japan and Italy announce new global combat air programme</w:t>
      </w:r>
      <w:r>
        <w:t>. Available at: https://www.gov.uk/government/news (Accessed: 26 July 2026).</w:t>
      </w:r>
    </w:p>
    <w:p w14:paraId="370F5BA7" w14:textId="77777777" w:rsidR="00605126" w:rsidRDefault="00000000">
      <w:pPr>
        <w:spacing w:after="200" w:line="360" w:lineRule="auto"/>
        <w:ind w:left="720" w:hanging="720"/>
      </w:pPr>
      <w:r>
        <w:t xml:space="preserve">Nishiyama, K. (2000) </w:t>
      </w:r>
      <w:r>
        <w:rPr>
          <w:i/>
          <w:iCs/>
        </w:rPr>
        <w:t>Doing business with Japan: successful strategies for intercultural communication</w:t>
      </w:r>
      <w:r>
        <w:t>. Honolulu: University of Hawai’i Press.</w:t>
      </w:r>
    </w:p>
    <w:p w14:paraId="633BD97A" w14:textId="77777777" w:rsidR="00605126" w:rsidRDefault="00000000">
      <w:pPr>
        <w:spacing w:after="200" w:line="360" w:lineRule="auto"/>
        <w:ind w:left="720" w:hanging="720"/>
      </w:pPr>
      <w:r>
        <w:t xml:space="preserve">Osland, J.S. and Bird, A. (2000) ‘Beyond sophisticated stereotyping: cultural sensemaking in context’, </w:t>
      </w:r>
      <w:r>
        <w:rPr>
          <w:i/>
          <w:iCs/>
        </w:rPr>
        <w:t>Academy of Management Executive</w:t>
      </w:r>
      <w:r>
        <w:t>, 14(1), pp. 65–77.</w:t>
      </w:r>
    </w:p>
    <w:p w14:paraId="0A1305EC" w14:textId="77777777" w:rsidR="00605126" w:rsidRDefault="00000000">
      <w:pPr>
        <w:spacing w:after="200" w:line="360" w:lineRule="auto"/>
        <w:ind w:left="720" w:hanging="720"/>
      </w:pPr>
      <w:r>
        <w:t xml:space="preserve">Tenzer, H., Pudelko, M. and </w:t>
      </w:r>
      <w:proofErr w:type="spellStart"/>
      <w:r>
        <w:t>Harzing</w:t>
      </w:r>
      <w:proofErr w:type="spellEnd"/>
      <w:r>
        <w:t xml:space="preserve">, A.-W. (2014) ‘The impact of language barriers on trust formation in multinational teams’, </w:t>
      </w:r>
      <w:r>
        <w:rPr>
          <w:i/>
          <w:iCs/>
        </w:rPr>
        <w:t>Journal of International Business Studies</w:t>
      </w:r>
      <w:r>
        <w:t>, 45(5), pp. 508–535.</w:t>
      </w:r>
    </w:p>
    <w:p w14:paraId="16D6F818" w14:textId="77777777" w:rsidR="00605126" w:rsidRDefault="00000000">
      <w:pPr>
        <w:spacing w:after="200" w:line="360" w:lineRule="auto"/>
        <w:ind w:left="720" w:hanging="720"/>
      </w:pPr>
      <w:r>
        <w:t xml:space="preserve">Ting-Toomey, S. (2005) ‘The matrix of face: an updated face-negotiation theory’, in </w:t>
      </w:r>
      <w:proofErr w:type="spellStart"/>
      <w:r>
        <w:t>Gudykunst</w:t>
      </w:r>
      <w:proofErr w:type="spellEnd"/>
      <w:r>
        <w:t xml:space="preserve">, W.B. (ed.) </w:t>
      </w:r>
      <w:r>
        <w:rPr>
          <w:i/>
          <w:iCs/>
        </w:rPr>
        <w:t>Theorizing about intercultural communication</w:t>
      </w:r>
      <w:r>
        <w:t>. Thousand Oaks: Sage, pp. 71–92.</w:t>
      </w:r>
    </w:p>
    <w:p w14:paraId="4FF85D86" w14:textId="77777777" w:rsidR="00605126" w:rsidRDefault="00000000">
      <w:pPr>
        <w:spacing w:after="200" w:line="360" w:lineRule="auto"/>
        <w:ind w:left="720" w:hanging="720"/>
      </w:pPr>
      <w:r>
        <w:t xml:space="preserve">Trompenaars, F. and Hampden-Turner, C. (2012) </w:t>
      </w:r>
      <w:r>
        <w:rPr>
          <w:i/>
          <w:iCs/>
        </w:rPr>
        <w:t>Riding the waves of culture: understanding diversity in global business</w:t>
      </w:r>
      <w:r>
        <w:t xml:space="preserve">. 3rd </w:t>
      </w:r>
      <w:proofErr w:type="spellStart"/>
      <w:r>
        <w:t>edn</w:t>
      </w:r>
      <w:proofErr w:type="spellEnd"/>
      <w:r>
        <w:t>. London: Nicholas Brealey.</w:t>
      </w:r>
    </w:p>
    <w:p w14:paraId="0628CF5A" w14:textId="77777777" w:rsidR="00605126" w:rsidRDefault="00000000">
      <w:pPr>
        <w:spacing w:after="200" w:line="360" w:lineRule="auto"/>
        <w:ind w:left="720" w:hanging="720"/>
      </w:pPr>
      <w:proofErr w:type="spellStart"/>
      <w:r>
        <w:lastRenderedPageBreak/>
        <w:t>Venaik</w:t>
      </w:r>
      <w:proofErr w:type="spellEnd"/>
      <w:r>
        <w:t xml:space="preserve">, S. and Brewer, P. (2013) ‘Critical issues in the Hofstede and GLOBE national culture models’, </w:t>
      </w:r>
      <w:r>
        <w:rPr>
          <w:i/>
          <w:iCs/>
        </w:rPr>
        <w:t>International Marketing Review</w:t>
      </w:r>
      <w:r>
        <w:t>, 30(5), pp. 469–482.</w:t>
      </w:r>
    </w:p>
    <w:sectPr w:rsidR="00605126">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D93A92"/>
    <w:multiLevelType w:val="hybridMultilevel"/>
    <w:tmpl w:val="48B4ADBA"/>
    <w:lvl w:ilvl="0" w:tplc="2FEE0F12">
      <w:start w:val="1"/>
      <w:numFmt w:val="bullet"/>
      <w:lvlText w:val="●"/>
      <w:lvlJc w:val="left"/>
      <w:pPr>
        <w:ind w:left="720" w:hanging="360"/>
      </w:pPr>
    </w:lvl>
    <w:lvl w:ilvl="1" w:tplc="65A013C2">
      <w:start w:val="1"/>
      <w:numFmt w:val="bullet"/>
      <w:lvlText w:val="○"/>
      <w:lvlJc w:val="left"/>
      <w:pPr>
        <w:ind w:left="1440" w:hanging="360"/>
      </w:pPr>
    </w:lvl>
    <w:lvl w:ilvl="2" w:tplc="6B5880F4">
      <w:start w:val="1"/>
      <w:numFmt w:val="bullet"/>
      <w:lvlText w:val="■"/>
      <w:lvlJc w:val="left"/>
      <w:pPr>
        <w:ind w:left="2160" w:hanging="360"/>
      </w:pPr>
    </w:lvl>
    <w:lvl w:ilvl="3" w:tplc="A8AA36E4">
      <w:start w:val="1"/>
      <w:numFmt w:val="bullet"/>
      <w:lvlText w:val="●"/>
      <w:lvlJc w:val="left"/>
      <w:pPr>
        <w:ind w:left="2880" w:hanging="360"/>
      </w:pPr>
    </w:lvl>
    <w:lvl w:ilvl="4" w:tplc="38D8096E">
      <w:start w:val="1"/>
      <w:numFmt w:val="bullet"/>
      <w:lvlText w:val="○"/>
      <w:lvlJc w:val="left"/>
      <w:pPr>
        <w:ind w:left="3600" w:hanging="360"/>
      </w:pPr>
    </w:lvl>
    <w:lvl w:ilvl="5" w:tplc="20220A3E">
      <w:start w:val="1"/>
      <w:numFmt w:val="bullet"/>
      <w:lvlText w:val="■"/>
      <w:lvlJc w:val="left"/>
      <w:pPr>
        <w:ind w:left="4320" w:hanging="360"/>
      </w:pPr>
    </w:lvl>
    <w:lvl w:ilvl="6" w:tplc="4D3A0988">
      <w:start w:val="1"/>
      <w:numFmt w:val="bullet"/>
      <w:lvlText w:val="●"/>
      <w:lvlJc w:val="left"/>
      <w:pPr>
        <w:ind w:left="5040" w:hanging="360"/>
      </w:pPr>
    </w:lvl>
    <w:lvl w:ilvl="7" w:tplc="1296858C">
      <w:start w:val="1"/>
      <w:numFmt w:val="bullet"/>
      <w:lvlText w:val="●"/>
      <w:lvlJc w:val="left"/>
      <w:pPr>
        <w:ind w:left="5760" w:hanging="360"/>
      </w:pPr>
    </w:lvl>
    <w:lvl w:ilvl="8" w:tplc="DEF27240">
      <w:start w:val="1"/>
      <w:numFmt w:val="bullet"/>
      <w:lvlText w:val="●"/>
      <w:lvlJc w:val="left"/>
      <w:pPr>
        <w:ind w:left="6480" w:hanging="360"/>
      </w:pPr>
    </w:lvl>
  </w:abstractNum>
  <w:num w:numId="1" w16cid:durableId="2019647991">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39"/>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26"/>
    <w:rsid w:val="00185D71"/>
    <w:rsid w:val="00294B8B"/>
    <w:rsid w:val="00605126"/>
    <w:rsid w:val="00AB67EE"/>
    <w:rsid w:val="00B204D6"/>
    <w:rsid w:val="00BB21DF"/>
    <w:rsid w:val="00C24062"/>
    <w:rsid w:val="00E14E23"/>
    <w:rsid w:val="00FE2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42C9E"/>
  <w15:docId w15:val="{59E83D5E-79BF-324F-AD6F-884559A55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AB67EE"/>
    <w:pPr>
      <w:spacing w:after="100"/>
    </w:pPr>
  </w:style>
  <w:style w:type="paragraph" w:styleId="TOC2">
    <w:name w:val="toc 2"/>
    <w:basedOn w:val="Normal"/>
    <w:next w:val="Normal"/>
    <w:autoRedefine/>
    <w:uiPriority w:val="39"/>
    <w:unhideWhenUsed/>
    <w:rsid w:val="00AB67E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95E75B1-6865-6E46-B480-52452BA8D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18</Pages>
  <Words>5496</Words>
  <Characters>32322</Characters>
  <Application>Microsoft Office Word</Application>
  <DocSecurity>0</DocSecurity>
  <Lines>489</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Anamaria  Fermesanu</cp:lastModifiedBy>
  <cp:revision>4</cp:revision>
  <dcterms:created xsi:type="dcterms:W3CDTF">2026-07-26T18:43:00Z</dcterms:created>
  <dcterms:modified xsi:type="dcterms:W3CDTF">2026-08-17T08:33:00Z</dcterms:modified>
</cp:coreProperties>
</file>