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B5F81" w14:textId="77777777" w:rsidR="00FF4D43" w:rsidRPr="00AA0F0E" w:rsidRDefault="00FF4D43" w:rsidP="00137A49">
      <w:pPr>
        <w:spacing w:before="100" w:beforeAutospacing="1" w:after="100" w:afterAutospacing="1"/>
        <w:jc w:val="center"/>
        <w:rPr>
          <w:rFonts w:ascii="Times New Roman" w:eastAsia="Times New Roman" w:hAnsi="Times New Roman" w:cs="Times New Roman"/>
          <w:b/>
          <w:bCs/>
          <w:color w:val="000000" w:themeColor="text1"/>
          <w:kern w:val="0"/>
          <w:sz w:val="36"/>
          <w:szCs w:val="36"/>
          <w:lang w:eastAsia="en-GB"/>
          <w14:ligatures w14:val="none"/>
        </w:rPr>
      </w:pPr>
      <w:bookmarkStart w:id="0" w:name="OLE_LINK1"/>
      <w:r w:rsidRPr="00AA0F0E">
        <w:rPr>
          <w:rFonts w:ascii="Times New Roman" w:eastAsia="Times New Roman" w:hAnsi="Times New Roman" w:cs="Times New Roman"/>
          <w:b/>
          <w:bCs/>
          <w:color w:val="000000" w:themeColor="text1"/>
          <w:kern w:val="0"/>
          <w:sz w:val="36"/>
          <w:szCs w:val="36"/>
          <w:lang w:eastAsia="en-GB"/>
          <w14:ligatures w14:val="none"/>
        </w:rPr>
        <w:t>A Critical Examination of Airbnb as an Example of the Sharing Economy</w:t>
      </w:r>
    </w:p>
    <w:p w14:paraId="22197A7F" w14:textId="77777777" w:rsidR="003561C3" w:rsidRPr="00AA0F0E" w:rsidRDefault="003561C3" w:rsidP="00FF4D43">
      <w:pPr>
        <w:spacing w:before="100" w:beforeAutospacing="1" w:after="100" w:afterAutospacing="1"/>
        <w:rPr>
          <w:rFonts w:ascii="Times New Roman" w:eastAsia="Times New Roman" w:hAnsi="Times New Roman" w:cs="Times New Roman"/>
          <w:color w:val="000000" w:themeColor="text1"/>
          <w:kern w:val="0"/>
          <w:sz w:val="15"/>
          <w:szCs w:val="15"/>
          <w:lang w:eastAsia="en-GB"/>
          <w14:ligatures w14:val="none"/>
        </w:rPr>
      </w:pPr>
    </w:p>
    <w:p w14:paraId="7DCBA9E8" w14:textId="77777777" w:rsidR="00FF4D43" w:rsidRPr="00AA0F0E" w:rsidRDefault="00FF4D43" w:rsidP="00FF4D43">
      <w:pPr>
        <w:spacing w:before="100" w:beforeAutospacing="1" w:after="100" w:afterAutospacing="1"/>
        <w:rPr>
          <w:rFonts w:ascii="Times New Roman" w:eastAsia="Times New Roman" w:hAnsi="Times New Roman" w:cs="Times New Roman"/>
          <w:color w:val="000000" w:themeColor="text1"/>
          <w:kern w:val="0"/>
          <w:sz w:val="28"/>
          <w:szCs w:val="28"/>
          <w:lang w:eastAsia="en-GB"/>
          <w14:ligatures w14:val="none"/>
        </w:rPr>
      </w:pPr>
      <w:r w:rsidRPr="00AA0F0E">
        <w:rPr>
          <w:rFonts w:ascii="Times New Roman" w:eastAsia="Times New Roman" w:hAnsi="Times New Roman" w:cs="Times New Roman"/>
          <w:b/>
          <w:bCs/>
          <w:color w:val="000000" w:themeColor="text1"/>
          <w:kern w:val="0"/>
          <w:sz w:val="28"/>
          <w:szCs w:val="28"/>
          <w:lang w:eastAsia="en-GB"/>
          <w14:ligatures w14:val="none"/>
        </w:rPr>
        <w:t>Introduction</w:t>
      </w:r>
    </w:p>
    <w:p w14:paraId="3FC92896" w14:textId="181C8569" w:rsidR="003561C3" w:rsidRPr="00AA0F0E" w:rsidRDefault="00A20348"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When Airbnb emerged in 2008, it positioned itself as an exemplar of the sharing economy—a digital platform enabling individuals to monetise underutilised residential space. The company's journey from a simple room-sharing service to a global accommodation enterprise with over seven million listings raises questions about whether such ventures genuinely embody collaborative consumption principles or represent "platform capitalism"—systems extracting value whilst delegating risk to service users (Srnicek, 2017). This report examines Airbnb's business model, financial landscape, peer-to-peer market dynamics, strategic positioning, and future growth opportunities. Drawing on Wu et al.'s (2012) case study and Li and Tabari's (2019) analysis of the UK hotel industry, this examination reveals tensions between Airbnb's sharing economy narrative and its increasingly commercialised reality.</w:t>
      </w:r>
    </w:p>
    <w:p w14:paraId="40B9CAE1" w14:textId="77777777" w:rsidR="00AA0F0E" w:rsidRPr="00AA0F0E" w:rsidRDefault="00AA0F0E"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p>
    <w:p w14:paraId="49A5F293" w14:textId="77777777" w:rsidR="00FF4D43" w:rsidRPr="00AA0F0E" w:rsidRDefault="00FF4D43" w:rsidP="00FF4D43">
      <w:pPr>
        <w:spacing w:before="100" w:beforeAutospacing="1" w:after="100" w:afterAutospacing="1"/>
        <w:rPr>
          <w:rFonts w:ascii="Times New Roman" w:eastAsia="Times New Roman" w:hAnsi="Times New Roman" w:cs="Times New Roman"/>
          <w:color w:val="000000" w:themeColor="text1"/>
          <w:kern w:val="0"/>
          <w:sz w:val="28"/>
          <w:szCs w:val="28"/>
          <w:lang w:eastAsia="en-GB"/>
          <w14:ligatures w14:val="none"/>
        </w:rPr>
      </w:pPr>
      <w:r w:rsidRPr="00AA0F0E">
        <w:rPr>
          <w:rFonts w:ascii="Times New Roman" w:eastAsia="Times New Roman" w:hAnsi="Times New Roman" w:cs="Times New Roman"/>
          <w:b/>
          <w:bCs/>
          <w:color w:val="000000" w:themeColor="text1"/>
          <w:kern w:val="0"/>
          <w:sz w:val="28"/>
          <w:szCs w:val="28"/>
          <w:lang w:eastAsia="en-GB"/>
          <w14:ligatures w14:val="none"/>
        </w:rPr>
        <w:t>Business Model, Financial Landscape and P2P Market Forces</w:t>
      </w:r>
    </w:p>
    <w:p w14:paraId="32644AFF" w14:textId="2767D424" w:rsidR="00BF4415" w:rsidRPr="00AA0F0E" w:rsidRDefault="00BF4415" w:rsidP="00BF4415">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Airbnb connects property owners with </w:t>
      </w:r>
      <w:r w:rsidR="00882A2D" w:rsidRPr="00AA0F0E">
        <w:rPr>
          <w:rFonts w:ascii="Times New Roman" w:eastAsia="Times New Roman" w:hAnsi="Times New Roman" w:cs="Times New Roman"/>
          <w:color w:val="000000" w:themeColor="text1"/>
          <w:kern w:val="0"/>
          <w:lang w:eastAsia="en-GB"/>
          <w14:ligatures w14:val="none"/>
        </w:rPr>
        <w:t>travellers</w:t>
      </w:r>
      <w:r w:rsidRPr="00AA0F0E">
        <w:rPr>
          <w:rFonts w:ascii="Times New Roman" w:eastAsia="Times New Roman" w:hAnsi="Times New Roman" w:cs="Times New Roman"/>
          <w:color w:val="000000" w:themeColor="text1"/>
          <w:kern w:val="0"/>
          <w:lang w:eastAsia="en-GB"/>
          <w14:ligatures w14:val="none"/>
        </w:rPr>
        <w:t xml:space="preserve"> through a digital platform. Wu et al. (2012) describe the main value as offering authentic experiences at competitive prices while allowing hosts to earn extra income. Their revenue comes mainly from commission-based fees; guests pay between 5% and 15%, and hosts pay around 3%. This two-revenue model shows what </w:t>
      </w:r>
      <w:proofErr w:type="spellStart"/>
      <w:r w:rsidRPr="00AA0F0E">
        <w:rPr>
          <w:rFonts w:ascii="Times New Roman" w:eastAsia="Times New Roman" w:hAnsi="Times New Roman" w:cs="Times New Roman"/>
          <w:color w:val="000000" w:themeColor="text1"/>
          <w:kern w:val="0"/>
          <w:lang w:eastAsia="en-GB"/>
          <w14:ligatures w14:val="none"/>
        </w:rPr>
        <w:t>Cansoy</w:t>
      </w:r>
      <w:proofErr w:type="spellEnd"/>
      <w:r w:rsidRPr="00AA0F0E">
        <w:rPr>
          <w:rFonts w:ascii="Times New Roman" w:eastAsia="Times New Roman" w:hAnsi="Times New Roman" w:cs="Times New Roman"/>
          <w:color w:val="000000" w:themeColor="text1"/>
          <w:kern w:val="0"/>
          <w:lang w:eastAsia="en-GB"/>
          <w14:ligatures w14:val="none"/>
        </w:rPr>
        <w:t xml:space="preserve"> et al. (2021) call "risk externalization," meaning platforms get guaranteed income regardless of how well hosts do. This shifts market risks away from the platform and onto service providers. The business model is based on collaborative consumption, which Hamari et al. (2016) explain as turning empty rooms into income. However, Li and Tabari (2019, p. 18) point out that Airbnb's competitive stance is increasingly like that of traditional hotels. UK hotel owners view Airbnb as direct competition that operates with fewer regulations. This view challenges </w:t>
      </w:r>
      <w:proofErr w:type="spellStart"/>
      <w:r w:rsidRPr="00AA0F0E">
        <w:rPr>
          <w:rFonts w:ascii="Times New Roman" w:eastAsia="Times New Roman" w:hAnsi="Times New Roman" w:cs="Times New Roman"/>
          <w:color w:val="000000" w:themeColor="text1"/>
          <w:kern w:val="0"/>
          <w:lang w:eastAsia="en-GB"/>
          <w14:ligatures w14:val="none"/>
        </w:rPr>
        <w:t>Botsman</w:t>
      </w:r>
      <w:proofErr w:type="spellEnd"/>
      <w:r w:rsidRPr="00AA0F0E">
        <w:rPr>
          <w:rFonts w:ascii="Times New Roman" w:eastAsia="Times New Roman" w:hAnsi="Times New Roman" w:cs="Times New Roman"/>
          <w:color w:val="000000" w:themeColor="text1"/>
          <w:kern w:val="0"/>
          <w:lang w:eastAsia="en-GB"/>
          <w14:ligatures w14:val="none"/>
        </w:rPr>
        <w:t xml:space="preserve"> and Rogers' (2010) hopeful perspective of collaborative consumption and implies that platforms may be new forms of middlemen rather than true peer-to-peer exchanges.</w:t>
      </w:r>
    </w:p>
    <w:p w14:paraId="48B387F7" w14:textId="7152FC8F" w:rsidR="00BF4415" w:rsidRPr="00AA0F0E" w:rsidRDefault="00BF4415" w:rsidP="00BF4415">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Wu et al. (2012) identify budget-minded </w:t>
      </w:r>
      <w:r w:rsidR="00882A2D" w:rsidRPr="00AA0F0E">
        <w:rPr>
          <w:rFonts w:ascii="Times New Roman" w:eastAsia="Times New Roman" w:hAnsi="Times New Roman" w:cs="Times New Roman"/>
          <w:color w:val="000000" w:themeColor="text1"/>
          <w:kern w:val="0"/>
          <w:lang w:eastAsia="en-GB"/>
          <w14:ligatures w14:val="none"/>
        </w:rPr>
        <w:t>travellers</w:t>
      </w:r>
      <w:r w:rsidRPr="00AA0F0E">
        <w:rPr>
          <w:rFonts w:ascii="Times New Roman" w:eastAsia="Times New Roman" w:hAnsi="Times New Roman" w:cs="Times New Roman"/>
          <w:color w:val="000000" w:themeColor="text1"/>
          <w:kern w:val="0"/>
          <w:lang w:eastAsia="en-GB"/>
          <w14:ligatures w14:val="none"/>
        </w:rPr>
        <w:t xml:space="preserve">, experience-seeking tourists, and property owners looking to earn extra income as key segments. However, Li and Tabari (2019) note that price competitiveness became the main factor, aligning more with logical economic </w:t>
      </w:r>
      <w:r w:rsidR="00882A2D" w:rsidRPr="00AA0F0E">
        <w:rPr>
          <w:rFonts w:ascii="Times New Roman" w:eastAsia="Times New Roman" w:hAnsi="Times New Roman" w:cs="Times New Roman"/>
          <w:color w:val="000000" w:themeColor="text1"/>
          <w:kern w:val="0"/>
          <w:lang w:eastAsia="en-GB"/>
          <w14:ligatures w14:val="none"/>
        </w:rPr>
        <w:t>behaviour</w:t>
      </w:r>
      <w:r w:rsidRPr="00AA0F0E">
        <w:rPr>
          <w:rFonts w:ascii="Times New Roman" w:eastAsia="Times New Roman" w:hAnsi="Times New Roman" w:cs="Times New Roman"/>
          <w:color w:val="000000" w:themeColor="text1"/>
          <w:kern w:val="0"/>
          <w:lang w:eastAsia="en-GB"/>
          <w14:ligatures w14:val="none"/>
        </w:rPr>
        <w:t xml:space="preserve"> than the ideals of the sharing economy. Looking at Freeman's (1984) stakeholder theory shows notable inequalities: while Airbnb and professional hosts take in significant value, long-term renters, hotel workers, and local communities face negative impacts without any compensation.</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color w:val="000000" w:themeColor="text1"/>
          <w:kern w:val="0"/>
          <w:lang w:eastAsia="en-GB"/>
          <w14:ligatures w14:val="none"/>
        </w:rPr>
        <w:t>Airbnb's financial growth highlights the growing role of technology today, as well as flaws in its revenue model. Wu et al. (2012) report venture capital investments of $120 million by 2011. Li and Tabari (2019) estimate revenues of $2.6 billion in 2017. However, the COVID-19 pandemic revealed weaknesses, causing revenue to drop by about 30% in 2020 (</w:t>
      </w:r>
      <w:proofErr w:type="spellStart"/>
      <w:r w:rsidRPr="00AA0F0E">
        <w:rPr>
          <w:rFonts w:ascii="Times New Roman" w:eastAsia="Times New Roman" w:hAnsi="Times New Roman" w:cs="Times New Roman"/>
          <w:color w:val="000000" w:themeColor="text1"/>
          <w:kern w:val="0"/>
          <w:lang w:eastAsia="en-GB"/>
          <w14:ligatures w14:val="none"/>
        </w:rPr>
        <w:t>Dolnicar</w:t>
      </w:r>
      <w:proofErr w:type="spellEnd"/>
      <w:r w:rsidRPr="00AA0F0E">
        <w:rPr>
          <w:rFonts w:ascii="Times New Roman" w:eastAsia="Times New Roman" w:hAnsi="Times New Roman" w:cs="Times New Roman"/>
          <w:color w:val="000000" w:themeColor="text1"/>
          <w:kern w:val="0"/>
          <w:lang w:eastAsia="en-GB"/>
          <w14:ligatures w14:val="none"/>
        </w:rPr>
        <w:t xml:space="preserve"> &amp; Zare, 2020). This shows that while asset-light setups thrive during growth, they lack resilience when demand falls sharply. Guttentag (2019) notes that most revenue comes from commercial operators who manage multiple properties. In a study of </w:t>
      </w:r>
      <w:r w:rsidRPr="00AA0F0E">
        <w:rPr>
          <w:rFonts w:ascii="Times New Roman" w:eastAsia="Times New Roman" w:hAnsi="Times New Roman" w:cs="Times New Roman"/>
          <w:color w:val="000000" w:themeColor="text1"/>
          <w:kern w:val="0"/>
          <w:lang w:eastAsia="en-GB"/>
          <w14:ligatures w14:val="none"/>
        </w:rPr>
        <w:lastRenderedPageBreak/>
        <w:t xml:space="preserve">high-demand European markets, it was found that 70% to 80% of listings showed traits of commercial operations. This goes against Airbnb's marketing, which focuses on genuine peer-to-peer exchanges (Wachsmuth &amp; Weisler, 2018). This shift changes the nature of transactions from peer-to-peer to commercial </w:t>
      </w:r>
      <w:r w:rsidR="00882A2D" w:rsidRPr="00AA0F0E">
        <w:rPr>
          <w:rFonts w:ascii="Times New Roman" w:eastAsia="Times New Roman" w:hAnsi="Times New Roman" w:cs="Times New Roman"/>
          <w:color w:val="000000" w:themeColor="text1"/>
          <w:kern w:val="0"/>
          <w:lang w:eastAsia="en-GB"/>
          <w14:ligatures w14:val="none"/>
        </w:rPr>
        <w:t>dealings</w:t>
      </w:r>
      <w:r w:rsidRPr="00AA0F0E">
        <w:rPr>
          <w:rFonts w:ascii="Times New Roman" w:eastAsia="Times New Roman" w:hAnsi="Times New Roman" w:cs="Times New Roman"/>
          <w:color w:val="000000" w:themeColor="text1"/>
          <w:kern w:val="0"/>
          <w:lang w:eastAsia="en-GB"/>
          <w14:ligatures w14:val="none"/>
        </w:rPr>
        <w:t>.</w:t>
      </w:r>
    </w:p>
    <w:p w14:paraId="323D89F5" w14:textId="34BBBD64" w:rsidR="00BF4415" w:rsidRPr="00AA0F0E" w:rsidRDefault="00BF4415" w:rsidP="00BF4415">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The platform’s algorithm </w:t>
      </w:r>
      <w:r w:rsidR="00882A2D" w:rsidRPr="00AA0F0E">
        <w:rPr>
          <w:rFonts w:ascii="Times New Roman" w:eastAsia="Times New Roman" w:hAnsi="Times New Roman" w:cs="Times New Roman"/>
          <w:color w:val="000000" w:themeColor="text1"/>
          <w:kern w:val="0"/>
          <w:lang w:eastAsia="en-GB"/>
          <w14:ligatures w14:val="none"/>
        </w:rPr>
        <w:t>favours</w:t>
      </w:r>
      <w:r w:rsidRPr="00AA0F0E">
        <w:rPr>
          <w:rFonts w:ascii="Times New Roman" w:eastAsia="Times New Roman" w:hAnsi="Times New Roman" w:cs="Times New Roman"/>
          <w:color w:val="000000" w:themeColor="text1"/>
          <w:kern w:val="0"/>
          <w:lang w:eastAsia="en-GB"/>
          <w14:ligatures w14:val="none"/>
        </w:rPr>
        <w:t xml:space="preserve"> professional operators over casual hosts. Search algorithms typically promote listings with professional photography, quick response times, and high ratings—qualities that commercial operators often achieve with dedicated resources (Zervas et al., 2017, p. 697). Independent hosts, who usually have other jobs, often cannot monitor their listings around the clock. Hosts do not have insight into how algorithms make decisions, which Gillespie (2014, p. 168) refers to as "algorithmic opacity." This situation allows governing bodies to control the economy while obscuring relationships of power. Airbnb manages access to the platform, fee arrangements, and algorithms for visibility without input from hosts or guests (Schor, 2017, p. 269). Li and Tabari (2019, p. 20) see traditional accommodation providers as unwilling stakeholders facing competitive pressure. UK hotel representatives stress regulatory differences that </w:t>
      </w:r>
      <w:r w:rsidR="00882A2D" w:rsidRPr="00AA0F0E">
        <w:rPr>
          <w:rFonts w:ascii="Times New Roman" w:eastAsia="Times New Roman" w:hAnsi="Times New Roman" w:cs="Times New Roman"/>
          <w:color w:val="000000" w:themeColor="text1"/>
          <w:kern w:val="0"/>
          <w:lang w:eastAsia="en-GB"/>
          <w14:ligatures w14:val="none"/>
        </w:rPr>
        <w:t>favour</w:t>
      </w:r>
      <w:r w:rsidRPr="00AA0F0E">
        <w:rPr>
          <w:rFonts w:ascii="Times New Roman" w:eastAsia="Times New Roman" w:hAnsi="Times New Roman" w:cs="Times New Roman"/>
          <w:color w:val="000000" w:themeColor="text1"/>
          <w:kern w:val="0"/>
          <w:lang w:eastAsia="en-GB"/>
          <w14:ligatures w14:val="none"/>
        </w:rPr>
        <w:t xml:space="preserve"> Airbnb hosts, who avoid costs associated with commercial accommodation licenses. These imbalances illustrate what Kenney and Zysman (2016, p. 64) call "regulatory arbitrage," where platforms exploit regulatory gaps to avoid obligations that traditional competitors must meet.</w:t>
      </w:r>
    </w:p>
    <w:p w14:paraId="17A09A6A" w14:textId="77777777" w:rsidR="00AA0F0E" w:rsidRPr="00AA0F0E" w:rsidRDefault="00AA0F0E" w:rsidP="00BF4415">
      <w:pPr>
        <w:spacing w:before="100" w:beforeAutospacing="1" w:after="100" w:afterAutospacing="1"/>
        <w:rPr>
          <w:rFonts w:ascii="Times New Roman" w:eastAsia="Times New Roman" w:hAnsi="Times New Roman" w:cs="Times New Roman"/>
          <w:color w:val="000000" w:themeColor="text1"/>
          <w:kern w:val="0"/>
          <w:lang w:eastAsia="en-GB"/>
          <w14:ligatures w14:val="none"/>
        </w:rPr>
      </w:pPr>
    </w:p>
    <w:p w14:paraId="594723EE" w14:textId="3B046257" w:rsidR="00FF4D43" w:rsidRPr="00AA0F0E" w:rsidRDefault="00FF4D43" w:rsidP="00BF4415">
      <w:pPr>
        <w:spacing w:before="100" w:beforeAutospacing="1" w:after="100" w:afterAutospacing="1"/>
        <w:rPr>
          <w:rFonts w:ascii="Times New Roman" w:eastAsia="Times New Roman" w:hAnsi="Times New Roman" w:cs="Times New Roman"/>
          <w:color w:val="000000" w:themeColor="text1"/>
          <w:kern w:val="0"/>
          <w:sz w:val="28"/>
          <w:szCs w:val="28"/>
          <w:lang w:eastAsia="en-GB"/>
          <w14:ligatures w14:val="none"/>
        </w:rPr>
      </w:pPr>
      <w:r w:rsidRPr="00AA0F0E">
        <w:rPr>
          <w:rFonts w:ascii="Times New Roman" w:eastAsia="Times New Roman" w:hAnsi="Times New Roman" w:cs="Times New Roman"/>
          <w:b/>
          <w:bCs/>
          <w:color w:val="000000" w:themeColor="text1"/>
          <w:kern w:val="0"/>
          <w:sz w:val="28"/>
          <w:szCs w:val="28"/>
          <w:lang w:eastAsia="en-GB"/>
          <w14:ligatures w14:val="none"/>
        </w:rPr>
        <w:t>Problems, Strategy and Current Situation</w:t>
      </w:r>
    </w:p>
    <w:p w14:paraId="1BBBBC4F" w14:textId="77777777" w:rsidR="00A20348" w:rsidRPr="00AA0F0E" w:rsidRDefault="00A20348"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Airbnb confronts multiple interrelated challenges. The most significant concerns regard regulatory resistance across various jurisdictions. Cities such as Barcelona, Amsterdam, Paris, and New York have implemented stringent short-term rental restrictions. Li and Tabari (2019) observe that these interventions stem from concerns about housing affordability, neighbourhood disruption, and competitive fairness. The regulatory backlash represents "institutional mismatch" (</w:t>
      </w:r>
      <w:proofErr w:type="spellStart"/>
      <w:r w:rsidRPr="00AA0F0E">
        <w:rPr>
          <w:rFonts w:ascii="Times New Roman" w:eastAsia="Times New Roman" w:hAnsi="Times New Roman" w:cs="Times New Roman"/>
          <w:color w:val="000000" w:themeColor="text1"/>
          <w:kern w:val="0"/>
          <w:lang w:eastAsia="en-GB"/>
          <w14:ligatures w14:val="none"/>
        </w:rPr>
        <w:t>Frenken</w:t>
      </w:r>
      <w:proofErr w:type="spellEnd"/>
      <w:r w:rsidRPr="00AA0F0E">
        <w:rPr>
          <w:rFonts w:ascii="Times New Roman" w:eastAsia="Times New Roman" w:hAnsi="Times New Roman" w:cs="Times New Roman"/>
          <w:color w:val="000000" w:themeColor="text1"/>
          <w:kern w:val="0"/>
          <w:lang w:eastAsia="en-GB"/>
          <w14:ligatures w14:val="none"/>
        </w:rPr>
        <w:t xml:space="preserve"> &amp; Schor, 2017); existing frameworks prove inadequate for platform-mediated activities.</w:t>
      </w:r>
    </w:p>
    <w:p w14:paraId="04B83E52" w14:textId="77777777" w:rsidR="00A20348" w:rsidRPr="00AA0F0E" w:rsidRDefault="00A20348"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The housing affordability crisis is linked directly to the dramatic increase in short-term rentals. Wachsmuth and Weisler (2018) demonstrate that Airbnb rental availability correlates with reduced long-term rental supply and increased housing costs. Their research quantifies significant housing unit displacement, creating political opposition. This displacement challenges Sundararajan's (2016) assertion that sharing economy platforms generate net social benefits, suggesting that value creation for platform participants occurs through value extraction from excluded stakeholders—prospective long-term renters priced out of housing markets—the increase in commercialisation and erosion of the sharing economy's credibility present significant problems. Guttentag (2019) argues that this perception damages Airbnb's differentiation from traditional hospitality. The platform increasingly competes on characteristics originally unique to hotels - price, amenities, location - rather than offering categorically different value propositions (Dann et al., 2019). This convergence suggests that Christensen's (1997) disruptive innovation framework may inadequately capture platform dynamics; platforms may gradually adopt similar characteristics, thereby reducing their uniqueness.</w:t>
      </w:r>
    </w:p>
    <w:p w14:paraId="6DA35090" w14:textId="77777777" w:rsidR="00A20348" w:rsidRPr="00AA0F0E" w:rsidRDefault="00A20348"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Safety and quality control present ongoing challenges. Unlike regulated accommodation providers subject to regulated inspection, Airbnb relies on user-generated ratings and post-</w:t>
      </w:r>
      <w:r w:rsidRPr="00AA0F0E">
        <w:rPr>
          <w:rFonts w:ascii="Times New Roman" w:eastAsia="Times New Roman" w:hAnsi="Times New Roman" w:cs="Times New Roman"/>
          <w:color w:val="000000" w:themeColor="text1"/>
          <w:kern w:val="0"/>
          <w:lang w:eastAsia="en-GB"/>
          <w14:ligatures w14:val="none"/>
        </w:rPr>
        <w:lastRenderedPageBreak/>
        <w:t xml:space="preserve">visit complaint mechanisms. Wu et al. (2012) identify trust-building through verification systems as early priorities, yet fully resolving these challenges remains elusive. Reliance on reputation systems transfers quality assurance from platforms to users, exemplifying what Rahman and Thelen (2019) term "distributed governance"—a cost-saving strategy maintaining scalability whilst exposing users to risks that regulated markets typically mitigate. The platform's relationship with hosts presents strategic tensions. Airbnb relies on host satisfaction to maintain a steady listing supply; however, algorithmic optimisation and policy decisions often prioritise guest experience and platform profitability over host interests (Schor, 2017). The emergence of platform cooperatives, such as </w:t>
      </w:r>
      <w:proofErr w:type="spellStart"/>
      <w:r w:rsidRPr="00AA0F0E">
        <w:rPr>
          <w:rFonts w:ascii="Times New Roman" w:eastAsia="Times New Roman" w:hAnsi="Times New Roman" w:cs="Times New Roman"/>
          <w:color w:val="000000" w:themeColor="text1"/>
          <w:kern w:val="0"/>
          <w:lang w:eastAsia="en-GB"/>
          <w14:ligatures w14:val="none"/>
        </w:rPr>
        <w:t>Fairbnb</w:t>
      </w:r>
      <w:proofErr w:type="spellEnd"/>
      <w:r w:rsidRPr="00AA0F0E">
        <w:rPr>
          <w:rFonts w:ascii="Times New Roman" w:eastAsia="Times New Roman" w:hAnsi="Times New Roman" w:cs="Times New Roman"/>
          <w:color w:val="000000" w:themeColor="text1"/>
          <w:kern w:val="0"/>
          <w:lang w:eastAsia="en-GB"/>
          <w14:ligatures w14:val="none"/>
        </w:rPr>
        <w:t>, demonstrates a growing recognition that alternative governance models prioritising host participation represent viable challenges (Scholz, 2016). However, cooperative platforms struggle to achieve the scale necessary for network effects to take hold.</w:t>
      </w:r>
    </w:p>
    <w:p w14:paraId="693B9DD2" w14:textId="2D568EB6" w:rsidR="00A37913" w:rsidRPr="00AA0F0E" w:rsidRDefault="00A20348"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Airbnb maintains a dominant market share, boasting strong brand recognition and a strong market position in the UK (Li &amp; Tabari, 2019). However, Airbnb's positioning is ambiguous: simultaneously claiming sharing economy credentials whilst operating increasingly as a conventional online travel agency. The product portfolio expansion demonstrates an upmarket shift, and beyond its core home-sharing offering, Airbnb also provides premium tiers, experiences bookings, and long-term stay options. Guttentag (2019) argues this trajectory reflects venture capital imperatives driving continuous growth—investors expect expanding margins, pushing platforms toward commercialisation, regardless of founding ideals. The platform's relationship with regulatory authorities evolved from confrontational to increasingly cooperative, though tensions persist. Airbnb now proactively collects tourist taxes and implements data-sharing agreements with local authorities. However, conflicts persist regarding the appropriate regulatory frameworks that balance innovation benefits against housing affordability concerns (Wegmann &amp; Jiao, 2017).</w:t>
      </w:r>
    </w:p>
    <w:p w14:paraId="377AC059" w14:textId="77777777" w:rsidR="00AA0F0E" w:rsidRPr="00AA0F0E" w:rsidRDefault="00AA0F0E"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p>
    <w:p w14:paraId="0595F00D" w14:textId="77777777" w:rsidR="00FF4D43" w:rsidRPr="00AA0F0E" w:rsidRDefault="00FF4D43" w:rsidP="00FF4D43">
      <w:pPr>
        <w:spacing w:before="100" w:beforeAutospacing="1" w:after="100" w:afterAutospacing="1"/>
        <w:rPr>
          <w:rFonts w:ascii="Times New Roman" w:eastAsia="Times New Roman" w:hAnsi="Times New Roman" w:cs="Times New Roman"/>
          <w:color w:val="000000" w:themeColor="text1"/>
          <w:kern w:val="0"/>
          <w:sz w:val="28"/>
          <w:szCs w:val="28"/>
          <w:lang w:eastAsia="en-GB"/>
          <w14:ligatures w14:val="none"/>
        </w:rPr>
      </w:pPr>
      <w:r w:rsidRPr="00AA0F0E">
        <w:rPr>
          <w:rFonts w:ascii="Times New Roman" w:eastAsia="Times New Roman" w:hAnsi="Times New Roman" w:cs="Times New Roman"/>
          <w:b/>
          <w:bCs/>
          <w:color w:val="000000" w:themeColor="text1"/>
          <w:kern w:val="0"/>
          <w:sz w:val="28"/>
          <w:szCs w:val="28"/>
          <w:lang w:eastAsia="en-GB"/>
          <w14:ligatures w14:val="none"/>
        </w:rPr>
        <w:t>Challenges and Recommendations for Future Growth</w:t>
      </w:r>
    </w:p>
    <w:p w14:paraId="58D80E40" w14:textId="77777777" w:rsidR="00A20348" w:rsidRPr="00AA0F0E" w:rsidRDefault="00A20348"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Airbnb must pursue strategic adaptations addressing legitimacy challenges whilst maintaining commercial viability.</w:t>
      </w:r>
    </w:p>
    <w:p w14:paraId="73A7A50F" w14:textId="77777777" w:rsidR="00A20348" w:rsidRPr="00AA0F0E" w:rsidRDefault="00A20348"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Airbnb should implement mandatory host categorisation, distinguishing between genuine home-sharing and commercial operations. Categories—'home-sharing' for primary residences, 'secondary properties' for vacation homes, and 'professional hosting'—would feature transparent disclosure and differentiated commission structures, with home-sharing paying lower fees. This operationalises </w:t>
      </w:r>
      <w:proofErr w:type="spellStart"/>
      <w:r w:rsidRPr="00AA0F0E">
        <w:rPr>
          <w:rFonts w:ascii="Times New Roman" w:eastAsia="Times New Roman" w:hAnsi="Times New Roman" w:cs="Times New Roman"/>
          <w:color w:val="000000" w:themeColor="text1"/>
          <w:kern w:val="0"/>
          <w:lang w:eastAsia="en-GB"/>
          <w14:ligatures w14:val="none"/>
        </w:rPr>
        <w:t>Frenken</w:t>
      </w:r>
      <w:proofErr w:type="spellEnd"/>
      <w:r w:rsidRPr="00AA0F0E">
        <w:rPr>
          <w:rFonts w:ascii="Times New Roman" w:eastAsia="Times New Roman" w:hAnsi="Times New Roman" w:cs="Times New Roman"/>
          <w:color w:val="000000" w:themeColor="text1"/>
          <w:kern w:val="0"/>
          <w:lang w:eastAsia="en-GB"/>
          <w14:ligatures w14:val="none"/>
        </w:rPr>
        <w:t xml:space="preserve"> and Schor's (2017) distinction between "true sharing" and "on-demand services," acknowledging that different transaction types warrant different treatments. This addresses credibility concerns identified by Guttentag (2019) whilst creating financial incentives favouring authentic home-sharing over commercial operations – maintaining Airbnb's founding value proposition.</w:t>
      </w:r>
    </w:p>
    <w:p w14:paraId="01741B4D" w14:textId="77777777" w:rsidR="00A20348" w:rsidRPr="00AA0F0E" w:rsidRDefault="00A20348"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The company should cap listings so that individual hosts can operate in high-demand tourist and urban markets. Wachsmuth and Weisler's (2018) research shows that unlimited commercial expansion exacerbates housing crises. Implementing caps, e.g., limiting individuals to a maximum of three properties in designated markets, would mitigate impacts while permitting modest entrepreneurial activity. This demonstrates Freeman's (1984) </w:t>
      </w:r>
      <w:r w:rsidRPr="00AA0F0E">
        <w:rPr>
          <w:rFonts w:ascii="Times New Roman" w:eastAsia="Times New Roman" w:hAnsi="Times New Roman" w:cs="Times New Roman"/>
          <w:color w:val="000000" w:themeColor="text1"/>
          <w:kern w:val="0"/>
          <w:lang w:eastAsia="en-GB"/>
          <w14:ligatures w14:val="none"/>
        </w:rPr>
        <w:lastRenderedPageBreak/>
        <w:t>stakeholder theory by acknowledging that long-term residents constitute legitimate stakeholders whose interests warrant consideration.</w:t>
      </w:r>
    </w:p>
    <w:p w14:paraId="5E480D32" w14:textId="77777777" w:rsidR="00A20348" w:rsidRPr="00AA0F0E" w:rsidRDefault="00A20348"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Airbnb should establish revenue-sharing mechanisms with local communities, addressing stakeholder asymmetries identified by Schor (2017). Commission revenue portions could fund affordable housing initiatives or tourism infrastructure improvements. Vancouver's negotiated agreement, which requires contributions to municipal housing funds, provides a working model (Ferreri &amp; Sanyal, 2018) for this recommendation. Proactively implementing such mechanisms demonstrates corporate social responsibility whilst potentially negating the need for restrictive regulations.</w:t>
      </w:r>
    </w:p>
    <w:p w14:paraId="0D2F2829" w14:textId="77777777" w:rsidR="00A20348" w:rsidRPr="00AA0F0E" w:rsidRDefault="00A20348"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The platform should develop comprehensive sustainability metrics for each listing. Metrics could include energy consumption, water efficiency, and waste management. Properties meeting high standards could receive preferential algorithmic treatment, creating market incentives for environmental responsibility. </w:t>
      </w:r>
      <w:proofErr w:type="spellStart"/>
      <w:r w:rsidRPr="00AA0F0E">
        <w:rPr>
          <w:rFonts w:ascii="Times New Roman" w:eastAsia="Times New Roman" w:hAnsi="Times New Roman" w:cs="Times New Roman"/>
          <w:color w:val="000000" w:themeColor="text1"/>
          <w:kern w:val="0"/>
          <w:lang w:eastAsia="en-GB"/>
          <w14:ligatures w14:val="none"/>
        </w:rPr>
        <w:t>Tussyadiah</w:t>
      </w:r>
      <w:proofErr w:type="spellEnd"/>
      <w:r w:rsidRPr="00AA0F0E">
        <w:rPr>
          <w:rFonts w:ascii="Times New Roman" w:eastAsia="Times New Roman" w:hAnsi="Times New Roman" w:cs="Times New Roman"/>
          <w:color w:val="000000" w:themeColor="text1"/>
          <w:kern w:val="0"/>
          <w:lang w:eastAsia="en-GB"/>
          <w14:ligatures w14:val="none"/>
        </w:rPr>
        <w:t xml:space="preserve"> and Pesonen (2018, p. 1574) illustrate growing traveller interest in sustainable accommodations, suggesting competitive advantages for platforms that facilitate environmentally informed decisions.</w:t>
      </w:r>
    </w:p>
    <w:p w14:paraId="65246889" w14:textId="77777777" w:rsidR="00A20348" w:rsidRPr="00AA0F0E" w:rsidRDefault="00A20348"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Airbnb should implement democratic governance mechanisms, providing hosts with formal policy input, in a cooperative manner. The current governance model concentrates power entirely in management and investors, contradicting the principles of the collaborative economy (Schor, 2017). Establishing host councils with advisory authority would improve stakeholder relations. Scholz's (2016) analysis demonstrates that participatory governance does not need to compromise efficiency. Advisory councils representing host segments could meet quarterly to review proposals, striking a balance between commercial imperatives and collaborative principles.</w:t>
      </w:r>
    </w:p>
    <w:p w14:paraId="02145C54" w14:textId="40CB4016" w:rsidR="003561C3" w:rsidRPr="00AA0F0E" w:rsidRDefault="00A20348" w:rsidP="00A20348">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Airbnb should shift from defensive regulatory responses toward proactive partnerships. Collaborating with policymakers to develop balanced frameworks would reduce adversarial relationships. Constructive engagement—sharing data on listing types, hosting patterns, and economic impacts—would enable evidence-based policymaking rather than politically driven restrictions (Dudas et al., 2017, p. 1498). This reframes regulation as a legitimacy-building opportunity rather than an existential threat.</w:t>
      </w:r>
    </w:p>
    <w:p w14:paraId="46647352" w14:textId="77777777" w:rsidR="00AA0F0E" w:rsidRPr="00AA0F0E" w:rsidRDefault="00AA0F0E" w:rsidP="00A20348">
      <w:pPr>
        <w:spacing w:before="100" w:beforeAutospacing="1" w:after="100" w:afterAutospacing="1"/>
        <w:rPr>
          <w:rFonts w:ascii="Times New Roman" w:hAnsi="Times New Roman" w:cs="Times New Roman"/>
          <w:color w:val="000000" w:themeColor="text1"/>
        </w:rPr>
      </w:pPr>
    </w:p>
    <w:p w14:paraId="0F46DC99" w14:textId="2C1D921D" w:rsidR="00FF4D43" w:rsidRPr="00AA0F0E" w:rsidRDefault="00FF4D43" w:rsidP="00FF4D43">
      <w:pPr>
        <w:spacing w:before="100" w:beforeAutospacing="1" w:after="100" w:afterAutospacing="1"/>
        <w:rPr>
          <w:rFonts w:ascii="Times New Roman" w:eastAsia="Times New Roman" w:hAnsi="Times New Roman" w:cs="Times New Roman"/>
          <w:color w:val="000000" w:themeColor="text1"/>
          <w:kern w:val="0"/>
          <w:sz w:val="28"/>
          <w:szCs w:val="28"/>
          <w:lang w:eastAsia="en-GB"/>
          <w14:ligatures w14:val="none"/>
        </w:rPr>
      </w:pPr>
      <w:r w:rsidRPr="00AA0F0E">
        <w:rPr>
          <w:rFonts w:ascii="Times New Roman" w:eastAsia="Times New Roman" w:hAnsi="Times New Roman" w:cs="Times New Roman"/>
          <w:b/>
          <w:bCs/>
          <w:color w:val="000000" w:themeColor="text1"/>
          <w:kern w:val="0"/>
          <w:sz w:val="28"/>
          <w:szCs w:val="28"/>
          <w:lang w:eastAsia="en-GB"/>
          <w14:ligatures w14:val="none"/>
        </w:rPr>
        <w:t>Conclusion</w:t>
      </w:r>
    </w:p>
    <w:p w14:paraId="5E9CB017" w14:textId="77777777" w:rsidR="006D1FCE" w:rsidRPr="00AA0F0E" w:rsidRDefault="006D1FCE" w:rsidP="006D1FCE">
      <w:pPr>
        <w:spacing w:before="100" w:beforeAutospacing="1" w:after="100" w:afterAutospacing="1"/>
        <w:rPr>
          <w:rFonts w:ascii="Times New Roman" w:eastAsia="Times New Roman" w:hAnsi="Times New Roman" w:cs="Times New Roman"/>
          <w:color w:val="000000" w:themeColor="text1"/>
          <w:kern w:val="0"/>
          <w:lang w:eastAsia="en-GB"/>
          <w14:ligatures w14:val="none"/>
        </w:rPr>
      </w:pPr>
      <w:bookmarkStart w:id="1" w:name="OLE_LINK2"/>
      <w:r w:rsidRPr="00AA0F0E">
        <w:rPr>
          <w:rFonts w:ascii="Times New Roman" w:eastAsia="Times New Roman" w:hAnsi="Times New Roman" w:cs="Times New Roman"/>
          <w:color w:val="000000" w:themeColor="text1"/>
          <w:kern w:val="0"/>
          <w:lang w:eastAsia="en-GB"/>
          <w14:ligatures w14:val="none"/>
        </w:rPr>
        <w:t xml:space="preserve">This examination reveals Airbnb as a platform that embodies profound tensions between the ideals of the sharing economy and commercial realities. The business model initially promising democratised hospitality entrepreneurship evolved toward commercialisation and value extraction dynamics characteristic of platform capitalism (Srnicek, 2017). Li and Tabari's (2019) analysis </w:t>
      </w:r>
      <w:proofErr w:type="gramStart"/>
      <w:r w:rsidRPr="00AA0F0E">
        <w:rPr>
          <w:rFonts w:ascii="Times New Roman" w:eastAsia="Times New Roman" w:hAnsi="Times New Roman" w:cs="Times New Roman"/>
          <w:color w:val="000000" w:themeColor="text1"/>
          <w:kern w:val="0"/>
          <w:lang w:eastAsia="en-GB"/>
          <w14:ligatures w14:val="none"/>
        </w:rPr>
        <w:t>demonstrates</w:t>
      </w:r>
      <w:proofErr w:type="gramEnd"/>
      <w:r w:rsidRPr="00AA0F0E">
        <w:rPr>
          <w:rFonts w:ascii="Times New Roman" w:eastAsia="Times New Roman" w:hAnsi="Times New Roman" w:cs="Times New Roman"/>
          <w:color w:val="000000" w:themeColor="text1"/>
          <w:kern w:val="0"/>
          <w:lang w:eastAsia="en-GB"/>
          <w14:ligatures w14:val="none"/>
        </w:rPr>
        <w:t xml:space="preserve"> significant competitive impacts on traditional hospitality, whilst Wachsmuth and Weisler (2018) quantify housing market disruptions.</w:t>
      </w:r>
    </w:p>
    <w:p w14:paraId="3C1C3F0B" w14:textId="77777777" w:rsidR="006D1FCE" w:rsidRPr="00AA0F0E" w:rsidRDefault="006D1FCE" w:rsidP="006D1FCE">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However, dismissing Airbnb simply as exploitative would be reductive. The platform enables income generation for millions in economically challenged countries whilst providing valued accommodation options for travellers. The challenge lies in ensuring value creation occurs sustainably and equitably, accounting for impacts on diverse stakeholders (Freeman, 1984). Airbnb's current platform governance concentrates benefits amongst shareholders and </w:t>
      </w:r>
      <w:r w:rsidRPr="00AA0F0E">
        <w:rPr>
          <w:rFonts w:ascii="Times New Roman" w:eastAsia="Times New Roman" w:hAnsi="Times New Roman" w:cs="Times New Roman"/>
          <w:color w:val="000000" w:themeColor="text1"/>
          <w:kern w:val="0"/>
          <w:lang w:eastAsia="en-GB"/>
          <w14:ligatures w14:val="none"/>
        </w:rPr>
        <w:lastRenderedPageBreak/>
        <w:t>successful hosts whilst distributing costs to excluded stakeholders—creating structural inequities requiring reform.</w:t>
      </w:r>
    </w:p>
    <w:p w14:paraId="22AB56EC" w14:textId="77777777" w:rsidR="006D1FCE" w:rsidRPr="00AA0F0E" w:rsidRDefault="006D1FCE" w:rsidP="006D1FCE">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The proposed recommendations offer pathways toward more sustainable operations, including transparency regarding host categories, commercialisation limitations, community benefit-sharing, environmental accountability, democratic governance, and proactive regulatory collaboration. These adaptations would address acute legitimacy challenges whilst maintaining commercial viability. These recommendations acknowledge that platform governance represents political choices, not technical inevitabilities (Kenney &amp; Zysman, 2016). Alternative configurations balancing stakeholder interests remain feasible if platforms prioritise long-term legitimacy over short-term revenue maximisation.</w:t>
      </w:r>
    </w:p>
    <w:p w14:paraId="749D3E58" w14:textId="223271FB" w:rsidR="00244607" w:rsidRPr="00AA0F0E" w:rsidRDefault="006D1FCE" w:rsidP="006D1FCE">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Ultimately, Airbnb's future depends on whether the company genuinely commits to the principles of the sharing economy it rhetorically embraces. Sustainable growth requires moving beyond narrow shareholder value maximisation toward stakeholder capitalism, which balances diverse interests while acknowledging that platforms are governed spaces that require accountability, transparency, and equitable benefit distribution. The broader question transcends Airbnb as an organisation: can venture-capital-backed platforms operationalise collaborative consumption principles, or do investor pressures for aggressive growth fundamentally obstruct authentic sharing economy models? Resolving this tension will determine whether platforms represent genuinely transformative innovations or merely new forms of extractive capitalism.</w:t>
      </w:r>
    </w:p>
    <w:p w14:paraId="5253132B" w14:textId="497E9140" w:rsidR="00144F8A" w:rsidRPr="00AA0F0E" w:rsidRDefault="00244607" w:rsidP="00244607">
      <w:pPr>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br w:type="page"/>
      </w:r>
    </w:p>
    <w:bookmarkEnd w:id="1"/>
    <w:p w14:paraId="2C29F29D" w14:textId="77777777" w:rsidR="00FF4D43" w:rsidRPr="00AA0F0E" w:rsidRDefault="00FF4D43" w:rsidP="00FF4D43">
      <w:pPr>
        <w:spacing w:before="100" w:beforeAutospacing="1" w:after="100" w:afterAutospacing="1"/>
        <w:rPr>
          <w:rFonts w:ascii="Times New Roman" w:eastAsia="Times New Roman" w:hAnsi="Times New Roman" w:cs="Times New Roman"/>
          <w:color w:val="000000" w:themeColor="text1"/>
          <w:kern w:val="0"/>
          <w:sz w:val="32"/>
          <w:szCs w:val="32"/>
          <w:lang w:eastAsia="en-GB"/>
          <w14:ligatures w14:val="none"/>
        </w:rPr>
      </w:pPr>
      <w:r w:rsidRPr="00AA0F0E">
        <w:rPr>
          <w:rFonts w:ascii="Times New Roman" w:eastAsia="Times New Roman" w:hAnsi="Times New Roman" w:cs="Times New Roman"/>
          <w:b/>
          <w:bCs/>
          <w:color w:val="000000" w:themeColor="text1"/>
          <w:kern w:val="0"/>
          <w:sz w:val="32"/>
          <w:szCs w:val="32"/>
          <w:lang w:eastAsia="en-GB"/>
          <w14:ligatures w14:val="none"/>
        </w:rPr>
        <w:lastRenderedPageBreak/>
        <w:t>References</w:t>
      </w:r>
    </w:p>
    <w:p w14:paraId="540CE915" w14:textId="77777777" w:rsidR="00144F8A" w:rsidRPr="00AA0F0E" w:rsidRDefault="00FF4D43" w:rsidP="00144F8A">
      <w:pPr>
        <w:spacing w:before="100" w:beforeAutospacing="1" w:after="100" w:afterAutospacing="1"/>
        <w:rPr>
          <w:rFonts w:ascii="Times New Roman" w:eastAsia="Times New Roman" w:hAnsi="Times New Roman" w:cs="Times New Roman"/>
          <w:i/>
          <w:iCs/>
          <w:color w:val="000000" w:themeColor="text1"/>
          <w:kern w:val="0"/>
          <w:lang w:eastAsia="en-GB"/>
          <w14:ligatures w14:val="none"/>
        </w:rPr>
      </w:pPr>
      <w:proofErr w:type="spellStart"/>
      <w:r w:rsidRPr="00AA0F0E">
        <w:rPr>
          <w:rFonts w:ascii="Times New Roman" w:eastAsia="Times New Roman" w:hAnsi="Times New Roman" w:cs="Times New Roman"/>
          <w:color w:val="000000" w:themeColor="text1"/>
          <w:kern w:val="0"/>
          <w:lang w:eastAsia="en-GB"/>
          <w14:ligatures w14:val="none"/>
        </w:rPr>
        <w:t>Botsman</w:t>
      </w:r>
      <w:proofErr w:type="spellEnd"/>
      <w:r w:rsidRPr="00AA0F0E">
        <w:rPr>
          <w:rFonts w:ascii="Times New Roman" w:eastAsia="Times New Roman" w:hAnsi="Times New Roman" w:cs="Times New Roman"/>
          <w:color w:val="000000" w:themeColor="text1"/>
          <w:kern w:val="0"/>
          <w:lang w:eastAsia="en-GB"/>
          <w14:ligatures w14:val="none"/>
        </w:rPr>
        <w:t xml:space="preserve">, R., &amp; Rogers, R. (2010). </w:t>
      </w:r>
      <w:r w:rsidRPr="00AA0F0E">
        <w:rPr>
          <w:rFonts w:ascii="Times New Roman" w:eastAsia="Times New Roman" w:hAnsi="Times New Roman" w:cs="Times New Roman"/>
          <w:i/>
          <w:iCs/>
          <w:color w:val="000000" w:themeColor="text1"/>
          <w:kern w:val="0"/>
          <w:lang w:eastAsia="en-GB"/>
          <w14:ligatures w14:val="none"/>
        </w:rPr>
        <w:t>What's mine is yours: The rise of collaborative</w:t>
      </w:r>
    </w:p>
    <w:p w14:paraId="604D3E82" w14:textId="4AE1D09D" w:rsidR="00FF4D43" w:rsidRPr="00AA0F0E" w:rsidRDefault="00FF4D43" w:rsidP="00144F8A">
      <w:pPr>
        <w:spacing w:before="100" w:beforeAutospacing="1" w:after="100" w:afterAutospacing="1"/>
        <w:ind w:firstLine="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i/>
          <w:iCs/>
          <w:color w:val="000000" w:themeColor="text1"/>
          <w:kern w:val="0"/>
          <w:lang w:eastAsia="en-GB"/>
          <w14:ligatures w14:val="none"/>
        </w:rPr>
        <w:t>consumption</w:t>
      </w:r>
      <w:r w:rsidRPr="00AA0F0E">
        <w:rPr>
          <w:rFonts w:ascii="Times New Roman" w:eastAsia="Times New Roman" w:hAnsi="Times New Roman" w:cs="Times New Roman"/>
          <w:color w:val="000000" w:themeColor="text1"/>
          <w:kern w:val="0"/>
          <w:lang w:eastAsia="en-GB"/>
          <w14:ligatures w14:val="none"/>
        </w:rPr>
        <w:t>. Harper Business.</w:t>
      </w:r>
    </w:p>
    <w:p w14:paraId="5EB72BA5"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proofErr w:type="spellStart"/>
      <w:r w:rsidRPr="00AA0F0E">
        <w:rPr>
          <w:rFonts w:ascii="Times New Roman" w:eastAsia="Times New Roman" w:hAnsi="Times New Roman" w:cs="Times New Roman"/>
          <w:color w:val="000000" w:themeColor="text1"/>
          <w:kern w:val="0"/>
          <w:lang w:eastAsia="en-GB"/>
          <w14:ligatures w14:val="none"/>
        </w:rPr>
        <w:t>Cansoy</w:t>
      </w:r>
      <w:proofErr w:type="spellEnd"/>
      <w:r w:rsidRPr="00AA0F0E">
        <w:rPr>
          <w:rFonts w:ascii="Times New Roman" w:eastAsia="Times New Roman" w:hAnsi="Times New Roman" w:cs="Times New Roman"/>
          <w:color w:val="000000" w:themeColor="text1"/>
          <w:kern w:val="0"/>
          <w:lang w:eastAsia="en-GB"/>
          <w14:ligatures w14:val="none"/>
        </w:rPr>
        <w:t xml:space="preserve">, M., Schor, J., Attwood-Charles, W., Carfagna, L. B., Ladegaard, I., &amp; </w:t>
      </w:r>
    </w:p>
    <w:p w14:paraId="396C71BE" w14:textId="77777777" w:rsidR="00144F8A" w:rsidRPr="00AA0F0E" w:rsidRDefault="00FF4D43" w:rsidP="00144F8A">
      <w:pPr>
        <w:spacing w:before="100" w:beforeAutospacing="1" w:after="100" w:afterAutospacing="1"/>
        <w:ind w:firstLine="720"/>
        <w:rPr>
          <w:rFonts w:ascii="Times New Roman" w:eastAsia="Times New Roman" w:hAnsi="Times New Roman" w:cs="Times New Roman"/>
          <w:color w:val="000000" w:themeColor="text1"/>
          <w:kern w:val="0"/>
          <w:lang w:eastAsia="en-GB"/>
          <w14:ligatures w14:val="none"/>
        </w:rPr>
      </w:pPr>
      <w:proofErr w:type="spellStart"/>
      <w:r w:rsidRPr="00AA0F0E">
        <w:rPr>
          <w:rFonts w:ascii="Times New Roman" w:eastAsia="Times New Roman" w:hAnsi="Times New Roman" w:cs="Times New Roman"/>
          <w:color w:val="000000" w:themeColor="text1"/>
          <w:kern w:val="0"/>
          <w:lang w:eastAsia="en-GB"/>
          <w14:ligatures w14:val="none"/>
        </w:rPr>
        <w:t>Wengronowitz</w:t>
      </w:r>
      <w:proofErr w:type="spellEnd"/>
      <w:r w:rsidRPr="00AA0F0E">
        <w:rPr>
          <w:rFonts w:ascii="Times New Roman" w:eastAsia="Times New Roman" w:hAnsi="Times New Roman" w:cs="Times New Roman"/>
          <w:color w:val="000000" w:themeColor="text1"/>
          <w:kern w:val="0"/>
          <w:lang w:eastAsia="en-GB"/>
          <w14:ligatures w14:val="none"/>
        </w:rPr>
        <w:t xml:space="preserve">, R. (2021). The transformation of peer-to-peer commerce: Moving </w:t>
      </w:r>
    </w:p>
    <w:p w14:paraId="0E63FA64" w14:textId="34123448"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from the margins to the mainstream. </w:t>
      </w:r>
      <w:r w:rsidRPr="00AA0F0E">
        <w:rPr>
          <w:rFonts w:ascii="Times New Roman" w:eastAsia="Times New Roman" w:hAnsi="Times New Roman" w:cs="Times New Roman"/>
          <w:i/>
          <w:iCs/>
          <w:color w:val="000000" w:themeColor="text1"/>
          <w:kern w:val="0"/>
          <w:lang w:eastAsia="en-GB"/>
          <w14:ligatures w14:val="none"/>
        </w:rPr>
        <w:t>Journal of Consumer Culture</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21</w:t>
      </w:r>
      <w:r w:rsidRPr="00AA0F0E">
        <w:rPr>
          <w:rFonts w:ascii="Times New Roman" w:eastAsia="Times New Roman" w:hAnsi="Times New Roman" w:cs="Times New Roman"/>
          <w:color w:val="000000" w:themeColor="text1"/>
          <w:kern w:val="0"/>
          <w:lang w:eastAsia="en-GB"/>
          <w14:ligatures w14:val="none"/>
        </w:rPr>
        <w:t>(4), 881-902. https://doi.org/10.1177/1469540520975465</w:t>
      </w:r>
    </w:p>
    <w:p w14:paraId="2C8976CA" w14:textId="77777777" w:rsidR="00FF4D43"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Christensen, C. M. (1997). </w:t>
      </w:r>
      <w:r w:rsidRPr="00AA0F0E">
        <w:rPr>
          <w:rFonts w:ascii="Times New Roman" w:eastAsia="Times New Roman" w:hAnsi="Times New Roman" w:cs="Times New Roman"/>
          <w:i/>
          <w:iCs/>
          <w:color w:val="000000" w:themeColor="text1"/>
          <w:kern w:val="0"/>
          <w:lang w:eastAsia="en-GB"/>
          <w14:ligatures w14:val="none"/>
        </w:rPr>
        <w:t>The innovator's dilemma</w:t>
      </w:r>
      <w:r w:rsidRPr="00AA0F0E">
        <w:rPr>
          <w:rFonts w:ascii="Times New Roman" w:eastAsia="Times New Roman" w:hAnsi="Times New Roman" w:cs="Times New Roman"/>
          <w:color w:val="000000" w:themeColor="text1"/>
          <w:kern w:val="0"/>
          <w:lang w:eastAsia="en-GB"/>
          <w14:ligatures w14:val="none"/>
        </w:rPr>
        <w:t>. Harvard Business School Press.</w:t>
      </w:r>
    </w:p>
    <w:p w14:paraId="03DA0E64"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Dann, D., Teubner, T., &amp; Weinhardt, C. (2019). Poster child and guinea pig – insights from a </w:t>
      </w:r>
    </w:p>
    <w:p w14:paraId="309F0085" w14:textId="5459608E"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structured literature review on Airbnb. </w:t>
      </w:r>
      <w:r w:rsidRPr="00AA0F0E">
        <w:rPr>
          <w:rFonts w:ascii="Times New Roman" w:eastAsia="Times New Roman" w:hAnsi="Times New Roman" w:cs="Times New Roman"/>
          <w:i/>
          <w:iCs/>
          <w:color w:val="000000" w:themeColor="text1"/>
          <w:kern w:val="0"/>
          <w:lang w:eastAsia="en-GB"/>
          <w14:ligatures w14:val="none"/>
        </w:rPr>
        <w:t>International Journal of Contemporary Hospitality Management</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31</w:t>
      </w:r>
      <w:r w:rsidRPr="00AA0F0E">
        <w:rPr>
          <w:rFonts w:ascii="Times New Roman" w:eastAsia="Times New Roman" w:hAnsi="Times New Roman" w:cs="Times New Roman"/>
          <w:color w:val="000000" w:themeColor="text1"/>
          <w:kern w:val="0"/>
          <w:lang w:eastAsia="en-GB"/>
          <w14:ligatures w14:val="none"/>
        </w:rPr>
        <w:t>(1), 427-473. https://doi.org/10.1108/IJCHM-03-2018-0186</w:t>
      </w:r>
    </w:p>
    <w:p w14:paraId="05F5B38B" w14:textId="77777777" w:rsidR="00144F8A" w:rsidRPr="00AA0F0E" w:rsidRDefault="00FF4D43" w:rsidP="00FF4D43">
      <w:pPr>
        <w:spacing w:before="100" w:beforeAutospacing="1" w:after="100" w:afterAutospacing="1"/>
        <w:rPr>
          <w:rFonts w:ascii="Times New Roman" w:eastAsia="Times New Roman" w:hAnsi="Times New Roman" w:cs="Times New Roman"/>
          <w:i/>
          <w:iCs/>
          <w:color w:val="000000" w:themeColor="text1"/>
          <w:kern w:val="0"/>
          <w:lang w:eastAsia="en-GB"/>
          <w14:ligatures w14:val="none"/>
        </w:rPr>
      </w:pPr>
      <w:proofErr w:type="spellStart"/>
      <w:r w:rsidRPr="00AA0F0E">
        <w:rPr>
          <w:rFonts w:ascii="Times New Roman" w:eastAsia="Times New Roman" w:hAnsi="Times New Roman" w:cs="Times New Roman"/>
          <w:color w:val="000000" w:themeColor="text1"/>
          <w:kern w:val="0"/>
          <w:lang w:eastAsia="en-GB"/>
          <w14:ligatures w14:val="none"/>
        </w:rPr>
        <w:t>Dolnicar</w:t>
      </w:r>
      <w:proofErr w:type="spellEnd"/>
      <w:r w:rsidRPr="00AA0F0E">
        <w:rPr>
          <w:rFonts w:ascii="Times New Roman" w:eastAsia="Times New Roman" w:hAnsi="Times New Roman" w:cs="Times New Roman"/>
          <w:color w:val="000000" w:themeColor="text1"/>
          <w:kern w:val="0"/>
          <w:lang w:eastAsia="en-GB"/>
          <w14:ligatures w14:val="none"/>
        </w:rPr>
        <w:t xml:space="preserve">, S., &amp; Zare, S. (2020). COVID19 and Airbnb – Disrupting the disruptor. </w:t>
      </w:r>
      <w:r w:rsidRPr="00AA0F0E">
        <w:rPr>
          <w:rFonts w:ascii="Times New Roman" w:eastAsia="Times New Roman" w:hAnsi="Times New Roman" w:cs="Times New Roman"/>
          <w:i/>
          <w:iCs/>
          <w:color w:val="000000" w:themeColor="text1"/>
          <w:kern w:val="0"/>
          <w:lang w:eastAsia="en-GB"/>
          <w14:ligatures w14:val="none"/>
        </w:rPr>
        <w:t xml:space="preserve">Annals of </w:t>
      </w:r>
    </w:p>
    <w:p w14:paraId="5EE3BFB0" w14:textId="5F66CDE5" w:rsidR="00FF4D43" w:rsidRPr="00AA0F0E" w:rsidRDefault="00FF4D43" w:rsidP="00144F8A">
      <w:pPr>
        <w:spacing w:before="100" w:beforeAutospacing="1" w:after="100" w:afterAutospacing="1"/>
        <w:ind w:firstLine="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i/>
          <w:iCs/>
          <w:color w:val="000000" w:themeColor="text1"/>
          <w:kern w:val="0"/>
          <w:lang w:eastAsia="en-GB"/>
          <w14:ligatures w14:val="none"/>
        </w:rPr>
        <w:t>Tourism Research</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83</w:t>
      </w:r>
      <w:r w:rsidRPr="00AA0F0E">
        <w:rPr>
          <w:rFonts w:ascii="Times New Roman" w:eastAsia="Times New Roman" w:hAnsi="Times New Roman" w:cs="Times New Roman"/>
          <w:color w:val="000000" w:themeColor="text1"/>
          <w:kern w:val="0"/>
          <w:lang w:eastAsia="en-GB"/>
          <w14:ligatures w14:val="none"/>
        </w:rPr>
        <w:t>, 102961. https://doi.org/10.1016/j.annals.2020.102961</w:t>
      </w:r>
    </w:p>
    <w:p w14:paraId="490D24F7" w14:textId="77777777" w:rsidR="00144F8A" w:rsidRPr="00AA0F0E" w:rsidRDefault="00FF4D43" w:rsidP="00144F8A">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Dudas, G., Life, G., Boros, L., &amp; Kovalcsik, T. (2017). A socio-economic analysis of Airbnb </w:t>
      </w:r>
    </w:p>
    <w:p w14:paraId="623DA6D1" w14:textId="598E7436"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in New York City. </w:t>
      </w:r>
      <w:r w:rsidRPr="00AA0F0E">
        <w:rPr>
          <w:rFonts w:ascii="Times New Roman" w:eastAsia="Times New Roman" w:hAnsi="Times New Roman" w:cs="Times New Roman"/>
          <w:i/>
          <w:iCs/>
          <w:color w:val="000000" w:themeColor="text1"/>
          <w:kern w:val="0"/>
          <w:lang w:eastAsia="en-GB"/>
          <w14:ligatures w14:val="none"/>
        </w:rPr>
        <w:t>Regional Statistics</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7</w:t>
      </w:r>
      <w:r w:rsidRPr="00AA0F0E">
        <w:rPr>
          <w:rFonts w:ascii="Times New Roman" w:eastAsia="Times New Roman" w:hAnsi="Times New Roman" w:cs="Times New Roman"/>
          <w:color w:val="000000" w:themeColor="text1"/>
          <w:kern w:val="0"/>
          <w:lang w:eastAsia="en-GB"/>
          <w14:ligatures w14:val="none"/>
        </w:rPr>
        <w:t>(1), 135-151. https://doi.org/10.15196/RS07108</w:t>
      </w:r>
    </w:p>
    <w:p w14:paraId="502C661B"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Ferreri, M., &amp; Sanyal, R. (2018). Platform economies and urban planning: Airbnb and </w:t>
      </w:r>
    </w:p>
    <w:p w14:paraId="72357EA2" w14:textId="18500068"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regulated deregulation in London. </w:t>
      </w:r>
      <w:r w:rsidRPr="00AA0F0E">
        <w:rPr>
          <w:rFonts w:ascii="Times New Roman" w:eastAsia="Times New Roman" w:hAnsi="Times New Roman" w:cs="Times New Roman"/>
          <w:i/>
          <w:iCs/>
          <w:color w:val="000000" w:themeColor="text1"/>
          <w:kern w:val="0"/>
          <w:lang w:eastAsia="en-GB"/>
          <w14:ligatures w14:val="none"/>
        </w:rPr>
        <w:t>Urban Studies</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55</w:t>
      </w:r>
      <w:r w:rsidRPr="00AA0F0E">
        <w:rPr>
          <w:rFonts w:ascii="Times New Roman" w:eastAsia="Times New Roman" w:hAnsi="Times New Roman" w:cs="Times New Roman"/>
          <w:color w:val="000000" w:themeColor="text1"/>
          <w:kern w:val="0"/>
          <w:lang w:eastAsia="en-GB"/>
          <w14:ligatures w14:val="none"/>
        </w:rPr>
        <w:t>(15), 3353-3368. https://doi.org/10.1177/0042098017751982</w:t>
      </w:r>
    </w:p>
    <w:p w14:paraId="0947FD79" w14:textId="77777777" w:rsidR="00FF4D43"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Freeman, R. E. (1984). </w:t>
      </w:r>
      <w:r w:rsidRPr="00AA0F0E">
        <w:rPr>
          <w:rFonts w:ascii="Times New Roman" w:eastAsia="Times New Roman" w:hAnsi="Times New Roman" w:cs="Times New Roman"/>
          <w:i/>
          <w:iCs/>
          <w:color w:val="000000" w:themeColor="text1"/>
          <w:kern w:val="0"/>
          <w:lang w:eastAsia="en-GB"/>
          <w14:ligatures w14:val="none"/>
        </w:rPr>
        <w:t>Strategic management: A stakeholder approach</w:t>
      </w:r>
      <w:r w:rsidRPr="00AA0F0E">
        <w:rPr>
          <w:rFonts w:ascii="Times New Roman" w:eastAsia="Times New Roman" w:hAnsi="Times New Roman" w:cs="Times New Roman"/>
          <w:color w:val="000000" w:themeColor="text1"/>
          <w:kern w:val="0"/>
          <w:lang w:eastAsia="en-GB"/>
          <w14:ligatures w14:val="none"/>
        </w:rPr>
        <w:t>. Pitman.</w:t>
      </w:r>
    </w:p>
    <w:p w14:paraId="44D30B99"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proofErr w:type="spellStart"/>
      <w:r w:rsidRPr="00AA0F0E">
        <w:rPr>
          <w:rFonts w:ascii="Times New Roman" w:eastAsia="Times New Roman" w:hAnsi="Times New Roman" w:cs="Times New Roman"/>
          <w:color w:val="000000" w:themeColor="text1"/>
          <w:kern w:val="0"/>
          <w:lang w:eastAsia="en-GB"/>
          <w14:ligatures w14:val="none"/>
        </w:rPr>
        <w:t>Frenken</w:t>
      </w:r>
      <w:proofErr w:type="spellEnd"/>
      <w:r w:rsidRPr="00AA0F0E">
        <w:rPr>
          <w:rFonts w:ascii="Times New Roman" w:eastAsia="Times New Roman" w:hAnsi="Times New Roman" w:cs="Times New Roman"/>
          <w:color w:val="000000" w:themeColor="text1"/>
          <w:kern w:val="0"/>
          <w:lang w:eastAsia="en-GB"/>
          <w14:ligatures w14:val="none"/>
        </w:rPr>
        <w:t xml:space="preserve">, K., &amp; Schor, J. (2017). Putting the sharing economy into perspective. </w:t>
      </w:r>
    </w:p>
    <w:p w14:paraId="29D3BEBC" w14:textId="5255E8DB"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i/>
          <w:iCs/>
          <w:color w:val="000000" w:themeColor="text1"/>
          <w:kern w:val="0"/>
          <w:lang w:eastAsia="en-GB"/>
          <w14:ligatures w14:val="none"/>
        </w:rPr>
        <w:t>Environmental Innovation and Societal Transitions</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23</w:t>
      </w:r>
      <w:r w:rsidRPr="00AA0F0E">
        <w:rPr>
          <w:rFonts w:ascii="Times New Roman" w:eastAsia="Times New Roman" w:hAnsi="Times New Roman" w:cs="Times New Roman"/>
          <w:color w:val="000000" w:themeColor="text1"/>
          <w:kern w:val="0"/>
          <w:lang w:eastAsia="en-GB"/>
          <w14:ligatures w14:val="none"/>
        </w:rPr>
        <w:t>, 3-10. https://doi.org/10.1016/j.eist.2017.01.003</w:t>
      </w:r>
    </w:p>
    <w:p w14:paraId="571990A5"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Gillespie, T. (2014). The relevance of algorithms. In T. Gillespie, P. J. Boczkowski, &amp; K. A. </w:t>
      </w:r>
    </w:p>
    <w:p w14:paraId="3B48F97B" w14:textId="6F70D7F4"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Foot (Eds.), </w:t>
      </w:r>
      <w:r w:rsidRPr="00AA0F0E">
        <w:rPr>
          <w:rFonts w:ascii="Times New Roman" w:eastAsia="Times New Roman" w:hAnsi="Times New Roman" w:cs="Times New Roman"/>
          <w:i/>
          <w:iCs/>
          <w:color w:val="000000" w:themeColor="text1"/>
          <w:kern w:val="0"/>
          <w:lang w:eastAsia="en-GB"/>
          <w14:ligatures w14:val="none"/>
        </w:rPr>
        <w:t>Media technologies: Essays on communication, materiality, and society</w:t>
      </w:r>
      <w:r w:rsidRPr="00AA0F0E">
        <w:rPr>
          <w:rFonts w:ascii="Times New Roman" w:eastAsia="Times New Roman" w:hAnsi="Times New Roman" w:cs="Times New Roman"/>
          <w:color w:val="000000" w:themeColor="text1"/>
          <w:kern w:val="0"/>
          <w:lang w:eastAsia="en-GB"/>
          <w14:ligatures w14:val="none"/>
        </w:rPr>
        <w:t xml:space="preserve"> (pp. 167-194). MIT Press.</w:t>
      </w:r>
    </w:p>
    <w:p w14:paraId="3D2ACB28" w14:textId="77777777" w:rsidR="00144F8A" w:rsidRPr="00AA0F0E" w:rsidRDefault="00FF4D43" w:rsidP="00FF4D43">
      <w:pPr>
        <w:spacing w:before="100" w:beforeAutospacing="1" w:after="100" w:afterAutospacing="1"/>
        <w:rPr>
          <w:rFonts w:ascii="Times New Roman" w:eastAsia="Times New Roman" w:hAnsi="Times New Roman" w:cs="Times New Roman"/>
          <w:i/>
          <w:iCs/>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Guttentag, D. (2019). Progress on Airbnb: A literature review. </w:t>
      </w:r>
      <w:r w:rsidRPr="00AA0F0E">
        <w:rPr>
          <w:rFonts w:ascii="Times New Roman" w:eastAsia="Times New Roman" w:hAnsi="Times New Roman" w:cs="Times New Roman"/>
          <w:i/>
          <w:iCs/>
          <w:color w:val="000000" w:themeColor="text1"/>
          <w:kern w:val="0"/>
          <w:lang w:eastAsia="en-GB"/>
          <w14:ligatures w14:val="none"/>
        </w:rPr>
        <w:t xml:space="preserve">Journal of Hospitality and </w:t>
      </w:r>
    </w:p>
    <w:p w14:paraId="7997AC96" w14:textId="0ACEDE17" w:rsidR="00FF4D43" w:rsidRPr="00AA0F0E" w:rsidRDefault="00FF4D43" w:rsidP="00144F8A">
      <w:pPr>
        <w:spacing w:before="100" w:beforeAutospacing="1" w:after="100" w:afterAutospacing="1"/>
        <w:ind w:firstLine="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i/>
          <w:iCs/>
          <w:color w:val="000000" w:themeColor="text1"/>
          <w:kern w:val="0"/>
          <w:lang w:eastAsia="en-GB"/>
          <w14:ligatures w14:val="none"/>
        </w:rPr>
        <w:lastRenderedPageBreak/>
        <w:t>Tourism Technology</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10</w:t>
      </w:r>
      <w:r w:rsidRPr="00AA0F0E">
        <w:rPr>
          <w:rFonts w:ascii="Times New Roman" w:eastAsia="Times New Roman" w:hAnsi="Times New Roman" w:cs="Times New Roman"/>
          <w:color w:val="000000" w:themeColor="text1"/>
          <w:kern w:val="0"/>
          <w:lang w:eastAsia="en-GB"/>
          <w14:ligatures w14:val="none"/>
        </w:rPr>
        <w:t>(4), 814-844. https://doi.org/10.1108/JHTT-08-2018-0075</w:t>
      </w:r>
    </w:p>
    <w:p w14:paraId="515C1F18"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Hamari, J., </w:t>
      </w:r>
      <w:proofErr w:type="spellStart"/>
      <w:r w:rsidRPr="00AA0F0E">
        <w:rPr>
          <w:rFonts w:ascii="Times New Roman" w:eastAsia="Times New Roman" w:hAnsi="Times New Roman" w:cs="Times New Roman"/>
          <w:color w:val="000000" w:themeColor="text1"/>
          <w:kern w:val="0"/>
          <w:lang w:eastAsia="en-GB"/>
          <w14:ligatures w14:val="none"/>
        </w:rPr>
        <w:t>Sjöklint</w:t>
      </w:r>
      <w:proofErr w:type="spellEnd"/>
      <w:r w:rsidRPr="00AA0F0E">
        <w:rPr>
          <w:rFonts w:ascii="Times New Roman" w:eastAsia="Times New Roman" w:hAnsi="Times New Roman" w:cs="Times New Roman"/>
          <w:color w:val="000000" w:themeColor="text1"/>
          <w:kern w:val="0"/>
          <w:lang w:eastAsia="en-GB"/>
          <w14:ligatures w14:val="none"/>
        </w:rPr>
        <w:t xml:space="preserve">, M., &amp; Ukkonen, A. (2016). The sharing economy: Why people </w:t>
      </w:r>
    </w:p>
    <w:p w14:paraId="4AC4EC94" w14:textId="2DC09D37"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participate in collaborative consumption. </w:t>
      </w:r>
      <w:r w:rsidRPr="00AA0F0E">
        <w:rPr>
          <w:rFonts w:ascii="Times New Roman" w:eastAsia="Times New Roman" w:hAnsi="Times New Roman" w:cs="Times New Roman"/>
          <w:i/>
          <w:iCs/>
          <w:color w:val="000000" w:themeColor="text1"/>
          <w:kern w:val="0"/>
          <w:lang w:eastAsia="en-GB"/>
          <w14:ligatures w14:val="none"/>
        </w:rPr>
        <w:t>Journal of the Association for Information Science and Technology</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67</w:t>
      </w:r>
      <w:r w:rsidRPr="00AA0F0E">
        <w:rPr>
          <w:rFonts w:ascii="Times New Roman" w:eastAsia="Times New Roman" w:hAnsi="Times New Roman" w:cs="Times New Roman"/>
          <w:color w:val="000000" w:themeColor="text1"/>
          <w:kern w:val="0"/>
          <w:lang w:eastAsia="en-GB"/>
          <w14:ligatures w14:val="none"/>
        </w:rPr>
        <w:t>(9), 2047-2059. https://doi.org/10.1002/asi.23552</w:t>
      </w:r>
    </w:p>
    <w:p w14:paraId="69BFD845" w14:textId="77777777" w:rsidR="00144F8A" w:rsidRPr="00AA0F0E" w:rsidRDefault="00FF4D43" w:rsidP="00FF4D43">
      <w:pPr>
        <w:spacing w:before="100" w:beforeAutospacing="1" w:after="100" w:afterAutospacing="1"/>
        <w:rPr>
          <w:rFonts w:ascii="Times New Roman" w:eastAsia="Times New Roman" w:hAnsi="Times New Roman" w:cs="Times New Roman"/>
          <w:i/>
          <w:iCs/>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Kenney, M., &amp; Zysman, J. (2016). The rise of the platform economy. </w:t>
      </w:r>
      <w:r w:rsidRPr="00AA0F0E">
        <w:rPr>
          <w:rFonts w:ascii="Times New Roman" w:eastAsia="Times New Roman" w:hAnsi="Times New Roman" w:cs="Times New Roman"/>
          <w:i/>
          <w:iCs/>
          <w:color w:val="000000" w:themeColor="text1"/>
          <w:kern w:val="0"/>
          <w:lang w:eastAsia="en-GB"/>
          <w14:ligatures w14:val="none"/>
        </w:rPr>
        <w:t xml:space="preserve">Issues in Science and </w:t>
      </w:r>
    </w:p>
    <w:p w14:paraId="7FB4CDCB" w14:textId="5621CCEF" w:rsidR="00FF4D43" w:rsidRPr="00AA0F0E" w:rsidRDefault="00FF4D43" w:rsidP="00144F8A">
      <w:pPr>
        <w:spacing w:before="100" w:beforeAutospacing="1" w:after="100" w:afterAutospacing="1"/>
        <w:ind w:firstLine="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i/>
          <w:iCs/>
          <w:color w:val="000000" w:themeColor="text1"/>
          <w:kern w:val="0"/>
          <w:lang w:eastAsia="en-GB"/>
          <w14:ligatures w14:val="none"/>
        </w:rPr>
        <w:t>Technology</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32</w:t>
      </w:r>
      <w:r w:rsidRPr="00AA0F0E">
        <w:rPr>
          <w:rFonts w:ascii="Times New Roman" w:eastAsia="Times New Roman" w:hAnsi="Times New Roman" w:cs="Times New Roman"/>
          <w:color w:val="000000" w:themeColor="text1"/>
          <w:kern w:val="0"/>
          <w:lang w:eastAsia="en-GB"/>
          <w14:ligatures w14:val="none"/>
        </w:rPr>
        <w:t>(3), 61-69.</w:t>
      </w:r>
    </w:p>
    <w:p w14:paraId="388C3EA8"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Li, L., &amp; Tabari, S. (2019). Impact of Airbnb on customers' behaviour in the UK hotel </w:t>
      </w:r>
    </w:p>
    <w:p w14:paraId="5647D164" w14:textId="2B5DAC48"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industry. </w:t>
      </w:r>
      <w:r w:rsidRPr="00AA0F0E">
        <w:rPr>
          <w:rFonts w:ascii="Times New Roman" w:eastAsia="Times New Roman" w:hAnsi="Times New Roman" w:cs="Times New Roman"/>
          <w:i/>
          <w:iCs/>
          <w:color w:val="000000" w:themeColor="text1"/>
          <w:kern w:val="0"/>
          <w:lang w:eastAsia="en-GB"/>
          <w14:ligatures w14:val="none"/>
        </w:rPr>
        <w:t>Tourism Analysis</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24</w:t>
      </w:r>
      <w:r w:rsidRPr="00AA0F0E">
        <w:rPr>
          <w:rFonts w:ascii="Times New Roman" w:eastAsia="Times New Roman" w:hAnsi="Times New Roman" w:cs="Times New Roman"/>
          <w:color w:val="000000" w:themeColor="text1"/>
          <w:kern w:val="0"/>
          <w:lang w:eastAsia="en-GB"/>
          <w14:ligatures w14:val="none"/>
        </w:rPr>
        <w:t>(1), 13-26.</w:t>
      </w:r>
      <w:r w:rsidR="00144F8A"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color w:val="000000" w:themeColor="text1"/>
          <w:kern w:val="0"/>
          <w:lang w:eastAsia="en-GB"/>
          <w14:ligatures w14:val="none"/>
        </w:rPr>
        <w:t>https://doi.org/10.3727/108354219X15458295631891</w:t>
      </w:r>
    </w:p>
    <w:p w14:paraId="7C4CD946"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Rahman, K. S., &amp; Thelen, K. (2019). The rise of the platform business model and the </w:t>
      </w:r>
    </w:p>
    <w:p w14:paraId="1C38D1B5" w14:textId="43A717E7"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transformation of twenty-first-century capitalism. </w:t>
      </w:r>
      <w:r w:rsidRPr="00AA0F0E">
        <w:rPr>
          <w:rFonts w:ascii="Times New Roman" w:eastAsia="Times New Roman" w:hAnsi="Times New Roman" w:cs="Times New Roman"/>
          <w:i/>
          <w:iCs/>
          <w:color w:val="000000" w:themeColor="text1"/>
          <w:kern w:val="0"/>
          <w:lang w:eastAsia="en-GB"/>
          <w14:ligatures w14:val="none"/>
        </w:rPr>
        <w:t>Politics &amp; Society</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47</w:t>
      </w:r>
      <w:r w:rsidRPr="00AA0F0E">
        <w:rPr>
          <w:rFonts w:ascii="Times New Roman" w:eastAsia="Times New Roman" w:hAnsi="Times New Roman" w:cs="Times New Roman"/>
          <w:color w:val="000000" w:themeColor="text1"/>
          <w:kern w:val="0"/>
          <w:lang w:eastAsia="en-GB"/>
          <w14:ligatures w14:val="none"/>
        </w:rPr>
        <w:t>(2), 177-204. https://doi.org/10.1177/0032329219838932</w:t>
      </w:r>
    </w:p>
    <w:p w14:paraId="286B3DC2" w14:textId="77777777" w:rsidR="00144F8A" w:rsidRPr="00AA0F0E" w:rsidRDefault="00FF4D43" w:rsidP="00FF4D43">
      <w:pPr>
        <w:spacing w:before="100" w:beforeAutospacing="1" w:after="100" w:afterAutospacing="1"/>
        <w:rPr>
          <w:rFonts w:ascii="Times New Roman" w:eastAsia="Times New Roman" w:hAnsi="Times New Roman" w:cs="Times New Roman"/>
          <w:i/>
          <w:iCs/>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Scholz, T. (2016). Platform cooperativism: Challenging the corporate sharing economy. </w:t>
      </w:r>
      <w:r w:rsidRPr="00AA0F0E">
        <w:rPr>
          <w:rFonts w:ascii="Times New Roman" w:eastAsia="Times New Roman" w:hAnsi="Times New Roman" w:cs="Times New Roman"/>
          <w:i/>
          <w:iCs/>
          <w:color w:val="000000" w:themeColor="text1"/>
          <w:kern w:val="0"/>
          <w:lang w:eastAsia="en-GB"/>
          <w14:ligatures w14:val="none"/>
        </w:rPr>
        <w:t xml:space="preserve">Rosa </w:t>
      </w:r>
    </w:p>
    <w:p w14:paraId="4AD1C134" w14:textId="2B3842E6" w:rsidR="00FF4D43" w:rsidRPr="00AA0F0E" w:rsidRDefault="00FF4D43" w:rsidP="00144F8A">
      <w:pPr>
        <w:spacing w:before="100" w:beforeAutospacing="1" w:after="100" w:afterAutospacing="1"/>
        <w:ind w:firstLine="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i/>
          <w:iCs/>
          <w:color w:val="000000" w:themeColor="text1"/>
          <w:kern w:val="0"/>
          <w:lang w:eastAsia="en-GB"/>
          <w14:ligatures w14:val="none"/>
        </w:rPr>
        <w:t>Luxemburg Stiftung</w:t>
      </w:r>
      <w:r w:rsidRPr="00AA0F0E">
        <w:rPr>
          <w:rFonts w:ascii="Times New Roman" w:eastAsia="Times New Roman" w:hAnsi="Times New Roman" w:cs="Times New Roman"/>
          <w:color w:val="000000" w:themeColor="text1"/>
          <w:kern w:val="0"/>
          <w:lang w:eastAsia="en-GB"/>
          <w14:ligatures w14:val="none"/>
        </w:rPr>
        <w:t>, 1-69. http://www.rosalux-nyc.org/platform-cooperativism-2/</w:t>
      </w:r>
    </w:p>
    <w:p w14:paraId="1C080814"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Schor, J. (2017). Does the sharing economy increase inequality within the eighty percent? </w:t>
      </w:r>
    </w:p>
    <w:p w14:paraId="6BEDC76C" w14:textId="352D0AE7"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i/>
          <w:iCs/>
          <w:color w:val="000000" w:themeColor="text1"/>
          <w:kern w:val="0"/>
          <w:lang w:eastAsia="en-GB"/>
          <w14:ligatures w14:val="none"/>
        </w:rPr>
        <w:t>Cambridge Journal of Regions, Economy and Society</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10</w:t>
      </w:r>
      <w:r w:rsidRPr="00AA0F0E">
        <w:rPr>
          <w:rFonts w:ascii="Times New Roman" w:eastAsia="Times New Roman" w:hAnsi="Times New Roman" w:cs="Times New Roman"/>
          <w:color w:val="000000" w:themeColor="text1"/>
          <w:kern w:val="0"/>
          <w:lang w:eastAsia="en-GB"/>
          <w14:ligatures w14:val="none"/>
        </w:rPr>
        <w:t>(2), 263-279. https://doi.org/10.1093/cjres/rsw047</w:t>
      </w:r>
    </w:p>
    <w:p w14:paraId="1C086AC7" w14:textId="77777777" w:rsidR="00FF4D43"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Srnicek, N. (2017). </w:t>
      </w:r>
      <w:r w:rsidRPr="00AA0F0E">
        <w:rPr>
          <w:rFonts w:ascii="Times New Roman" w:eastAsia="Times New Roman" w:hAnsi="Times New Roman" w:cs="Times New Roman"/>
          <w:i/>
          <w:iCs/>
          <w:color w:val="000000" w:themeColor="text1"/>
          <w:kern w:val="0"/>
          <w:lang w:eastAsia="en-GB"/>
          <w14:ligatures w14:val="none"/>
        </w:rPr>
        <w:t>Platform capitalism</w:t>
      </w:r>
      <w:r w:rsidRPr="00AA0F0E">
        <w:rPr>
          <w:rFonts w:ascii="Times New Roman" w:eastAsia="Times New Roman" w:hAnsi="Times New Roman" w:cs="Times New Roman"/>
          <w:color w:val="000000" w:themeColor="text1"/>
          <w:kern w:val="0"/>
          <w:lang w:eastAsia="en-GB"/>
          <w14:ligatures w14:val="none"/>
        </w:rPr>
        <w:t>. Polity Press.</w:t>
      </w:r>
    </w:p>
    <w:p w14:paraId="09F52764" w14:textId="77777777" w:rsidR="00FF4D43"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Sundararajan, A. (2016). </w:t>
      </w:r>
      <w:r w:rsidRPr="00AA0F0E">
        <w:rPr>
          <w:rFonts w:ascii="Times New Roman" w:eastAsia="Times New Roman" w:hAnsi="Times New Roman" w:cs="Times New Roman"/>
          <w:i/>
          <w:iCs/>
          <w:color w:val="000000" w:themeColor="text1"/>
          <w:kern w:val="0"/>
          <w:lang w:eastAsia="en-GB"/>
          <w14:ligatures w14:val="none"/>
        </w:rPr>
        <w:t>The sharing economy</w:t>
      </w:r>
      <w:r w:rsidRPr="00AA0F0E">
        <w:rPr>
          <w:rFonts w:ascii="Times New Roman" w:eastAsia="Times New Roman" w:hAnsi="Times New Roman" w:cs="Times New Roman"/>
          <w:color w:val="000000" w:themeColor="text1"/>
          <w:kern w:val="0"/>
          <w:lang w:eastAsia="en-GB"/>
          <w14:ligatures w14:val="none"/>
        </w:rPr>
        <w:t>. MIT Press.</w:t>
      </w:r>
    </w:p>
    <w:p w14:paraId="2C096200"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proofErr w:type="spellStart"/>
      <w:r w:rsidRPr="00AA0F0E">
        <w:rPr>
          <w:rFonts w:ascii="Times New Roman" w:eastAsia="Times New Roman" w:hAnsi="Times New Roman" w:cs="Times New Roman"/>
          <w:color w:val="000000" w:themeColor="text1"/>
          <w:kern w:val="0"/>
          <w:lang w:eastAsia="en-GB"/>
          <w14:ligatures w14:val="none"/>
        </w:rPr>
        <w:t>Tussyadiah</w:t>
      </w:r>
      <w:proofErr w:type="spellEnd"/>
      <w:r w:rsidRPr="00AA0F0E">
        <w:rPr>
          <w:rFonts w:ascii="Times New Roman" w:eastAsia="Times New Roman" w:hAnsi="Times New Roman" w:cs="Times New Roman"/>
          <w:color w:val="000000" w:themeColor="text1"/>
          <w:kern w:val="0"/>
          <w:lang w:eastAsia="en-GB"/>
          <w14:ligatures w14:val="none"/>
        </w:rPr>
        <w:t xml:space="preserve">, I. P., &amp; Pesonen, J. (2018). Drivers and barriers of peer-to-peer accommodation </w:t>
      </w:r>
    </w:p>
    <w:p w14:paraId="1CF4EBAA" w14:textId="7B2A97AB"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stay. </w:t>
      </w:r>
      <w:r w:rsidRPr="00AA0F0E">
        <w:rPr>
          <w:rFonts w:ascii="Times New Roman" w:eastAsia="Times New Roman" w:hAnsi="Times New Roman" w:cs="Times New Roman"/>
          <w:i/>
          <w:iCs/>
          <w:color w:val="000000" w:themeColor="text1"/>
          <w:kern w:val="0"/>
          <w:lang w:eastAsia="en-GB"/>
          <w14:ligatures w14:val="none"/>
        </w:rPr>
        <w:t>Current Issues in Tourism</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21</w:t>
      </w:r>
      <w:r w:rsidRPr="00AA0F0E">
        <w:rPr>
          <w:rFonts w:ascii="Times New Roman" w:eastAsia="Times New Roman" w:hAnsi="Times New Roman" w:cs="Times New Roman"/>
          <w:color w:val="000000" w:themeColor="text1"/>
          <w:kern w:val="0"/>
          <w:lang w:eastAsia="en-GB"/>
          <w14:ligatures w14:val="none"/>
        </w:rPr>
        <w:t>(6), 703-720. https://doi.org/10.1080/13683500.2016.1141180</w:t>
      </w:r>
    </w:p>
    <w:p w14:paraId="724AB8DE"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Wachsmuth, D., &amp; Weisler, A. (2018). Airbnb and the rent gap: Gentrification through the </w:t>
      </w:r>
    </w:p>
    <w:p w14:paraId="7B01A568" w14:textId="7F015C9C"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sharing economy. </w:t>
      </w:r>
      <w:r w:rsidRPr="00AA0F0E">
        <w:rPr>
          <w:rFonts w:ascii="Times New Roman" w:eastAsia="Times New Roman" w:hAnsi="Times New Roman" w:cs="Times New Roman"/>
          <w:i/>
          <w:iCs/>
          <w:color w:val="000000" w:themeColor="text1"/>
          <w:kern w:val="0"/>
          <w:lang w:eastAsia="en-GB"/>
          <w14:ligatures w14:val="none"/>
        </w:rPr>
        <w:t>Environment and Planning A: Economy and Space</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50</w:t>
      </w:r>
      <w:r w:rsidRPr="00AA0F0E">
        <w:rPr>
          <w:rFonts w:ascii="Times New Roman" w:eastAsia="Times New Roman" w:hAnsi="Times New Roman" w:cs="Times New Roman"/>
          <w:color w:val="000000" w:themeColor="text1"/>
          <w:kern w:val="0"/>
          <w:lang w:eastAsia="en-GB"/>
          <w14:ligatures w14:val="none"/>
        </w:rPr>
        <w:t>(6), 1147-1170. https://doi.org/10.1177/0308518X18778038</w:t>
      </w:r>
    </w:p>
    <w:p w14:paraId="03805805"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Wegmann, J., &amp; Jiao, J. (2017). Taming Airbnb: Toward guiding principles for local </w:t>
      </w:r>
    </w:p>
    <w:p w14:paraId="09338005" w14:textId="37A30194"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regulation of urban vacation rentals. </w:t>
      </w:r>
      <w:r w:rsidRPr="00AA0F0E">
        <w:rPr>
          <w:rFonts w:ascii="Times New Roman" w:eastAsia="Times New Roman" w:hAnsi="Times New Roman" w:cs="Times New Roman"/>
          <w:i/>
          <w:iCs/>
          <w:color w:val="000000" w:themeColor="text1"/>
          <w:kern w:val="0"/>
          <w:lang w:eastAsia="en-GB"/>
          <w14:ligatures w14:val="none"/>
        </w:rPr>
        <w:t>Land Use Policy</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69</w:t>
      </w:r>
      <w:r w:rsidRPr="00AA0F0E">
        <w:rPr>
          <w:rFonts w:ascii="Times New Roman" w:eastAsia="Times New Roman" w:hAnsi="Times New Roman" w:cs="Times New Roman"/>
          <w:color w:val="000000" w:themeColor="text1"/>
          <w:kern w:val="0"/>
          <w:lang w:eastAsia="en-GB"/>
          <w14:ligatures w14:val="none"/>
        </w:rPr>
        <w:t>, 494-501. https://doi.org/10.1016/j.landusepol.2017.09.025</w:t>
      </w:r>
    </w:p>
    <w:p w14:paraId="18597BF2"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Wu, S., Lee, F., &amp; Reynard, J. (2012). </w:t>
      </w:r>
      <w:r w:rsidRPr="00AA0F0E">
        <w:rPr>
          <w:rFonts w:ascii="Times New Roman" w:eastAsia="Times New Roman" w:hAnsi="Times New Roman" w:cs="Times New Roman"/>
          <w:i/>
          <w:iCs/>
          <w:color w:val="000000" w:themeColor="text1"/>
          <w:kern w:val="0"/>
          <w:lang w:eastAsia="en-GB"/>
          <w14:ligatures w14:val="none"/>
        </w:rPr>
        <w:t>Airbnb</w:t>
      </w:r>
      <w:r w:rsidRPr="00AA0F0E">
        <w:rPr>
          <w:rFonts w:ascii="Times New Roman" w:eastAsia="Times New Roman" w:hAnsi="Times New Roman" w:cs="Times New Roman"/>
          <w:color w:val="000000" w:themeColor="text1"/>
          <w:kern w:val="0"/>
          <w:lang w:eastAsia="en-GB"/>
          <w14:ligatures w14:val="none"/>
        </w:rPr>
        <w:t xml:space="preserve">. UCLA Anderson School of Management. </w:t>
      </w:r>
    </w:p>
    <w:p w14:paraId="17C2EF40" w14:textId="6DBD75B4" w:rsidR="00FF4D43" w:rsidRPr="00AA0F0E" w:rsidRDefault="00FF4D43" w:rsidP="00144F8A">
      <w:pPr>
        <w:spacing w:before="100" w:beforeAutospacing="1" w:after="100" w:afterAutospacing="1"/>
        <w:ind w:firstLine="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lastRenderedPageBreak/>
        <w:t>http://www.econ.ucla.edu/sboard/teaching/tech/Airbnb.pdf</w:t>
      </w:r>
    </w:p>
    <w:p w14:paraId="33F6581F" w14:textId="77777777" w:rsidR="00144F8A" w:rsidRPr="00AA0F0E" w:rsidRDefault="00FF4D43" w:rsidP="00FF4D43">
      <w:pPr>
        <w:spacing w:before="100" w:beforeAutospacing="1" w:after="100" w:afterAutospacing="1"/>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Zervas, G., </w:t>
      </w:r>
      <w:proofErr w:type="spellStart"/>
      <w:r w:rsidRPr="00AA0F0E">
        <w:rPr>
          <w:rFonts w:ascii="Times New Roman" w:eastAsia="Times New Roman" w:hAnsi="Times New Roman" w:cs="Times New Roman"/>
          <w:color w:val="000000" w:themeColor="text1"/>
          <w:kern w:val="0"/>
          <w:lang w:eastAsia="en-GB"/>
          <w14:ligatures w14:val="none"/>
        </w:rPr>
        <w:t>Proserpio</w:t>
      </w:r>
      <w:proofErr w:type="spellEnd"/>
      <w:r w:rsidRPr="00AA0F0E">
        <w:rPr>
          <w:rFonts w:ascii="Times New Roman" w:eastAsia="Times New Roman" w:hAnsi="Times New Roman" w:cs="Times New Roman"/>
          <w:color w:val="000000" w:themeColor="text1"/>
          <w:kern w:val="0"/>
          <w:lang w:eastAsia="en-GB"/>
          <w14:ligatures w14:val="none"/>
        </w:rPr>
        <w:t xml:space="preserve">, D., &amp; Byers, J. W. (2017). The rise of the sharing economy: </w:t>
      </w:r>
    </w:p>
    <w:p w14:paraId="2C611CE7" w14:textId="3BF4A8A3" w:rsidR="00FF4D43" w:rsidRPr="00AA0F0E" w:rsidRDefault="00FF4D43" w:rsidP="00144F8A">
      <w:pPr>
        <w:spacing w:before="100" w:beforeAutospacing="1" w:after="100" w:afterAutospacing="1"/>
        <w:ind w:left="720"/>
        <w:rPr>
          <w:rFonts w:ascii="Times New Roman" w:eastAsia="Times New Roman" w:hAnsi="Times New Roman" w:cs="Times New Roman"/>
          <w:color w:val="000000" w:themeColor="text1"/>
          <w:kern w:val="0"/>
          <w:lang w:eastAsia="en-GB"/>
          <w14:ligatures w14:val="none"/>
        </w:rPr>
      </w:pPr>
      <w:r w:rsidRPr="00AA0F0E">
        <w:rPr>
          <w:rFonts w:ascii="Times New Roman" w:eastAsia="Times New Roman" w:hAnsi="Times New Roman" w:cs="Times New Roman"/>
          <w:color w:val="000000" w:themeColor="text1"/>
          <w:kern w:val="0"/>
          <w:lang w:eastAsia="en-GB"/>
          <w14:ligatures w14:val="none"/>
        </w:rPr>
        <w:t xml:space="preserve">Estimating the impact of Airbnb on the hotel industry. </w:t>
      </w:r>
      <w:r w:rsidRPr="00AA0F0E">
        <w:rPr>
          <w:rFonts w:ascii="Times New Roman" w:eastAsia="Times New Roman" w:hAnsi="Times New Roman" w:cs="Times New Roman"/>
          <w:i/>
          <w:iCs/>
          <w:color w:val="000000" w:themeColor="text1"/>
          <w:kern w:val="0"/>
          <w:lang w:eastAsia="en-GB"/>
          <w14:ligatures w14:val="none"/>
        </w:rPr>
        <w:t>Journal of Marketing Research</w:t>
      </w:r>
      <w:r w:rsidRPr="00AA0F0E">
        <w:rPr>
          <w:rFonts w:ascii="Times New Roman" w:eastAsia="Times New Roman" w:hAnsi="Times New Roman" w:cs="Times New Roman"/>
          <w:color w:val="000000" w:themeColor="text1"/>
          <w:kern w:val="0"/>
          <w:lang w:eastAsia="en-GB"/>
          <w14:ligatures w14:val="none"/>
        </w:rPr>
        <w:t xml:space="preserve">, </w:t>
      </w:r>
      <w:r w:rsidRPr="00AA0F0E">
        <w:rPr>
          <w:rFonts w:ascii="Times New Roman" w:eastAsia="Times New Roman" w:hAnsi="Times New Roman" w:cs="Times New Roman"/>
          <w:i/>
          <w:iCs/>
          <w:color w:val="000000" w:themeColor="text1"/>
          <w:kern w:val="0"/>
          <w:lang w:eastAsia="en-GB"/>
          <w14:ligatures w14:val="none"/>
        </w:rPr>
        <w:t>54</w:t>
      </w:r>
      <w:r w:rsidRPr="00AA0F0E">
        <w:rPr>
          <w:rFonts w:ascii="Times New Roman" w:eastAsia="Times New Roman" w:hAnsi="Times New Roman" w:cs="Times New Roman"/>
          <w:color w:val="000000" w:themeColor="text1"/>
          <w:kern w:val="0"/>
          <w:lang w:eastAsia="en-GB"/>
          <w14:ligatures w14:val="none"/>
        </w:rPr>
        <w:t>(5), 687-705. https://doi.org/10.1509/jmr.15.0204</w:t>
      </w:r>
    </w:p>
    <w:bookmarkEnd w:id="0"/>
    <w:p w14:paraId="59578CED" w14:textId="75537438" w:rsidR="00D43C67" w:rsidRPr="00FF4D43" w:rsidRDefault="00D43C67" w:rsidP="00FF4D43"/>
    <w:sectPr w:rsidR="00D43C67" w:rsidRPr="00FF4D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Bookman Old Style">
    <w:panose1 w:val="02050604050505020204"/>
    <w:charset w:val="00"/>
    <w:family w:val="roman"/>
    <w:pitch w:val="variable"/>
    <w:sig w:usb0="00000287" w:usb1="00000000" w:usb2="00000000" w:usb3="00000000" w:csb0="0000009F" w:csb1="00000000"/>
  </w:font>
  <w:font w:name="Apple Chancery">
    <w:altName w:val="APPLE CHANCERY"/>
    <w:panose1 w:val="03020702040506060504"/>
    <w:charset w:val="B1"/>
    <w:family w:val="script"/>
    <w:pitch w:val="variable"/>
    <w:sig w:usb0="80000867" w:usb1="00000003" w:usb2="00000000" w:usb3="00000000" w:csb0="000001F3"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851BF"/>
    <w:multiLevelType w:val="multilevel"/>
    <w:tmpl w:val="B5ECA836"/>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948D7"/>
    <w:multiLevelType w:val="multilevel"/>
    <w:tmpl w:val="3B327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77574B"/>
    <w:multiLevelType w:val="hybridMultilevel"/>
    <w:tmpl w:val="287221FC"/>
    <w:lvl w:ilvl="0" w:tplc="17E05000">
      <w:start w:val="1"/>
      <w:numFmt w:val="bullet"/>
      <w:lvlText w:val="•"/>
      <w:lvlJc w:val="left"/>
      <w:pPr>
        <w:tabs>
          <w:tab w:val="num" w:pos="720"/>
        </w:tabs>
        <w:ind w:left="720" w:hanging="360"/>
      </w:pPr>
      <w:rPr>
        <w:rFonts w:ascii="Arial" w:hAnsi="Arial" w:hint="default"/>
      </w:rPr>
    </w:lvl>
    <w:lvl w:ilvl="1" w:tplc="7A50F384" w:tentative="1">
      <w:start w:val="1"/>
      <w:numFmt w:val="bullet"/>
      <w:lvlText w:val="•"/>
      <w:lvlJc w:val="left"/>
      <w:pPr>
        <w:tabs>
          <w:tab w:val="num" w:pos="1440"/>
        </w:tabs>
        <w:ind w:left="1440" w:hanging="360"/>
      </w:pPr>
      <w:rPr>
        <w:rFonts w:ascii="Arial" w:hAnsi="Arial" w:hint="default"/>
      </w:rPr>
    </w:lvl>
    <w:lvl w:ilvl="2" w:tplc="CF6CE08C" w:tentative="1">
      <w:start w:val="1"/>
      <w:numFmt w:val="bullet"/>
      <w:lvlText w:val="•"/>
      <w:lvlJc w:val="left"/>
      <w:pPr>
        <w:tabs>
          <w:tab w:val="num" w:pos="2160"/>
        </w:tabs>
        <w:ind w:left="2160" w:hanging="360"/>
      </w:pPr>
      <w:rPr>
        <w:rFonts w:ascii="Arial" w:hAnsi="Arial" w:hint="default"/>
      </w:rPr>
    </w:lvl>
    <w:lvl w:ilvl="3" w:tplc="E814CC40" w:tentative="1">
      <w:start w:val="1"/>
      <w:numFmt w:val="bullet"/>
      <w:lvlText w:val="•"/>
      <w:lvlJc w:val="left"/>
      <w:pPr>
        <w:tabs>
          <w:tab w:val="num" w:pos="2880"/>
        </w:tabs>
        <w:ind w:left="2880" w:hanging="360"/>
      </w:pPr>
      <w:rPr>
        <w:rFonts w:ascii="Arial" w:hAnsi="Arial" w:hint="default"/>
      </w:rPr>
    </w:lvl>
    <w:lvl w:ilvl="4" w:tplc="6720B276" w:tentative="1">
      <w:start w:val="1"/>
      <w:numFmt w:val="bullet"/>
      <w:lvlText w:val="•"/>
      <w:lvlJc w:val="left"/>
      <w:pPr>
        <w:tabs>
          <w:tab w:val="num" w:pos="3600"/>
        </w:tabs>
        <w:ind w:left="3600" w:hanging="360"/>
      </w:pPr>
      <w:rPr>
        <w:rFonts w:ascii="Arial" w:hAnsi="Arial" w:hint="default"/>
      </w:rPr>
    </w:lvl>
    <w:lvl w:ilvl="5" w:tplc="EE82B596" w:tentative="1">
      <w:start w:val="1"/>
      <w:numFmt w:val="bullet"/>
      <w:lvlText w:val="•"/>
      <w:lvlJc w:val="left"/>
      <w:pPr>
        <w:tabs>
          <w:tab w:val="num" w:pos="4320"/>
        </w:tabs>
        <w:ind w:left="4320" w:hanging="360"/>
      </w:pPr>
      <w:rPr>
        <w:rFonts w:ascii="Arial" w:hAnsi="Arial" w:hint="default"/>
      </w:rPr>
    </w:lvl>
    <w:lvl w:ilvl="6" w:tplc="BBB00554" w:tentative="1">
      <w:start w:val="1"/>
      <w:numFmt w:val="bullet"/>
      <w:lvlText w:val="•"/>
      <w:lvlJc w:val="left"/>
      <w:pPr>
        <w:tabs>
          <w:tab w:val="num" w:pos="5040"/>
        </w:tabs>
        <w:ind w:left="5040" w:hanging="360"/>
      </w:pPr>
      <w:rPr>
        <w:rFonts w:ascii="Arial" w:hAnsi="Arial" w:hint="default"/>
      </w:rPr>
    </w:lvl>
    <w:lvl w:ilvl="7" w:tplc="E1AE83F0" w:tentative="1">
      <w:start w:val="1"/>
      <w:numFmt w:val="bullet"/>
      <w:lvlText w:val="•"/>
      <w:lvlJc w:val="left"/>
      <w:pPr>
        <w:tabs>
          <w:tab w:val="num" w:pos="5760"/>
        </w:tabs>
        <w:ind w:left="5760" w:hanging="360"/>
      </w:pPr>
      <w:rPr>
        <w:rFonts w:ascii="Arial" w:hAnsi="Arial" w:hint="default"/>
      </w:rPr>
    </w:lvl>
    <w:lvl w:ilvl="8" w:tplc="1DB6304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5B8104F"/>
    <w:multiLevelType w:val="hybridMultilevel"/>
    <w:tmpl w:val="8E527FEE"/>
    <w:lvl w:ilvl="0" w:tplc="44B06D96">
      <w:start w:val="1"/>
      <w:numFmt w:val="bullet"/>
      <w:lvlText w:val="•"/>
      <w:lvlJc w:val="left"/>
      <w:pPr>
        <w:tabs>
          <w:tab w:val="num" w:pos="720"/>
        </w:tabs>
        <w:ind w:left="720" w:hanging="360"/>
      </w:pPr>
      <w:rPr>
        <w:rFonts w:ascii="Arial" w:hAnsi="Arial" w:hint="default"/>
      </w:rPr>
    </w:lvl>
    <w:lvl w:ilvl="1" w:tplc="864A454E" w:tentative="1">
      <w:start w:val="1"/>
      <w:numFmt w:val="bullet"/>
      <w:lvlText w:val="•"/>
      <w:lvlJc w:val="left"/>
      <w:pPr>
        <w:tabs>
          <w:tab w:val="num" w:pos="1440"/>
        </w:tabs>
        <w:ind w:left="1440" w:hanging="360"/>
      </w:pPr>
      <w:rPr>
        <w:rFonts w:ascii="Arial" w:hAnsi="Arial" w:hint="default"/>
      </w:rPr>
    </w:lvl>
    <w:lvl w:ilvl="2" w:tplc="0F18635C" w:tentative="1">
      <w:start w:val="1"/>
      <w:numFmt w:val="bullet"/>
      <w:lvlText w:val="•"/>
      <w:lvlJc w:val="left"/>
      <w:pPr>
        <w:tabs>
          <w:tab w:val="num" w:pos="2160"/>
        </w:tabs>
        <w:ind w:left="2160" w:hanging="360"/>
      </w:pPr>
      <w:rPr>
        <w:rFonts w:ascii="Arial" w:hAnsi="Arial" w:hint="default"/>
      </w:rPr>
    </w:lvl>
    <w:lvl w:ilvl="3" w:tplc="3D100472" w:tentative="1">
      <w:start w:val="1"/>
      <w:numFmt w:val="bullet"/>
      <w:lvlText w:val="•"/>
      <w:lvlJc w:val="left"/>
      <w:pPr>
        <w:tabs>
          <w:tab w:val="num" w:pos="2880"/>
        </w:tabs>
        <w:ind w:left="2880" w:hanging="360"/>
      </w:pPr>
      <w:rPr>
        <w:rFonts w:ascii="Arial" w:hAnsi="Arial" w:hint="default"/>
      </w:rPr>
    </w:lvl>
    <w:lvl w:ilvl="4" w:tplc="D64A8266" w:tentative="1">
      <w:start w:val="1"/>
      <w:numFmt w:val="bullet"/>
      <w:lvlText w:val="•"/>
      <w:lvlJc w:val="left"/>
      <w:pPr>
        <w:tabs>
          <w:tab w:val="num" w:pos="3600"/>
        </w:tabs>
        <w:ind w:left="3600" w:hanging="360"/>
      </w:pPr>
      <w:rPr>
        <w:rFonts w:ascii="Arial" w:hAnsi="Arial" w:hint="default"/>
      </w:rPr>
    </w:lvl>
    <w:lvl w:ilvl="5" w:tplc="E1725200" w:tentative="1">
      <w:start w:val="1"/>
      <w:numFmt w:val="bullet"/>
      <w:lvlText w:val="•"/>
      <w:lvlJc w:val="left"/>
      <w:pPr>
        <w:tabs>
          <w:tab w:val="num" w:pos="4320"/>
        </w:tabs>
        <w:ind w:left="4320" w:hanging="360"/>
      </w:pPr>
      <w:rPr>
        <w:rFonts w:ascii="Arial" w:hAnsi="Arial" w:hint="default"/>
      </w:rPr>
    </w:lvl>
    <w:lvl w:ilvl="6" w:tplc="6024AA64" w:tentative="1">
      <w:start w:val="1"/>
      <w:numFmt w:val="bullet"/>
      <w:lvlText w:val="•"/>
      <w:lvlJc w:val="left"/>
      <w:pPr>
        <w:tabs>
          <w:tab w:val="num" w:pos="5040"/>
        </w:tabs>
        <w:ind w:left="5040" w:hanging="360"/>
      </w:pPr>
      <w:rPr>
        <w:rFonts w:ascii="Arial" w:hAnsi="Arial" w:hint="default"/>
      </w:rPr>
    </w:lvl>
    <w:lvl w:ilvl="7" w:tplc="38BCE1A4" w:tentative="1">
      <w:start w:val="1"/>
      <w:numFmt w:val="bullet"/>
      <w:lvlText w:val="•"/>
      <w:lvlJc w:val="left"/>
      <w:pPr>
        <w:tabs>
          <w:tab w:val="num" w:pos="5760"/>
        </w:tabs>
        <w:ind w:left="5760" w:hanging="360"/>
      </w:pPr>
      <w:rPr>
        <w:rFonts w:ascii="Arial" w:hAnsi="Arial" w:hint="default"/>
      </w:rPr>
    </w:lvl>
    <w:lvl w:ilvl="8" w:tplc="DB4A482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CF07D11"/>
    <w:multiLevelType w:val="hybridMultilevel"/>
    <w:tmpl w:val="1A06A146"/>
    <w:lvl w:ilvl="0" w:tplc="6A62A96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6779D2"/>
    <w:multiLevelType w:val="multilevel"/>
    <w:tmpl w:val="634AA6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1D1C2F"/>
    <w:multiLevelType w:val="hybridMultilevel"/>
    <w:tmpl w:val="C8FA959A"/>
    <w:lvl w:ilvl="0" w:tplc="A4E0A22E">
      <w:start w:val="1"/>
      <w:numFmt w:val="bullet"/>
      <w:lvlText w:val="u"/>
      <w:lvlJc w:val="left"/>
      <w:pPr>
        <w:tabs>
          <w:tab w:val="num" w:pos="720"/>
        </w:tabs>
        <w:ind w:left="720" w:hanging="360"/>
      </w:pPr>
      <w:rPr>
        <w:rFonts w:ascii="Wingdings 3" w:hAnsi="Wingdings 3" w:hint="default"/>
      </w:rPr>
    </w:lvl>
    <w:lvl w:ilvl="1" w:tplc="646E3D3E" w:tentative="1">
      <w:start w:val="1"/>
      <w:numFmt w:val="bullet"/>
      <w:lvlText w:val="u"/>
      <w:lvlJc w:val="left"/>
      <w:pPr>
        <w:tabs>
          <w:tab w:val="num" w:pos="1440"/>
        </w:tabs>
        <w:ind w:left="1440" w:hanging="360"/>
      </w:pPr>
      <w:rPr>
        <w:rFonts w:ascii="Wingdings 3" w:hAnsi="Wingdings 3" w:hint="default"/>
      </w:rPr>
    </w:lvl>
    <w:lvl w:ilvl="2" w:tplc="FC32C0CA" w:tentative="1">
      <w:start w:val="1"/>
      <w:numFmt w:val="bullet"/>
      <w:lvlText w:val="u"/>
      <w:lvlJc w:val="left"/>
      <w:pPr>
        <w:tabs>
          <w:tab w:val="num" w:pos="2160"/>
        </w:tabs>
        <w:ind w:left="2160" w:hanging="360"/>
      </w:pPr>
      <w:rPr>
        <w:rFonts w:ascii="Wingdings 3" w:hAnsi="Wingdings 3" w:hint="default"/>
      </w:rPr>
    </w:lvl>
    <w:lvl w:ilvl="3" w:tplc="A8F675B2" w:tentative="1">
      <w:start w:val="1"/>
      <w:numFmt w:val="bullet"/>
      <w:lvlText w:val="u"/>
      <w:lvlJc w:val="left"/>
      <w:pPr>
        <w:tabs>
          <w:tab w:val="num" w:pos="2880"/>
        </w:tabs>
        <w:ind w:left="2880" w:hanging="360"/>
      </w:pPr>
      <w:rPr>
        <w:rFonts w:ascii="Wingdings 3" w:hAnsi="Wingdings 3" w:hint="default"/>
      </w:rPr>
    </w:lvl>
    <w:lvl w:ilvl="4" w:tplc="9A4A8B08" w:tentative="1">
      <w:start w:val="1"/>
      <w:numFmt w:val="bullet"/>
      <w:lvlText w:val="u"/>
      <w:lvlJc w:val="left"/>
      <w:pPr>
        <w:tabs>
          <w:tab w:val="num" w:pos="3600"/>
        </w:tabs>
        <w:ind w:left="3600" w:hanging="360"/>
      </w:pPr>
      <w:rPr>
        <w:rFonts w:ascii="Wingdings 3" w:hAnsi="Wingdings 3" w:hint="default"/>
      </w:rPr>
    </w:lvl>
    <w:lvl w:ilvl="5" w:tplc="55C4D0DA" w:tentative="1">
      <w:start w:val="1"/>
      <w:numFmt w:val="bullet"/>
      <w:lvlText w:val="u"/>
      <w:lvlJc w:val="left"/>
      <w:pPr>
        <w:tabs>
          <w:tab w:val="num" w:pos="4320"/>
        </w:tabs>
        <w:ind w:left="4320" w:hanging="360"/>
      </w:pPr>
      <w:rPr>
        <w:rFonts w:ascii="Wingdings 3" w:hAnsi="Wingdings 3" w:hint="default"/>
      </w:rPr>
    </w:lvl>
    <w:lvl w:ilvl="6" w:tplc="C3342D1C" w:tentative="1">
      <w:start w:val="1"/>
      <w:numFmt w:val="bullet"/>
      <w:lvlText w:val="u"/>
      <w:lvlJc w:val="left"/>
      <w:pPr>
        <w:tabs>
          <w:tab w:val="num" w:pos="5040"/>
        </w:tabs>
        <w:ind w:left="5040" w:hanging="360"/>
      </w:pPr>
      <w:rPr>
        <w:rFonts w:ascii="Wingdings 3" w:hAnsi="Wingdings 3" w:hint="default"/>
      </w:rPr>
    </w:lvl>
    <w:lvl w:ilvl="7" w:tplc="16AC1544" w:tentative="1">
      <w:start w:val="1"/>
      <w:numFmt w:val="bullet"/>
      <w:lvlText w:val="u"/>
      <w:lvlJc w:val="left"/>
      <w:pPr>
        <w:tabs>
          <w:tab w:val="num" w:pos="5760"/>
        </w:tabs>
        <w:ind w:left="5760" w:hanging="360"/>
      </w:pPr>
      <w:rPr>
        <w:rFonts w:ascii="Wingdings 3" w:hAnsi="Wingdings 3" w:hint="default"/>
      </w:rPr>
    </w:lvl>
    <w:lvl w:ilvl="8" w:tplc="3A46DEBA" w:tentative="1">
      <w:start w:val="1"/>
      <w:numFmt w:val="bullet"/>
      <w:lvlText w:val="u"/>
      <w:lvlJc w:val="left"/>
      <w:pPr>
        <w:tabs>
          <w:tab w:val="num" w:pos="6480"/>
        </w:tabs>
        <w:ind w:left="6480" w:hanging="360"/>
      </w:pPr>
      <w:rPr>
        <w:rFonts w:ascii="Wingdings 3" w:hAnsi="Wingdings 3" w:hint="default"/>
      </w:rPr>
    </w:lvl>
  </w:abstractNum>
  <w:abstractNum w:abstractNumId="7" w15:restartNumberingAfterBreak="0">
    <w:nsid w:val="1C9F3F22"/>
    <w:multiLevelType w:val="hybridMultilevel"/>
    <w:tmpl w:val="AD4A7AA2"/>
    <w:lvl w:ilvl="0" w:tplc="C57CE28C">
      <w:numFmt w:val="bullet"/>
      <w:lvlText w:val="-"/>
      <w:lvlJc w:val="left"/>
      <w:pPr>
        <w:ind w:left="720" w:hanging="360"/>
      </w:pPr>
      <w:rPr>
        <w:rFonts w:ascii="Bookman Old Style" w:eastAsia="Times New Roman" w:hAnsi="Bookman Old Style" w:cs="Apple Chancery"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50186F"/>
    <w:multiLevelType w:val="multilevel"/>
    <w:tmpl w:val="01989AF2"/>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6905BC"/>
    <w:multiLevelType w:val="multilevel"/>
    <w:tmpl w:val="3FBEAE7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1F30B4"/>
    <w:multiLevelType w:val="multilevel"/>
    <w:tmpl w:val="4E7EA786"/>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812754"/>
    <w:multiLevelType w:val="multilevel"/>
    <w:tmpl w:val="D1DA3DCC"/>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2D32AE"/>
    <w:multiLevelType w:val="multilevel"/>
    <w:tmpl w:val="DE3A00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C15826"/>
    <w:multiLevelType w:val="hybridMultilevel"/>
    <w:tmpl w:val="9374498A"/>
    <w:lvl w:ilvl="0" w:tplc="1F44F84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3743E8"/>
    <w:multiLevelType w:val="multilevel"/>
    <w:tmpl w:val="A4D29444"/>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2A353D"/>
    <w:multiLevelType w:val="multilevel"/>
    <w:tmpl w:val="614E4C36"/>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C7273C1"/>
    <w:multiLevelType w:val="multilevel"/>
    <w:tmpl w:val="EA62717C"/>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254E7D"/>
    <w:multiLevelType w:val="multilevel"/>
    <w:tmpl w:val="C15687FE"/>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DB15527"/>
    <w:multiLevelType w:val="multilevel"/>
    <w:tmpl w:val="F584532A"/>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4F5EA4"/>
    <w:multiLevelType w:val="hybridMultilevel"/>
    <w:tmpl w:val="2A36D6C6"/>
    <w:lvl w:ilvl="0" w:tplc="E20ED86E">
      <w:start w:val="1"/>
      <w:numFmt w:val="bullet"/>
      <w:lvlText w:val="•"/>
      <w:lvlJc w:val="left"/>
      <w:pPr>
        <w:tabs>
          <w:tab w:val="num" w:pos="720"/>
        </w:tabs>
        <w:ind w:left="720" w:hanging="360"/>
      </w:pPr>
      <w:rPr>
        <w:rFonts w:ascii="Arial" w:hAnsi="Arial" w:hint="default"/>
      </w:rPr>
    </w:lvl>
    <w:lvl w:ilvl="1" w:tplc="A4B8C8D8" w:tentative="1">
      <w:start w:val="1"/>
      <w:numFmt w:val="bullet"/>
      <w:lvlText w:val="•"/>
      <w:lvlJc w:val="left"/>
      <w:pPr>
        <w:tabs>
          <w:tab w:val="num" w:pos="1440"/>
        </w:tabs>
        <w:ind w:left="1440" w:hanging="360"/>
      </w:pPr>
      <w:rPr>
        <w:rFonts w:ascii="Arial" w:hAnsi="Arial" w:hint="default"/>
      </w:rPr>
    </w:lvl>
    <w:lvl w:ilvl="2" w:tplc="B432745C" w:tentative="1">
      <w:start w:val="1"/>
      <w:numFmt w:val="bullet"/>
      <w:lvlText w:val="•"/>
      <w:lvlJc w:val="left"/>
      <w:pPr>
        <w:tabs>
          <w:tab w:val="num" w:pos="2160"/>
        </w:tabs>
        <w:ind w:left="2160" w:hanging="360"/>
      </w:pPr>
      <w:rPr>
        <w:rFonts w:ascii="Arial" w:hAnsi="Arial" w:hint="default"/>
      </w:rPr>
    </w:lvl>
    <w:lvl w:ilvl="3" w:tplc="5B3462A6" w:tentative="1">
      <w:start w:val="1"/>
      <w:numFmt w:val="bullet"/>
      <w:lvlText w:val="•"/>
      <w:lvlJc w:val="left"/>
      <w:pPr>
        <w:tabs>
          <w:tab w:val="num" w:pos="2880"/>
        </w:tabs>
        <w:ind w:left="2880" w:hanging="360"/>
      </w:pPr>
      <w:rPr>
        <w:rFonts w:ascii="Arial" w:hAnsi="Arial" w:hint="default"/>
      </w:rPr>
    </w:lvl>
    <w:lvl w:ilvl="4" w:tplc="FA08A868" w:tentative="1">
      <w:start w:val="1"/>
      <w:numFmt w:val="bullet"/>
      <w:lvlText w:val="•"/>
      <w:lvlJc w:val="left"/>
      <w:pPr>
        <w:tabs>
          <w:tab w:val="num" w:pos="3600"/>
        </w:tabs>
        <w:ind w:left="3600" w:hanging="360"/>
      </w:pPr>
      <w:rPr>
        <w:rFonts w:ascii="Arial" w:hAnsi="Arial" w:hint="default"/>
      </w:rPr>
    </w:lvl>
    <w:lvl w:ilvl="5" w:tplc="46B89080" w:tentative="1">
      <w:start w:val="1"/>
      <w:numFmt w:val="bullet"/>
      <w:lvlText w:val="•"/>
      <w:lvlJc w:val="left"/>
      <w:pPr>
        <w:tabs>
          <w:tab w:val="num" w:pos="4320"/>
        </w:tabs>
        <w:ind w:left="4320" w:hanging="360"/>
      </w:pPr>
      <w:rPr>
        <w:rFonts w:ascii="Arial" w:hAnsi="Arial" w:hint="default"/>
      </w:rPr>
    </w:lvl>
    <w:lvl w:ilvl="6" w:tplc="FCF267E8" w:tentative="1">
      <w:start w:val="1"/>
      <w:numFmt w:val="bullet"/>
      <w:lvlText w:val="•"/>
      <w:lvlJc w:val="left"/>
      <w:pPr>
        <w:tabs>
          <w:tab w:val="num" w:pos="5040"/>
        </w:tabs>
        <w:ind w:left="5040" w:hanging="360"/>
      </w:pPr>
      <w:rPr>
        <w:rFonts w:ascii="Arial" w:hAnsi="Arial" w:hint="default"/>
      </w:rPr>
    </w:lvl>
    <w:lvl w:ilvl="7" w:tplc="C0FC02FA" w:tentative="1">
      <w:start w:val="1"/>
      <w:numFmt w:val="bullet"/>
      <w:lvlText w:val="•"/>
      <w:lvlJc w:val="left"/>
      <w:pPr>
        <w:tabs>
          <w:tab w:val="num" w:pos="5760"/>
        </w:tabs>
        <w:ind w:left="5760" w:hanging="360"/>
      </w:pPr>
      <w:rPr>
        <w:rFonts w:ascii="Arial" w:hAnsi="Arial" w:hint="default"/>
      </w:rPr>
    </w:lvl>
    <w:lvl w:ilvl="8" w:tplc="AD5C0F1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FF8350E"/>
    <w:multiLevelType w:val="multilevel"/>
    <w:tmpl w:val="4D7872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604BAD"/>
    <w:multiLevelType w:val="multilevel"/>
    <w:tmpl w:val="FA08B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653533"/>
    <w:multiLevelType w:val="multilevel"/>
    <w:tmpl w:val="4F421540"/>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85B6B7F"/>
    <w:multiLevelType w:val="multilevel"/>
    <w:tmpl w:val="46744568"/>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5E5830"/>
    <w:multiLevelType w:val="multilevel"/>
    <w:tmpl w:val="FCBA1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7A7607"/>
    <w:multiLevelType w:val="hybridMultilevel"/>
    <w:tmpl w:val="56209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F7442D"/>
    <w:multiLevelType w:val="multilevel"/>
    <w:tmpl w:val="58C852A4"/>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DD07FA"/>
    <w:multiLevelType w:val="hybridMultilevel"/>
    <w:tmpl w:val="E6B68AA2"/>
    <w:lvl w:ilvl="0" w:tplc="A6244FA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F567BD"/>
    <w:multiLevelType w:val="multilevel"/>
    <w:tmpl w:val="0100B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540429"/>
    <w:multiLevelType w:val="multilevel"/>
    <w:tmpl w:val="94284090"/>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B5D7508"/>
    <w:multiLevelType w:val="multilevel"/>
    <w:tmpl w:val="FCCE1D3A"/>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C9B260E"/>
    <w:multiLevelType w:val="multilevel"/>
    <w:tmpl w:val="6354F3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F0948BF"/>
    <w:multiLevelType w:val="multilevel"/>
    <w:tmpl w:val="F898797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3168436">
    <w:abstractNumId w:val="4"/>
  </w:num>
  <w:num w:numId="2" w16cid:durableId="74058153">
    <w:abstractNumId w:val="2"/>
  </w:num>
  <w:num w:numId="3" w16cid:durableId="430856093">
    <w:abstractNumId w:val="19"/>
  </w:num>
  <w:num w:numId="4" w16cid:durableId="873888237">
    <w:abstractNumId w:val="3"/>
  </w:num>
  <w:num w:numId="5" w16cid:durableId="990447884">
    <w:abstractNumId w:val="27"/>
  </w:num>
  <w:num w:numId="6" w16cid:durableId="1421489385">
    <w:abstractNumId w:val="13"/>
  </w:num>
  <w:num w:numId="7" w16cid:durableId="1749615525">
    <w:abstractNumId w:val="1"/>
  </w:num>
  <w:num w:numId="8" w16cid:durableId="183062545">
    <w:abstractNumId w:val="31"/>
  </w:num>
  <w:num w:numId="9" w16cid:durableId="436948435">
    <w:abstractNumId w:val="20"/>
  </w:num>
  <w:num w:numId="10" w16cid:durableId="1148324434">
    <w:abstractNumId w:val="17"/>
  </w:num>
  <w:num w:numId="11" w16cid:durableId="1854487249">
    <w:abstractNumId w:val="8"/>
  </w:num>
  <w:num w:numId="12" w16cid:durableId="845873786">
    <w:abstractNumId w:val="10"/>
  </w:num>
  <w:num w:numId="13" w16cid:durableId="1413621116">
    <w:abstractNumId w:val="12"/>
  </w:num>
  <w:num w:numId="14" w16cid:durableId="1927690158">
    <w:abstractNumId w:val="18"/>
  </w:num>
  <w:num w:numId="15" w16cid:durableId="171259302">
    <w:abstractNumId w:val="23"/>
  </w:num>
  <w:num w:numId="16" w16cid:durableId="2013485742">
    <w:abstractNumId w:val="26"/>
  </w:num>
  <w:num w:numId="17" w16cid:durableId="1592621062">
    <w:abstractNumId w:val="5"/>
  </w:num>
  <w:num w:numId="18" w16cid:durableId="1304776053">
    <w:abstractNumId w:val="22"/>
  </w:num>
  <w:num w:numId="19" w16cid:durableId="128519019">
    <w:abstractNumId w:val="16"/>
  </w:num>
  <w:num w:numId="20" w16cid:durableId="56170096">
    <w:abstractNumId w:val="15"/>
  </w:num>
  <w:num w:numId="21" w16cid:durableId="1785929036">
    <w:abstractNumId w:val="32"/>
  </w:num>
  <w:num w:numId="22" w16cid:durableId="72511014">
    <w:abstractNumId w:val="11"/>
  </w:num>
  <w:num w:numId="23" w16cid:durableId="251664865">
    <w:abstractNumId w:val="29"/>
  </w:num>
  <w:num w:numId="24" w16cid:durableId="1506044818">
    <w:abstractNumId w:val="30"/>
  </w:num>
  <w:num w:numId="25" w16cid:durableId="1028288207">
    <w:abstractNumId w:val="9"/>
  </w:num>
  <w:num w:numId="26" w16cid:durableId="1286811210">
    <w:abstractNumId w:val="14"/>
  </w:num>
  <w:num w:numId="27" w16cid:durableId="1542011258">
    <w:abstractNumId w:val="0"/>
  </w:num>
  <w:num w:numId="28" w16cid:durableId="1193225624">
    <w:abstractNumId w:val="7"/>
  </w:num>
  <w:num w:numId="29" w16cid:durableId="306056723">
    <w:abstractNumId w:val="6"/>
  </w:num>
  <w:num w:numId="30" w16cid:durableId="1845315293">
    <w:abstractNumId w:val="25"/>
  </w:num>
  <w:num w:numId="31" w16cid:durableId="113646291">
    <w:abstractNumId w:val="24"/>
  </w:num>
  <w:num w:numId="32" w16cid:durableId="1924485334">
    <w:abstractNumId w:val="21"/>
  </w:num>
  <w:num w:numId="33" w16cid:durableId="30089322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2FE"/>
    <w:rsid w:val="00000EE7"/>
    <w:rsid w:val="000064FC"/>
    <w:rsid w:val="000138A4"/>
    <w:rsid w:val="00031829"/>
    <w:rsid w:val="000665BC"/>
    <w:rsid w:val="000749EF"/>
    <w:rsid w:val="000A19D3"/>
    <w:rsid w:val="00101453"/>
    <w:rsid w:val="001047DA"/>
    <w:rsid w:val="00105389"/>
    <w:rsid w:val="00107370"/>
    <w:rsid w:val="00127410"/>
    <w:rsid w:val="0013207E"/>
    <w:rsid w:val="00137A49"/>
    <w:rsid w:val="00144F8A"/>
    <w:rsid w:val="00162179"/>
    <w:rsid w:val="001905CE"/>
    <w:rsid w:val="001937DC"/>
    <w:rsid w:val="00193F38"/>
    <w:rsid w:val="00197F05"/>
    <w:rsid w:val="001D16B9"/>
    <w:rsid w:val="002001C0"/>
    <w:rsid w:val="00215399"/>
    <w:rsid w:val="00236A08"/>
    <w:rsid w:val="00243804"/>
    <w:rsid w:val="00244607"/>
    <w:rsid w:val="0026130A"/>
    <w:rsid w:val="002664AA"/>
    <w:rsid w:val="002755EE"/>
    <w:rsid w:val="002B0AE4"/>
    <w:rsid w:val="002D0FAB"/>
    <w:rsid w:val="002D78EA"/>
    <w:rsid w:val="002E1609"/>
    <w:rsid w:val="002E3D35"/>
    <w:rsid w:val="002F24B3"/>
    <w:rsid w:val="002F33A5"/>
    <w:rsid w:val="00334B21"/>
    <w:rsid w:val="003561C3"/>
    <w:rsid w:val="00380E26"/>
    <w:rsid w:val="003F38CF"/>
    <w:rsid w:val="003F764A"/>
    <w:rsid w:val="00416FC6"/>
    <w:rsid w:val="00434277"/>
    <w:rsid w:val="00443EA7"/>
    <w:rsid w:val="004812F7"/>
    <w:rsid w:val="004E1440"/>
    <w:rsid w:val="004E157A"/>
    <w:rsid w:val="004E3843"/>
    <w:rsid w:val="004F1DE3"/>
    <w:rsid w:val="005618FE"/>
    <w:rsid w:val="005800DF"/>
    <w:rsid w:val="00591083"/>
    <w:rsid w:val="00593694"/>
    <w:rsid w:val="00593E3A"/>
    <w:rsid w:val="005973B3"/>
    <w:rsid w:val="005B5FC9"/>
    <w:rsid w:val="005E5F14"/>
    <w:rsid w:val="00622764"/>
    <w:rsid w:val="00631450"/>
    <w:rsid w:val="006445C0"/>
    <w:rsid w:val="0068473B"/>
    <w:rsid w:val="006962FE"/>
    <w:rsid w:val="006D1FCE"/>
    <w:rsid w:val="006E00D1"/>
    <w:rsid w:val="00710EB0"/>
    <w:rsid w:val="00737BC5"/>
    <w:rsid w:val="00764381"/>
    <w:rsid w:val="00791CE9"/>
    <w:rsid w:val="0083048E"/>
    <w:rsid w:val="00832BE6"/>
    <w:rsid w:val="008445E5"/>
    <w:rsid w:val="00846726"/>
    <w:rsid w:val="0086051D"/>
    <w:rsid w:val="00882A2D"/>
    <w:rsid w:val="008A092F"/>
    <w:rsid w:val="008C132B"/>
    <w:rsid w:val="008D215E"/>
    <w:rsid w:val="009004DB"/>
    <w:rsid w:val="009062B5"/>
    <w:rsid w:val="009121C1"/>
    <w:rsid w:val="009152A2"/>
    <w:rsid w:val="0097048A"/>
    <w:rsid w:val="0099535E"/>
    <w:rsid w:val="009F57ED"/>
    <w:rsid w:val="00A147D6"/>
    <w:rsid w:val="00A20348"/>
    <w:rsid w:val="00A37913"/>
    <w:rsid w:val="00A45227"/>
    <w:rsid w:val="00A50EFB"/>
    <w:rsid w:val="00A56D53"/>
    <w:rsid w:val="00AA0F0E"/>
    <w:rsid w:val="00AB290D"/>
    <w:rsid w:val="00AB69F8"/>
    <w:rsid w:val="00AB767C"/>
    <w:rsid w:val="00AC5B9A"/>
    <w:rsid w:val="00AD779C"/>
    <w:rsid w:val="00AE7C25"/>
    <w:rsid w:val="00AF0B14"/>
    <w:rsid w:val="00B034B6"/>
    <w:rsid w:val="00B112A8"/>
    <w:rsid w:val="00B15B33"/>
    <w:rsid w:val="00B42D71"/>
    <w:rsid w:val="00B47980"/>
    <w:rsid w:val="00B53633"/>
    <w:rsid w:val="00B6241F"/>
    <w:rsid w:val="00BA6C25"/>
    <w:rsid w:val="00BD6F01"/>
    <w:rsid w:val="00BE573B"/>
    <w:rsid w:val="00BF4415"/>
    <w:rsid w:val="00C450FF"/>
    <w:rsid w:val="00C70FDE"/>
    <w:rsid w:val="00C756A2"/>
    <w:rsid w:val="00CB7DD2"/>
    <w:rsid w:val="00CD76C6"/>
    <w:rsid w:val="00D351EA"/>
    <w:rsid w:val="00D43C67"/>
    <w:rsid w:val="00D6599A"/>
    <w:rsid w:val="00D87B95"/>
    <w:rsid w:val="00D929AE"/>
    <w:rsid w:val="00DA1E50"/>
    <w:rsid w:val="00DB063A"/>
    <w:rsid w:val="00DB07FF"/>
    <w:rsid w:val="00DD618E"/>
    <w:rsid w:val="00E00865"/>
    <w:rsid w:val="00E21C33"/>
    <w:rsid w:val="00E4164A"/>
    <w:rsid w:val="00E56131"/>
    <w:rsid w:val="00E61324"/>
    <w:rsid w:val="00E7675C"/>
    <w:rsid w:val="00E778AF"/>
    <w:rsid w:val="00EB0C4B"/>
    <w:rsid w:val="00EB52A5"/>
    <w:rsid w:val="00EE3464"/>
    <w:rsid w:val="00EE52EA"/>
    <w:rsid w:val="00F0527B"/>
    <w:rsid w:val="00F51F7E"/>
    <w:rsid w:val="00FA2186"/>
    <w:rsid w:val="00FA63A5"/>
    <w:rsid w:val="00FA7E13"/>
    <w:rsid w:val="00FB5957"/>
    <w:rsid w:val="00FB5D35"/>
    <w:rsid w:val="00FD42DA"/>
    <w:rsid w:val="00FE18D5"/>
    <w:rsid w:val="00FE3638"/>
    <w:rsid w:val="00FF4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E05CE"/>
  <w15:chartTrackingRefBased/>
  <w15:docId w15:val="{C5840B67-EF4A-AE4C-BABC-E7397654A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370"/>
  </w:style>
  <w:style w:type="paragraph" w:styleId="Heading1">
    <w:name w:val="heading 1"/>
    <w:basedOn w:val="Normal"/>
    <w:next w:val="Normal"/>
    <w:link w:val="Heading1Char"/>
    <w:uiPriority w:val="9"/>
    <w:qFormat/>
    <w:rsid w:val="006962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62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62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62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62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62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2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2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2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2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62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62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62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62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62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2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2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2FE"/>
    <w:rPr>
      <w:rFonts w:eastAsiaTheme="majorEastAsia" w:cstheme="majorBidi"/>
      <w:color w:val="272727" w:themeColor="text1" w:themeTint="D8"/>
    </w:rPr>
  </w:style>
  <w:style w:type="paragraph" w:styleId="Title">
    <w:name w:val="Title"/>
    <w:basedOn w:val="Normal"/>
    <w:next w:val="Normal"/>
    <w:link w:val="TitleChar"/>
    <w:uiPriority w:val="10"/>
    <w:qFormat/>
    <w:rsid w:val="006962F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2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2F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2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2F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62FE"/>
    <w:rPr>
      <w:i/>
      <w:iCs/>
      <w:color w:val="404040" w:themeColor="text1" w:themeTint="BF"/>
    </w:rPr>
  </w:style>
  <w:style w:type="paragraph" w:styleId="ListParagraph">
    <w:name w:val="List Paragraph"/>
    <w:basedOn w:val="Normal"/>
    <w:uiPriority w:val="34"/>
    <w:qFormat/>
    <w:rsid w:val="006962FE"/>
    <w:pPr>
      <w:ind w:left="720"/>
      <w:contextualSpacing/>
    </w:pPr>
  </w:style>
  <w:style w:type="character" w:styleId="IntenseEmphasis">
    <w:name w:val="Intense Emphasis"/>
    <w:basedOn w:val="DefaultParagraphFont"/>
    <w:uiPriority w:val="21"/>
    <w:qFormat/>
    <w:rsid w:val="006962FE"/>
    <w:rPr>
      <w:i/>
      <w:iCs/>
      <w:color w:val="0F4761" w:themeColor="accent1" w:themeShade="BF"/>
    </w:rPr>
  </w:style>
  <w:style w:type="paragraph" w:styleId="IntenseQuote">
    <w:name w:val="Intense Quote"/>
    <w:basedOn w:val="Normal"/>
    <w:next w:val="Normal"/>
    <w:link w:val="IntenseQuoteChar"/>
    <w:uiPriority w:val="30"/>
    <w:qFormat/>
    <w:rsid w:val="006962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62FE"/>
    <w:rPr>
      <w:i/>
      <w:iCs/>
      <w:color w:val="0F4761" w:themeColor="accent1" w:themeShade="BF"/>
    </w:rPr>
  </w:style>
  <w:style w:type="character" w:styleId="IntenseReference">
    <w:name w:val="Intense Reference"/>
    <w:basedOn w:val="DefaultParagraphFont"/>
    <w:uiPriority w:val="32"/>
    <w:qFormat/>
    <w:rsid w:val="006962FE"/>
    <w:rPr>
      <w:b/>
      <w:bCs/>
      <w:smallCaps/>
      <w:color w:val="0F4761" w:themeColor="accent1" w:themeShade="BF"/>
      <w:spacing w:val="5"/>
    </w:rPr>
  </w:style>
  <w:style w:type="character" w:styleId="Hyperlink">
    <w:name w:val="Hyperlink"/>
    <w:basedOn w:val="DefaultParagraphFont"/>
    <w:uiPriority w:val="99"/>
    <w:unhideWhenUsed/>
    <w:rsid w:val="002E3D35"/>
    <w:rPr>
      <w:color w:val="467886" w:themeColor="hyperlink"/>
      <w:u w:val="single"/>
    </w:rPr>
  </w:style>
  <w:style w:type="character" w:styleId="UnresolvedMention">
    <w:name w:val="Unresolved Mention"/>
    <w:basedOn w:val="DefaultParagraphFont"/>
    <w:uiPriority w:val="99"/>
    <w:semiHidden/>
    <w:unhideWhenUsed/>
    <w:rsid w:val="002E3D35"/>
    <w:rPr>
      <w:color w:val="605E5C"/>
      <w:shd w:val="clear" w:color="auto" w:fill="E1DFDD"/>
    </w:rPr>
  </w:style>
  <w:style w:type="character" w:styleId="Emphasis">
    <w:name w:val="Emphasis"/>
    <w:basedOn w:val="DefaultParagraphFont"/>
    <w:uiPriority w:val="20"/>
    <w:qFormat/>
    <w:rsid w:val="002001C0"/>
    <w:rPr>
      <w:i/>
      <w:iCs/>
    </w:rPr>
  </w:style>
  <w:style w:type="table" w:styleId="TableGrid">
    <w:name w:val="Table Grid"/>
    <w:basedOn w:val="TableNormal"/>
    <w:uiPriority w:val="39"/>
    <w:rsid w:val="001073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905C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905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CA5DA-3601-2641-A07C-3C688E109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8</Pages>
  <Words>2917</Words>
  <Characters>16628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Taylor-Jayne Rowe</dc:creator>
  <cp:keywords/>
  <dc:description/>
  <cp:lastModifiedBy>Taylor-Jayne Rowe</cp:lastModifiedBy>
  <cp:revision>98</cp:revision>
  <dcterms:created xsi:type="dcterms:W3CDTF">2025-11-26T17:32:00Z</dcterms:created>
  <dcterms:modified xsi:type="dcterms:W3CDTF">2026-01-03T13:19:00Z</dcterms:modified>
</cp:coreProperties>
</file>