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E9815" w14:textId="77777777" w:rsidR="00E0320B" w:rsidRDefault="00E0320B" w:rsidP="00E0320B">
      <w:pPr>
        <w:jc w:val="center"/>
        <w:rPr>
          <w:rFonts w:cs="Times New Roman"/>
          <w:b/>
          <w:szCs w:val="24"/>
        </w:rPr>
      </w:pPr>
    </w:p>
    <w:p w14:paraId="379D58E3" w14:textId="77777777" w:rsidR="00E0320B" w:rsidRDefault="00E0320B" w:rsidP="00E0320B">
      <w:pPr>
        <w:jc w:val="center"/>
        <w:rPr>
          <w:rFonts w:cs="Times New Roman"/>
          <w:b/>
          <w:szCs w:val="24"/>
        </w:rPr>
      </w:pPr>
    </w:p>
    <w:p w14:paraId="07EEAD87" w14:textId="77777777" w:rsidR="009A5225" w:rsidRPr="009A5225" w:rsidRDefault="009A5225" w:rsidP="009A5225">
      <w:pPr>
        <w:pStyle w:val="Heading1"/>
        <w:spacing w:before="0"/>
        <w:jc w:val="center"/>
        <w:rPr>
          <w:rFonts w:ascii="Segoe UI" w:hAnsi="Segoe UI" w:cs="Segoe UI"/>
          <w:b/>
          <w:bCs/>
          <w:color w:val="1D2125"/>
          <w:sz w:val="48"/>
        </w:rPr>
      </w:pPr>
      <w:r w:rsidRPr="009A5225">
        <w:rPr>
          <w:rFonts w:ascii="Segoe UI" w:hAnsi="Segoe UI" w:cs="Segoe UI"/>
          <w:b/>
          <w:bCs/>
          <w:color w:val="1D2125"/>
        </w:rPr>
        <w:t>Assignment 1 Final Submission - Portfolio</w:t>
      </w:r>
    </w:p>
    <w:p w14:paraId="2A67CEAA" w14:textId="77777777" w:rsidR="00E0320B" w:rsidRDefault="00E0320B" w:rsidP="00E0320B">
      <w:pPr>
        <w:jc w:val="center"/>
        <w:rPr>
          <w:rFonts w:cs="Times New Roman"/>
          <w:b/>
          <w:szCs w:val="24"/>
        </w:rPr>
      </w:pPr>
    </w:p>
    <w:p w14:paraId="33D894C4" w14:textId="77777777" w:rsidR="00E0320B" w:rsidRDefault="00E0320B" w:rsidP="00E0320B">
      <w:pPr>
        <w:jc w:val="center"/>
        <w:rPr>
          <w:rFonts w:cs="Times New Roman"/>
          <w:b/>
          <w:szCs w:val="24"/>
        </w:rPr>
      </w:pPr>
    </w:p>
    <w:p w14:paraId="1CD79B78" w14:textId="0B5B137F" w:rsidR="00004BFB" w:rsidRDefault="009A5225" w:rsidP="00E0320B">
      <w:pPr>
        <w:jc w:val="center"/>
        <w:rPr>
          <w:rFonts w:cs="Times New Roman"/>
          <w:b/>
          <w:szCs w:val="24"/>
        </w:rPr>
      </w:pPr>
      <w:proofErr w:type="spellStart"/>
      <w:r>
        <w:rPr>
          <w:rFonts w:cs="Times New Roman"/>
          <w:b/>
          <w:szCs w:val="24"/>
        </w:rPr>
        <w:t>Dorin</w:t>
      </w:r>
      <w:proofErr w:type="spellEnd"/>
      <w:r>
        <w:rPr>
          <w:rFonts w:cs="Times New Roman"/>
          <w:b/>
          <w:szCs w:val="24"/>
        </w:rPr>
        <w:t xml:space="preserve"> Ifrim</w:t>
      </w:r>
    </w:p>
    <w:p w14:paraId="7AC72BA1" w14:textId="77777777" w:rsidR="00004BFB" w:rsidRDefault="00004BFB" w:rsidP="00E0320B">
      <w:pPr>
        <w:jc w:val="center"/>
        <w:rPr>
          <w:rFonts w:cs="Times New Roman"/>
          <w:b/>
          <w:szCs w:val="24"/>
        </w:rPr>
      </w:pPr>
    </w:p>
    <w:p w14:paraId="017DCFBA" w14:textId="77777777" w:rsidR="00004BFB" w:rsidRDefault="00004BFB" w:rsidP="00E0320B">
      <w:pPr>
        <w:jc w:val="center"/>
        <w:rPr>
          <w:rFonts w:cs="Times New Roman"/>
          <w:b/>
          <w:szCs w:val="24"/>
        </w:rPr>
      </w:pPr>
    </w:p>
    <w:p w14:paraId="7B2A83B2" w14:textId="77777777" w:rsidR="00004BFB" w:rsidRDefault="00004BFB" w:rsidP="00E0320B">
      <w:pPr>
        <w:jc w:val="center"/>
        <w:rPr>
          <w:rFonts w:cs="Times New Roman"/>
          <w:b/>
          <w:szCs w:val="24"/>
        </w:rPr>
      </w:pPr>
    </w:p>
    <w:p w14:paraId="2FE6F105" w14:textId="77777777" w:rsidR="00004BFB" w:rsidRDefault="00004BFB" w:rsidP="00E0320B">
      <w:pPr>
        <w:jc w:val="center"/>
        <w:rPr>
          <w:rFonts w:cs="Times New Roman"/>
          <w:b/>
          <w:szCs w:val="24"/>
        </w:rPr>
      </w:pPr>
    </w:p>
    <w:p w14:paraId="5A52A326" w14:textId="77777777" w:rsidR="00004BFB" w:rsidRDefault="00004BFB" w:rsidP="00E0320B">
      <w:pPr>
        <w:jc w:val="center"/>
        <w:rPr>
          <w:rFonts w:cs="Times New Roman"/>
          <w:b/>
          <w:szCs w:val="24"/>
        </w:rPr>
      </w:pPr>
    </w:p>
    <w:p w14:paraId="3CF65784" w14:textId="77777777" w:rsidR="00004BFB" w:rsidRDefault="00004BFB" w:rsidP="00E0320B">
      <w:pPr>
        <w:jc w:val="center"/>
        <w:rPr>
          <w:rFonts w:cs="Times New Roman"/>
          <w:b/>
          <w:szCs w:val="24"/>
        </w:rPr>
      </w:pPr>
    </w:p>
    <w:p w14:paraId="742C16EC" w14:textId="77777777" w:rsidR="00004BFB" w:rsidRDefault="00004BFB" w:rsidP="00E0320B">
      <w:pPr>
        <w:jc w:val="center"/>
        <w:rPr>
          <w:rFonts w:cs="Times New Roman"/>
          <w:b/>
          <w:szCs w:val="24"/>
        </w:rPr>
      </w:pPr>
    </w:p>
    <w:p w14:paraId="5446D08F" w14:textId="77777777" w:rsidR="00004BFB" w:rsidRDefault="00004BFB" w:rsidP="00E0320B">
      <w:pPr>
        <w:jc w:val="center"/>
        <w:rPr>
          <w:rFonts w:cs="Times New Roman"/>
          <w:b/>
          <w:szCs w:val="24"/>
        </w:rPr>
      </w:pPr>
    </w:p>
    <w:p w14:paraId="333AB08F" w14:textId="77777777" w:rsidR="00004BFB" w:rsidRDefault="00004BFB" w:rsidP="00E0320B">
      <w:pPr>
        <w:jc w:val="center"/>
        <w:rPr>
          <w:rFonts w:cs="Times New Roman"/>
          <w:b/>
          <w:szCs w:val="24"/>
        </w:rPr>
      </w:pPr>
    </w:p>
    <w:p w14:paraId="6B21670F" w14:textId="77777777" w:rsidR="00004BFB" w:rsidRDefault="00004BFB" w:rsidP="00E0320B">
      <w:pPr>
        <w:jc w:val="center"/>
        <w:rPr>
          <w:rFonts w:cs="Times New Roman"/>
          <w:b/>
          <w:szCs w:val="24"/>
        </w:rPr>
      </w:pPr>
    </w:p>
    <w:p w14:paraId="517FA3BA" w14:textId="77777777" w:rsidR="00004BFB" w:rsidRDefault="00004BFB" w:rsidP="00E0320B">
      <w:pPr>
        <w:jc w:val="center"/>
        <w:rPr>
          <w:rFonts w:cs="Times New Roman"/>
          <w:b/>
          <w:szCs w:val="24"/>
        </w:rPr>
      </w:pPr>
    </w:p>
    <w:p w14:paraId="5961C406" w14:textId="77777777" w:rsidR="00004BFB" w:rsidRDefault="00004BFB" w:rsidP="00E0320B">
      <w:pPr>
        <w:jc w:val="center"/>
        <w:rPr>
          <w:rFonts w:cs="Times New Roman"/>
          <w:b/>
          <w:szCs w:val="24"/>
        </w:rPr>
      </w:pPr>
    </w:p>
    <w:p w14:paraId="11D7EBEC" w14:textId="77777777" w:rsidR="00004BFB" w:rsidRDefault="00004BFB" w:rsidP="00E0320B">
      <w:pPr>
        <w:jc w:val="center"/>
        <w:rPr>
          <w:rFonts w:cs="Times New Roman"/>
          <w:b/>
          <w:szCs w:val="24"/>
        </w:rPr>
      </w:pPr>
    </w:p>
    <w:p w14:paraId="5E5116B3" w14:textId="77777777" w:rsidR="00004BFB" w:rsidRDefault="00004BFB" w:rsidP="00E0320B">
      <w:pPr>
        <w:jc w:val="center"/>
        <w:rPr>
          <w:rFonts w:cs="Times New Roman"/>
          <w:b/>
          <w:szCs w:val="24"/>
        </w:rPr>
      </w:pPr>
    </w:p>
    <w:p w14:paraId="35DBE0B6" w14:textId="77777777" w:rsidR="00004BFB" w:rsidRDefault="00004BFB" w:rsidP="00E0320B">
      <w:pPr>
        <w:jc w:val="center"/>
        <w:rPr>
          <w:rFonts w:cs="Times New Roman"/>
          <w:b/>
          <w:szCs w:val="24"/>
        </w:rPr>
      </w:pPr>
    </w:p>
    <w:p w14:paraId="2A36B921" w14:textId="77777777" w:rsidR="00004BFB" w:rsidRDefault="00004BFB" w:rsidP="00E0320B">
      <w:pPr>
        <w:jc w:val="center"/>
        <w:rPr>
          <w:rFonts w:cs="Times New Roman"/>
          <w:szCs w:val="24"/>
        </w:rPr>
      </w:pPr>
    </w:p>
    <w:p w14:paraId="16CFF40E" w14:textId="77777777" w:rsidR="00E0320B" w:rsidRDefault="00E0320B" w:rsidP="00E0320B">
      <w:pPr>
        <w:jc w:val="center"/>
        <w:rPr>
          <w:rFonts w:cs="Times New Roman"/>
          <w:szCs w:val="24"/>
        </w:rPr>
      </w:pPr>
    </w:p>
    <w:p w14:paraId="42D27030" w14:textId="77777777" w:rsidR="00E0320B" w:rsidRDefault="00E0320B" w:rsidP="00E0320B">
      <w:pPr>
        <w:jc w:val="center"/>
        <w:rPr>
          <w:rFonts w:cs="Times New Roman"/>
          <w:szCs w:val="24"/>
        </w:rPr>
      </w:pPr>
    </w:p>
    <w:p w14:paraId="1E26B6A2" w14:textId="77777777" w:rsidR="00E0320B" w:rsidRDefault="00E0320B" w:rsidP="00E0320B">
      <w:pPr>
        <w:jc w:val="center"/>
        <w:rPr>
          <w:rFonts w:cs="Times New Roman"/>
          <w:szCs w:val="24"/>
        </w:rPr>
      </w:pPr>
    </w:p>
    <w:p w14:paraId="3D7DD602" w14:textId="77777777" w:rsidR="0065358B" w:rsidRDefault="0065358B" w:rsidP="000C1EDA"/>
    <w:p w14:paraId="2143FECA" w14:textId="77777777" w:rsidR="00004BFB" w:rsidRDefault="00004BFB" w:rsidP="00004BFB">
      <w:r>
        <w:t xml:space="preserve">The arrangement and configuration of the different elements within the commercial kitchen area is referred to as the restaurant kitchen structure. The fast-casual restaurant chain Casa de Blues, also known as House of Blues, is located in Dallas, Texas, and was chosen for this investigation. Freshly squeezed juices, salads, and a variety of traditional foods are available at the restaurant. Human resources, finance, operations, marketing, and food production are the five departments that make up Casa de Blues (Escoffier, 2019). The restaurant and kitchen section of the food production area is designed to provide patrons with an atmosphere that is tranquil, unforgettable, and unusual. The restaurant wants to make a name for itself in Texas's cutthroat restaurant market (De Toni et al., 2021). By doing this, the restaurant will offer a distinctive eating experience that combines ambiance, excellent quality, and </w:t>
      </w:r>
      <w:proofErr w:type="spellStart"/>
      <w:r>
        <w:t>personalised</w:t>
      </w:r>
      <w:proofErr w:type="spellEnd"/>
      <w:r>
        <w:t xml:space="preserve"> service, all of which will assist draw in the target clientele. A restaurant's ability to operate successfully depends on its workforce, which includes the management group and board of directors (</w:t>
      </w:r>
      <w:proofErr w:type="spellStart"/>
      <w:r>
        <w:t>Cumbo</w:t>
      </w:r>
      <w:proofErr w:type="spellEnd"/>
      <w:r>
        <w:t xml:space="preserve">, 2023). Therefore, successful management and operations are ensured by having a thorough awareness of the </w:t>
      </w:r>
      <w:proofErr w:type="spellStart"/>
      <w:r>
        <w:t>organisational</w:t>
      </w:r>
      <w:proofErr w:type="spellEnd"/>
      <w:r>
        <w:t xml:space="preserve"> structure and key personnel of the restaurant. In order to promote efficient management and performance of essential duties, the essay assesses restaurant management and operations by looking at the many roles within the front-of-house (dining area) and back-of-house (kitchen) management and leadership. </w:t>
      </w:r>
    </w:p>
    <w:p w14:paraId="48925410" w14:textId="77777777" w:rsidR="00004BFB" w:rsidRDefault="00004BFB" w:rsidP="00004BFB"/>
    <w:p w14:paraId="30AFCAFF" w14:textId="77777777" w:rsidR="00004BFB" w:rsidRDefault="00004BFB" w:rsidP="00004BFB">
      <w:r>
        <w:t>Structure of Restaurants and Kitchens</w:t>
      </w:r>
    </w:p>
    <w:p w14:paraId="630B62AA" w14:textId="77777777" w:rsidR="00004BFB" w:rsidRDefault="00004BFB" w:rsidP="00004BFB"/>
    <w:p w14:paraId="46D4FF48" w14:textId="77777777" w:rsidR="00004BFB" w:rsidRDefault="00004BFB" w:rsidP="00004BFB">
      <w:r>
        <w:t xml:space="preserve">The brigade de cuisine's distinct status The Casa de Blues cooking brigade consists of seven distinct job kinds. This indicates that the brigade de cuisine, a hierarchical system made up of people ranging from the highest ranks to the lowest end of the structure, is what keeps the restaurant and kitchen systems functional (Escoffier, 2019). Thus, the chef de cuisine (executive chef), chef de </w:t>
      </w:r>
      <w:proofErr w:type="spellStart"/>
      <w:r>
        <w:t>partie</w:t>
      </w:r>
      <w:proofErr w:type="spellEnd"/>
      <w:r>
        <w:t xml:space="preserve">, sous chef (deputy chef), kitchen porter, </w:t>
      </w:r>
      <w:proofErr w:type="spellStart"/>
      <w:r>
        <w:t>esccuelerie</w:t>
      </w:r>
      <w:proofErr w:type="spellEnd"/>
      <w:r>
        <w:t xml:space="preserve"> (dishwasher) and </w:t>
      </w:r>
      <w:proofErr w:type="spellStart"/>
      <w:r>
        <w:t>Aboyeur</w:t>
      </w:r>
      <w:proofErr w:type="spellEnd"/>
      <w:r>
        <w:t xml:space="preserve"> (waiter/waitress) comprise the brigade de cuisine within the restaurant. In Case de Blues, the chef de cuisine is in charge of the kitchen and dining areas (Escoffier, 2019). </w:t>
      </w:r>
      <w:proofErr w:type="gramStart"/>
      <w:r>
        <w:t>This individual plans</w:t>
      </w:r>
      <w:proofErr w:type="gramEnd"/>
      <w:r>
        <w:t xml:space="preserve"> the menu, chooses which ingredients to buy, and manages the kitchen and restaurant. The sous chef, who is the second in command of the restaurant's food production activities, is the next person in the hierarchy (Escoffier, 2019). This individual is crucial to the production system because he manages inventories, develops staff schedules, supervises all other chefs in the kitchen, helps with equipment maintenance, and is involved in all aspects of restaurant operations (</w:t>
      </w:r>
      <w:proofErr w:type="spellStart"/>
      <w:r>
        <w:t>Haberly</w:t>
      </w:r>
      <w:proofErr w:type="spellEnd"/>
      <w:r>
        <w:t xml:space="preserve"> et al., 2019). The ability to seamlessly transition between practical work and leadership </w:t>
      </w:r>
      <w:proofErr w:type="spellStart"/>
      <w:r>
        <w:t>practises</w:t>
      </w:r>
      <w:proofErr w:type="spellEnd"/>
      <w:r>
        <w:t xml:space="preserve"> inside the organisation is a crucial talent for the sous chef. </w:t>
      </w:r>
    </w:p>
    <w:p w14:paraId="745239BB" w14:textId="77777777" w:rsidR="00004BFB" w:rsidRDefault="00004BFB" w:rsidP="00004BFB"/>
    <w:p w14:paraId="117DAD34" w14:textId="77777777" w:rsidR="00004BFB" w:rsidRDefault="00004BFB" w:rsidP="00004BFB">
      <w:r>
        <w:lastRenderedPageBreak/>
        <w:t xml:space="preserve">The chef de </w:t>
      </w:r>
      <w:proofErr w:type="spellStart"/>
      <w:r>
        <w:t>partie</w:t>
      </w:r>
      <w:proofErr w:type="spellEnd"/>
      <w:r>
        <w:t xml:space="preserve"> is the following step, and it consists of chefs in various jobs such as the bread cook, pastry chef, saucier, prep cook, butcher, </w:t>
      </w:r>
      <w:proofErr w:type="spellStart"/>
      <w:r>
        <w:t>rotisseur</w:t>
      </w:r>
      <w:proofErr w:type="spellEnd"/>
      <w:r>
        <w:t xml:space="preserve">, fruitier, and finally the </w:t>
      </w:r>
      <w:proofErr w:type="spellStart"/>
      <w:r>
        <w:t>extremetier</w:t>
      </w:r>
      <w:proofErr w:type="spellEnd"/>
      <w:r>
        <w:t xml:space="preserve">. In the brigade de cooking hierarchy, the pantry chef, also known as the </w:t>
      </w:r>
      <w:proofErr w:type="spellStart"/>
      <w:r>
        <w:t>garde</w:t>
      </w:r>
      <w:proofErr w:type="spellEnd"/>
      <w:r>
        <w:t xml:space="preserve"> manger, is tasked with preparing cold foods such as salads, pates, charcuterie boards, and caviars. The ability to cook, handle food with skill, and arrange food creatively are the three most important abilities for this role. The pastry chef, also known as the </w:t>
      </w:r>
      <w:proofErr w:type="spellStart"/>
      <w:r>
        <w:t>patissier</w:t>
      </w:r>
      <w:proofErr w:type="spellEnd"/>
      <w:r>
        <w:t xml:space="preserve">, is the next position in the hierarchy and is responsible for developing the dessert menu, managing pastry cooks, and closely collaborating with the head chef to produce the menu (Escoffier, 2019). Making all of the sauces and gravies that go with other dishes is the responsibility of the saucier, sometimes known as the sauce chef. In the chef de </w:t>
      </w:r>
      <w:proofErr w:type="spellStart"/>
      <w:r>
        <w:t>partie</w:t>
      </w:r>
      <w:proofErr w:type="spellEnd"/>
      <w:r>
        <w:t xml:space="preserve"> category, the rotisserie is in charge of roasting meats and serving the proper sauces (Escoffier, 2019). The person who prepares and </w:t>
      </w:r>
      <w:proofErr w:type="spellStart"/>
      <w:r>
        <w:t>specialises</w:t>
      </w:r>
      <w:proofErr w:type="spellEnd"/>
      <w:r>
        <w:t xml:space="preserve"> in fried meals at the restaurant is the fruitier; on the other hand, the one who makes vegetables, grains, eggs, and soups is the </w:t>
      </w:r>
      <w:proofErr w:type="spellStart"/>
      <w:proofErr w:type="gramStart"/>
      <w:r>
        <w:t>extremetier.The</w:t>
      </w:r>
      <w:proofErr w:type="spellEnd"/>
      <w:proofErr w:type="gramEnd"/>
      <w:r>
        <w:t xml:space="preserve"> </w:t>
      </w:r>
      <w:proofErr w:type="spellStart"/>
      <w:r>
        <w:t>Commis</w:t>
      </w:r>
      <w:proofErr w:type="spellEnd"/>
      <w:r>
        <w:t xml:space="preserve"> chef, often known as the junior chef, is the next level in the hierarchy. He or she trains under the chef de </w:t>
      </w:r>
      <w:proofErr w:type="spellStart"/>
      <w:r>
        <w:t>partie</w:t>
      </w:r>
      <w:proofErr w:type="spellEnd"/>
      <w:r>
        <w:t xml:space="preserve"> to become familiar with the specifics of the station. Additionally, there is a position in the structure for a kitchen porter. This person helps out in the kitchen and is less likely to have formal training because part of his job involves cleaning and peeling potatoes, among other things (Escoffier, 2019). The </w:t>
      </w:r>
      <w:proofErr w:type="spellStart"/>
      <w:r>
        <w:t>escuelerie</w:t>
      </w:r>
      <w:proofErr w:type="spellEnd"/>
      <w:r>
        <w:t xml:space="preserve">, or person who cleans dishes and other items used in food preparation, is another position in the restaurant and kitchen system. The last position in the hierarchy is that of the </w:t>
      </w:r>
      <w:proofErr w:type="spellStart"/>
      <w:r>
        <w:t>aboyeur</w:t>
      </w:r>
      <w:proofErr w:type="spellEnd"/>
      <w:r>
        <w:t>, which consists of the waiters and waitresses who serve customers at the front of the house.</w:t>
      </w:r>
    </w:p>
    <w:p w14:paraId="1D6A5785" w14:textId="77777777" w:rsidR="00004BFB" w:rsidRDefault="00004BFB" w:rsidP="00004BFB"/>
    <w:p w14:paraId="13AC4291" w14:textId="77777777" w:rsidR="00004BFB" w:rsidRDefault="00004BFB" w:rsidP="00004BFB">
      <w:r>
        <w:t>Conventional Operating Procedure</w:t>
      </w:r>
    </w:p>
    <w:p w14:paraId="52825F76" w14:textId="77777777" w:rsidR="00004BFB" w:rsidRDefault="00004BFB" w:rsidP="00004BFB"/>
    <w:p w14:paraId="6E9500D7" w14:textId="77777777" w:rsidR="00004BFB" w:rsidRDefault="00004BFB" w:rsidP="00004BFB">
      <w:r>
        <w:t xml:space="preserve">The documented </w:t>
      </w:r>
      <w:proofErr w:type="spellStart"/>
      <w:r>
        <w:t>practises</w:t>
      </w:r>
      <w:proofErr w:type="spellEnd"/>
      <w:r>
        <w:t xml:space="preserve"> and procedures for the front and back of the house that outline how the establishment will improve the production of safe food are known as SOPs. The five W's—who will do the task, what materials to use, where the task will take place when it is performed, and why it is important to carry out the tasks—are included in the SOPs, which are crucial for guaranteeing the safety of the food produced in this department (Admin, 2014). The restaurant's front-of-house standard operating procedures (SOPs) mandate that staff members who work in the front of the house, such as </w:t>
      </w:r>
      <w:proofErr w:type="spellStart"/>
      <w:r>
        <w:t>aboyeurs</w:t>
      </w:r>
      <w:proofErr w:type="spellEnd"/>
      <w:r>
        <w:t xml:space="preserve"> or occasionally the sous chef, make sure the establishment is prepared for customers before it opens, maintain cleanliness by making sure all operating equipment is clean and in working order, treat customers with decency and respect, and greet them by name (Admin, 2014). The front of the house standard operating procedures also </w:t>
      </w:r>
      <w:proofErr w:type="gramStart"/>
      <w:r>
        <w:t>include</w:t>
      </w:r>
      <w:proofErr w:type="gramEnd"/>
      <w:r>
        <w:t xml:space="preserve"> making sure employees are appropriately attired for the restaurant to avoid confusing customers, showing them to their designated area, asking about reservations and, if not, processing new ones within their preferred dining area, paying attention to requests from guests, and accepting phone reservations and entering them into the reservation book in accordance with restaurant guidelines. </w:t>
      </w:r>
    </w:p>
    <w:p w14:paraId="654E232D" w14:textId="77777777" w:rsidR="00004BFB" w:rsidRDefault="00004BFB" w:rsidP="00004BFB"/>
    <w:p w14:paraId="01A864EC" w14:textId="77777777" w:rsidR="00004BFB" w:rsidRDefault="00004BFB" w:rsidP="00004BFB">
      <w:r>
        <w:t xml:space="preserve"> The SOPs for the kitchen, on the other hand, cover kitchen closing, kitchen hygiene, and rules for kitchen preparation. The SOPs for preparing culinary service stipulate that kitchen staff members must adhere to all personal hygiene regulations (culinary SOP). It also entails making sure the chef de </w:t>
      </w:r>
      <w:proofErr w:type="spellStart"/>
      <w:r>
        <w:t>partie</w:t>
      </w:r>
      <w:proofErr w:type="spellEnd"/>
      <w:r>
        <w:t xml:space="preserve"> is knowledgeable about how to prepare the various dishes and the tools required for doing so; all chefs de </w:t>
      </w:r>
      <w:proofErr w:type="spellStart"/>
      <w:r>
        <w:t>partie</w:t>
      </w:r>
      <w:proofErr w:type="spellEnd"/>
      <w:r>
        <w:t xml:space="preserve"> receive a briefing from the head chef or sous chef prior to each shift; the chef de </w:t>
      </w:r>
      <w:proofErr w:type="spellStart"/>
      <w:r>
        <w:t>partie</w:t>
      </w:r>
      <w:proofErr w:type="spellEnd"/>
      <w:r>
        <w:t xml:space="preserve"> is fully capable of preparing and always follows the kitchen's hygienic and safety protocols. Kitchen hygiene standard operating procedures (SOPs) include, but are not limited to, staff members following all applicable laws and rules at all times, refraining from wearing </w:t>
      </w:r>
      <w:proofErr w:type="spellStart"/>
      <w:r>
        <w:t>jewellery</w:t>
      </w:r>
      <w:proofErr w:type="spellEnd"/>
      <w:r>
        <w:t xml:space="preserve"> or nail polish in the kitchen, tending to and covering any cuts, washing and </w:t>
      </w:r>
      <w:proofErr w:type="spellStart"/>
      <w:r>
        <w:t>sterilising</w:t>
      </w:r>
      <w:proofErr w:type="spellEnd"/>
      <w:r>
        <w:t xml:space="preserve"> their hands, and making sure that all daily, weekly, and monthly deep cleaning schedules are followed in the kitchen areas (Kitchen SOP). The SOPs for kitchen closure procedures stipulate that all sinks must be emptied and cleaned, floors must be completely cleaned and swept, and the wash-up area must be closed. All refrigerators and storage rooms must also be left neat and clean. </w:t>
      </w:r>
    </w:p>
    <w:p w14:paraId="3434509B" w14:textId="77777777" w:rsidR="00004BFB" w:rsidRDefault="00004BFB" w:rsidP="00004BFB"/>
    <w:p w14:paraId="56051DDB" w14:textId="77777777" w:rsidR="00004BFB" w:rsidRDefault="00004BFB" w:rsidP="00004BFB">
      <w:r>
        <w:t>The Law and Regulation</w:t>
      </w:r>
    </w:p>
    <w:p w14:paraId="1D572DD8" w14:textId="77777777" w:rsidR="00004BFB" w:rsidRDefault="00004BFB" w:rsidP="00004BFB"/>
    <w:p w14:paraId="34867A15" w14:textId="77777777" w:rsidR="00004BFB" w:rsidRDefault="00004BFB" w:rsidP="00004BFB">
      <w:r>
        <w:t xml:space="preserve">Dallas restaurants are subject to a number of restrictions, particularly for five-star establishments like Casa de Blues. These requirements cover food safety, </w:t>
      </w:r>
      <w:proofErr w:type="spellStart"/>
      <w:r>
        <w:t>labour</w:t>
      </w:r>
      <w:proofErr w:type="spellEnd"/>
      <w:r>
        <w:t xml:space="preserve"> laws, payroll procedures, OSHA compliance certificates, and even Equal Employment Opportunity Commission guidelines (Team, 2022). In order to encourage safe food handling </w:t>
      </w:r>
      <w:proofErr w:type="spellStart"/>
      <w:r>
        <w:t>practises</w:t>
      </w:r>
      <w:proofErr w:type="spellEnd"/>
      <w:r>
        <w:t xml:space="preserve">, the FDA regulates food safety and public health through rules and legislation. The Department of Labor's Fair </w:t>
      </w:r>
      <w:proofErr w:type="spellStart"/>
      <w:r>
        <w:t>Labour</w:t>
      </w:r>
      <w:proofErr w:type="spellEnd"/>
      <w:r>
        <w:t xml:space="preserve"> Standards Act (FLSA) and the Texas government's subsequent regulations and laws guarantee minimum pay, overtime, and hiring workers under the age of 18. The next rule focuses on creating safe work environments by adhering to EEOC's inclusive workplace standards and OSHA's safety regulations to guarantee that there is no discrimination in the workplace (Team, 2022). A cleaning policy, routine deep cleaning, upgrading food handler </w:t>
      </w:r>
      <w:proofErr w:type="spellStart"/>
      <w:r>
        <w:t>licences</w:t>
      </w:r>
      <w:proofErr w:type="spellEnd"/>
      <w:r>
        <w:t xml:space="preserve">, developing worker injury prevention plans, </w:t>
      </w:r>
      <w:proofErr w:type="spellStart"/>
      <w:r>
        <w:t>labour</w:t>
      </w:r>
      <w:proofErr w:type="spellEnd"/>
      <w:r>
        <w:t xml:space="preserve"> compliance, and restaurant employment regulations are other compliance requirements for the restaurant and kitchen industries (Team, 2022). Effective work </w:t>
      </w:r>
      <w:proofErr w:type="spellStart"/>
      <w:r>
        <w:t>practises</w:t>
      </w:r>
      <w:proofErr w:type="spellEnd"/>
      <w:r>
        <w:t xml:space="preserve"> and restaurant operations are dependent on these laws and regulations. To guarantee efficient </w:t>
      </w:r>
      <w:proofErr w:type="spellStart"/>
      <w:r>
        <w:t>organisational</w:t>
      </w:r>
      <w:proofErr w:type="spellEnd"/>
      <w:r>
        <w:t xml:space="preserve"> administration, the restaurant must abide by all rules and regulations. </w:t>
      </w:r>
    </w:p>
    <w:p w14:paraId="26063D77" w14:textId="77777777" w:rsidR="00004BFB" w:rsidRDefault="00004BFB" w:rsidP="00004BFB"/>
    <w:p w14:paraId="5870BCCB" w14:textId="77777777" w:rsidR="00004BFB" w:rsidRDefault="00004BFB" w:rsidP="00004BFB">
      <w:r>
        <w:t>Leadership and Management (Introspective Analysis)</w:t>
      </w:r>
    </w:p>
    <w:p w14:paraId="7807AB48" w14:textId="77777777" w:rsidR="00004BFB" w:rsidRDefault="00004BFB" w:rsidP="00004BFB"/>
    <w:p w14:paraId="5942ECCE" w14:textId="77777777" w:rsidR="00004BFB" w:rsidRDefault="00004BFB" w:rsidP="00004BFB">
      <w:r>
        <w:t xml:space="preserve">It's never easy to oversee and manage kitchen and restaurant operations. The most important lesson acquired from the analysis of the restaurant Casa de Blues, however, is that, in order to facilitate management and boost the success of business operations, it is imperative to ensure compliance with all industry norms and legislation (Sun, 2022). To maintain effective business </w:t>
      </w:r>
      <w:proofErr w:type="spellStart"/>
      <w:r>
        <w:t>practises</w:t>
      </w:r>
      <w:proofErr w:type="spellEnd"/>
      <w:r>
        <w:t xml:space="preserve"> and unrestricted operation, nearly all businesses need to get all required state and federal permissions and </w:t>
      </w:r>
      <w:proofErr w:type="spellStart"/>
      <w:r>
        <w:t>licences</w:t>
      </w:r>
      <w:proofErr w:type="spellEnd"/>
      <w:r>
        <w:t xml:space="preserve"> (Tien, 2019). In order to guarantee the smooth operation of this business, industry-specific rules are required, such as OSHA compliance certificates, food safety, </w:t>
      </w:r>
      <w:proofErr w:type="spellStart"/>
      <w:r>
        <w:t>labour</w:t>
      </w:r>
      <w:proofErr w:type="spellEnd"/>
      <w:r>
        <w:t xml:space="preserve"> laws, payroll </w:t>
      </w:r>
      <w:proofErr w:type="spellStart"/>
      <w:r>
        <w:t>practises</w:t>
      </w:r>
      <w:proofErr w:type="spellEnd"/>
      <w:r>
        <w:t xml:space="preserve">, and even guidelines from the Equal Employment Opportunity Commission (Sun, 2022). Furthermore, I've </w:t>
      </w:r>
      <w:proofErr w:type="spellStart"/>
      <w:r>
        <w:t>realised</w:t>
      </w:r>
      <w:proofErr w:type="spellEnd"/>
      <w:r>
        <w:t xml:space="preserve"> that standard operating procedures for both front- and back-of-house operations must be created in order for management and leadership in such a business to effectively adhere to and comply with regulations and legislation as well as the organization's accepted use policy (Team, 2022). As a result, I now know that having well-defined policies in place in restaurants is crucial to improving effective management and leadership. Additionally, as each role calls for particular procedures, restaurant and kitchen services need a hierarchical structure that starts with the top chef de cuisine. Having such a clear structure with assigned responsibilities improves the efficiency of the restaurant's commercial operations. </w:t>
      </w:r>
    </w:p>
    <w:p w14:paraId="77837A37" w14:textId="77777777" w:rsidR="00004BFB" w:rsidRDefault="00004BFB" w:rsidP="00004BFB"/>
    <w:p w14:paraId="09F498F4" w14:textId="77777777" w:rsidR="00004BFB" w:rsidRDefault="00004BFB" w:rsidP="00004BFB"/>
    <w:p w14:paraId="775C2F45" w14:textId="77777777" w:rsidR="00004BFB" w:rsidRDefault="00004BFB" w:rsidP="00004BFB"/>
    <w:p w14:paraId="3DEF0913" w14:textId="77777777" w:rsidR="00004BFB" w:rsidRDefault="00004BFB" w:rsidP="00004BFB"/>
    <w:p w14:paraId="175F5165" w14:textId="77777777" w:rsidR="00004BFB" w:rsidRDefault="00004BFB" w:rsidP="00004BFB"/>
    <w:p w14:paraId="3E4CB225" w14:textId="77777777" w:rsidR="00004BFB" w:rsidRDefault="00004BFB" w:rsidP="00004BFB"/>
    <w:p w14:paraId="04AAE038" w14:textId="77777777" w:rsidR="00004BFB" w:rsidRDefault="00004BFB" w:rsidP="00004BFB"/>
    <w:p w14:paraId="03EC2EEC" w14:textId="77777777" w:rsidR="00004BFB" w:rsidRDefault="00004BFB" w:rsidP="00004BFB"/>
    <w:p w14:paraId="63F58316" w14:textId="77777777" w:rsidR="00004BFB" w:rsidRDefault="00004BFB" w:rsidP="00004BFB"/>
    <w:p w14:paraId="540AFA9F" w14:textId="77777777" w:rsidR="00004BFB" w:rsidRDefault="00004BFB" w:rsidP="00004BFB"/>
    <w:p w14:paraId="08C4CC8F" w14:textId="77777777" w:rsidR="00004BFB" w:rsidRDefault="00004BFB" w:rsidP="00004BFB"/>
    <w:p w14:paraId="66AF059B" w14:textId="77777777" w:rsidR="00004BFB" w:rsidRDefault="00004BFB" w:rsidP="00004BFB"/>
    <w:p w14:paraId="675AF0BC" w14:textId="77777777" w:rsidR="00004BFB" w:rsidRDefault="00004BFB" w:rsidP="00004BFB"/>
    <w:p w14:paraId="6CBB089F" w14:textId="77777777" w:rsidR="00004BFB" w:rsidRDefault="00004BFB" w:rsidP="00004BFB"/>
    <w:p w14:paraId="58781D91" w14:textId="77777777" w:rsidR="00004BFB" w:rsidRDefault="00004BFB" w:rsidP="00004BFB"/>
    <w:p w14:paraId="5F6E81FA" w14:textId="77777777" w:rsidR="00004BFB" w:rsidRDefault="00004BFB" w:rsidP="00004BFB"/>
    <w:p w14:paraId="38E58031" w14:textId="77777777" w:rsidR="00004BFB" w:rsidRDefault="00004BFB" w:rsidP="00004BFB"/>
    <w:p w14:paraId="3C9FA523" w14:textId="2D7D3EF8" w:rsidR="004715AC" w:rsidRPr="00004BFB" w:rsidRDefault="004715AC" w:rsidP="00004BFB">
      <w:r w:rsidRPr="004715AC">
        <w:rPr>
          <w:rFonts w:cs="Times New Roman"/>
          <w:b/>
          <w:bCs/>
          <w:szCs w:val="24"/>
        </w:rPr>
        <w:t>Reference List</w:t>
      </w:r>
    </w:p>
    <w:p w14:paraId="7BD0CDEB"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color w:val="000000"/>
        </w:rPr>
        <w:t>‌ Admin. (2014, January 18). </w:t>
      </w:r>
      <w:r w:rsidRPr="00520F46">
        <w:rPr>
          <w:i/>
          <w:iCs/>
          <w:color w:val="000000"/>
        </w:rPr>
        <w:t xml:space="preserve">The five </w:t>
      </w:r>
      <w:proofErr w:type="spellStart"/>
      <w:r w:rsidRPr="00520F46">
        <w:rPr>
          <w:i/>
          <w:iCs/>
          <w:color w:val="000000"/>
        </w:rPr>
        <w:t>Ws</w:t>
      </w:r>
      <w:proofErr w:type="spellEnd"/>
      <w:r w:rsidRPr="00520F46">
        <w:rPr>
          <w:i/>
          <w:iCs/>
          <w:color w:val="000000"/>
        </w:rPr>
        <w:t xml:space="preserve"> in Restaurant Standard Operating Procedures - CEO Hangout</w:t>
      </w:r>
      <w:r w:rsidRPr="00520F46">
        <w:rPr>
          <w:color w:val="000000"/>
        </w:rPr>
        <w:t xml:space="preserve">. CEO Networking | BEST CEOS GROUP &amp; Entrepreneur Examples – CEO Hangout. </w:t>
      </w:r>
    </w:p>
    <w:p w14:paraId="1478AB08" w14:textId="77777777" w:rsidR="00C37C87" w:rsidRPr="00520F46" w:rsidRDefault="00C37C87" w:rsidP="00520F46">
      <w:pPr>
        <w:pStyle w:val="NormalWeb"/>
        <w:spacing w:before="0" w:beforeAutospacing="0" w:after="0" w:afterAutospacing="0" w:line="480" w:lineRule="auto"/>
        <w:ind w:left="720" w:hanging="720"/>
        <w:contextualSpacing/>
      </w:pPr>
      <w:r w:rsidRPr="00520F46">
        <w:rPr>
          <w:color w:val="000000"/>
        </w:rPr>
        <w:t>‌</w:t>
      </w:r>
      <w:r w:rsidRPr="00520F46">
        <w:t xml:space="preserve"> BURNS, J. and NEEDLE, D. 2019. Business in Context: An Introduction to Business and its Environment. 7th Ed. Cengage Learning.</w:t>
      </w:r>
    </w:p>
    <w:p w14:paraId="744612B7"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color w:val="000000"/>
        </w:rPr>
        <w:t>‌</w:t>
      </w:r>
      <w:r w:rsidRPr="00520F46">
        <w:rPr>
          <w:i/>
          <w:iCs/>
          <w:color w:val="000000"/>
        </w:rPr>
        <w:t xml:space="preserve"> Escoffier. </w:t>
      </w:r>
      <w:proofErr w:type="gramStart"/>
      <w:r w:rsidRPr="00520F46">
        <w:rPr>
          <w:i/>
          <w:iCs/>
          <w:color w:val="000000"/>
        </w:rPr>
        <w:t>A.</w:t>
      </w:r>
      <w:r w:rsidRPr="00520F46">
        <w:rPr>
          <w:color w:val="000000"/>
        </w:rPr>
        <w:t xml:space="preserve"> .</w:t>
      </w:r>
      <w:proofErr w:type="gramEnd"/>
      <w:r w:rsidRPr="00520F46">
        <w:rPr>
          <w:color w:val="000000"/>
        </w:rPr>
        <w:t xml:space="preserve"> 2019.</w:t>
      </w:r>
      <w:r w:rsidRPr="00520F46">
        <w:rPr>
          <w:i/>
          <w:iCs/>
          <w:color w:val="000000"/>
        </w:rPr>
        <w:t xml:space="preserve"> Different Types of Chef Jobs in the Brigade de Cuisine</w:t>
      </w:r>
      <w:r w:rsidRPr="00520F46">
        <w:rPr>
          <w:color w:val="000000"/>
        </w:rPr>
        <w:t xml:space="preserve"> Escoffier. https://www.escoffier.edu/blog/culinary-pastry-careers/different-types-of-chef-jobs-in-the-brigade-de-cuisine/</w:t>
      </w:r>
    </w:p>
    <w:p w14:paraId="3F48FB41"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color w:val="000000"/>
        </w:rPr>
        <w:t>‌ Team, H. (2022, September 14). </w:t>
      </w:r>
      <w:r w:rsidRPr="00520F46">
        <w:rPr>
          <w:i/>
          <w:iCs/>
          <w:color w:val="000000"/>
        </w:rPr>
        <w:t>Restaurant Compliance Checklist, Rules &amp; Regulations</w:t>
      </w:r>
      <w:r w:rsidRPr="00520F46">
        <w:rPr>
          <w:color w:val="000000"/>
        </w:rPr>
        <w:t>. Homebase. https://joinhomebase.com/blog/restaurant-compliance/</w:t>
      </w:r>
    </w:p>
    <w:p w14:paraId="6DDBC15B"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AL-</w:t>
      </w:r>
      <w:proofErr w:type="spellStart"/>
      <w:r w:rsidRPr="00520F46">
        <w:rPr>
          <w:rFonts w:cs="Times New Roman"/>
          <w:szCs w:val="24"/>
        </w:rPr>
        <w:t>Zyadat</w:t>
      </w:r>
      <w:proofErr w:type="spellEnd"/>
      <w:r w:rsidRPr="00520F46">
        <w:rPr>
          <w:rFonts w:cs="Times New Roman"/>
          <w:szCs w:val="24"/>
        </w:rPr>
        <w:t xml:space="preserve">, A., </w:t>
      </w:r>
      <w:proofErr w:type="spellStart"/>
      <w:r w:rsidRPr="00520F46">
        <w:rPr>
          <w:rFonts w:cs="Times New Roman"/>
          <w:szCs w:val="24"/>
        </w:rPr>
        <w:t>Alsaraireh</w:t>
      </w:r>
      <w:proofErr w:type="spellEnd"/>
      <w:r w:rsidRPr="00520F46">
        <w:rPr>
          <w:rFonts w:cs="Times New Roman"/>
          <w:szCs w:val="24"/>
        </w:rPr>
        <w:t>, J., Al-</w:t>
      </w:r>
      <w:proofErr w:type="spellStart"/>
      <w:r w:rsidRPr="00520F46">
        <w:rPr>
          <w:rFonts w:cs="Times New Roman"/>
          <w:szCs w:val="24"/>
        </w:rPr>
        <w:t>Husban</w:t>
      </w:r>
      <w:proofErr w:type="spellEnd"/>
      <w:r w:rsidRPr="00520F46">
        <w:rPr>
          <w:rFonts w:cs="Times New Roman"/>
          <w:szCs w:val="24"/>
        </w:rPr>
        <w:t>, D., Al-</w:t>
      </w:r>
      <w:proofErr w:type="spellStart"/>
      <w:r w:rsidRPr="00520F46">
        <w:rPr>
          <w:rFonts w:cs="Times New Roman"/>
          <w:szCs w:val="24"/>
        </w:rPr>
        <w:t>Shorman</w:t>
      </w:r>
      <w:proofErr w:type="spellEnd"/>
      <w:r w:rsidRPr="00520F46">
        <w:rPr>
          <w:rFonts w:cs="Times New Roman"/>
          <w:szCs w:val="24"/>
        </w:rPr>
        <w:t xml:space="preserve">, H., Mohammad, A., </w:t>
      </w:r>
      <w:proofErr w:type="spellStart"/>
      <w:r w:rsidRPr="00520F46">
        <w:rPr>
          <w:rFonts w:cs="Times New Roman"/>
          <w:szCs w:val="24"/>
        </w:rPr>
        <w:t>Alathamneh</w:t>
      </w:r>
      <w:proofErr w:type="spellEnd"/>
      <w:r w:rsidRPr="00520F46">
        <w:rPr>
          <w:rFonts w:cs="Times New Roman"/>
          <w:szCs w:val="24"/>
        </w:rPr>
        <w:t>, F. and Al-</w:t>
      </w:r>
      <w:proofErr w:type="spellStart"/>
      <w:r w:rsidRPr="00520F46">
        <w:rPr>
          <w:rFonts w:cs="Times New Roman"/>
          <w:szCs w:val="24"/>
        </w:rPr>
        <w:t>Hawary</w:t>
      </w:r>
      <w:proofErr w:type="spellEnd"/>
      <w:r w:rsidRPr="00520F46">
        <w:rPr>
          <w:rFonts w:cs="Times New Roman"/>
          <w:szCs w:val="24"/>
        </w:rPr>
        <w:t>, S., 2022. The effect of Industry 4.0 on the sustainability of industrial organizations in Jordan. International Journal of Data and Network Science, 6(4), pp.1437-1446.</w:t>
      </w:r>
    </w:p>
    <w:p w14:paraId="2295AA9C"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proofErr w:type="spellStart"/>
      <w:r w:rsidRPr="00520F46">
        <w:rPr>
          <w:color w:val="000000"/>
        </w:rPr>
        <w:t>Cumbo</w:t>
      </w:r>
      <w:proofErr w:type="spellEnd"/>
      <w:r w:rsidRPr="00520F46">
        <w:rPr>
          <w:color w:val="000000"/>
        </w:rPr>
        <w:t>, C. L. 2023. Strategies for Sustaining Small Family Restaurant Businesses (Doctoral dissertation, Walden University). https://www.proquest.com/openview/2130590528d74ad1cd1ae3b11ac8fb54/1?pq-origsite=gscholar&amp;amp;cbl=18750&amp;amp;diss=y</w:t>
      </w:r>
    </w:p>
    <w:p w14:paraId="62BEE189"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color w:val="000000"/>
        </w:rPr>
        <w:lastRenderedPageBreak/>
        <w:t xml:space="preserve">De Toni, D., </w:t>
      </w:r>
      <w:proofErr w:type="spellStart"/>
      <w:r w:rsidRPr="00520F46">
        <w:rPr>
          <w:color w:val="000000"/>
        </w:rPr>
        <w:t>Reche</w:t>
      </w:r>
      <w:proofErr w:type="spellEnd"/>
      <w:r w:rsidRPr="00520F46">
        <w:rPr>
          <w:color w:val="000000"/>
        </w:rPr>
        <w:t>, R. A., &amp;; Milan, G. S. 2022. Effects of market orientation, innovation strategies and value-based pricing on market performance. International Journal of Productivity and Performance Management, 71(8), 3556-3580. https://www.emerald.com/insight/content/doi/10.1108/IJPPM-08-2020-</w:t>
      </w:r>
    </w:p>
    <w:p w14:paraId="4FDF2DD1"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Gao, C. and McDonald, R., (2022). Shaping nascent industries: Innovation strategy and regulatory uncertainty in personal genomics. Administrative Science Quarterly, 67(4), pp.915-967.</w:t>
      </w:r>
    </w:p>
    <w:p w14:paraId="3FED9E17" w14:textId="77777777" w:rsidR="00C37C87" w:rsidRPr="00520F46" w:rsidRDefault="00C37C87" w:rsidP="00520F46">
      <w:pPr>
        <w:spacing w:after="0" w:line="480" w:lineRule="auto"/>
        <w:ind w:left="720" w:hanging="720"/>
        <w:contextualSpacing/>
        <w:rPr>
          <w:rFonts w:cs="Times New Roman"/>
          <w:szCs w:val="24"/>
        </w:rPr>
      </w:pPr>
      <w:proofErr w:type="spellStart"/>
      <w:r w:rsidRPr="00520F46">
        <w:rPr>
          <w:rFonts w:cs="Times New Roman"/>
          <w:szCs w:val="24"/>
        </w:rPr>
        <w:t>Haberly</w:t>
      </w:r>
      <w:proofErr w:type="spellEnd"/>
      <w:r w:rsidRPr="00520F46">
        <w:rPr>
          <w:rFonts w:cs="Times New Roman"/>
          <w:szCs w:val="24"/>
        </w:rPr>
        <w:t>, D., MacDonald-</w:t>
      </w:r>
      <w:proofErr w:type="spellStart"/>
      <w:r w:rsidRPr="00520F46">
        <w:rPr>
          <w:rFonts w:cs="Times New Roman"/>
          <w:szCs w:val="24"/>
        </w:rPr>
        <w:t>Korth</w:t>
      </w:r>
      <w:proofErr w:type="spellEnd"/>
      <w:r w:rsidRPr="00520F46">
        <w:rPr>
          <w:rFonts w:cs="Times New Roman"/>
          <w:szCs w:val="24"/>
        </w:rPr>
        <w:t xml:space="preserve">, D., Urban, M. and </w:t>
      </w:r>
      <w:proofErr w:type="spellStart"/>
      <w:r w:rsidRPr="00520F46">
        <w:rPr>
          <w:rFonts w:cs="Times New Roman"/>
          <w:szCs w:val="24"/>
        </w:rPr>
        <w:t>Wójcik</w:t>
      </w:r>
      <w:proofErr w:type="spellEnd"/>
      <w:r w:rsidRPr="00520F46">
        <w:rPr>
          <w:rFonts w:cs="Times New Roman"/>
          <w:szCs w:val="24"/>
        </w:rPr>
        <w:t xml:space="preserve">, D., 2019. Asset management as a digital platform industry: A global financial network perspective. </w:t>
      </w:r>
      <w:proofErr w:type="spellStart"/>
      <w:r w:rsidRPr="00520F46">
        <w:rPr>
          <w:rFonts w:cs="Times New Roman"/>
          <w:szCs w:val="24"/>
        </w:rPr>
        <w:t>Geoforum</w:t>
      </w:r>
      <w:proofErr w:type="spellEnd"/>
      <w:r w:rsidRPr="00520F46">
        <w:rPr>
          <w:rFonts w:cs="Times New Roman"/>
          <w:szCs w:val="24"/>
        </w:rPr>
        <w:t>, 106, pp.167-181.</w:t>
      </w:r>
    </w:p>
    <w:p w14:paraId="19D6B92A"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i/>
          <w:iCs/>
          <w:color w:val="000000"/>
        </w:rPr>
        <w:t>Kitchen SOP</w:t>
      </w:r>
      <w:r w:rsidRPr="00520F46">
        <w:rPr>
          <w:color w:val="000000"/>
        </w:rPr>
        <w:t>. (n.d.). Public-Library.safetyculture.io. https://public library.safetyculture.io/products/kitchensop</w:t>
      </w:r>
      <w:proofErr w:type="gramStart"/>
      <w:r w:rsidRPr="00520F46">
        <w:rPr>
          <w:color w:val="000000"/>
        </w:rPr>
        <w:t>#:~</w:t>
      </w:r>
      <w:proofErr w:type="gramEnd"/>
      <w:r w:rsidRPr="00520F46">
        <w:rPr>
          <w:color w:val="000000"/>
        </w:rPr>
        <w:t>:text=A%20kitchen%20SOP%0is%20a</w:t>
      </w:r>
    </w:p>
    <w:p w14:paraId="5D8A4DCF" w14:textId="77777777" w:rsidR="00C37C87" w:rsidRPr="00520F46" w:rsidRDefault="00C37C87" w:rsidP="00520F46">
      <w:pPr>
        <w:pStyle w:val="NormalWeb"/>
        <w:spacing w:before="0" w:beforeAutospacing="0" w:after="0" w:afterAutospacing="0" w:line="480" w:lineRule="auto"/>
        <w:ind w:left="720" w:hanging="720"/>
        <w:contextualSpacing/>
      </w:pPr>
      <w:r w:rsidRPr="00520F46">
        <w:t>Kotler, P. and Armstrong, G. 2016 "Principles of Marketing," Global Edition, Pearson (or you can use another edition or reading list from unit information.</w:t>
      </w:r>
    </w:p>
    <w:p w14:paraId="1DD7D7F7"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McDonald, C.J. and Humphreys, B.L., (2022). The US National Library of Medicine and standards for electronic health records: one thing led to another. Information Services &amp; Use, 42(1), pp.81-94.</w:t>
      </w:r>
    </w:p>
    <w:p w14:paraId="7C84E96E"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McDonald, M. and Wilson, H., (2016). Marketing Plans: How to prepare them, how to profit from them. John Wiley &amp; Sons.</w:t>
      </w:r>
    </w:p>
    <w:p w14:paraId="11FC24D6"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 xml:space="preserve">McDonald, R. and Gao, C., (2019). Pivoting isn't </w:t>
      </w:r>
      <w:proofErr w:type="gramStart"/>
      <w:r w:rsidRPr="00520F46">
        <w:rPr>
          <w:rFonts w:cs="Times New Roman"/>
          <w:szCs w:val="24"/>
        </w:rPr>
        <w:t>enough?</w:t>
      </w:r>
      <w:proofErr w:type="gramEnd"/>
      <w:r w:rsidRPr="00520F46">
        <w:rPr>
          <w:rFonts w:cs="Times New Roman"/>
          <w:szCs w:val="24"/>
        </w:rPr>
        <w:t xml:space="preserve"> Managing strategic reorientation in new ventures. Organization Science, 30(6), pp.1289-1318.</w:t>
      </w:r>
    </w:p>
    <w:p w14:paraId="111DF399"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lastRenderedPageBreak/>
        <w:t>McDonald</w:t>
      </w:r>
      <w:r>
        <w:rPr>
          <w:rFonts w:cs="Times New Roman"/>
          <w:szCs w:val="24"/>
        </w:rPr>
        <w:t>'</w:t>
      </w:r>
      <w:r w:rsidRPr="00520F46">
        <w:rPr>
          <w:rFonts w:cs="Times New Roman"/>
          <w:szCs w:val="24"/>
        </w:rPr>
        <w:t xml:space="preserve">s to up pace of restaurant openings and hold </w:t>
      </w:r>
      <w:r>
        <w:rPr>
          <w:rFonts w:cs="Times New Roman"/>
          <w:szCs w:val="24"/>
        </w:rPr>
        <w:t>'</w:t>
      </w:r>
      <w:r w:rsidRPr="00520F46">
        <w:rPr>
          <w:rFonts w:cs="Times New Roman"/>
          <w:szCs w:val="24"/>
        </w:rPr>
        <w:t>tough</w:t>
      </w:r>
      <w:r>
        <w:rPr>
          <w:rFonts w:cs="Times New Roman"/>
          <w:szCs w:val="24"/>
        </w:rPr>
        <w:t>'</w:t>
      </w:r>
      <w:r w:rsidRPr="00520F46">
        <w:rPr>
          <w:rFonts w:cs="Times New Roman"/>
          <w:szCs w:val="24"/>
        </w:rPr>
        <w:t xml:space="preserve"> talks on staffing. (2023). Financial Times. [online] 6 Jan. Available at: https://www.ft.com/content/a4b8d969-d77c-43fe-baa9-75bd8cc70ec4.</w:t>
      </w:r>
    </w:p>
    <w:p w14:paraId="4516DD7E"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Monroe 4PEACE (2023). TWB: McDonald</w:t>
      </w:r>
      <w:r>
        <w:rPr>
          <w:rFonts w:cs="Times New Roman"/>
          <w:szCs w:val="24"/>
        </w:rPr>
        <w:t>'</w:t>
      </w:r>
      <w:r w:rsidRPr="00520F46">
        <w:rPr>
          <w:rFonts w:cs="Times New Roman"/>
          <w:szCs w:val="24"/>
        </w:rPr>
        <w:t>s Accelerating the Arches Strategy. [online] data-driven fiction. Available at: https://medium.com/data-driven-fiction/twb-mcdonalds-accelerating-the-arches-strategy-cb241b005e33 [Accessed 21 Jul. 2023].</w:t>
      </w:r>
    </w:p>
    <w:p w14:paraId="193C0B5C"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Nation</w:t>
      </w:r>
      <w:r>
        <w:rPr>
          <w:rFonts w:cs="Times New Roman"/>
          <w:szCs w:val="24"/>
        </w:rPr>
        <w:t>'</w:t>
      </w:r>
      <w:r w:rsidRPr="00520F46">
        <w:rPr>
          <w:rFonts w:cs="Times New Roman"/>
          <w:szCs w:val="24"/>
        </w:rPr>
        <w:t>s Restaurant News. (2020). What you need to know about McDonald</w:t>
      </w:r>
      <w:r>
        <w:rPr>
          <w:rFonts w:cs="Times New Roman"/>
          <w:szCs w:val="24"/>
        </w:rPr>
        <w:t>'</w:t>
      </w:r>
      <w:r w:rsidRPr="00520F46">
        <w:rPr>
          <w:rFonts w:cs="Times New Roman"/>
          <w:szCs w:val="24"/>
        </w:rPr>
        <w:t xml:space="preserve">s Accelerating the Arches program. [online] Available </w:t>
      </w:r>
      <w:proofErr w:type="gramStart"/>
      <w:r w:rsidRPr="00520F46">
        <w:rPr>
          <w:rFonts w:cs="Times New Roman"/>
          <w:szCs w:val="24"/>
        </w:rPr>
        <w:t>at:https://www.nrn.com/quick-service/what-you-need-know-about-mcdonald-s-accelerating-arches-program</w:t>
      </w:r>
      <w:proofErr w:type="gramEnd"/>
      <w:r w:rsidRPr="00520F46">
        <w:rPr>
          <w:rFonts w:cs="Times New Roman"/>
          <w:szCs w:val="24"/>
        </w:rPr>
        <w:t>.</w:t>
      </w:r>
    </w:p>
    <w:p w14:paraId="2F8C8112" w14:textId="77777777" w:rsidR="00C37C87" w:rsidRPr="00520F46" w:rsidRDefault="00C37C87" w:rsidP="00520F46">
      <w:pPr>
        <w:spacing w:after="0" w:line="480" w:lineRule="auto"/>
        <w:ind w:left="720" w:hanging="720"/>
        <w:contextualSpacing/>
        <w:rPr>
          <w:rFonts w:cs="Times New Roman"/>
          <w:szCs w:val="24"/>
        </w:rPr>
      </w:pPr>
      <w:proofErr w:type="spellStart"/>
      <w:r w:rsidRPr="00520F46">
        <w:rPr>
          <w:rFonts w:cs="Times New Roman"/>
          <w:szCs w:val="24"/>
        </w:rPr>
        <w:t>Nuque-Joo</w:t>
      </w:r>
      <w:proofErr w:type="spellEnd"/>
      <w:r w:rsidRPr="00520F46">
        <w:rPr>
          <w:rFonts w:cs="Times New Roman"/>
          <w:szCs w:val="24"/>
        </w:rPr>
        <w:t xml:space="preserve">, A., Kim, D. and Choi, S., 2019. </w:t>
      </w:r>
      <w:proofErr w:type="spellStart"/>
      <w:r w:rsidRPr="00520F46">
        <w:rPr>
          <w:rFonts w:cs="Times New Roman"/>
          <w:szCs w:val="24"/>
        </w:rPr>
        <w:t>Mcdonald's</w:t>
      </w:r>
      <w:proofErr w:type="spellEnd"/>
      <w:r w:rsidRPr="00520F46">
        <w:rPr>
          <w:rFonts w:cs="Times New Roman"/>
          <w:szCs w:val="24"/>
        </w:rPr>
        <w:t xml:space="preserve"> in Germany: Germans, still loving it? Academy of Strategic Management Journal, 18(2), pp.1-20.</w:t>
      </w:r>
    </w:p>
    <w:p w14:paraId="3C404F4E" w14:textId="77777777" w:rsidR="00C37C87" w:rsidRPr="00520F46" w:rsidRDefault="00C37C87" w:rsidP="00520F46">
      <w:pPr>
        <w:spacing w:after="0" w:line="480" w:lineRule="auto"/>
        <w:ind w:left="720" w:hanging="720"/>
        <w:contextualSpacing/>
        <w:rPr>
          <w:rFonts w:cs="Times New Roman"/>
          <w:szCs w:val="24"/>
        </w:rPr>
      </w:pPr>
      <w:proofErr w:type="spellStart"/>
      <w:r w:rsidRPr="00520F46">
        <w:rPr>
          <w:rFonts w:cs="Times New Roman"/>
          <w:szCs w:val="24"/>
        </w:rPr>
        <w:t>Onyusheva</w:t>
      </w:r>
      <w:proofErr w:type="spellEnd"/>
      <w:r w:rsidRPr="00520F46">
        <w:rPr>
          <w:rFonts w:cs="Times New Roman"/>
          <w:szCs w:val="24"/>
        </w:rPr>
        <w:t>, I.V. and Salim, Y.M., 2022. THE COLLABORATIVE BRAND MARKETING: THE CASE OF BTS-</w:t>
      </w:r>
      <w:proofErr w:type="spellStart"/>
      <w:r w:rsidRPr="00520F46">
        <w:rPr>
          <w:rFonts w:cs="Times New Roman"/>
          <w:szCs w:val="24"/>
        </w:rPr>
        <w:t>McDONALD</w:t>
      </w:r>
      <w:r>
        <w:rPr>
          <w:rFonts w:cs="Times New Roman"/>
          <w:szCs w:val="24"/>
        </w:rPr>
        <w:t>'</w:t>
      </w:r>
      <w:r w:rsidRPr="00520F46">
        <w:rPr>
          <w:rFonts w:cs="Times New Roman"/>
          <w:szCs w:val="24"/>
        </w:rPr>
        <w:t>S</w:t>
      </w:r>
      <w:proofErr w:type="spellEnd"/>
      <w:r w:rsidRPr="00520F46">
        <w:rPr>
          <w:rFonts w:cs="Times New Roman"/>
          <w:szCs w:val="24"/>
        </w:rPr>
        <w:t xml:space="preserve"> IN JAKARTA, INDONESIA. The </w:t>
      </w:r>
      <w:proofErr w:type="spellStart"/>
      <w:r w:rsidRPr="00520F46">
        <w:rPr>
          <w:rFonts w:cs="Times New Roman"/>
          <w:szCs w:val="24"/>
        </w:rPr>
        <w:t>EUrASEANs</w:t>
      </w:r>
      <w:proofErr w:type="spellEnd"/>
      <w:r w:rsidRPr="00520F46">
        <w:rPr>
          <w:rFonts w:cs="Times New Roman"/>
          <w:szCs w:val="24"/>
        </w:rPr>
        <w:t>: journal on global socio-economic dynamics, (3 (34)), pp.83-94.</w:t>
      </w:r>
    </w:p>
    <w:p w14:paraId="0A2F2CEB"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 xml:space="preserve">Pham, H.C., Nguyen, T.T., </w:t>
      </w:r>
      <w:proofErr w:type="spellStart"/>
      <w:r w:rsidRPr="00520F46">
        <w:rPr>
          <w:rFonts w:cs="Times New Roman"/>
          <w:szCs w:val="24"/>
        </w:rPr>
        <w:t>Mcdonald</w:t>
      </w:r>
      <w:proofErr w:type="spellEnd"/>
      <w:r w:rsidRPr="00520F46">
        <w:rPr>
          <w:rFonts w:cs="Times New Roman"/>
          <w:szCs w:val="24"/>
        </w:rPr>
        <w:t>, S. and Tran-</w:t>
      </w:r>
      <w:proofErr w:type="spellStart"/>
      <w:r w:rsidRPr="00520F46">
        <w:rPr>
          <w:rFonts w:cs="Times New Roman"/>
          <w:szCs w:val="24"/>
        </w:rPr>
        <w:t>Kieu</w:t>
      </w:r>
      <w:proofErr w:type="spellEnd"/>
      <w:r w:rsidRPr="00520F46">
        <w:rPr>
          <w:rFonts w:cs="Times New Roman"/>
          <w:szCs w:val="24"/>
        </w:rPr>
        <w:t>, N.Q., 2019. Information sharing in logistics firms: An exploratory study of the Vietnamese logistics sector. The Asian Journal of Shipping and Logistics, 35(2), pp.87-95.</w:t>
      </w:r>
    </w:p>
    <w:p w14:paraId="4EDAF515"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i/>
          <w:iCs/>
          <w:color w:val="000000"/>
        </w:rPr>
        <w:t xml:space="preserve">Restaurant Kitchen Layout: Fundamentals of Kitchen Planning | </w:t>
      </w:r>
      <w:proofErr w:type="spellStart"/>
      <w:r w:rsidRPr="00520F46">
        <w:rPr>
          <w:i/>
          <w:iCs/>
          <w:color w:val="000000"/>
        </w:rPr>
        <w:t>Beambox</w:t>
      </w:r>
      <w:proofErr w:type="spellEnd"/>
      <w:r w:rsidRPr="00520F46">
        <w:rPr>
          <w:color w:val="000000"/>
        </w:rPr>
        <w:t>. (n.d.). Beambox.com. https://beambox.com/townsquare/restaurant-kitchen-layout-fundamentals-of-kitchen-planning</w:t>
      </w:r>
    </w:p>
    <w:p w14:paraId="40F90BEF"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Singh, S., Naib, S. and Singh, K., (2020). Wow Momo Foods Pvt. Ltd.: in search of new growth drivers. Emerald Emerging Markets Case Studies, 10(4), pp.1-25.</w:t>
      </w:r>
    </w:p>
    <w:p w14:paraId="2D4B997B"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lastRenderedPageBreak/>
        <w:t>Sun, Y., 2022, July. Marketing Competition Analysis of the Feasibility of Investment in McDonald</w:t>
      </w:r>
      <w:r>
        <w:rPr>
          <w:rFonts w:cs="Times New Roman"/>
          <w:szCs w:val="24"/>
        </w:rPr>
        <w:t>'</w:t>
      </w:r>
      <w:r w:rsidRPr="00520F46">
        <w:rPr>
          <w:rFonts w:cs="Times New Roman"/>
          <w:szCs w:val="24"/>
        </w:rPr>
        <w:t>s. In 2022 2nd International Conference on Enterprise Management and Economic Development (ICEMED 2022) (pp. 944-949). Atlantis Press.</w:t>
      </w:r>
    </w:p>
    <w:p w14:paraId="484BCC5D" w14:textId="77777777" w:rsidR="00C37C87" w:rsidRPr="00520F46" w:rsidRDefault="00C37C87" w:rsidP="00520F46">
      <w:pPr>
        <w:pStyle w:val="NormalWeb"/>
        <w:spacing w:before="0" w:beforeAutospacing="0" w:after="0" w:afterAutospacing="0" w:line="480" w:lineRule="auto"/>
        <w:ind w:left="720" w:hanging="720"/>
        <w:contextualSpacing/>
        <w:rPr>
          <w:color w:val="000000"/>
        </w:rPr>
      </w:pPr>
      <w:r w:rsidRPr="00520F46">
        <w:rPr>
          <w:color w:val="000000"/>
        </w:rPr>
        <w:t xml:space="preserve">‌Texas Restaurant Association (n.d.). Size and Scope COVID-19 Impact Ongoing Challenges Texas Restaurant Industry Overview. Retrieved July 17, 2023, from </w:t>
      </w:r>
      <w:proofErr w:type="gramStart"/>
      <w:r w:rsidRPr="00520F46">
        <w:rPr>
          <w:color w:val="000000"/>
        </w:rPr>
        <w:t>https://txrestaurantshow.com/common/Uploaded%20files/TRA/PDF/Advocacy/2022%20Advocacy%20Fact%20Sheets/TRA-Restaurant-Industry-Overview.pdf</w:t>
      </w:r>
      <w:proofErr w:type="gramEnd"/>
    </w:p>
    <w:p w14:paraId="1EEBECF8"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The Case Centre. (n.d.). Can McDonald</w:t>
      </w:r>
      <w:r>
        <w:rPr>
          <w:rFonts w:cs="Times New Roman"/>
          <w:szCs w:val="24"/>
        </w:rPr>
        <w:t>'</w:t>
      </w:r>
      <w:r w:rsidRPr="00520F46">
        <w:rPr>
          <w:rFonts w:cs="Times New Roman"/>
          <w:szCs w:val="24"/>
        </w:rPr>
        <w:t xml:space="preserve">s </w:t>
      </w:r>
      <w:r>
        <w:rPr>
          <w:rFonts w:cs="Times New Roman"/>
          <w:szCs w:val="24"/>
        </w:rPr>
        <w:t>'</w:t>
      </w:r>
      <w:r w:rsidRPr="00520F46">
        <w:rPr>
          <w:rFonts w:cs="Times New Roman"/>
          <w:szCs w:val="24"/>
        </w:rPr>
        <w:t>Accelerating the Arches</w:t>
      </w:r>
      <w:r>
        <w:rPr>
          <w:rFonts w:cs="Times New Roman"/>
          <w:szCs w:val="24"/>
        </w:rPr>
        <w:t>'</w:t>
      </w:r>
      <w:r w:rsidRPr="00520F46">
        <w:rPr>
          <w:rFonts w:cs="Times New Roman"/>
          <w:szCs w:val="24"/>
        </w:rPr>
        <w:t xml:space="preserve"> Strategy Rekindle Growth? [online] Available at: https://www.thecasecentre.org/products/view?id=174487.</w:t>
      </w:r>
    </w:p>
    <w:p w14:paraId="5BEEB01F"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Tien, N.H., (2019). Customization and Standardization of the Business Strategy of Foreign Enterprises in Vietnam: The McDonald's case and the fast-food sector. International journal of marketing management and sales research, 1(2), pp.44-50.</w:t>
      </w:r>
    </w:p>
    <w:p w14:paraId="6EE780C8"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 xml:space="preserve">Tien, N.H., Dana, L.P., Jose, R.J.S., Van </w:t>
      </w:r>
      <w:proofErr w:type="spellStart"/>
      <w:r w:rsidRPr="00520F46">
        <w:rPr>
          <w:rFonts w:cs="Times New Roman"/>
          <w:szCs w:val="24"/>
        </w:rPr>
        <w:t>Dat</w:t>
      </w:r>
      <w:proofErr w:type="spellEnd"/>
      <w:r w:rsidRPr="00520F46">
        <w:rPr>
          <w:rFonts w:cs="Times New Roman"/>
          <w:szCs w:val="24"/>
        </w:rPr>
        <w:t xml:space="preserve">, N. and Duc, P.M., 2020. Analysis of </w:t>
      </w:r>
      <w:proofErr w:type="spellStart"/>
      <w:r w:rsidRPr="00520F46">
        <w:rPr>
          <w:rFonts w:cs="Times New Roman"/>
          <w:szCs w:val="24"/>
        </w:rPr>
        <w:t>Mcdonald's</w:t>
      </w:r>
      <w:proofErr w:type="spellEnd"/>
      <w:r w:rsidRPr="00520F46">
        <w:rPr>
          <w:rFonts w:cs="Times New Roman"/>
          <w:szCs w:val="24"/>
        </w:rPr>
        <w:t xml:space="preserve"> entry strategy into the Vietnam market. International journal of advanced research and development, 5(3), pp.23-29.</w:t>
      </w:r>
    </w:p>
    <w:p w14:paraId="42446B99" w14:textId="77777777" w:rsidR="00C37C87" w:rsidRPr="00520F46" w:rsidRDefault="00C37C87" w:rsidP="00520F46">
      <w:pPr>
        <w:spacing w:after="0" w:line="480" w:lineRule="auto"/>
        <w:ind w:left="720" w:hanging="720"/>
        <w:contextualSpacing/>
        <w:rPr>
          <w:rFonts w:cs="Times New Roman"/>
          <w:szCs w:val="24"/>
        </w:rPr>
      </w:pPr>
      <w:r w:rsidRPr="00520F46">
        <w:rPr>
          <w:rFonts w:cs="Times New Roman"/>
          <w:szCs w:val="24"/>
        </w:rPr>
        <w:t xml:space="preserve">Tien, N.H., Dana, L.P., Jose, R.J.S., Van </w:t>
      </w:r>
      <w:proofErr w:type="spellStart"/>
      <w:r w:rsidRPr="00520F46">
        <w:rPr>
          <w:rFonts w:cs="Times New Roman"/>
          <w:szCs w:val="24"/>
        </w:rPr>
        <w:t>Dat</w:t>
      </w:r>
      <w:proofErr w:type="spellEnd"/>
      <w:r w:rsidRPr="00520F46">
        <w:rPr>
          <w:rFonts w:cs="Times New Roman"/>
          <w:szCs w:val="24"/>
        </w:rPr>
        <w:t xml:space="preserve">, N. and Duc, P.M., 2020. Analysis of </w:t>
      </w:r>
      <w:proofErr w:type="spellStart"/>
      <w:r w:rsidRPr="00520F46">
        <w:rPr>
          <w:rFonts w:cs="Times New Roman"/>
          <w:szCs w:val="24"/>
        </w:rPr>
        <w:t>Mcdonald's</w:t>
      </w:r>
      <w:proofErr w:type="spellEnd"/>
      <w:r w:rsidRPr="00520F46">
        <w:rPr>
          <w:rFonts w:cs="Times New Roman"/>
          <w:szCs w:val="24"/>
        </w:rPr>
        <w:t xml:space="preserve"> entry strategy into the Vietnam market. International journal of advanced research and development, 5(3), pp.23-29.</w:t>
      </w:r>
    </w:p>
    <w:p w14:paraId="55E098A2" w14:textId="77777777" w:rsidR="00C37C87" w:rsidRPr="00520F46" w:rsidRDefault="00C37C87" w:rsidP="00520F46">
      <w:pPr>
        <w:spacing w:after="0" w:line="480" w:lineRule="auto"/>
        <w:ind w:left="720" w:hanging="720"/>
        <w:contextualSpacing/>
        <w:rPr>
          <w:rFonts w:cs="Times New Roman"/>
          <w:szCs w:val="24"/>
        </w:rPr>
      </w:pPr>
      <w:proofErr w:type="spellStart"/>
      <w:r w:rsidRPr="00520F46">
        <w:rPr>
          <w:rFonts w:cs="Times New Roman"/>
          <w:szCs w:val="24"/>
        </w:rPr>
        <w:t>Vignali</w:t>
      </w:r>
      <w:proofErr w:type="spellEnd"/>
      <w:r w:rsidRPr="00520F46">
        <w:rPr>
          <w:rFonts w:cs="Times New Roman"/>
          <w:szCs w:val="24"/>
        </w:rPr>
        <w:t>, C., 2021. McDonald</w:t>
      </w:r>
      <w:r>
        <w:rPr>
          <w:rFonts w:cs="Times New Roman"/>
          <w:szCs w:val="24"/>
        </w:rPr>
        <w:t>'</w:t>
      </w:r>
      <w:r w:rsidRPr="00520F46">
        <w:rPr>
          <w:rFonts w:cs="Times New Roman"/>
          <w:szCs w:val="24"/>
        </w:rPr>
        <w:t xml:space="preserve">s: </w:t>
      </w:r>
      <w:r>
        <w:rPr>
          <w:rFonts w:cs="Times New Roman"/>
          <w:szCs w:val="24"/>
        </w:rPr>
        <w:t>"</w:t>
      </w:r>
      <w:r w:rsidRPr="00520F46">
        <w:rPr>
          <w:rFonts w:cs="Times New Roman"/>
          <w:szCs w:val="24"/>
        </w:rPr>
        <w:t>think global, act local</w:t>
      </w:r>
      <w:r>
        <w:rPr>
          <w:rFonts w:cs="Times New Roman"/>
          <w:szCs w:val="24"/>
        </w:rPr>
        <w:t>"</w:t>
      </w:r>
      <w:r w:rsidRPr="00520F46">
        <w:rPr>
          <w:rFonts w:cs="Times New Roman"/>
          <w:szCs w:val="24"/>
        </w:rPr>
        <w:t>–the marketing mix. British food journal, 103(2), pp.97-111.</w:t>
      </w:r>
    </w:p>
    <w:p w14:paraId="07D2E1E4" w14:textId="77777777" w:rsidR="00075739" w:rsidRDefault="00075739" w:rsidP="00075739">
      <w:pPr>
        <w:pStyle w:val="NormalWeb"/>
        <w:rPr>
          <w:rFonts w:ascii="Calibri" w:hAnsi="Calibri" w:cs="Calibri"/>
          <w:color w:val="000000"/>
          <w:sz w:val="27"/>
          <w:szCs w:val="27"/>
        </w:rPr>
      </w:pPr>
    </w:p>
    <w:p w14:paraId="40308B58" w14:textId="77777777" w:rsidR="00075739" w:rsidRDefault="00075739" w:rsidP="00075739">
      <w:pPr>
        <w:pStyle w:val="NormalWeb"/>
        <w:rPr>
          <w:rFonts w:ascii="Calibri" w:hAnsi="Calibri" w:cs="Calibri"/>
          <w:color w:val="000000"/>
          <w:sz w:val="27"/>
          <w:szCs w:val="27"/>
        </w:rPr>
      </w:pPr>
    </w:p>
    <w:p w14:paraId="215E8C8E" w14:textId="77777777" w:rsidR="0065358B" w:rsidRDefault="0065358B" w:rsidP="000C1EDA"/>
    <w:p w14:paraId="4342F868" w14:textId="77777777" w:rsidR="0065358B" w:rsidRDefault="0065358B" w:rsidP="000C1EDA"/>
    <w:p w14:paraId="7B4078EE" w14:textId="77777777" w:rsidR="0065358B" w:rsidRDefault="0065358B" w:rsidP="000C1EDA"/>
    <w:p w14:paraId="5E0971C7" w14:textId="77777777" w:rsidR="00E0320B" w:rsidRDefault="00E0320B" w:rsidP="00C37C87">
      <w:pPr>
        <w:rPr>
          <w:rFonts w:cs="Times New Roman"/>
          <w:szCs w:val="24"/>
        </w:rPr>
      </w:pPr>
    </w:p>
    <w:p w14:paraId="2B5ECFD6" w14:textId="77777777" w:rsidR="00E0320B" w:rsidRDefault="00E0320B" w:rsidP="00E0320B">
      <w:pPr>
        <w:jc w:val="center"/>
        <w:rPr>
          <w:rFonts w:cs="Times New Roman"/>
          <w:szCs w:val="24"/>
        </w:rPr>
      </w:pPr>
    </w:p>
    <w:sectPr w:rsidR="00E0320B" w:rsidSect="00E0320B">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1F6D6" w14:textId="77777777" w:rsidR="006A41CD" w:rsidRDefault="006A41CD">
      <w:pPr>
        <w:spacing w:after="0" w:line="240" w:lineRule="auto"/>
      </w:pPr>
      <w:r>
        <w:separator/>
      </w:r>
    </w:p>
  </w:endnote>
  <w:endnote w:type="continuationSeparator" w:id="0">
    <w:p w14:paraId="44111D06" w14:textId="77777777" w:rsidR="006A41CD" w:rsidRDefault="006A4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CDF7A" w14:textId="77777777" w:rsidR="006A41CD" w:rsidRDefault="006A41CD">
      <w:pPr>
        <w:spacing w:after="0" w:line="240" w:lineRule="auto"/>
      </w:pPr>
      <w:r>
        <w:separator/>
      </w:r>
    </w:p>
  </w:footnote>
  <w:footnote w:type="continuationSeparator" w:id="0">
    <w:p w14:paraId="02541493" w14:textId="77777777" w:rsidR="006A41CD" w:rsidRDefault="006A41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669080"/>
      <w:docPartObj>
        <w:docPartGallery w:val="Page Numbers (Top of Page)"/>
        <w:docPartUnique/>
      </w:docPartObj>
    </w:sdtPr>
    <w:sdtEndPr>
      <w:rPr>
        <w:noProof/>
      </w:rPr>
    </w:sdtEndPr>
    <w:sdtContent>
      <w:p w14:paraId="6CC9AE0C" w14:textId="77777777" w:rsidR="0065358B" w:rsidRDefault="00000000">
        <w:pPr>
          <w:pStyle w:val="Header"/>
          <w:jc w:val="right"/>
        </w:pPr>
        <w:r>
          <w:fldChar w:fldCharType="begin"/>
        </w:r>
        <w:r>
          <w:instrText xml:space="preserve"> PAGE   \* MERGEFORMAT </w:instrText>
        </w:r>
        <w:r>
          <w:fldChar w:fldCharType="separate"/>
        </w:r>
        <w:r w:rsidR="00520F46">
          <w:rPr>
            <w:noProof/>
          </w:rPr>
          <w:t>8</w:t>
        </w:r>
        <w:r>
          <w:rPr>
            <w:noProof/>
          </w:rPr>
          <w:fldChar w:fldCharType="end"/>
        </w:r>
      </w:p>
    </w:sdtContent>
  </w:sdt>
  <w:p w14:paraId="1026F1A2" w14:textId="77777777" w:rsidR="0065358B" w:rsidRDefault="006535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519336"/>
      <w:docPartObj>
        <w:docPartGallery w:val="Page Numbers (Top of Page)"/>
        <w:docPartUnique/>
      </w:docPartObj>
    </w:sdtPr>
    <w:sdtEndPr>
      <w:rPr>
        <w:noProof/>
      </w:rPr>
    </w:sdtEndPr>
    <w:sdtContent>
      <w:p w14:paraId="30A34485" w14:textId="77777777" w:rsidR="0065358B" w:rsidRDefault="00000000">
        <w:pPr>
          <w:pStyle w:val="Header"/>
          <w:jc w:val="right"/>
        </w:pPr>
        <w:r>
          <w:fldChar w:fldCharType="begin"/>
        </w:r>
        <w:r>
          <w:instrText xml:space="preserve"> PAGE   \* MERGEFORMAT </w:instrText>
        </w:r>
        <w:r>
          <w:fldChar w:fldCharType="separate"/>
        </w:r>
        <w:r w:rsidR="00520F46">
          <w:rPr>
            <w:noProof/>
          </w:rPr>
          <w:t>1</w:t>
        </w:r>
        <w:r>
          <w:rPr>
            <w:noProof/>
          </w:rPr>
          <w:fldChar w:fldCharType="end"/>
        </w:r>
      </w:p>
    </w:sdtContent>
  </w:sdt>
  <w:p w14:paraId="0288647B" w14:textId="77777777" w:rsidR="0065358B" w:rsidRDefault="006535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3MTA3NzM1MbS0NDBU0lEKTi0uzszPAykwrAUAFNuXWywAAAA="/>
  </w:docVars>
  <w:rsids>
    <w:rsidRoot w:val="00E0320B"/>
    <w:rsid w:val="00004BFB"/>
    <w:rsid w:val="00075739"/>
    <w:rsid w:val="000C1EDA"/>
    <w:rsid w:val="00251D32"/>
    <w:rsid w:val="00391B8A"/>
    <w:rsid w:val="003A46FA"/>
    <w:rsid w:val="003C35FA"/>
    <w:rsid w:val="003E793A"/>
    <w:rsid w:val="004715AC"/>
    <w:rsid w:val="004747D8"/>
    <w:rsid w:val="00520F46"/>
    <w:rsid w:val="00543C69"/>
    <w:rsid w:val="0065358B"/>
    <w:rsid w:val="006A41CD"/>
    <w:rsid w:val="007D470E"/>
    <w:rsid w:val="007E6A29"/>
    <w:rsid w:val="008B4981"/>
    <w:rsid w:val="009063A1"/>
    <w:rsid w:val="009505BC"/>
    <w:rsid w:val="009A4C81"/>
    <w:rsid w:val="009A5225"/>
    <w:rsid w:val="00A43D89"/>
    <w:rsid w:val="00A547C0"/>
    <w:rsid w:val="00A74FF3"/>
    <w:rsid w:val="00A9273C"/>
    <w:rsid w:val="00B738E6"/>
    <w:rsid w:val="00B813D2"/>
    <w:rsid w:val="00C05888"/>
    <w:rsid w:val="00C10C66"/>
    <w:rsid w:val="00C255DB"/>
    <w:rsid w:val="00C37C87"/>
    <w:rsid w:val="00C75F96"/>
    <w:rsid w:val="00C93CB3"/>
    <w:rsid w:val="00CB7F07"/>
    <w:rsid w:val="00CD117C"/>
    <w:rsid w:val="00D3543C"/>
    <w:rsid w:val="00D612D4"/>
    <w:rsid w:val="00E0320B"/>
    <w:rsid w:val="00F111CA"/>
    <w:rsid w:val="00F20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E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888"/>
    <w:rPr>
      <w:rFonts w:ascii="Times New Roman" w:hAnsi="Times New Roman"/>
      <w:sz w:val="24"/>
    </w:rPr>
  </w:style>
  <w:style w:type="paragraph" w:styleId="Heading1">
    <w:name w:val="heading 1"/>
    <w:basedOn w:val="Normal"/>
    <w:next w:val="Normal"/>
    <w:link w:val="Heading1Char"/>
    <w:uiPriority w:val="9"/>
    <w:qFormat/>
    <w:rsid w:val="009A522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543C69"/>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3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320B"/>
  </w:style>
  <w:style w:type="paragraph" w:styleId="Footer">
    <w:name w:val="footer"/>
    <w:basedOn w:val="Normal"/>
    <w:link w:val="FooterChar"/>
    <w:uiPriority w:val="99"/>
    <w:unhideWhenUsed/>
    <w:rsid w:val="00E03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320B"/>
  </w:style>
  <w:style w:type="character" w:customStyle="1" w:styleId="Heading3Char">
    <w:name w:val="Heading 3 Char"/>
    <w:basedOn w:val="DefaultParagraphFont"/>
    <w:link w:val="Heading3"/>
    <w:uiPriority w:val="9"/>
    <w:rsid w:val="00543C6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75739"/>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520F46"/>
    <w:rPr>
      <w:color w:val="0000FF" w:themeColor="hyperlink"/>
      <w:u w:val="single"/>
    </w:rPr>
  </w:style>
  <w:style w:type="character" w:customStyle="1" w:styleId="Heading1Char">
    <w:name w:val="Heading 1 Char"/>
    <w:basedOn w:val="DefaultParagraphFont"/>
    <w:link w:val="Heading1"/>
    <w:uiPriority w:val="9"/>
    <w:rsid w:val="009A522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4725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2416</Words>
  <Characters>13777</Characters>
  <Application>Microsoft Office Word</Application>
  <DocSecurity>0</DocSecurity>
  <Lines>114</Lines>
  <Paragraphs>32</Paragraphs>
  <ScaleCrop>false</ScaleCrop>
  <Company/>
  <LinksUpToDate>false</LinksUpToDate>
  <CharactersWithSpaces>16161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2023-11-18T01:56:00Z</dcterms:created>
  <dcterms:modified xsi:type="dcterms:W3CDTF">2023-11-18T01:56:00Z</dcterms:modified>
</cp:coreProperties>
</file>