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480" w:lineRule="auto"/>
        <w:jc w:val="center"/>
        <w:rPr>
          <w:rFonts w:ascii="Times New Roman" w:cs="Times New Roman" w:hAnsi="Times New Roman" w:eastAsia="Times New Roman"/>
          <w:sz w:val="24"/>
          <w:szCs w:val="24"/>
        </w:rPr>
      </w:pPr>
    </w:p>
    <w:tbl>
      <w:tblPr>
        <w:tblW w:w="5122"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928"/>
        <w:gridCol w:w="3194"/>
      </w:tblGrid>
      <w:tr>
        <w:tblPrEx>
          <w:shd w:val="clear" w:color="auto" w:fill="cdd4e9"/>
        </w:tblPrEx>
        <w:trPr>
          <w:trHeight w:val="2059" w:hRule="atLeast"/>
        </w:trPr>
        <w:tc>
          <w:tcPr>
            <w:tcW w:type="dxa" w:w="19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er"/>
              <w:tabs>
                <w:tab w:val="clear" w:pos="4680"/>
                <w:tab w:val="clear" w:pos="9360"/>
              </w:tabs>
              <w:spacing w:after="160" w:line="259" w:lineRule="auto"/>
              <w:jc w:val="center"/>
            </w:pPr>
            <w:r>
              <w:rPr>
                <w:rFonts w:ascii="Times New Roman" w:cs="Times New Roman" w:hAnsi="Times New Roman" w:eastAsia="Times New Roman"/>
                <w:sz w:val="24"/>
                <w:szCs w:val="24"/>
                <w:lang w:val="en-US"/>
                <w14:textOutline w14:w="12700" w14:cap="flat">
                  <w14:noFill/>
                  <w14:miter w14:lim="400000"/>
                </w14:textOutline>
              </w:rPr>
              <w:drawing>
                <wp:inline distT="0" distB="0" distL="0" distR="0">
                  <wp:extent cx="904875" cy="1219200"/>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904875" cy="1219200"/>
                          </a:xfrm>
                          <a:prstGeom prst="rect">
                            <a:avLst/>
                          </a:prstGeom>
                          <a:ln w="12700" cap="flat">
                            <a:noFill/>
                            <a:miter lim="400000"/>
                          </a:ln>
                          <a:effectLst/>
                        </pic:spPr>
                      </pic:pic>
                    </a:graphicData>
                  </a:graphic>
                </wp:inline>
              </w:drawing>
            </w:r>
          </w:p>
        </w:tc>
        <w:tc>
          <w:tcPr>
            <w:tcW w:type="dxa" w:w="31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er"/>
              <w:tabs>
                <w:tab w:val="clear" w:pos="4680"/>
                <w:tab w:val="clear" w:pos="9360"/>
              </w:tabs>
              <w:jc w:val="center"/>
              <w:rPr>
                <w:rFonts w:ascii="Times New Roman" w:cs="Times New Roman" w:hAnsi="Times New Roman" w:eastAsia="Times New Roman"/>
                <w:b w:val="1"/>
                <w:bCs w:val="1"/>
                <w:sz w:val="34"/>
                <w:szCs w:val="34"/>
                <w:lang w:val="en-US"/>
                <w14:textOutline w14:w="12700" w14:cap="flat">
                  <w14:noFill/>
                  <w14:miter w14:lim="400000"/>
                </w14:textOutline>
              </w:rPr>
            </w:pPr>
          </w:p>
          <w:p>
            <w:pPr>
              <w:pStyle w:val="header"/>
              <w:tabs>
                <w:tab w:val="clear" w:pos="4680"/>
                <w:tab w:val="clear" w:pos="9360"/>
              </w:tabs>
              <w:bidi w:val="0"/>
              <w:ind w:left="0" w:right="0" w:firstLine="0"/>
              <w:jc w:val="center"/>
              <w:rPr>
                <w:rFonts w:ascii="Times New Roman" w:cs="Times New Roman" w:hAnsi="Times New Roman" w:eastAsia="Times New Roman"/>
                <w:b w:val="1"/>
                <w:bCs w:val="1"/>
                <w:sz w:val="34"/>
                <w:szCs w:val="34"/>
                <w:rtl w:val="0"/>
                <w14:textOutline w14:w="12700" w14:cap="flat">
                  <w14:noFill/>
                  <w14:miter w14:lim="400000"/>
                </w14:textOutline>
              </w:rPr>
            </w:pPr>
            <w:r>
              <w:rPr>
                <w:rFonts w:ascii="Times New Roman" w:hAnsi="Times New Roman"/>
                <w:b w:val="1"/>
                <w:bCs w:val="1"/>
                <w:sz w:val="34"/>
                <w:szCs w:val="34"/>
                <w:rtl w:val="0"/>
                <w:lang w:val="en-US"/>
                <w14:textOutline w14:w="12700" w14:cap="flat">
                  <w14:noFill/>
                  <w14:miter w14:lim="400000"/>
                </w14:textOutline>
              </w:rPr>
              <w:t>University of Wales</w:t>
            </w:r>
          </w:p>
          <w:p>
            <w:pPr>
              <w:pStyle w:val="header"/>
              <w:tabs>
                <w:tab w:val="clear" w:pos="4680"/>
                <w:tab w:val="clear" w:pos="9360"/>
              </w:tabs>
              <w:bidi w:val="0"/>
              <w:ind w:left="0" w:right="0" w:firstLine="0"/>
              <w:jc w:val="center"/>
              <w:rPr>
                <w:rtl w:val="0"/>
              </w:rPr>
            </w:pPr>
            <w:r>
              <w:rPr>
                <w:rFonts w:ascii="Times New Roman" w:hAnsi="Times New Roman"/>
                <w:b w:val="1"/>
                <w:bCs w:val="1"/>
                <w:sz w:val="34"/>
                <w:szCs w:val="34"/>
                <w:rtl w:val="0"/>
                <w:lang w:val="en-US"/>
                <w14:textOutline w14:w="12700" w14:cap="flat">
                  <w14:noFill/>
                  <w14:miter w14:lim="400000"/>
                </w14:textOutline>
              </w:rPr>
              <w:t>Trinity Saint David</w:t>
            </w:r>
          </w:p>
        </w:tc>
      </w:tr>
    </w:tbl>
    <w:p>
      <w:pPr>
        <w:pStyle w:val="Body A"/>
        <w:widowControl w:val="0"/>
        <w:spacing w:line="240" w:lineRule="auto"/>
        <w:ind w:left="108" w:hanging="108"/>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240" w:lineRule="auto"/>
        <w:jc w:val="center"/>
        <w:rPr>
          <w:rFonts w:ascii="Times New Roman" w:cs="Times New Roman" w:hAnsi="Times New Roman" w:eastAsia="Times New Roman"/>
          <w:b w:val="1"/>
          <w:bCs w:val="1"/>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b w:val="1"/>
          <w:bCs w:val="1"/>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BA BUSINESS MANAGEMENT</w:t>
      </w:r>
    </w:p>
    <w:p>
      <w:pPr>
        <w:pStyle w:val="Body A"/>
        <w:spacing w:line="240" w:lineRule="auto"/>
        <w:jc w:val="center"/>
        <w:rPr>
          <w:rFonts w:ascii="Times New Roman" w:cs="Times New Roman" w:hAnsi="Times New Roman" w:eastAsia="Times New Roman"/>
          <w:caps w:val="0"/>
          <w:smallCaps w:val="0"/>
          <w:strike w:val="0"/>
          <w:dstrike w:val="0"/>
          <w:outline w:val="0"/>
          <w:color w:val="000000"/>
          <w:spacing w:val="0"/>
          <w:kern w:val="0"/>
          <w:position w:val="0"/>
          <w:u w:val="none" w:color="000000"/>
          <w:vertAlign w:val="baseline"/>
          <w14:textOutline w14:w="12700" w14:cap="flat">
            <w14:noFill/>
            <w14:miter w14:lim="400000"/>
          </w14:textOutline>
          <w14:textFill>
            <w14:solidFill>
              <w14:srgbClr w14:val="000000"/>
            </w14:solidFill>
          </w14:textFill>
        </w:rPr>
      </w:pP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LCBB5002</w:t>
      </w:r>
    </w:p>
    <w:p>
      <w:pPr>
        <w:pStyle w:val="Body A"/>
        <w:spacing w:line="480" w:lineRule="auto"/>
        <w:jc w:val="cente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Lecturer: Widin Sha`ven</w:t>
      </w:r>
    </w:p>
    <w:p>
      <w:pPr>
        <w:pStyle w:val="Body A"/>
        <w:spacing w:line="240" w:lineRule="auto"/>
        <w:jc w:val="center"/>
        <w:rPr>
          <w:rFonts w:ascii="Times New Roman" w:cs="Times New Roman" w:hAnsi="Times New Roman" w:eastAsia="Times New Roman"/>
          <w:b w:val="1"/>
          <w:bCs w:val="1"/>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pPr>
    </w:p>
    <w:p>
      <w:pPr>
        <w:pStyle w:val="Body A"/>
        <w:spacing w:line="240" w:lineRule="auto"/>
        <w:jc w:val="center"/>
        <w:rPr>
          <w:rFonts w:ascii="Times New Roman" w:cs="Times New Roman" w:hAnsi="Times New Roman" w:eastAsia="Times New Roman"/>
          <w:b w:val="1"/>
          <w:bCs w:val="1"/>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b w:val="1"/>
          <w:bCs w:val="1"/>
          <w:sz w:val="24"/>
          <w:szCs w:val="24"/>
          <w:rtl w:val="0"/>
          <w:lang w:val="en-US"/>
          <w14:textOutline w14:w="12700" w14:cap="flat">
            <w14:noFill/>
            <w14:miter w14:lim="400000"/>
          </w14:textOutline>
        </w:rPr>
        <w:t>MANAGEMENT ACCOUNTING</w:t>
      </w:r>
    </w:p>
    <w:p>
      <w:pPr>
        <w:pStyle w:val="Body A"/>
        <w:spacing w:line="240" w:lineRule="auto"/>
        <w:jc w:val="cente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Assignment 2</w:t>
      </w:r>
    </w:p>
    <w:p>
      <w:pPr>
        <w:pStyle w:val="Body A"/>
        <w:spacing w:line="240" w:lineRule="auto"/>
        <w:jc w:val="cente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A work of Petya Niklenova</w:t>
      </w:r>
    </w:p>
    <w:p>
      <w:pPr>
        <w:pStyle w:val="Body A"/>
        <w:spacing w:line="240" w:lineRule="auto"/>
        <w:jc w:val="cente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ID:1916916</w:t>
      </w:r>
    </w:p>
    <w:p>
      <w:pPr>
        <w:pStyle w:val="Body A"/>
        <w:spacing w:line="240" w:lineRule="auto"/>
        <w:jc w:val="cente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p>
    <w:p>
      <w:pPr>
        <w:pStyle w:val="Body A"/>
        <w:spacing w:line="480" w:lineRule="auto"/>
        <w:jc w:val="cente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pP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de-DE"/>
          <w14:textOutline w14:w="12700" w14:cap="flat">
            <w14:noFill/>
            <w14:miter w14:lim="400000"/>
          </w14:textOutline>
          <w14:textFill>
            <w14:solidFill>
              <w14:srgbClr w14:val="000000"/>
            </w14:solidFill>
          </w14:textFill>
        </w:rPr>
        <w:t>Date:</w:t>
      </w:r>
      <w:r>
        <w:rPr>
          <w:rFonts w:ascii="Times New Roman" w:hAnsi="Times New Roman"/>
          <w:caps w:val="0"/>
          <w:smallCaps w:val="0"/>
          <w:strike w:val="0"/>
          <w:dstrike w:val="0"/>
          <w:outline w:val="0"/>
          <w:color w:val="000000"/>
          <w:spacing w:val="0"/>
          <w:kern w:val="0"/>
          <w:position w:val="0"/>
          <w:sz w:val="24"/>
          <w:szCs w:val="24"/>
          <w:u w:val="none" w:color="000000"/>
          <w:vertAlign w:val="baseline"/>
          <w:rtl w:val="0"/>
          <w:lang w:val="en-US"/>
          <w14:textOutline w14:w="12700" w14:cap="flat">
            <w14:noFill/>
            <w14:miter w14:lim="400000"/>
          </w14:textOutline>
          <w14:textFill>
            <w14:solidFill>
              <w14:srgbClr w14:val="000000"/>
            </w14:solidFill>
          </w14:textFill>
        </w:rPr>
        <w:t xml:space="preserve"> 02/05/2021</w:t>
      </w:r>
    </w:p>
    <w:p>
      <w:pPr>
        <w:pStyle w:val="Body A"/>
        <w:spacing w:line="480" w:lineRule="auto"/>
      </w:pPr>
      <w:r>
        <w:rPr>
          <w:rFonts w:ascii="Arial Unicode MS" w:cs="Arial Unicode MS" w:hAnsi="Arial Unicode MS" w:eastAsia="Arial Unicode MS"/>
          <w:b w:val="0"/>
          <w:bCs w:val="0"/>
          <w:i w:val="0"/>
          <w:iCs w:val="0"/>
          <w:sz w:val="24"/>
          <w:szCs w:val="24"/>
        </w:rPr>
        <w:br w:type="page"/>
      </w:r>
    </w:p>
    <w:p>
      <w:pPr>
        <w:pStyle w:val="Default"/>
        <w:spacing w:after="128" w:line="480" w:lineRule="auto"/>
        <w:rPr>
          <w:rFonts w:ascii="Times New Roman" w:cs="Times New Roman" w:hAnsi="Times New Roman" w:eastAsia="Times New Roman"/>
          <w:b w:val="1"/>
          <w:bCs w:val="1"/>
          <w:u w:val="single"/>
        </w:rPr>
      </w:pPr>
      <w:r>
        <w:rPr>
          <w:rFonts w:ascii="Times New Roman" w:hAnsi="Times New Roman"/>
          <w:b w:val="1"/>
          <w:bCs w:val="1"/>
          <w:u w:val="single"/>
          <w:rtl w:val="0"/>
          <w:lang w:val="en-US"/>
        </w:rPr>
        <w:t>Part A</w:t>
      </w:r>
    </w:p>
    <w:p>
      <w:pPr>
        <w:pStyle w:val="Default"/>
        <w:spacing w:after="128" w:line="480" w:lineRule="auto"/>
        <w:rPr>
          <w:rFonts w:ascii="Times New Roman" w:cs="Times New Roman" w:hAnsi="Times New Roman" w:eastAsia="Times New Roman"/>
          <w:b w:val="1"/>
          <w:bCs w:val="1"/>
        </w:rPr>
      </w:pPr>
      <w:r>
        <w:rPr>
          <w:rFonts w:ascii="Times New Roman" w:hAnsi="Times New Roman"/>
          <w:b w:val="1"/>
          <w:bCs w:val="1"/>
          <w:rtl w:val="0"/>
          <w:lang w:val="en-US"/>
        </w:rPr>
        <w:t>Introduction</w:t>
      </w:r>
    </w:p>
    <w:p>
      <w:pPr>
        <w:pStyle w:val="Default"/>
        <w:spacing w:after="128" w:line="480" w:lineRule="auto"/>
        <w:ind w:firstLine="720"/>
        <w:rPr>
          <w:rFonts w:ascii="Times New Roman" w:cs="Times New Roman" w:hAnsi="Times New Roman" w:eastAsia="Times New Roman"/>
        </w:rPr>
      </w:pPr>
      <w:r>
        <w:rPr>
          <w:rFonts w:ascii="Times New Roman" w:hAnsi="Times New Roman"/>
          <w:rtl w:val="0"/>
          <w:lang w:val="en-US"/>
        </w:rPr>
        <w:t xml:space="preserve">The tourism industry has been one of the worst affected sectors in the world economy. Tourist companies have been forced by the market circumstances to adopt new ways of conducting their businesses because they are unable to physically serve customers physically. Travel restrictions have made the industry to run out of customers, and companies that depend entirely on serving customers with services like tour guidance, accommodation, and similar services have almost closed down entirely. Companies and the industry at large need to adapt new ways to help themselves recover from the effects of the pandemic. Amana Ltd, whose data has been discussed below, is one such a business (Sigala, 2020). </w:t>
      </w:r>
    </w:p>
    <w:p>
      <w:pPr>
        <w:pStyle w:val="Default"/>
        <w:spacing w:after="128" w:line="480" w:lineRule="auto"/>
        <w:ind w:firstLine="720"/>
        <w:rPr>
          <w:rFonts w:ascii="Times New Roman" w:cs="Times New Roman" w:hAnsi="Times New Roman" w:eastAsia="Times New Roman"/>
        </w:rPr>
      </w:pPr>
    </w:p>
    <w:p>
      <w:pPr>
        <w:pStyle w:val="Default"/>
        <w:spacing w:after="128" w:line="480" w:lineRule="auto"/>
        <w:ind w:firstLine="720"/>
        <w:rPr>
          <w:rFonts w:ascii="Times New Roman" w:cs="Times New Roman" w:hAnsi="Times New Roman" w:eastAsia="Times New Roman"/>
        </w:rPr>
      </w:pPr>
    </w:p>
    <w:p>
      <w:pPr>
        <w:pStyle w:val="Default"/>
        <w:numPr>
          <w:ilvl w:val="0"/>
          <w:numId w:val="2"/>
        </w:numPr>
        <w:bidi w:val="0"/>
        <w:spacing w:after="128" w:line="480" w:lineRule="auto"/>
        <w:ind w:right="0"/>
        <w:jc w:val="left"/>
        <w:rPr>
          <w:rFonts w:ascii="Times New Roman" w:hAnsi="Times New Roman"/>
          <w:b w:val="1"/>
          <w:bCs w:val="1"/>
          <w:rtl w:val="0"/>
          <w:lang w:val="en-US"/>
        </w:rPr>
      </w:pPr>
      <w:r>
        <w:rPr>
          <w:rFonts w:ascii="Times New Roman" w:hAnsi="Times New Roman"/>
          <w:b w:val="1"/>
          <w:bCs w:val="1"/>
          <w:rtl w:val="0"/>
          <w:lang w:val="en-US"/>
        </w:rPr>
        <w:t xml:space="preserve">Prepare the monthly control report showing original budget, flexed budget, and variances. </w:t>
      </w:r>
    </w:p>
    <w:p>
      <w:pPr>
        <w:pStyle w:val="Default"/>
        <w:spacing w:after="128" w:line="480" w:lineRule="auto"/>
        <w:rPr>
          <w:rFonts w:ascii="Times New Roman" w:cs="Times New Roman" w:hAnsi="Times New Roman" w:eastAsia="Times New Roman"/>
        </w:rPr>
      </w:pPr>
      <w:r>
        <w:rPr>
          <w:rFonts w:ascii="Times New Roman" w:hAnsi="Times New Roman"/>
          <w:rtl w:val="0"/>
          <w:lang w:val="en-US"/>
        </w:rPr>
        <w:t xml:space="preserve">Date: </w:t>
      </w:r>
      <w:r>
        <w:rPr>
          <w:rFonts w:ascii="Times New Roman" w:hAnsi="Times New Roman" w:hint="default"/>
          <w:rtl w:val="0"/>
          <w:lang w:val="en-US"/>
        </w:rPr>
        <w:t>…</w:t>
      </w:r>
      <w:r>
        <w:rPr>
          <w:rFonts w:ascii="Times New Roman" w:hAnsi="Times New Roman"/>
          <w:rtl w:val="0"/>
          <w:lang w:val="en-US"/>
        </w:rPr>
        <w:t>02.05.2021</w:t>
      </w:r>
      <w:r>
        <w:rPr>
          <w:rFonts w:ascii="Times New Roman" w:hAnsi="Times New Roman" w:hint="default"/>
          <w:rtl w:val="0"/>
          <w:lang w:val="en-US"/>
        </w:rPr>
        <w:t>……</w:t>
      </w:r>
      <w:r>
        <w:rPr>
          <w:rFonts w:ascii="Times New Roman" w:hAnsi="Times New Roman"/>
          <w:rtl w:val="0"/>
          <w:lang w:val="en-US"/>
        </w:rPr>
        <w:t xml:space="preserve">. Operation Title: </w:t>
      </w:r>
      <w:r>
        <w:rPr>
          <w:rFonts w:ascii="Times New Roman" w:hAnsi="Times New Roman" w:hint="default"/>
          <w:rtl w:val="0"/>
          <w:lang w:val="en-US"/>
        </w:rPr>
        <w:t>…</w:t>
      </w:r>
      <w:r>
        <w:rPr>
          <w:rFonts w:ascii="Times New Roman" w:hAnsi="Times New Roman"/>
          <w:rtl w:val="0"/>
          <w:lang w:val="en-US"/>
        </w:rPr>
        <w:t>Monthly Control Report</w:t>
      </w:r>
      <w:r>
        <w:rPr>
          <w:rFonts w:ascii="Times New Roman" w:hAnsi="Times New Roman" w:hint="default"/>
          <w:rtl w:val="0"/>
          <w:lang w:val="en-US"/>
        </w:rPr>
        <w:t>………</w:t>
      </w:r>
    </w:p>
    <w:p>
      <w:pPr>
        <w:pStyle w:val="Default"/>
        <w:spacing w:after="128" w:line="480" w:lineRule="auto"/>
        <w:rPr>
          <w:rFonts w:ascii="Times New Roman" w:cs="Times New Roman" w:hAnsi="Times New Roman" w:eastAsia="Times New Roman"/>
        </w:rPr>
      </w:pPr>
      <w:r>
        <w:rPr>
          <w:rFonts w:ascii="Times New Roman" w:hAnsi="Times New Roman"/>
          <w:rtl w:val="0"/>
          <w:lang w:val="en-US"/>
        </w:rPr>
        <w:t xml:space="preserve">Prepared by: Petya Niklenova   Prepared for: </w:t>
      </w:r>
      <w:r>
        <w:rPr>
          <w:rFonts w:ascii="Times New Roman" w:hAnsi="Times New Roman" w:hint="default"/>
          <w:rtl w:val="0"/>
          <w:lang w:val="en-US"/>
        </w:rPr>
        <w:t>…</w:t>
      </w:r>
      <w:r>
        <w:rPr>
          <w:rFonts w:ascii="Times New Roman" w:hAnsi="Times New Roman"/>
          <w:rtl w:val="0"/>
          <w:lang w:val="en-US"/>
        </w:rPr>
        <w:t>A</w:t>
      </w:r>
      <w:r>
        <w:rPr>
          <w:rFonts w:ascii="Times New Roman" w:hAnsi="Times New Roman"/>
          <w:rtl w:val="0"/>
          <w:lang w:val="en-US"/>
        </w:rPr>
        <w:t>m</w:t>
      </w:r>
      <w:r>
        <w:rPr>
          <w:rFonts w:ascii="Times New Roman" w:hAnsi="Times New Roman"/>
          <w:rtl w:val="0"/>
          <w:lang w:val="en-US"/>
        </w:rPr>
        <w:t>ana Ltd.</w:t>
      </w:r>
      <w:r>
        <w:rPr>
          <w:rFonts w:ascii="Times New Roman" w:hAnsi="Times New Roman" w:hint="default"/>
          <w:rtl w:val="0"/>
          <w:lang w:val="en-US"/>
        </w:rPr>
        <w:t>…………………</w:t>
      </w: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b w:val="1"/>
          <w:bCs w:val="1"/>
        </w:rPr>
      </w:pPr>
      <w:r>
        <w:rPr>
          <w:rFonts w:ascii="Times New Roman" w:hAnsi="Times New Roman"/>
          <w:b w:val="1"/>
          <w:bCs w:val="1"/>
          <w:rtl w:val="0"/>
          <w:lang w:val="en-US"/>
        </w:rPr>
        <w:t>Original budget</w:t>
      </w:r>
    </w:p>
    <w:tbl>
      <w:tblPr>
        <w:tblW w:w="935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675"/>
        <w:gridCol w:w="4675"/>
      </w:tblGrid>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Original Budget</w:t>
            </w: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Units</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Selling Price</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w:t>
            </w: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Variable Costs:</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Materials</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250,000</w:t>
            </w: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Labour</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400,000</w:t>
            </w: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Overhead</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150,000</w:t>
            </w: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Contribution</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1,700,000</w:t>
            </w: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Fixed Overheads:</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Warehouse rentals</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200,000</w:t>
            </w: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Insurance</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Fulltime warehouse supervisor salary</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50,000</w:t>
            </w: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Total Sales</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2,500,000</w:t>
            </w:r>
          </w:p>
        </w:tc>
      </w:tr>
      <w:tr>
        <w:tblPrEx>
          <w:shd w:val="clear" w:color="auto" w:fill="cdd4e9"/>
        </w:tblPrEx>
        <w:trPr>
          <w:trHeight w:val="310" w:hRule="atLeast"/>
        </w:trPr>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Total Costs</w:t>
            </w:r>
          </w:p>
        </w:tc>
        <w:tc>
          <w:tcPr>
            <w:tcW w:type="dxa" w:w="4675"/>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2,850,000</w:t>
            </w:r>
          </w:p>
        </w:tc>
      </w:tr>
      <w:tr>
        <w:tblPrEx>
          <w:shd w:val="clear" w:color="auto" w:fill="cdd4e9"/>
        </w:tblPrEx>
        <w:trPr>
          <w:trHeight w:val="310" w:hRule="atLeast"/>
        </w:trPr>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Profit</w:t>
            </w:r>
          </w:p>
        </w:tc>
        <w:tc>
          <w:tcPr>
            <w:tcW w:type="dxa" w:w="4675"/>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(350,000)</w:t>
            </w:r>
          </w:p>
        </w:tc>
      </w:tr>
    </w:tbl>
    <w:p>
      <w:pPr>
        <w:pStyle w:val="Default"/>
        <w:widowControl w:val="0"/>
        <w:spacing w:after="128"/>
        <w:ind w:left="108" w:hanging="108"/>
        <w:rPr>
          <w:rFonts w:ascii="Times New Roman" w:cs="Times New Roman" w:hAnsi="Times New Roman" w:eastAsia="Times New Roman"/>
          <w:b w:val="1"/>
          <w:bCs w:val="1"/>
        </w:rPr>
      </w:pPr>
    </w:p>
    <w:p>
      <w:pPr>
        <w:pStyle w:val="Default"/>
        <w:widowControl w:val="0"/>
        <w:spacing w:after="128"/>
        <w:rPr>
          <w:rFonts w:ascii="Times New Roman" w:cs="Times New Roman" w:hAnsi="Times New Roman" w:eastAsia="Times New Roman"/>
          <w:b w:val="1"/>
          <w:bCs w:val="1"/>
        </w:rPr>
      </w:pPr>
    </w:p>
    <w:p>
      <w:pPr>
        <w:pStyle w:val="Default"/>
        <w:spacing w:after="128" w:line="480" w:lineRule="auto"/>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b w:val="1"/>
          <w:bCs w:val="1"/>
        </w:rPr>
      </w:pPr>
      <w:r>
        <w:rPr>
          <w:rFonts w:ascii="Times New Roman" w:hAnsi="Times New Roman"/>
          <w:b w:val="1"/>
          <w:bCs w:val="1"/>
          <w:rtl w:val="0"/>
          <w:lang w:val="en-US"/>
        </w:rPr>
        <w:t xml:space="preserve">Flexible budget </w:t>
      </w:r>
    </w:p>
    <w:tbl>
      <w:tblPr>
        <w:tblW w:w="934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67"/>
        <w:gridCol w:w="2027"/>
        <w:gridCol w:w="2577"/>
        <w:gridCol w:w="2578"/>
      </w:tblGrid>
      <w:tr>
        <w:tblPrEx>
          <w:shd w:val="clear" w:color="auto" w:fill="cdd4e9"/>
        </w:tblPrEx>
        <w:trPr>
          <w:trHeight w:val="305" w:hRule="atLeast"/>
        </w:trPr>
        <w:tc>
          <w:tcPr>
            <w:tcW w:type="dxa" w:w="9349"/>
            <w:gridSpan w:val="4"/>
            <w:tcBorders>
              <w:top w:val="nil"/>
              <w:left w:val="nil"/>
              <w:bottom w:val="single" w:color="7f7f7f" w:sz="4" w:space="0" w:shadow="0" w:frame="0"/>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center"/>
            </w:pPr>
            <w:r>
              <w:rPr>
                <w:rFonts w:ascii="Times New Roman" w:hAnsi="Times New Roman"/>
                <w:b w:val="1"/>
                <w:bCs w:val="1"/>
                <w:i w:val="1"/>
                <w:iCs w:val="1"/>
                <w:rtl w:val="0"/>
                <w:lang w:val="en-US"/>
              </w:rPr>
              <w:t>Flexible Budget</w:t>
            </w:r>
          </w:p>
        </w:tc>
      </w:tr>
      <w:tr>
        <w:tblPrEx>
          <w:shd w:val="clear" w:color="auto" w:fill="cdd4e9"/>
        </w:tblPrEx>
        <w:trPr>
          <w:trHeight w:val="305" w:hRule="atLeast"/>
        </w:trPr>
        <w:tc>
          <w:tcPr>
            <w:tcW w:type="dxa" w:w="2167"/>
            <w:tcBorders>
              <w:top w:val="single" w:color="7f7f7f" w:sz="4" w:space="0" w:shadow="0" w:frame="0"/>
              <w:left w:val="nil"/>
              <w:bottom w:val="nil"/>
              <w:right w:val="single" w:color="7f7f7f" w:sz="4" w:space="0" w:shadow="0" w:frame="0"/>
            </w:tcBorders>
            <w:shd w:val="clear" w:color="auto" w:fill="ffffff"/>
            <w:tcMar>
              <w:top w:type="dxa" w:w="80"/>
              <w:left w:type="dxa" w:w="80"/>
              <w:bottom w:type="dxa" w:w="80"/>
              <w:right w:type="dxa" w:w="80"/>
            </w:tcMar>
            <w:vAlign w:val="top"/>
          </w:tcPr>
          <w:p/>
        </w:tc>
        <w:tc>
          <w:tcPr>
            <w:tcW w:type="dxa" w:w="2027"/>
            <w:tcBorders>
              <w:top w:val="single" w:color="7f7f7f" w:sz="4" w:space="0" w:shadow="0" w:frame="0"/>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50%</w:t>
            </w:r>
          </w:p>
        </w:tc>
        <w:tc>
          <w:tcPr>
            <w:tcW w:type="dxa" w:w="2577"/>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75%</w:t>
            </w:r>
          </w:p>
        </w:tc>
        <w:tc>
          <w:tcPr>
            <w:tcW w:type="dxa" w:w="2578"/>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100%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Units</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40,000</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60,000</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80,000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Selling Price</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w:t>
            </w: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w:t>
            </w: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 xml:space="preserve">20  </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i w:val="1"/>
                <w:iCs w:val="1"/>
                <w:rtl w:val="0"/>
                <w:lang w:val="en-US"/>
              </w:rPr>
              <w:t>Variable Costs:</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Materials</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140,000</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210,000</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280,000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Labour</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220,000</w:t>
            </w: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330,000</w:t>
            </w: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440,000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Overhead</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60,000</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90,000</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120,000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Contribution</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580,000</w:t>
            </w: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870,000</w:t>
            </w: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1,160,000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i w:val="1"/>
                <w:iCs w:val="1"/>
                <w:rtl w:val="0"/>
                <w:lang w:val="en-US"/>
              </w:rPr>
              <w:t>Fixed Overheads:</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tc>
        <w:tc>
          <w:tcPr>
            <w:tcW w:type="dxa" w:w="2577"/>
            <w:tcBorders>
              <w:top w:val="nil"/>
              <w:left w:val="nil"/>
              <w:bottom w:val="nil"/>
              <w:right w:val="nil"/>
            </w:tcBorders>
            <w:shd w:val="clear" w:color="auto" w:fill="auto"/>
            <w:tcMar>
              <w:top w:type="dxa" w:w="80"/>
              <w:left w:type="dxa" w:w="80"/>
              <w:bottom w:type="dxa" w:w="80"/>
              <w:right w:type="dxa" w:w="80"/>
            </w:tcMar>
            <w:vAlign w:val="top"/>
          </w:tcPr>
          <w:p/>
        </w:tc>
        <w:tc>
          <w:tcPr>
            <w:tcW w:type="dxa" w:w="2578"/>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Warehouse rentals</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w:t>
            </w: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w:t>
            </w: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Insurance</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r>
      <w:tr>
        <w:tblPrEx>
          <w:shd w:val="clear" w:color="auto" w:fill="cdd4e9"/>
        </w:tblPrEx>
        <w:trPr>
          <w:trHeight w:val="653"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Fulltime warehouse supervisor salary</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w:t>
            </w: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w:t>
            </w: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Total Costs (A)</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1,305,000</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1,805,000</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2,305,000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Total Sales (B)</w:t>
            </w:r>
          </w:p>
        </w:tc>
        <w:tc>
          <w:tcPr>
            <w:tcW w:type="dxa" w:w="2027"/>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800,000</w:t>
            </w:r>
          </w:p>
        </w:tc>
        <w:tc>
          <w:tcPr>
            <w:tcW w:type="dxa" w:w="2577"/>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1,200,000</w:t>
            </w:r>
          </w:p>
        </w:tc>
        <w:tc>
          <w:tcPr>
            <w:tcW w:type="dxa" w:w="2578"/>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1,600,000</w:t>
            </w:r>
          </w:p>
        </w:tc>
      </w:tr>
      <w:tr>
        <w:tblPrEx>
          <w:shd w:val="clear" w:color="auto" w:fill="cdd4e9"/>
        </w:tblPrEx>
        <w:trPr>
          <w:trHeight w:val="310" w:hRule="atLeast"/>
        </w:trPr>
        <w:tc>
          <w:tcPr>
            <w:tcW w:type="dxa" w:w="2167"/>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jc w:val="right"/>
            </w:pPr>
            <w:r>
              <w:rPr>
                <w:rFonts w:ascii="Times New Roman" w:hAnsi="Times New Roman"/>
                <w:i w:val="1"/>
                <w:iCs w:val="1"/>
                <w:rtl w:val="0"/>
                <w:lang w:val="en-US"/>
              </w:rPr>
              <w:t>Profit (A-B)</w:t>
            </w:r>
          </w:p>
        </w:tc>
        <w:tc>
          <w:tcPr>
            <w:tcW w:type="dxa" w:w="202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(505,000)</w:t>
            </w:r>
          </w:p>
        </w:tc>
        <w:tc>
          <w:tcPr>
            <w:tcW w:type="dxa" w:w="2577"/>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(605,000)</w:t>
            </w:r>
          </w:p>
        </w:tc>
        <w:tc>
          <w:tcPr>
            <w:tcW w:type="dxa" w:w="2578"/>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(705,000)</w:t>
            </w:r>
          </w:p>
        </w:tc>
      </w:tr>
    </w:tbl>
    <w:p>
      <w:pPr>
        <w:pStyle w:val="Body A"/>
        <w:widowControl w:val="0"/>
        <w:spacing w:line="240" w:lineRule="auto"/>
        <w:ind w:left="108" w:hanging="108"/>
        <w:rPr>
          <w:rFonts w:ascii="Times New Roman" w:cs="Times New Roman" w:hAnsi="Times New Roman" w:eastAsia="Times New Roman"/>
          <w:b w:val="1"/>
          <w:bCs w:val="1"/>
        </w:rPr>
      </w:pPr>
    </w:p>
    <w:p>
      <w:pPr>
        <w:pStyle w:val="Body A"/>
        <w:widowControl w:val="0"/>
        <w:spacing w:line="240" w:lineRule="auto"/>
        <w:rPr>
          <w:rFonts w:ascii="Times New Roman" w:cs="Times New Roman" w:hAnsi="Times New Roman" w:eastAsia="Times New Roman"/>
          <w:b w:val="1"/>
          <w:bCs w:val="1"/>
        </w:rPr>
      </w:pPr>
    </w:p>
    <w:p>
      <w:pPr>
        <w:pStyle w:val="Body A"/>
      </w:pPr>
      <w:r>
        <w:rPr>
          <w:rFonts w:ascii="Arial Unicode MS" w:cs="Arial Unicode MS" w:hAnsi="Arial Unicode MS" w:eastAsia="Arial Unicode MS"/>
          <w:b w:val="0"/>
          <w:bCs w:val="0"/>
          <w:i w:val="0"/>
          <w:iCs w:val="0"/>
        </w:rPr>
        <w:br w:type="page"/>
      </w:r>
    </w:p>
    <w:p>
      <w:pPr>
        <w:pStyle w:val="Default"/>
        <w:spacing w:after="128" w:line="480" w:lineRule="auto"/>
        <w:rPr>
          <w:rFonts w:ascii="Times New Roman" w:cs="Times New Roman" w:hAnsi="Times New Roman" w:eastAsia="Times New Roman"/>
          <w:b w:val="1"/>
          <w:bCs w:val="1"/>
        </w:rPr>
      </w:pPr>
      <w:r>
        <w:rPr>
          <w:rFonts w:ascii="Times New Roman" w:hAnsi="Times New Roman"/>
          <w:b w:val="1"/>
          <w:bCs w:val="1"/>
          <w:rtl w:val="0"/>
          <w:lang w:val="en-US"/>
        </w:rPr>
        <w:t>Budget Variances</w:t>
      </w:r>
    </w:p>
    <w:tbl>
      <w:tblPr>
        <w:tblW w:w="935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681"/>
        <w:gridCol w:w="2049"/>
        <w:gridCol w:w="2049"/>
        <w:gridCol w:w="2571"/>
      </w:tblGrid>
      <w:tr>
        <w:tblPrEx>
          <w:shd w:val="clear" w:color="auto" w:fill="cdd4e9"/>
        </w:tblPrEx>
        <w:trPr>
          <w:trHeight w:val="781"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Flexible Budget</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Actual Budget</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rPr>
                <w:rFonts w:ascii="Times New Roman" w:cs="Times New Roman" w:hAnsi="Times New Roman" w:eastAsia="Times New Roman"/>
                <w:b w:val="1"/>
                <w:bCs w:val="1"/>
              </w:rPr>
            </w:pPr>
            <w:r>
              <w:rPr>
                <w:rFonts w:ascii="Times New Roman" w:hAnsi="Times New Roman"/>
                <w:b w:val="1"/>
                <w:bCs w:val="1"/>
                <w:rtl w:val="0"/>
                <w:lang w:val="en-US"/>
              </w:rPr>
              <w:t xml:space="preserve">Budget Variance </w:t>
            </w:r>
          </w:p>
          <w:p>
            <w:pPr>
              <w:pStyle w:val="Default"/>
              <w:bidi w:val="0"/>
              <w:spacing w:after="128" w:line="276" w:lineRule="auto"/>
              <w:ind w:left="0" w:right="0" w:firstLine="0"/>
              <w:jc w:val="left"/>
              <w:rPr>
                <w:rtl w:val="0"/>
              </w:rPr>
            </w:pPr>
            <w:r>
              <w:rPr>
                <w:rFonts w:ascii="Times New Roman" w:hAnsi="Times New Roman"/>
                <w:b w:val="1"/>
                <w:bCs w:val="1"/>
                <w:rtl w:val="0"/>
                <w:lang w:val="en-US"/>
              </w:rPr>
              <w:t>Over, (Under)</w:t>
            </w:r>
          </w:p>
        </w:tc>
      </w:tr>
      <w:tr>
        <w:tblPrEx>
          <w:shd w:val="clear" w:color="auto" w:fill="cdd4e9"/>
        </w:tblPrEx>
        <w:trPr>
          <w:trHeight w:val="310"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Units</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80,000</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20,000</w:t>
            </w: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Selling Price</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w:t>
            </w:r>
          </w:p>
        </w:tc>
      </w:tr>
      <w:tr>
        <w:tblPrEx>
          <w:shd w:val="clear" w:color="auto" w:fill="cdd4e9"/>
        </w:tblPrEx>
        <w:trPr>
          <w:trHeight w:val="310"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Variable Costs:</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Materials</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280,000</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250,000</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30,000</w:t>
            </w:r>
          </w:p>
        </w:tc>
      </w:tr>
      <w:tr>
        <w:tblPrEx>
          <w:shd w:val="clear" w:color="auto" w:fill="cdd4e9"/>
        </w:tblPrEx>
        <w:trPr>
          <w:trHeight w:val="310"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Labour</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440,000</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400,000</w:t>
            </w: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40,000</w:t>
            </w: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Overhead</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120,000</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150,000</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(30,000)</w:t>
            </w:r>
          </w:p>
        </w:tc>
      </w:tr>
      <w:tr>
        <w:tblPrEx>
          <w:shd w:val="clear" w:color="auto" w:fill="cdd4e9"/>
        </w:tblPrEx>
        <w:trPr>
          <w:trHeight w:val="310"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Contribution</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1,160,000</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1,700,000</w:t>
            </w: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540,000</w:t>
            </w: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Fixed Overheads:</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tc>
        <w:tc>
          <w:tcPr>
            <w:tcW w:type="dxa" w:w="2049"/>
            <w:tcBorders>
              <w:top w:val="nil"/>
              <w:left w:val="nil"/>
              <w:bottom w:val="nil"/>
              <w:right w:val="nil"/>
            </w:tcBorders>
            <w:shd w:val="clear" w:color="auto" w:fill="auto"/>
            <w:tcMar>
              <w:top w:type="dxa" w:w="80"/>
              <w:left w:type="dxa" w:w="80"/>
              <w:bottom w:type="dxa" w:w="80"/>
              <w:right w:type="dxa" w:w="80"/>
            </w:tcMar>
            <w:vAlign w:val="top"/>
          </w:tcPr>
          <w:p/>
        </w:tc>
        <w:tc>
          <w:tcPr>
            <w:tcW w:type="dxa" w:w="2571"/>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dd4e9"/>
        </w:tblPrEx>
        <w:trPr>
          <w:trHeight w:val="310"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Warehouse rentals</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200,000</w:t>
            </w: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30,000</w:t>
            </w: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Insurance</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-0-</w:t>
            </w:r>
          </w:p>
        </w:tc>
      </w:tr>
      <w:tr>
        <w:tblPrEx>
          <w:shd w:val="clear" w:color="auto" w:fill="cdd4e9"/>
        </w:tblPrEx>
        <w:trPr>
          <w:trHeight w:val="653"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rtl w:val="0"/>
                <w:lang w:val="en-US"/>
              </w:rPr>
              <w:t>Fulltime warehouse supervisor salary</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50,000</w:t>
            </w: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15,000</w:t>
            </w: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rtl w:val="0"/>
                <w:lang w:val="en-US"/>
              </w:rPr>
              <w:t>Total Sales</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2,305,000</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2,500,000</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r>
      <w:tr>
        <w:tblPrEx>
          <w:shd w:val="clear" w:color="auto" w:fill="cdd4e9"/>
        </w:tblPrEx>
        <w:trPr>
          <w:trHeight w:val="310" w:hRule="atLeast"/>
        </w:trPr>
        <w:tc>
          <w:tcPr>
            <w:tcW w:type="dxa" w:w="268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rtl w:val="0"/>
                <w:lang w:val="en-US"/>
              </w:rPr>
              <w:t>Total Costs</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1,600,000</w:t>
            </w:r>
          </w:p>
        </w:tc>
        <w:tc>
          <w:tcPr>
            <w:tcW w:type="dxa" w:w="2049"/>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2,850,000</w:t>
            </w:r>
          </w:p>
        </w:tc>
        <w:tc>
          <w:tcPr>
            <w:tcW w:type="dxa" w:w="257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625,000</w:t>
            </w:r>
          </w:p>
        </w:tc>
      </w:tr>
      <w:tr>
        <w:tblPrEx>
          <w:shd w:val="clear" w:color="auto" w:fill="cdd4e9"/>
        </w:tblPrEx>
        <w:trPr>
          <w:trHeight w:val="310" w:hRule="atLeast"/>
        </w:trPr>
        <w:tc>
          <w:tcPr>
            <w:tcW w:type="dxa" w:w="268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rtl w:val="0"/>
                <w:lang w:val="en-US"/>
              </w:rPr>
              <w:t>Profit</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(705,000)</w:t>
            </w:r>
          </w:p>
        </w:tc>
        <w:tc>
          <w:tcPr>
            <w:tcW w:type="dxa" w:w="2049"/>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(350,000)</w:t>
            </w:r>
          </w:p>
        </w:tc>
        <w:tc>
          <w:tcPr>
            <w:tcW w:type="dxa" w:w="257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(525,000)</w:t>
            </w:r>
          </w:p>
        </w:tc>
      </w:tr>
    </w:tbl>
    <w:p>
      <w:pPr>
        <w:pStyle w:val="Default"/>
        <w:widowControl w:val="0"/>
        <w:spacing w:after="128"/>
        <w:ind w:left="108" w:hanging="108"/>
        <w:rPr>
          <w:rFonts w:ascii="Times New Roman" w:cs="Times New Roman" w:hAnsi="Times New Roman" w:eastAsia="Times New Roman"/>
          <w:b w:val="1"/>
          <w:bCs w:val="1"/>
        </w:rPr>
      </w:pPr>
    </w:p>
    <w:p>
      <w:pPr>
        <w:pStyle w:val="Default"/>
        <w:widowControl w:val="0"/>
        <w:spacing w:after="128"/>
        <w:rPr>
          <w:rFonts w:ascii="Times New Roman" w:cs="Times New Roman" w:hAnsi="Times New Roman" w:eastAsia="Times New Roman"/>
          <w:b w:val="1"/>
          <w:bCs w:val="1"/>
        </w:rPr>
      </w:pPr>
    </w:p>
    <w:p>
      <w:pPr>
        <w:pStyle w:val="Default"/>
        <w:spacing w:after="128" w:line="480" w:lineRule="auto"/>
        <w:rPr>
          <w:rFonts w:ascii="Times New Roman" w:cs="Times New Roman" w:hAnsi="Times New Roman" w:eastAsia="Times New Roman"/>
        </w:rPr>
      </w:pPr>
    </w:p>
    <w:p>
      <w:pPr>
        <w:pStyle w:val="Default"/>
        <w:spacing w:after="128" w:line="480" w:lineRule="auto"/>
        <w:rPr>
          <w:rFonts w:ascii="Times New Roman" w:cs="Times New Roman" w:hAnsi="Times New Roman" w:eastAsia="Times New Roman"/>
        </w:rPr>
      </w:pPr>
      <w:r>
        <w:rPr>
          <w:rFonts w:ascii="Times New Roman" w:hAnsi="Times New Roman"/>
          <w:rtl w:val="0"/>
          <w:lang w:val="en-US"/>
        </w:rPr>
        <w:t xml:space="preserve">The company had an unfavourable variance from the actual budget and the flexible balance. </w:t>
      </w:r>
    </w:p>
    <w:p>
      <w:pPr>
        <w:pStyle w:val="Default"/>
        <w:numPr>
          <w:ilvl w:val="0"/>
          <w:numId w:val="3"/>
        </w:numPr>
        <w:bidi w:val="0"/>
        <w:spacing w:after="128" w:line="480" w:lineRule="auto"/>
        <w:ind w:right="0"/>
        <w:jc w:val="left"/>
        <w:rPr>
          <w:rFonts w:ascii="Times New Roman" w:cs="Times New Roman" w:hAnsi="Times New Roman" w:eastAsia="Times New Roman"/>
          <w:b w:val="1"/>
          <w:bCs w:val="1"/>
          <w:rtl w:val="0"/>
        </w:rPr>
      </w:pPr>
      <w:bookmarkStart w:name="_Hlk69918838" w:id="0"/>
      <w:r>
        <w:rPr>
          <w:rFonts w:ascii="Times New Roman" w:hAnsi="Times New Roman"/>
          <w:b w:val="1"/>
          <w:bCs w:val="1"/>
          <w:rtl w:val="0"/>
          <w:lang w:val="en-US"/>
        </w:rPr>
        <w:t>Using your control report prepared in (i) above, prepare a report on Amana</w:t>
      </w:r>
      <w:r>
        <w:rPr>
          <w:rFonts w:ascii="Times New Roman" w:hAnsi="Times New Roman" w:hint="default"/>
          <w:b w:val="1"/>
          <w:bCs w:val="1"/>
          <w:rtl w:val="0"/>
          <w:lang w:val="en-US"/>
        </w:rPr>
        <w:t>’</w:t>
      </w:r>
      <w:r>
        <w:rPr>
          <w:rFonts w:ascii="Times New Roman" w:hAnsi="Times New Roman"/>
          <w:b w:val="1"/>
          <w:bCs w:val="1"/>
          <w:rtl w:val="0"/>
          <w:lang w:val="en-US"/>
        </w:rPr>
        <w:t xml:space="preserve">s performance during the year 2020.  </w:t>
      </w:r>
      <w:bookmarkEnd w:id="0"/>
    </w:p>
    <w:p>
      <w:pPr>
        <w:pStyle w:val="Default"/>
        <w:spacing w:after="128" w:line="480" w:lineRule="auto"/>
        <w:ind w:firstLine="720"/>
        <w:rPr>
          <w:rFonts w:ascii="Times New Roman" w:cs="Times New Roman" w:hAnsi="Times New Roman" w:eastAsia="Times New Roman"/>
        </w:rPr>
      </w:pPr>
      <w:r>
        <w:rPr>
          <w:rFonts w:ascii="Times New Roman" w:hAnsi="Times New Roman"/>
          <w:rtl w:val="0"/>
          <w:lang w:val="en-US"/>
        </w:rPr>
        <w:t>The 2020 financial year was not a good one in business terms for Amana Ltd. The most significant cause of this turn in business performance was the reduction of the units that the company sold. This is consequent of the travel restrictions that have been set up by the UK government since 2020 when the Covid-19 pandemic broke out in the country (Webb, McQuaid &amp; Webster, 2021). The company</w:t>
      </w:r>
      <w:r>
        <w:rPr>
          <w:rFonts w:ascii="Times New Roman" w:hAnsi="Times New Roman" w:hint="default"/>
          <w:rtl w:val="0"/>
          <w:lang w:val="en-US"/>
        </w:rPr>
        <w:t>’</w:t>
      </w:r>
      <w:r>
        <w:rPr>
          <w:rFonts w:ascii="Times New Roman" w:hAnsi="Times New Roman"/>
          <w:rtl w:val="0"/>
          <w:lang w:val="en-US"/>
        </w:rPr>
        <w:t>s performance varied significantly from what the company had initially projected significantly because the sales of souvenirs was significantly reduced due to reduced demand. The company</w:t>
      </w:r>
      <w:r>
        <w:rPr>
          <w:rFonts w:ascii="Times New Roman" w:hAnsi="Times New Roman" w:hint="default"/>
          <w:rtl w:val="0"/>
          <w:lang w:val="en-US"/>
        </w:rPr>
        <w:t>’</w:t>
      </w:r>
      <w:r>
        <w:rPr>
          <w:rFonts w:ascii="Times New Roman" w:hAnsi="Times New Roman"/>
          <w:rtl w:val="0"/>
          <w:lang w:val="en-US"/>
        </w:rPr>
        <w:t>s primary target market consists of tourists, who could not visit the UK due to the travel restrictions. Additionally, the company</w:t>
      </w:r>
      <w:r>
        <w:rPr>
          <w:rFonts w:ascii="Times New Roman" w:hAnsi="Times New Roman" w:hint="default"/>
          <w:rtl w:val="0"/>
          <w:lang w:val="en-US"/>
        </w:rPr>
        <w:t>’</w:t>
      </w:r>
      <w:r>
        <w:rPr>
          <w:rFonts w:ascii="Times New Roman" w:hAnsi="Times New Roman"/>
          <w:rtl w:val="0"/>
          <w:lang w:val="en-US"/>
        </w:rPr>
        <w:t xml:space="preserve">s performance was affected because its production of the souvenirs was carried out by a Chinese manufacturer and the travel restrictions also impacted global shipping, meaning that the company could not receive its products for sale until these restrictions were eased. </w:t>
      </w:r>
    </w:p>
    <w:p>
      <w:pPr>
        <w:pStyle w:val="Default"/>
        <w:spacing w:after="128" w:line="480" w:lineRule="auto"/>
        <w:ind w:firstLine="720"/>
        <w:rPr>
          <w:rFonts w:ascii="Times New Roman" w:cs="Times New Roman" w:hAnsi="Times New Roman" w:eastAsia="Times New Roman"/>
        </w:rPr>
      </w:pPr>
      <w:r>
        <w:rPr>
          <w:rFonts w:ascii="Times New Roman" w:hAnsi="Times New Roman"/>
          <w:rtl w:val="0"/>
          <w:lang w:val="en-US"/>
        </w:rPr>
        <w:t>Amana Ltd.</w:t>
      </w:r>
      <w:r>
        <w:rPr>
          <w:rFonts w:ascii="Times New Roman" w:hAnsi="Times New Roman" w:hint="default"/>
          <w:rtl w:val="0"/>
          <w:lang w:val="en-US"/>
        </w:rPr>
        <w:t>’</w:t>
      </w:r>
      <w:r>
        <w:rPr>
          <w:rFonts w:ascii="Times New Roman" w:hAnsi="Times New Roman"/>
          <w:rtl w:val="0"/>
          <w:lang w:val="en-US"/>
        </w:rPr>
        <w:t>s revenues slightly improved in the summer of 2020 when some of the restrictions were eased and there was partial return to normalcy in global shipping. This means the company could receive more products from the manufacturer, and since travel restrictions had been eased, international as well as local tourists could purchase the souvenirs from the company</w:t>
      </w:r>
      <w:r>
        <w:rPr>
          <w:rFonts w:ascii="Times New Roman" w:hAnsi="Times New Roman" w:hint="default"/>
          <w:rtl w:val="0"/>
          <w:lang w:val="en-US"/>
        </w:rPr>
        <w:t>’</w:t>
      </w:r>
      <w:r>
        <w:rPr>
          <w:rFonts w:ascii="Times New Roman" w:hAnsi="Times New Roman"/>
          <w:rtl w:val="0"/>
          <w:lang w:val="en-US"/>
        </w:rPr>
        <w:t>s locations. The performance of the company is shown by the following table 1.4 below, indicating the company</w:t>
      </w:r>
      <w:r>
        <w:rPr>
          <w:rFonts w:ascii="Times New Roman" w:hAnsi="Times New Roman" w:hint="default"/>
          <w:rtl w:val="0"/>
          <w:lang w:val="en-US"/>
        </w:rPr>
        <w:t>’</w:t>
      </w:r>
      <w:r>
        <w:rPr>
          <w:rFonts w:ascii="Times New Roman" w:hAnsi="Times New Roman"/>
          <w:rtl w:val="0"/>
          <w:lang w:val="en-US"/>
        </w:rPr>
        <w:t>s initial targets, the performance that the company posted in the market (Actual performance or budget), and the variance, both favorable and unfavorable from the company</w:t>
      </w:r>
      <w:r>
        <w:rPr>
          <w:rFonts w:ascii="Times New Roman" w:hAnsi="Times New Roman" w:hint="default"/>
          <w:rtl w:val="0"/>
          <w:lang w:val="en-US"/>
        </w:rPr>
        <w:t>’</w:t>
      </w:r>
      <w:r>
        <w:rPr>
          <w:rFonts w:ascii="Times New Roman" w:hAnsi="Times New Roman"/>
          <w:rtl w:val="0"/>
          <w:lang w:val="en-US"/>
        </w:rPr>
        <w:t>s initial plans as a result of the market devastation by the pandemic. As the table 1.4 below indicates, fixed costs remained constant, as they are independent of market conditions, while the revenues and variable costs changed significantly.</w:t>
      </w:r>
    </w:p>
    <w:p>
      <w:pPr>
        <w:pStyle w:val="Default"/>
        <w:spacing w:after="128" w:line="480" w:lineRule="auto"/>
        <w:ind w:firstLine="720"/>
        <w:rPr>
          <w:rFonts w:ascii="Times New Roman" w:cs="Times New Roman" w:hAnsi="Times New Roman" w:eastAsia="Times New Roman"/>
          <w:b w:val="1"/>
          <w:bCs w:val="1"/>
        </w:rPr>
      </w:pPr>
    </w:p>
    <w:tbl>
      <w:tblPr>
        <w:tblW w:w="93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23"/>
        <w:gridCol w:w="1350"/>
        <w:gridCol w:w="1190"/>
        <w:gridCol w:w="1456"/>
        <w:gridCol w:w="3241"/>
      </w:tblGrid>
      <w:tr>
        <w:tblPrEx>
          <w:shd w:val="clear" w:color="auto" w:fill="cdd4e9"/>
        </w:tblPrEx>
        <w:trPr>
          <w:trHeight w:val="1463" w:hRule="atLeast"/>
        </w:trPr>
        <w:tc>
          <w:tcPr>
            <w:tcW w:type="dxa" w:w="2123"/>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c>
          <w:tcPr>
            <w:tcW w:type="dxa" w:w="1350"/>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caps w:val="1"/>
                <w:rtl w:val="0"/>
                <w:lang w:val="en-US"/>
              </w:rPr>
              <w:t>Flexible Budget</w:t>
            </w:r>
          </w:p>
        </w:tc>
        <w:tc>
          <w:tcPr>
            <w:tcW w:type="dxa" w:w="1190"/>
            <w:tcBorders>
              <w:top w:val="nil"/>
              <w:left w:val="nil"/>
              <w:bottom w:val="single" w:color="7f7f7f" w:sz="4" w:space="0" w:shadow="0" w:frame="0"/>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caps w:val="1"/>
                <w:rtl w:val="0"/>
                <w:lang w:val="en-US"/>
              </w:rPr>
              <w:t>Actual Budget</w:t>
            </w:r>
          </w:p>
        </w:tc>
        <w:tc>
          <w:tcPr>
            <w:tcW w:type="dxa" w:w="1456"/>
            <w:tcBorders>
              <w:top w:val="nil"/>
              <w:left w:val="nil"/>
              <w:bottom w:val="single" w:color="7f7f7f" w:sz="4" w:space="0" w:shadow="0" w:frame="0"/>
              <w:right w:val="nil"/>
            </w:tcBorders>
            <w:shd w:val="clear" w:color="auto" w:fill="auto"/>
            <w:tcMar>
              <w:top w:type="dxa" w:w="80"/>
              <w:left w:type="dxa" w:w="80"/>
              <w:bottom w:type="dxa" w:w="80"/>
              <w:right w:type="dxa" w:w="80"/>
            </w:tcMar>
            <w:vAlign w:val="top"/>
          </w:tcPr>
          <w:p>
            <w:pPr>
              <w:pStyle w:val="Default"/>
              <w:spacing w:after="128" w:line="276" w:lineRule="auto"/>
              <w:rPr>
                <w:rFonts w:ascii="Times New Roman" w:cs="Times New Roman" w:hAnsi="Times New Roman" w:eastAsia="Times New Roman"/>
                <w:caps w:val="1"/>
              </w:rPr>
            </w:pPr>
            <w:r>
              <w:rPr>
                <w:rFonts w:ascii="Times New Roman" w:hAnsi="Times New Roman"/>
                <w:caps w:val="1"/>
                <w:rtl w:val="0"/>
                <w:lang w:val="en-US"/>
              </w:rPr>
              <w:t xml:space="preserve">Budget Variance </w:t>
            </w:r>
          </w:p>
          <w:p>
            <w:pPr>
              <w:pStyle w:val="Default"/>
              <w:bidi w:val="0"/>
              <w:spacing w:after="128" w:line="276" w:lineRule="auto"/>
              <w:ind w:left="0" w:right="0" w:firstLine="0"/>
              <w:jc w:val="left"/>
              <w:rPr>
                <w:rtl w:val="0"/>
              </w:rPr>
            </w:pPr>
            <w:r>
              <w:rPr>
                <w:rFonts w:ascii="Times New Roman" w:hAnsi="Times New Roman"/>
                <w:caps w:val="1"/>
                <w:rtl w:val="0"/>
                <w:lang w:val="en-US"/>
              </w:rPr>
              <w:t>Over, (Under)</w:t>
            </w:r>
          </w:p>
        </w:tc>
        <w:tc>
          <w:tcPr>
            <w:tcW w:type="dxa" w:w="3241"/>
            <w:tcBorders>
              <w:top w:val="nil"/>
              <w:left w:val="nil"/>
              <w:bottom w:val="single" w:color="7f7f7f" w:sz="4" w:space="0" w:shadow="0" w:frame="0"/>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caps w:val="1"/>
                <w:rtl w:val="0"/>
                <w:lang w:val="en-US"/>
              </w:rPr>
              <w:t>Notes</w:t>
            </w:r>
          </w:p>
        </w:tc>
      </w:tr>
      <w:tr>
        <w:tblPrEx>
          <w:shd w:val="clear" w:color="auto" w:fill="cdd4e9"/>
        </w:tblPrEx>
        <w:trPr>
          <w:trHeight w:val="1335" w:hRule="atLeast"/>
        </w:trPr>
        <w:tc>
          <w:tcPr>
            <w:tcW w:type="dxa" w:w="2123"/>
            <w:tcBorders>
              <w:top w:val="single" w:color="7f7f7f" w:sz="4" w:space="0" w:shadow="0" w:frame="0"/>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Units</w:t>
            </w:r>
          </w:p>
        </w:tc>
        <w:tc>
          <w:tcPr>
            <w:tcW w:type="dxa" w:w="1350"/>
            <w:tcBorders>
              <w:top w:val="single" w:color="7f7f7f" w:sz="4" w:space="0" w:shadow="0" w:frame="0"/>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80,000</w:t>
            </w:r>
          </w:p>
        </w:tc>
        <w:tc>
          <w:tcPr>
            <w:tcW w:type="dxa" w:w="1190"/>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1456"/>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20,000</w:t>
            </w:r>
          </w:p>
        </w:tc>
        <w:tc>
          <w:tcPr>
            <w:tcW w:type="dxa" w:w="3241"/>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The number of units sold reduced by 20,000 units from the company</w:t>
            </w:r>
            <w:r>
              <w:rPr>
                <w:rFonts w:ascii="Times New Roman" w:hAnsi="Times New Roman" w:hint="default"/>
                <w:rtl w:val="0"/>
                <w:lang w:val="en-US"/>
              </w:rPr>
              <w:t>’</w:t>
            </w:r>
            <w:r>
              <w:rPr>
                <w:rFonts w:ascii="Times New Roman" w:hAnsi="Times New Roman"/>
                <w:rtl w:val="0"/>
                <w:lang w:val="en-US"/>
              </w:rPr>
              <w:t>s initial projections.</w:t>
            </w:r>
          </w:p>
        </w:tc>
      </w:tr>
      <w:tr>
        <w:tblPrEx>
          <w:shd w:val="clear" w:color="auto" w:fill="cdd4e9"/>
        </w:tblPrEx>
        <w:trPr>
          <w:trHeight w:val="653" w:hRule="atLeast"/>
        </w:trPr>
        <w:tc>
          <w:tcPr>
            <w:tcW w:type="dxa" w:w="212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Selling Price</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w:t>
            </w:r>
          </w:p>
        </w:tc>
        <w:tc>
          <w:tcPr>
            <w:tcW w:type="dxa" w:w="1190"/>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w:t>
            </w:r>
          </w:p>
        </w:tc>
        <w:tc>
          <w:tcPr>
            <w:tcW w:type="dxa" w:w="1456"/>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w:t>
            </w:r>
          </w:p>
        </w:tc>
        <w:tc>
          <w:tcPr>
            <w:tcW w:type="dxa" w:w="324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 xml:space="preserve">The price per unit decreased by $5 </w:t>
            </w:r>
          </w:p>
        </w:tc>
      </w:tr>
      <w:tr>
        <w:tblPrEx>
          <w:shd w:val="clear" w:color="auto" w:fill="cdd4e9"/>
        </w:tblPrEx>
        <w:trPr>
          <w:trHeight w:val="653" w:hRule="atLeast"/>
        </w:trPr>
        <w:tc>
          <w:tcPr>
            <w:tcW w:type="dxa" w:w="2123"/>
            <w:tcBorders>
              <w:top w:val="nil"/>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caps w:val="1"/>
                <w:rtl w:val="0"/>
                <w:lang w:val="en-US"/>
              </w:rPr>
              <w:t>Variable Costs:</w:t>
            </w:r>
          </w:p>
        </w:tc>
        <w:tc>
          <w:tcPr>
            <w:tcW w:type="dxa" w:w="1350"/>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tc>
        <w:tc>
          <w:tcPr>
            <w:tcW w:type="dxa" w:w="1190"/>
            <w:tcBorders>
              <w:top w:val="nil"/>
              <w:left w:val="nil"/>
              <w:bottom w:val="nil"/>
              <w:right w:val="nil"/>
            </w:tcBorders>
            <w:shd w:val="clear" w:color="auto" w:fill="f2f2f2"/>
            <w:tcMar>
              <w:top w:type="dxa" w:w="80"/>
              <w:left w:type="dxa" w:w="80"/>
              <w:bottom w:type="dxa" w:w="80"/>
              <w:right w:type="dxa" w:w="80"/>
            </w:tcMar>
            <w:vAlign w:val="top"/>
          </w:tcPr>
          <w:p/>
        </w:tc>
        <w:tc>
          <w:tcPr>
            <w:tcW w:type="dxa" w:w="1456"/>
            <w:tcBorders>
              <w:top w:val="nil"/>
              <w:left w:val="nil"/>
              <w:bottom w:val="nil"/>
              <w:right w:val="nil"/>
            </w:tcBorders>
            <w:shd w:val="clear" w:color="auto" w:fill="f2f2f2"/>
            <w:tcMar>
              <w:top w:type="dxa" w:w="80"/>
              <w:left w:type="dxa" w:w="80"/>
              <w:bottom w:type="dxa" w:w="80"/>
              <w:right w:type="dxa" w:w="80"/>
            </w:tcMar>
            <w:vAlign w:val="top"/>
          </w:tcPr>
          <w:p/>
        </w:tc>
        <w:tc>
          <w:tcPr>
            <w:tcW w:type="dxa" w:w="3241"/>
            <w:tcBorders>
              <w:top w:val="nil"/>
              <w:left w:val="nil"/>
              <w:bottom w:val="nil"/>
              <w:right w:val="nil"/>
            </w:tcBorders>
            <w:shd w:val="clear" w:color="auto" w:fill="f2f2f2"/>
            <w:tcMar>
              <w:top w:type="dxa" w:w="80"/>
              <w:left w:type="dxa" w:w="80"/>
              <w:bottom w:type="dxa" w:w="80"/>
              <w:right w:type="dxa" w:w="80"/>
            </w:tcMar>
            <w:vAlign w:val="top"/>
          </w:tcPr>
          <w:p/>
        </w:tc>
      </w:tr>
      <w:tr>
        <w:tblPrEx>
          <w:shd w:val="clear" w:color="auto" w:fill="cdd4e9"/>
        </w:tblPrEx>
        <w:trPr>
          <w:trHeight w:val="2371" w:hRule="atLeast"/>
        </w:trPr>
        <w:tc>
          <w:tcPr>
            <w:tcW w:type="dxa" w:w="212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Materials</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280,000</w:t>
            </w:r>
          </w:p>
        </w:tc>
        <w:tc>
          <w:tcPr>
            <w:tcW w:type="dxa" w:w="1190"/>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250,000</w:t>
            </w:r>
          </w:p>
        </w:tc>
        <w:tc>
          <w:tcPr>
            <w:tcW w:type="dxa" w:w="1456"/>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(30,000)</w:t>
            </w:r>
          </w:p>
        </w:tc>
        <w:tc>
          <w:tcPr>
            <w:tcW w:type="dxa" w:w="324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The company used 30,000 more materials to produce 20,000 souvenir units. Initial plans were for the company to use 250,000 material units to produce 100,000 souvenir units.</w:t>
            </w:r>
          </w:p>
        </w:tc>
      </w:tr>
      <w:tr>
        <w:tblPrEx>
          <w:shd w:val="clear" w:color="auto" w:fill="cdd4e9"/>
        </w:tblPrEx>
        <w:trPr>
          <w:trHeight w:val="2027" w:hRule="atLeast"/>
        </w:trPr>
        <w:tc>
          <w:tcPr>
            <w:tcW w:type="dxa" w:w="2123"/>
            <w:tcBorders>
              <w:top w:val="nil"/>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Labour</w:t>
            </w:r>
          </w:p>
        </w:tc>
        <w:tc>
          <w:tcPr>
            <w:tcW w:type="dxa" w:w="1350"/>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440,000</w:t>
            </w:r>
          </w:p>
        </w:tc>
        <w:tc>
          <w:tcPr>
            <w:tcW w:type="dxa" w:w="1190"/>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400,000</w:t>
            </w:r>
          </w:p>
        </w:tc>
        <w:tc>
          <w:tcPr>
            <w:tcW w:type="dxa" w:w="1456"/>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(40,000)</w:t>
            </w:r>
          </w:p>
        </w:tc>
        <w:tc>
          <w:tcPr>
            <w:tcW w:type="dxa" w:w="324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The company used 40,000 more units of labor to produce 80,000 souvenir units than the company had projected to use to manufacture 100,000 souvenir units.</w:t>
            </w:r>
          </w:p>
        </w:tc>
      </w:tr>
      <w:tr>
        <w:tblPrEx>
          <w:shd w:val="clear" w:color="auto" w:fill="cdd4e9"/>
        </w:tblPrEx>
        <w:trPr>
          <w:trHeight w:val="653" w:hRule="atLeast"/>
        </w:trPr>
        <w:tc>
          <w:tcPr>
            <w:tcW w:type="dxa" w:w="212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Overhead</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120,000</w:t>
            </w:r>
          </w:p>
        </w:tc>
        <w:tc>
          <w:tcPr>
            <w:tcW w:type="dxa" w:w="1190"/>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150,000</w:t>
            </w:r>
          </w:p>
        </w:tc>
        <w:tc>
          <w:tcPr>
            <w:tcW w:type="dxa" w:w="1456"/>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30,000</w:t>
            </w:r>
          </w:p>
        </w:tc>
        <w:tc>
          <w:tcPr>
            <w:tcW w:type="dxa" w:w="324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The overhead projections reduced by 30,000</w:t>
            </w:r>
          </w:p>
        </w:tc>
      </w:tr>
      <w:tr>
        <w:tblPrEx>
          <w:shd w:val="clear" w:color="auto" w:fill="cdd4e9"/>
        </w:tblPrEx>
        <w:trPr>
          <w:trHeight w:val="2027" w:hRule="atLeast"/>
        </w:trPr>
        <w:tc>
          <w:tcPr>
            <w:tcW w:type="dxa" w:w="2123"/>
            <w:tcBorders>
              <w:top w:val="nil"/>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Contribution</w:t>
            </w:r>
          </w:p>
        </w:tc>
        <w:tc>
          <w:tcPr>
            <w:tcW w:type="dxa" w:w="1350"/>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1,160,000</w:t>
            </w:r>
          </w:p>
        </w:tc>
        <w:tc>
          <w:tcPr>
            <w:tcW w:type="dxa" w:w="1190"/>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1,700,000</w:t>
            </w:r>
          </w:p>
        </w:tc>
        <w:tc>
          <w:tcPr>
            <w:tcW w:type="dxa" w:w="1456"/>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540,000</w:t>
            </w:r>
          </w:p>
        </w:tc>
        <w:tc>
          <w:tcPr>
            <w:tcW w:type="dxa" w:w="324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The contributions reduced by 12% from the company</w:t>
            </w:r>
            <w:r>
              <w:rPr>
                <w:rFonts w:ascii="Times New Roman" w:hAnsi="Times New Roman" w:hint="default"/>
                <w:rtl w:val="0"/>
                <w:lang w:val="en-US"/>
              </w:rPr>
              <w:t>’</w:t>
            </w:r>
            <w:r>
              <w:rPr>
                <w:rFonts w:ascii="Times New Roman" w:hAnsi="Times New Roman"/>
                <w:rtl w:val="0"/>
                <w:lang w:val="en-US"/>
              </w:rPr>
              <w:t xml:space="preserve">s initial projection of 1,700,000 for 100,000 souvenir units to 1,160,000 for 80,000 souvenir units.           </w:t>
            </w:r>
          </w:p>
        </w:tc>
      </w:tr>
      <w:tr>
        <w:tblPrEx>
          <w:shd w:val="clear" w:color="auto" w:fill="cdd4e9"/>
        </w:tblPrEx>
        <w:trPr>
          <w:trHeight w:val="653" w:hRule="atLeast"/>
        </w:trPr>
        <w:tc>
          <w:tcPr>
            <w:tcW w:type="dxa" w:w="2123"/>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after="128" w:line="276" w:lineRule="auto"/>
            </w:pPr>
            <w:r>
              <w:rPr>
                <w:rFonts w:ascii="Times New Roman" w:hAnsi="Times New Roman"/>
                <w:caps w:val="1"/>
                <w:rtl w:val="0"/>
                <w:lang w:val="en-US"/>
              </w:rPr>
              <w:t>Fixed Overheads:</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tc>
        <w:tc>
          <w:tcPr>
            <w:tcW w:type="dxa" w:w="1190"/>
            <w:tcBorders>
              <w:top w:val="nil"/>
              <w:left w:val="nil"/>
              <w:bottom w:val="nil"/>
              <w:right w:val="nil"/>
            </w:tcBorders>
            <w:shd w:val="clear" w:color="auto" w:fill="auto"/>
            <w:tcMar>
              <w:top w:type="dxa" w:w="80"/>
              <w:left w:type="dxa" w:w="80"/>
              <w:bottom w:type="dxa" w:w="80"/>
              <w:right w:type="dxa" w:w="80"/>
            </w:tcMar>
            <w:vAlign w:val="top"/>
          </w:tcPr>
          <w:p/>
        </w:tc>
        <w:tc>
          <w:tcPr>
            <w:tcW w:type="dxa" w:w="1456"/>
            <w:tcBorders>
              <w:top w:val="nil"/>
              <w:left w:val="nil"/>
              <w:bottom w:val="nil"/>
              <w:right w:val="nil"/>
            </w:tcBorders>
            <w:shd w:val="clear" w:color="auto" w:fill="auto"/>
            <w:tcMar>
              <w:top w:type="dxa" w:w="80"/>
              <w:left w:type="dxa" w:w="80"/>
              <w:bottom w:type="dxa" w:w="80"/>
              <w:right w:type="dxa" w:w="80"/>
            </w:tcMar>
            <w:vAlign w:val="top"/>
          </w:tcPr>
          <w:p/>
        </w:tc>
        <w:tc>
          <w:tcPr>
            <w:tcW w:type="dxa" w:w="3241"/>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dd4e9"/>
        </w:tblPrEx>
        <w:trPr>
          <w:trHeight w:val="653" w:hRule="atLeast"/>
        </w:trPr>
        <w:tc>
          <w:tcPr>
            <w:tcW w:type="dxa" w:w="2123"/>
            <w:tcBorders>
              <w:top w:val="nil"/>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Warehouse rentals</w:t>
            </w:r>
          </w:p>
        </w:tc>
        <w:tc>
          <w:tcPr>
            <w:tcW w:type="dxa" w:w="1350"/>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170,000</w:t>
            </w:r>
          </w:p>
        </w:tc>
        <w:tc>
          <w:tcPr>
            <w:tcW w:type="dxa" w:w="1190"/>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200,000</w:t>
            </w:r>
          </w:p>
        </w:tc>
        <w:tc>
          <w:tcPr>
            <w:tcW w:type="dxa" w:w="1456"/>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30,000</w:t>
            </w:r>
          </w:p>
        </w:tc>
        <w:tc>
          <w:tcPr>
            <w:tcW w:type="dxa" w:w="324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Rental costs for warehousing reduced by 30,000.</w:t>
            </w:r>
          </w:p>
        </w:tc>
      </w:tr>
      <w:tr>
        <w:tblPrEx>
          <w:shd w:val="clear" w:color="auto" w:fill="cdd4e9"/>
        </w:tblPrEx>
        <w:trPr>
          <w:trHeight w:val="997" w:hRule="atLeast"/>
        </w:trPr>
        <w:tc>
          <w:tcPr>
            <w:tcW w:type="dxa" w:w="212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Insurance</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1190"/>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1456"/>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-0-</w:t>
            </w:r>
          </w:p>
        </w:tc>
        <w:tc>
          <w:tcPr>
            <w:tcW w:type="dxa" w:w="3241"/>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Insurance costs remained constant throughout the financial year.</w:t>
            </w:r>
          </w:p>
        </w:tc>
      </w:tr>
      <w:tr>
        <w:tblPrEx>
          <w:shd w:val="clear" w:color="auto" w:fill="cdd4e9"/>
        </w:tblPrEx>
        <w:trPr>
          <w:trHeight w:val="1340" w:hRule="atLeast"/>
        </w:trPr>
        <w:tc>
          <w:tcPr>
            <w:tcW w:type="dxa" w:w="2123"/>
            <w:tcBorders>
              <w:top w:val="nil"/>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b w:val="1"/>
                <w:bCs w:val="1"/>
                <w:caps w:val="1"/>
                <w:rtl w:val="0"/>
                <w:lang w:val="en-US"/>
              </w:rPr>
              <w:t>Fulltime warehouse supervisor salary</w:t>
            </w:r>
          </w:p>
        </w:tc>
        <w:tc>
          <w:tcPr>
            <w:tcW w:type="dxa" w:w="1350"/>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w:t>
            </w:r>
          </w:p>
        </w:tc>
        <w:tc>
          <w:tcPr>
            <w:tcW w:type="dxa" w:w="1190"/>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50,000</w:t>
            </w:r>
          </w:p>
        </w:tc>
        <w:tc>
          <w:tcPr>
            <w:tcW w:type="dxa" w:w="1456"/>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15,000</w:t>
            </w:r>
          </w:p>
        </w:tc>
        <w:tc>
          <w:tcPr>
            <w:tcW w:type="dxa" w:w="3241"/>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The company</w:t>
            </w:r>
            <w:r>
              <w:rPr>
                <w:rFonts w:ascii="Times New Roman" w:hAnsi="Times New Roman" w:hint="default"/>
                <w:rtl w:val="0"/>
                <w:lang w:val="en-US"/>
              </w:rPr>
              <w:t>’</w:t>
            </w:r>
            <w:r>
              <w:rPr>
                <w:rFonts w:ascii="Times New Roman" w:hAnsi="Times New Roman"/>
                <w:rtl w:val="0"/>
                <w:lang w:val="en-US"/>
              </w:rPr>
              <w:t>s salary for the fulltime warehouse supervisor reduced by $15,000</w:t>
            </w:r>
          </w:p>
        </w:tc>
      </w:tr>
      <w:tr>
        <w:tblPrEx>
          <w:shd w:val="clear" w:color="auto" w:fill="cdd4e9"/>
        </w:tblPrEx>
        <w:trPr>
          <w:trHeight w:val="310" w:hRule="atLeast"/>
        </w:trPr>
        <w:tc>
          <w:tcPr>
            <w:tcW w:type="dxa" w:w="212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caps w:val="1"/>
                <w:rtl w:val="0"/>
                <w:lang w:val="en-US"/>
              </w:rPr>
              <w:t>Total Costs</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2,305,000</w:t>
            </w:r>
          </w:p>
        </w:tc>
        <w:tc>
          <w:tcPr>
            <w:tcW w:type="dxa" w:w="1190"/>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2,500,000</w:t>
            </w:r>
          </w:p>
        </w:tc>
        <w:tc>
          <w:tcPr>
            <w:tcW w:type="dxa" w:w="1456"/>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100,000</w:t>
            </w:r>
          </w:p>
        </w:tc>
        <w:tc>
          <w:tcPr>
            <w:tcW w:type="dxa" w:w="3241"/>
            <w:vMerge w:val="restart"/>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In total, the company spent 2,305,000 to produce 80,000 souvenir units in contrast to 2,500,000 for 100,000 souvenir units that had been projected. The company</w:t>
            </w:r>
            <w:r>
              <w:rPr>
                <w:rFonts w:ascii="Times New Roman" w:hAnsi="Times New Roman" w:hint="default"/>
                <w:rtl w:val="0"/>
                <w:lang w:val="en-US"/>
              </w:rPr>
              <w:t>’</w:t>
            </w:r>
            <w:r>
              <w:rPr>
                <w:rFonts w:ascii="Times New Roman" w:hAnsi="Times New Roman"/>
                <w:rtl w:val="0"/>
                <w:lang w:val="en-US"/>
              </w:rPr>
              <w:t>s sales also reduced from a projected 2,850,000 to 1,600,000. The company made a loss of $705,000 in 2020.</w:t>
            </w:r>
          </w:p>
        </w:tc>
      </w:tr>
      <w:tr>
        <w:tblPrEx>
          <w:shd w:val="clear" w:color="auto" w:fill="cdd4e9"/>
        </w:tblPrEx>
        <w:trPr>
          <w:trHeight w:val="310" w:hRule="atLeast"/>
        </w:trPr>
        <w:tc>
          <w:tcPr>
            <w:tcW w:type="dxa" w:w="2123"/>
            <w:tcBorders>
              <w:top w:val="nil"/>
              <w:left w:val="nil"/>
              <w:bottom w:val="nil"/>
              <w:right w:val="single" w:color="7f7f7f" w:sz="4" w:space="0" w:shadow="0" w:frame="0"/>
            </w:tcBorders>
            <w:shd w:val="clear" w:color="auto" w:fill="f2f2f2"/>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caps w:val="1"/>
                <w:rtl w:val="0"/>
                <w:lang w:val="en-US"/>
              </w:rPr>
              <w:t>Total Sale</w:t>
            </w:r>
          </w:p>
        </w:tc>
        <w:tc>
          <w:tcPr>
            <w:tcW w:type="dxa" w:w="1350"/>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1,600,000</w:t>
            </w:r>
          </w:p>
        </w:tc>
        <w:tc>
          <w:tcPr>
            <w:tcW w:type="dxa" w:w="1190"/>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2,850,000</w:t>
            </w:r>
          </w:p>
        </w:tc>
        <w:tc>
          <w:tcPr>
            <w:tcW w:type="dxa" w:w="1456"/>
            <w:tcBorders>
              <w:top w:val="nil"/>
              <w:left w:val="nil"/>
              <w:bottom w:val="nil"/>
              <w:right w:val="nil"/>
            </w:tcBorders>
            <w:shd w:val="clear" w:color="auto" w:fill="f2f2f2"/>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625,000</w:t>
            </w:r>
          </w:p>
        </w:tc>
        <w:tc>
          <w:tcPr>
            <w:tcW w:type="dxa" w:w="3241"/>
            <w:vMerge w:val="continue"/>
            <w:tcBorders>
              <w:top w:val="nil"/>
              <w:left w:val="nil"/>
              <w:bottom w:val="nil"/>
              <w:right w:val="nil"/>
            </w:tcBorders>
            <w:shd w:val="clear" w:color="auto" w:fill="auto"/>
          </w:tcPr>
          <w:p/>
        </w:tc>
      </w:tr>
      <w:tr>
        <w:tblPrEx>
          <w:shd w:val="clear" w:color="auto" w:fill="cdd4e9"/>
        </w:tblPrEx>
        <w:trPr>
          <w:trHeight w:val="2481" w:hRule="atLeast"/>
        </w:trPr>
        <w:tc>
          <w:tcPr>
            <w:tcW w:type="dxa" w:w="212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pStyle w:val="Default"/>
              <w:spacing w:after="128" w:line="276" w:lineRule="auto"/>
              <w:jc w:val="right"/>
            </w:pPr>
            <w:r>
              <w:rPr>
                <w:rFonts w:ascii="Times New Roman" w:hAnsi="Times New Roman"/>
                <w:b w:val="1"/>
                <w:bCs w:val="1"/>
                <w:caps w:val="1"/>
                <w:rtl w:val="0"/>
                <w:lang w:val="en-US"/>
              </w:rPr>
              <w:t>Profit</w:t>
            </w:r>
          </w:p>
        </w:tc>
        <w:tc>
          <w:tcPr>
            <w:tcW w:type="dxa" w:w="1350"/>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(705,000)</w:t>
            </w:r>
          </w:p>
        </w:tc>
        <w:tc>
          <w:tcPr>
            <w:tcW w:type="dxa" w:w="1190"/>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350,000</w:t>
            </w:r>
          </w:p>
        </w:tc>
        <w:tc>
          <w:tcPr>
            <w:tcW w:type="dxa" w:w="1456"/>
            <w:tcBorders>
              <w:top w:val="nil"/>
              <w:left w:val="nil"/>
              <w:bottom w:val="nil"/>
              <w:right w:val="nil"/>
            </w:tcBorders>
            <w:shd w:val="clear" w:color="auto" w:fill="auto"/>
            <w:tcMar>
              <w:top w:type="dxa" w:w="80"/>
              <w:left w:type="dxa" w:w="80"/>
              <w:bottom w:type="dxa" w:w="80"/>
              <w:right w:type="dxa" w:w="80"/>
            </w:tcMar>
            <w:vAlign w:val="top"/>
          </w:tcPr>
          <w:p>
            <w:pPr>
              <w:pStyle w:val="Default"/>
              <w:spacing w:after="128" w:line="276" w:lineRule="auto"/>
            </w:pPr>
            <w:r>
              <w:rPr>
                <w:rFonts w:ascii="Times New Roman" w:hAnsi="Times New Roman"/>
                <w:rtl w:val="0"/>
                <w:lang w:val="en-US"/>
              </w:rPr>
              <w:t>525,000</w:t>
            </w:r>
          </w:p>
        </w:tc>
        <w:tc>
          <w:tcPr>
            <w:tcW w:type="dxa" w:w="3241"/>
            <w:vMerge w:val="continue"/>
            <w:tcBorders>
              <w:top w:val="nil"/>
              <w:left w:val="nil"/>
              <w:bottom w:val="nil"/>
              <w:right w:val="nil"/>
            </w:tcBorders>
            <w:shd w:val="clear" w:color="auto" w:fill="auto"/>
          </w:tcPr>
          <w:p/>
        </w:tc>
      </w:tr>
    </w:tbl>
    <w:p>
      <w:pPr>
        <w:pStyle w:val="Default"/>
        <w:widowControl w:val="0"/>
        <w:spacing w:after="128"/>
        <w:ind w:left="108" w:hanging="108"/>
        <w:rPr>
          <w:rFonts w:ascii="Times New Roman" w:cs="Times New Roman" w:hAnsi="Times New Roman" w:eastAsia="Times New Roman"/>
          <w:b w:val="1"/>
          <w:bCs w:val="1"/>
        </w:rPr>
      </w:pPr>
    </w:p>
    <w:p>
      <w:pPr>
        <w:pStyle w:val="Default"/>
        <w:widowControl w:val="0"/>
        <w:spacing w:after="128"/>
        <w:rPr>
          <w:rFonts w:ascii="Times New Roman" w:cs="Times New Roman" w:hAnsi="Times New Roman" w:eastAsia="Times New Roman"/>
          <w:b w:val="1"/>
          <w:bCs w:val="1"/>
        </w:rPr>
      </w:pPr>
    </w:p>
    <w:p>
      <w:pPr>
        <w:pStyle w:val="Default"/>
        <w:spacing w:after="128" w:line="480" w:lineRule="auto"/>
        <w:rPr>
          <w:rFonts w:ascii="Times New Roman" w:cs="Times New Roman" w:hAnsi="Times New Roman" w:eastAsia="Times New Roman"/>
        </w:rPr>
      </w:pPr>
    </w:p>
    <w:p>
      <w:pPr>
        <w:pStyle w:val="Default"/>
        <w:numPr>
          <w:ilvl w:val="0"/>
          <w:numId w:val="4"/>
        </w:numPr>
        <w:bidi w:val="0"/>
        <w:spacing w:line="480" w:lineRule="auto"/>
        <w:ind w:right="0"/>
        <w:jc w:val="left"/>
        <w:rPr>
          <w:rFonts w:ascii="Times New Roman" w:cs="Times New Roman" w:hAnsi="Times New Roman" w:eastAsia="Times New Roman"/>
          <w:b w:val="1"/>
          <w:bCs w:val="1"/>
          <w:rtl w:val="0"/>
        </w:rPr>
      </w:pPr>
      <w:bookmarkStart w:name="_Hlk69918855" w:id="1"/>
      <w:r>
        <w:rPr>
          <w:rFonts w:ascii="Times New Roman" w:hAnsi="Times New Roman"/>
          <w:b w:val="1"/>
          <w:bCs w:val="1"/>
          <w:rtl w:val="0"/>
          <w:lang w:val="en-US"/>
        </w:rPr>
        <w:t>Provide recommendations to Amana</w:t>
      </w:r>
      <w:r>
        <w:rPr>
          <w:rFonts w:ascii="Times New Roman" w:hAnsi="Times New Roman" w:hint="default"/>
          <w:b w:val="1"/>
          <w:bCs w:val="1"/>
          <w:rtl w:val="0"/>
          <w:lang w:val="en-US"/>
        </w:rPr>
        <w:t>’</w:t>
      </w:r>
      <w:r>
        <w:rPr>
          <w:rFonts w:ascii="Times New Roman" w:hAnsi="Times New Roman"/>
          <w:b w:val="1"/>
          <w:bCs w:val="1"/>
          <w:rtl w:val="0"/>
          <w:lang w:val="en-US"/>
        </w:rPr>
        <w:t xml:space="preserve">s CEO on areas of improvement. </w:t>
      </w:r>
      <w:bookmarkEnd w:id="1"/>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 xml:space="preserve">While the company was successful over the last four decades of its existence, one thing is certainly clear about its vulnerability to such large-scale economic disruptors like the Covid-19 pandemic; that the company is not flexible and adaptive enough to venture into the unknown. To be fair, the company has not been the only one to have suffered almost catastrophically from the ongoing pandemic and the consequent travel and shipping restrictions that it has caused all over the world. However, the company has a few ways it would have maintained some of its operations and remain afloat as it awaits the industry to recover and return to normalcy. The company has been successful in the past because it has been able to target its market with effective strategies, and that has given the company a chance to optimise its sales and revenues. </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Covid-19 has changed the way companies look at business and how the world operates in such a way that it is inconceivable to think that normalcy will return as it was on the pre-pandemic times. The tourism industry will have some hopes of returning to serving their customers physically because that still remains the spine of the industry. However, there is a need to venture into other types of services so that while the industry slowly recovers its former normal state, the company does not lose out to others that develop new ways of communicating, attracting, and serving tourists without having to meet them physically (Sigala, 2020). One of these ways will include moving most of the business and services online.</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Online services have various advantages that Amana Ltd would capitalise on. One of this is that while travel restrictions may be lasting longer that anticipated, online services would reach the customers 24 hours a day seven days a week. More so, online access reaches customers globally, which means that even though the company may not be able to serve tourists coming into the UK from other parts of the world due to the health care-informed travel restrictions, the company will avail its physical products for sale online. Therefore, the company should introduce an online platform through which the company</w:t>
      </w:r>
      <w:r>
        <w:rPr>
          <w:rFonts w:ascii="Times New Roman" w:hAnsi="Times New Roman" w:hint="default"/>
          <w:rtl w:val="0"/>
          <w:lang w:val="en-US"/>
        </w:rPr>
        <w:t>’</w:t>
      </w:r>
      <w:r>
        <w:rPr>
          <w:rFonts w:ascii="Times New Roman" w:hAnsi="Times New Roman"/>
          <w:rtl w:val="0"/>
          <w:lang w:val="en-US"/>
        </w:rPr>
        <w:t>s customers can view and purchase the souvenirs that the company specialises on (Brogan, 2010). The company can then take the customers</w:t>
      </w:r>
      <w:r>
        <w:rPr>
          <w:rFonts w:ascii="Times New Roman" w:hAnsi="Times New Roman" w:hint="default"/>
          <w:rtl w:val="0"/>
          <w:lang w:val="en-US"/>
        </w:rPr>
        <w:t xml:space="preserve">’ </w:t>
      </w:r>
      <w:r>
        <w:rPr>
          <w:rFonts w:ascii="Times New Roman" w:hAnsi="Times New Roman"/>
          <w:rtl w:val="0"/>
          <w:lang w:val="en-US"/>
        </w:rPr>
        <w:t>location data and ship the souvenir to them and they would have it within a few days. That would ensure that the company maintains its production of souvenirs in China and ship it to the rest of the world either through a hub in China, or through a hub in the UK where all the souvenir would be brought in from China as usual, then packaged and shipped to customers worldwide.</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The company should adopt flexibility and product differentiation. At a time when physical meeting is not an option, the company should seek to engage its customers with more products than just physical souvenirs for sale. Therefore, it would be recommendable that the company adopts a different type of product, such as offering virtual tours of the places where its customers would physically visit in the UK. In this way, the company will be taking itself to the customers instead of waiting for the customers to approach it from their own countries. There are various advantages that this flexibility will bring to the company. First of all, the company will be set to remain in business in future even in the case of a similar challenge in global commerce in future affects the tourism industry (Zhang et al., 2021). The company will be able to deliver its products to customers all over the world easily, without the customers having to travel to the UK.</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Virtual tourism will also be beneficial for the company because it would act as a marketing tool for the brand as the customers would be attracted to the UK to experience the thongs and products they view through virtual tours. Additionally, the company can adopt a strategy to include complementary products to the souvenirs they sell to visitors in their locations. Some of the complementary products include accommodation and transportation, such as transportation services for the customers between the airports and their hotels (Ohe &amp; Kurihara, 2013). The company could also offer, independently or in joint ventures with startups or already established brands, such services as cinema theatres, outdoor activities, food and beverages, and retail travel agencies to help make the time for their customers more memorable and increase their chances of returning for more in future (Sheller, 2020).</w:t>
      </w:r>
    </w:p>
    <w:p>
      <w:pPr>
        <w:pStyle w:val="Default"/>
        <w:spacing w:line="480" w:lineRule="auto"/>
        <w:rPr>
          <w:rFonts w:ascii="Times New Roman" w:cs="Times New Roman" w:hAnsi="Times New Roman" w:eastAsia="Times New Roman"/>
          <w:b w:val="1"/>
          <w:bCs w:val="1"/>
          <w:u w:val="single"/>
        </w:rPr>
      </w:pPr>
      <w:r>
        <w:rPr>
          <w:rFonts w:ascii="Times New Roman" w:hAnsi="Times New Roman"/>
          <w:b w:val="1"/>
          <w:bCs w:val="1"/>
          <w:u w:val="single"/>
          <w:rtl w:val="0"/>
          <w:lang w:val="en-US"/>
        </w:rPr>
        <w:t>Part B</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Amana Ltd should consider moving its business online due, in part, to some of the benefits that have been discussed in Part A (iii) above. However, this decision is one the company has to weigh and determine if it makes economic sense. Every business would only venture into a business if the venture is economically feasible and sustainable. Among the factors that Mr. Amana should consider before taking the business online is the budget. Taking the venture online requires some startup capital to establish the business, which would play a significant role in the decision of whether the venture is economically feasible or not. However, the company is already established in its industry and it already has a portfolio to offer to its customers, meaning that it does not have to meet the same challenges that startups have when moving their businesses online from the onset of their existence. Indeed, the knowledge of the company</w:t>
      </w:r>
      <w:r>
        <w:rPr>
          <w:rFonts w:ascii="Times New Roman" w:hAnsi="Times New Roman" w:hint="default"/>
          <w:rtl w:val="0"/>
          <w:lang w:val="en-US"/>
        </w:rPr>
        <w:t>’</w:t>
      </w:r>
      <w:r>
        <w:rPr>
          <w:rFonts w:ascii="Times New Roman" w:hAnsi="Times New Roman"/>
          <w:rtl w:val="0"/>
          <w:lang w:val="en-US"/>
        </w:rPr>
        <w:t xml:space="preserve">s products, its target customer base, and which avenues can be used to reach its target market through marketing strategies gives the company an upper hand in the quest to move the business online. </w:t>
      </w:r>
    </w:p>
    <w:p>
      <w:pPr>
        <w:pStyle w:val="Default"/>
        <w:spacing w:line="480" w:lineRule="auto"/>
        <w:ind w:firstLine="720"/>
        <w:rPr>
          <w:rFonts w:ascii="Times New Roman" w:cs="Times New Roman" w:hAnsi="Times New Roman" w:eastAsia="Times New Roman"/>
          <w:b w:val="1"/>
          <w:bCs w:val="1"/>
        </w:rPr>
      </w:pPr>
      <w:r>
        <w:rPr>
          <w:rFonts w:ascii="Times New Roman" w:hAnsi="Times New Roman"/>
          <w:rtl w:val="0"/>
          <w:lang w:val="en-US"/>
        </w:rPr>
        <w:t xml:space="preserve">The following table shows the amount of money that Amana Ltd requires to invest from the inset of its move towards an online platform. </w:t>
      </w:r>
    </w:p>
    <w:tbl>
      <w:tblPr>
        <w:tblW w:w="93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70"/>
        <w:gridCol w:w="7213"/>
        <w:gridCol w:w="1577"/>
      </w:tblGrid>
      <w:tr>
        <w:tblPrEx>
          <w:shd w:val="clear" w:color="auto" w:fill="cdd4e9"/>
        </w:tblPrEx>
        <w:trPr>
          <w:trHeight w:val="305" w:hRule="atLeast"/>
        </w:trPr>
        <w:tc>
          <w:tcPr>
            <w:tcW w:type="dxa" w:w="570"/>
            <w:tcBorders>
              <w:top w:val="nil"/>
              <w:left w:val="nil"/>
              <w:bottom w:val="single" w:color="7f7f7f" w:sz="4" w:space="0" w:shadow="0" w:frame="0"/>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pPr>
            <w:r>
              <w:rPr>
                <w:rFonts w:ascii="Times New Roman" w:hAnsi="Times New Roman"/>
                <w:b w:val="1"/>
                <w:bCs w:val="1"/>
                <w:i w:val="1"/>
                <w:iCs w:val="1"/>
                <w:rtl w:val="0"/>
                <w:lang w:val="en-US"/>
              </w:rPr>
              <w:t>No.</w:t>
            </w:r>
          </w:p>
        </w:tc>
        <w:tc>
          <w:tcPr>
            <w:tcW w:type="dxa" w:w="7213"/>
            <w:tcBorders>
              <w:top w:val="nil"/>
              <w:left w:val="single" w:color="7f7f7f" w:sz="4" w:space="0" w:shadow="0" w:frame="0"/>
              <w:bottom w:val="single" w:color="7f7f7f" w:sz="4" w:space="0" w:shadow="0" w:frame="0"/>
              <w:right w:val="nil"/>
            </w:tcBorders>
            <w:shd w:val="clear" w:color="auto" w:fill="ffffff"/>
            <w:tcMar>
              <w:top w:type="dxa" w:w="80"/>
              <w:left w:type="dxa" w:w="80"/>
              <w:bottom w:type="dxa" w:w="80"/>
              <w:right w:type="dxa" w:w="80"/>
            </w:tcMar>
            <w:vAlign w:val="top"/>
          </w:tcPr>
          <w:p>
            <w:pPr>
              <w:pStyle w:val="Default"/>
              <w:spacing w:line="480" w:lineRule="auto"/>
            </w:pPr>
            <w:r>
              <w:rPr>
                <w:rFonts w:ascii="Times New Roman" w:hAnsi="Times New Roman"/>
                <w:b w:val="1"/>
                <w:bCs w:val="1"/>
                <w:i w:val="1"/>
                <w:iCs w:val="1"/>
                <w:rtl w:val="0"/>
                <w:lang w:val="en-US"/>
              </w:rPr>
              <w:t>Item</w:t>
            </w:r>
          </w:p>
        </w:tc>
        <w:tc>
          <w:tcPr>
            <w:tcW w:type="dxa" w:w="1577"/>
            <w:tcBorders>
              <w:top w:val="nil"/>
              <w:left w:val="nil"/>
              <w:bottom w:val="single" w:color="7f7f7f" w:sz="4" w:space="0" w:shadow="0" w:frame="0"/>
              <w:right w:val="nil"/>
            </w:tcBorders>
            <w:shd w:val="clear" w:color="auto" w:fill="ffffff"/>
            <w:tcMar>
              <w:top w:type="dxa" w:w="80"/>
              <w:left w:type="dxa" w:w="80"/>
              <w:bottom w:type="dxa" w:w="80"/>
              <w:right w:type="dxa" w:w="80"/>
            </w:tcMar>
            <w:vAlign w:val="top"/>
          </w:tcPr>
          <w:p>
            <w:pPr>
              <w:pStyle w:val="Default"/>
              <w:spacing w:line="480" w:lineRule="auto"/>
            </w:pPr>
            <w:r>
              <w:rPr>
                <w:rFonts w:ascii="Times New Roman" w:hAnsi="Times New Roman"/>
                <w:b w:val="1"/>
                <w:bCs w:val="1"/>
                <w:i w:val="1"/>
                <w:iCs w:val="1"/>
                <w:rtl w:val="0"/>
                <w:lang w:val="en-US"/>
              </w:rPr>
              <w:t>Cost (</w:t>
            </w:r>
            <w:r>
              <w:rPr>
                <w:rFonts w:ascii="Times New Roman" w:hAnsi="Times New Roman" w:hint="default"/>
                <w:b w:val="1"/>
                <w:bCs w:val="1"/>
                <w:i w:val="1"/>
                <w:iCs w:val="1"/>
                <w:rtl w:val="0"/>
                <w:lang w:val="en-US"/>
              </w:rPr>
              <w:t>£</w:t>
            </w:r>
            <w:r>
              <w:rPr>
                <w:rFonts w:ascii="Times New Roman" w:hAnsi="Times New Roman"/>
                <w:b w:val="1"/>
                <w:bCs w:val="1"/>
                <w:i w:val="1"/>
                <w:iCs w:val="1"/>
                <w:rtl w:val="0"/>
                <w:lang w:val="en-US"/>
              </w:rPr>
              <w:t>)</w:t>
            </w:r>
          </w:p>
        </w:tc>
      </w:tr>
      <w:tr>
        <w:tblPrEx>
          <w:shd w:val="clear" w:color="auto" w:fill="cdd4e9"/>
        </w:tblPrEx>
        <w:trPr>
          <w:trHeight w:val="305" w:hRule="atLeast"/>
        </w:trPr>
        <w:tc>
          <w:tcPr>
            <w:tcW w:type="dxa" w:w="570"/>
            <w:tcBorders>
              <w:top w:val="single" w:color="7f7f7f" w:sz="4" w:space="0" w:shadow="0" w:frame="0"/>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jc w:val="right"/>
            </w:pPr>
            <w:r>
              <w:rPr>
                <w:rFonts w:ascii="Times New Roman" w:hAnsi="Times New Roman"/>
                <w:b w:val="1"/>
                <w:bCs w:val="1"/>
                <w:i w:val="1"/>
                <w:iCs w:val="1"/>
                <w:rtl w:val="0"/>
                <w:lang w:val="en-US"/>
              </w:rPr>
              <w:t>1.</w:t>
            </w:r>
          </w:p>
        </w:tc>
        <w:tc>
          <w:tcPr>
            <w:tcW w:type="dxa" w:w="7213"/>
            <w:tcBorders>
              <w:top w:val="single" w:color="7f7f7f" w:sz="4" w:space="0" w:shadow="0" w:frame="0"/>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line="480" w:lineRule="auto"/>
            </w:pPr>
            <w:r>
              <w:rPr>
                <w:rFonts w:ascii="Times New Roman" w:hAnsi="Times New Roman"/>
                <w:rtl w:val="0"/>
                <w:lang w:val="en-US"/>
              </w:rPr>
              <w:t>Cost of setting up a delivery network</w:t>
            </w:r>
          </w:p>
        </w:tc>
        <w:tc>
          <w:tcPr>
            <w:tcW w:type="dxa" w:w="1577"/>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line="480" w:lineRule="auto"/>
            </w:pPr>
            <w:r>
              <w:rPr>
                <w:rFonts w:ascii="Times New Roman" w:hAnsi="Times New Roman"/>
                <w:b w:val="1"/>
                <w:bCs w:val="1"/>
                <w:rtl w:val="0"/>
                <w:lang w:val="en-US"/>
              </w:rPr>
              <w:t>150,000</w:t>
            </w:r>
          </w:p>
        </w:tc>
      </w:tr>
      <w:tr>
        <w:tblPrEx>
          <w:shd w:val="clear" w:color="auto" w:fill="cdd4e9"/>
        </w:tblPrEx>
        <w:trPr>
          <w:trHeight w:val="310" w:hRule="atLeast"/>
        </w:trPr>
        <w:tc>
          <w:tcPr>
            <w:tcW w:type="dxa" w:w="570"/>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jc w:val="right"/>
            </w:pPr>
            <w:r>
              <w:rPr>
                <w:rFonts w:ascii="Times New Roman" w:hAnsi="Times New Roman"/>
                <w:b w:val="1"/>
                <w:bCs w:val="1"/>
                <w:i w:val="1"/>
                <w:iCs w:val="1"/>
                <w:rtl w:val="0"/>
                <w:lang w:val="en-US"/>
              </w:rPr>
              <w:t>2.</w:t>
            </w:r>
          </w:p>
        </w:tc>
        <w:tc>
          <w:tcPr>
            <w:tcW w:type="dxa" w:w="7213"/>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line="480" w:lineRule="auto"/>
            </w:pPr>
            <w:r>
              <w:rPr>
                <w:rFonts w:ascii="Times New Roman" w:hAnsi="Times New Roman"/>
                <w:rtl w:val="0"/>
                <w:lang w:val="en-US"/>
              </w:rPr>
              <w:t>Cost of upgrading current website to handle large volumes of sales</w:t>
            </w:r>
          </w:p>
        </w:tc>
        <w:tc>
          <w:tcPr>
            <w:tcW w:type="dxa" w:w="1577"/>
            <w:tcBorders>
              <w:top w:val="nil"/>
              <w:left w:val="nil"/>
              <w:bottom w:val="nil"/>
              <w:right w:val="nil"/>
            </w:tcBorders>
            <w:shd w:val="clear" w:color="auto" w:fill="auto"/>
            <w:tcMar>
              <w:top w:type="dxa" w:w="80"/>
              <w:left w:type="dxa" w:w="80"/>
              <w:bottom w:type="dxa" w:w="80"/>
              <w:right w:type="dxa" w:w="80"/>
            </w:tcMar>
            <w:vAlign w:val="top"/>
          </w:tcPr>
          <w:p>
            <w:pPr>
              <w:pStyle w:val="Default"/>
              <w:spacing w:line="480" w:lineRule="auto"/>
            </w:pPr>
            <w:r>
              <w:rPr>
                <w:rFonts w:ascii="Times New Roman" w:hAnsi="Times New Roman"/>
                <w:b w:val="1"/>
                <w:bCs w:val="1"/>
                <w:rtl w:val="0"/>
                <w:lang w:val="en-US"/>
              </w:rPr>
              <w:t>50,000</w:t>
            </w:r>
          </w:p>
        </w:tc>
      </w:tr>
      <w:tr>
        <w:tblPrEx>
          <w:shd w:val="clear" w:color="auto" w:fill="cdd4e9"/>
        </w:tblPrEx>
        <w:trPr>
          <w:trHeight w:val="310" w:hRule="atLeast"/>
        </w:trPr>
        <w:tc>
          <w:tcPr>
            <w:tcW w:type="dxa" w:w="570"/>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jc w:val="right"/>
            </w:pPr>
            <w:r>
              <w:rPr>
                <w:rFonts w:ascii="Times New Roman" w:hAnsi="Times New Roman"/>
                <w:b w:val="1"/>
                <w:bCs w:val="1"/>
                <w:i w:val="1"/>
                <w:iCs w:val="1"/>
                <w:rtl w:val="0"/>
                <w:lang w:val="en-US"/>
              </w:rPr>
              <w:t>3.</w:t>
            </w:r>
          </w:p>
        </w:tc>
        <w:tc>
          <w:tcPr>
            <w:tcW w:type="dxa" w:w="7213"/>
            <w:tcBorders>
              <w:top w:val="nil"/>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line="480" w:lineRule="auto"/>
            </w:pPr>
            <w:r>
              <w:rPr>
                <w:rFonts w:ascii="Times New Roman" w:hAnsi="Times New Roman"/>
                <w:rtl w:val="0"/>
                <w:lang w:val="en-US"/>
              </w:rPr>
              <w:t xml:space="preserve">Salary of a fulltime IT programmer </w:t>
            </w:r>
          </w:p>
        </w:tc>
        <w:tc>
          <w:tcPr>
            <w:tcW w:type="dxa" w:w="1577"/>
            <w:tcBorders>
              <w:top w:val="nil"/>
              <w:left w:val="nil"/>
              <w:bottom w:val="nil"/>
              <w:right w:val="nil"/>
            </w:tcBorders>
            <w:shd w:val="clear" w:color="auto" w:fill="f2f2f2"/>
            <w:tcMar>
              <w:top w:type="dxa" w:w="80"/>
              <w:left w:type="dxa" w:w="80"/>
              <w:bottom w:type="dxa" w:w="80"/>
              <w:right w:type="dxa" w:w="80"/>
            </w:tcMar>
            <w:vAlign w:val="top"/>
          </w:tcPr>
          <w:p>
            <w:pPr>
              <w:pStyle w:val="Default"/>
              <w:spacing w:line="480" w:lineRule="auto"/>
            </w:pPr>
            <w:r>
              <w:rPr>
                <w:rFonts w:ascii="Times New Roman" w:hAnsi="Times New Roman"/>
                <w:b w:val="1"/>
                <w:bCs w:val="1"/>
                <w:rtl w:val="0"/>
                <w:lang w:val="en-US"/>
              </w:rPr>
              <w:t>35,000</w:t>
            </w:r>
          </w:p>
        </w:tc>
      </w:tr>
      <w:tr>
        <w:tblPrEx>
          <w:shd w:val="clear" w:color="auto" w:fill="cdd4e9"/>
        </w:tblPrEx>
        <w:trPr>
          <w:trHeight w:val="310" w:hRule="atLeast"/>
        </w:trPr>
        <w:tc>
          <w:tcPr>
            <w:tcW w:type="dxa" w:w="7783"/>
            <w:gridSpan w:val="2"/>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jc w:val="right"/>
            </w:pPr>
            <w:r>
              <w:rPr>
                <w:rFonts w:ascii="Times New Roman" w:hAnsi="Times New Roman"/>
                <w:i w:val="1"/>
                <w:iCs w:val="1"/>
                <w:rtl w:val="0"/>
                <w:lang w:val="en-US"/>
              </w:rPr>
              <w:t>Total</w:t>
            </w:r>
          </w:p>
        </w:tc>
        <w:tc>
          <w:tcPr>
            <w:tcW w:type="dxa" w:w="157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line="480" w:lineRule="auto"/>
            </w:pPr>
            <w:r>
              <w:rPr>
                <w:rFonts w:ascii="Times New Roman" w:hAnsi="Times New Roman"/>
                <w:b w:val="1"/>
                <w:bCs w:val="1"/>
                <w:rtl w:val="0"/>
                <w:lang w:val="en-US"/>
              </w:rPr>
              <w:t>235,000</w:t>
            </w:r>
          </w:p>
        </w:tc>
      </w:tr>
    </w:tbl>
    <w:p>
      <w:pPr>
        <w:pStyle w:val="Default"/>
        <w:widowControl w:val="0"/>
        <w:ind w:left="108" w:hanging="108"/>
        <w:rPr>
          <w:rFonts w:ascii="Times New Roman" w:cs="Times New Roman" w:hAnsi="Times New Roman" w:eastAsia="Times New Roman"/>
          <w:b w:val="1"/>
          <w:bCs w:val="1"/>
        </w:rPr>
      </w:pPr>
    </w:p>
    <w:p>
      <w:pPr>
        <w:pStyle w:val="Default"/>
        <w:widowControl w:val="0"/>
        <w:rPr>
          <w:rFonts w:ascii="Times New Roman" w:cs="Times New Roman" w:hAnsi="Times New Roman" w:eastAsia="Times New Roman"/>
          <w:b w:val="1"/>
          <w:bCs w:val="1"/>
        </w:rPr>
      </w:pPr>
    </w:p>
    <w:p>
      <w:pPr>
        <w:pStyle w:val="Default"/>
        <w:spacing w:line="480" w:lineRule="auto"/>
        <w:rPr>
          <w:rFonts w:ascii="Times New Roman" w:cs="Times New Roman" w:hAnsi="Times New Roman" w:eastAsia="Times New Roman"/>
          <w:b w:val="1"/>
          <w:bCs w:val="1"/>
        </w:rPr>
      </w:pPr>
    </w:p>
    <w:p>
      <w:pPr>
        <w:pStyle w:val="Default"/>
        <w:spacing w:line="480" w:lineRule="auto"/>
        <w:ind w:firstLine="720"/>
        <w:rPr>
          <w:rFonts w:ascii="Times New Roman" w:cs="Times New Roman" w:hAnsi="Times New Roman" w:eastAsia="Times New Roman"/>
          <w:b w:val="1"/>
          <w:bCs w:val="1"/>
        </w:rPr>
      </w:pPr>
      <w:r>
        <w:rPr>
          <w:rFonts w:ascii="Times New Roman" w:hAnsi="Times New Roman"/>
          <w:rtl w:val="0"/>
          <w:lang w:val="en-US"/>
        </w:rPr>
        <w:t xml:space="preserve">The company has to weigh this cost of moving the business online with the potential of selling a guaranteed 100,000 souvenir units annually. Before the pandemic hit the industry and the global commerce the way it did, the company was successful and one of its successes came from successful sales of souvenirs. For the financial year 2020, the company had projected sales of up to 100,000 units at a price of </w:t>
      </w:r>
      <w:r>
        <w:rPr>
          <w:rFonts w:ascii="Times New Roman" w:hAnsi="Times New Roman" w:hint="default"/>
          <w:rtl w:val="0"/>
          <w:lang w:val="en-US"/>
        </w:rPr>
        <w:t>£</w:t>
      </w:r>
      <w:r>
        <w:rPr>
          <w:rFonts w:ascii="Times New Roman" w:hAnsi="Times New Roman"/>
          <w:rtl w:val="0"/>
          <w:lang w:val="en-US"/>
        </w:rPr>
        <w:t>25 per</w:t>
      </w:r>
      <w:r>
        <w:rPr>
          <w:rFonts w:ascii="Times New Roman" w:hAnsi="Times New Roman"/>
          <w:b w:val="1"/>
          <w:bCs w:val="1"/>
          <w:rtl w:val="0"/>
          <w:lang w:val="en-US"/>
        </w:rPr>
        <w:t xml:space="preserve"> </w:t>
      </w:r>
      <w:r>
        <w:rPr>
          <w:rFonts w:ascii="Times New Roman" w:hAnsi="Times New Roman"/>
          <w:rtl w:val="0"/>
          <w:lang w:val="en-US"/>
        </w:rPr>
        <w:t xml:space="preserve">unit. In this case, the company would be making sales of up to </w:t>
      </w:r>
      <w:r>
        <w:rPr>
          <w:rFonts w:ascii="Times New Roman" w:hAnsi="Times New Roman" w:hint="default"/>
          <w:rtl w:val="0"/>
          <w:lang w:val="en-US"/>
        </w:rPr>
        <w:t>£</w:t>
      </w:r>
      <w:r>
        <w:rPr>
          <w:rFonts w:ascii="Times New Roman" w:hAnsi="Times New Roman"/>
          <w:rtl w:val="0"/>
          <w:lang w:val="en-US"/>
        </w:rPr>
        <w:t>2.5 million annually if the management chooses to move 50% of the company</w:t>
      </w:r>
      <w:r>
        <w:rPr>
          <w:rFonts w:ascii="Times New Roman" w:hAnsi="Times New Roman" w:hint="default"/>
          <w:rtl w:val="0"/>
          <w:lang w:val="en-US"/>
        </w:rPr>
        <w:t>’</w:t>
      </w:r>
      <w:r>
        <w:rPr>
          <w:rFonts w:ascii="Times New Roman" w:hAnsi="Times New Roman"/>
          <w:rtl w:val="0"/>
          <w:lang w:val="en-US"/>
        </w:rPr>
        <w:t xml:space="preserve">s business online. </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That option is supposed to compete with the other option that the company has to avail its products online. The alternative is to have the company</w:t>
      </w:r>
      <w:r>
        <w:rPr>
          <w:rFonts w:ascii="Times New Roman" w:hAnsi="Times New Roman" w:hint="default"/>
          <w:rtl w:val="0"/>
          <w:lang w:val="en-US"/>
        </w:rPr>
        <w:t>’</w:t>
      </w:r>
      <w:r>
        <w:rPr>
          <w:rFonts w:ascii="Times New Roman" w:hAnsi="Times New Roman"/>
          <w:rtl w:val="0"/>
          <w:lang w:val="en-US"/>
        </w:rPr>
        <w:t>s souvenirs sold through Amazon. However, the company needs to put some factors into consideration. The first of these is the cost of starting this venture, which is depicted by the table below.</w:t>
      </w:r>
    </w:p>
    <w:p>
      <w:pPr>
        <w:pStyle w:val="Default"/>
        <w:spacing w:line="480" w:lineRule="auto"/>
        <w:ind w:firstLine="720"/>
        <w:rPr>
          <w:rFonts w:ascii="Times New Roman" w:cs="Times New Roman" w:hAnsi="Times New Roman" w:eastAsia="Times New Roman"/>
        </w:rPr>
      </w:pPr>
    </w:p>
    <w:tbl>
      <w:tblPr>
        <w:tblW w:w="93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70"/>
        <w:gridCol w:w="7213"/>
        <w:gridCol w:w="1577"/>
      </w:tblGrid>
      <w:tr>
        <w:tblPrEx>
          <w:shd w:val="clear" w:color="auto" w:fill="cdd4e9"/>
        </w:tblPrEx>
        <w:trPr>
          <w:trHeight w:val="305" w:hRule="atLeast"/>
        </w:trPr>
        <w:tc>
          <w:tcPr>
            <w:tcW w:type="dxa" w:w="570"/>
            <w:tcBorders>
              <w:top w:val="nil"/>
              <w:left w:val="nil"/>
              <w:bottom w:val="single" w:color="7f7f7f" w:sz="4" w:space="0" w:shadow="0" w:frame="0"/>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pPr>
            <w:r>
              <w:rPr>
                <w:rFonts w:ascii="Times New Roman" w:hAnsi="Times New Roman"/>
                <w:b w:val="1"/>
                <w:bCs w:val="1"/>
                <w:i w:val="1"/>
                <w:iCs w:val="1"/>
                <w:rtl w:val="0"/>
                <w:lang w:val="en-US"/>
              </w:rPr>
              <w:t>No.</w:t>
            </w:r>
          </w:p>
        </w:tc>
        <w:tc>
          <w:tcPr>
            <w:tcW w:type="dxa" w:w="7213"/>
            <w:tcBorders>
              <w:top w:val="nil"/>
              <w:left w:val="single" w:color="7f7f7f" w:sz="4" w:space="0" w:shadow="0" w:frame="0"/>
              <w:bottom w:val="single" w:color="7f7f7f" w:sz="4" w:space="0" w:shadow="0" w:frame="0"/>
              <w:right w:val="nil"/>
            </w:tcBorders>
            <w:shd w:val="clear" w:color="auto" w:fill="ffffff"/>
            <w:tcMar>
              <w:top w:type="dxa" w:w="80"/>
              <w:left w:type="dxa" w:w="80"/>
              <w:bottom w:type="dxa" w:w="80"/>
              <w:right w:type="dxa" w:w="80"/>
            </w:tcMar>
            <w:vAlign w:val="top"/>
          </w:tcPr>
          <w:p>
            <w:pPr>
              <w:pStyle w:val="Default"/>
              <w:spacing w:line="480" w:lineRule="auto"/>
            </w:pPr>
            <w:r>
              <w:rPr>
                <w:rFonts w:ascii="Times New Roman" w:hAnsi="Times New Roman"/>
                <w:b w:val="1"/>
                <w:bCs w:val="1"/>
                <w:i w:val="1"/>
                <w:iCs w:val="1"/>
                <w:rtl w:val="0"/>
                <w:lang w:val="en-US"/>
              </w:rPr>
              <w:t>Item</w:t>
            </w:r>
          </w:p>
        </w:tc>
        <w:tc>
          <w:tcPr>
            <w:tcW w:type="dxa" w:w="1577"/>
            <w:tcBorders>
              <w:top w:val="nil"/>
              <w:left w:val="nil"/>
              <w:bottom w:val="single" w:color="7f7f7f" w:sz="4" w:space="0" w:shadow="0" w:frame="0"/>
              <w:right w:val="nil"/>
            </w:tcBorders>
            <w:shd w:val="clear" w:color="auto" w:fill="ffffff"/>
            <w:tcMar>
              <w:top w:type="dxa" w:w="80"/>
              <w:left w:type="dxa" w:w="80"/>
              <w:bottom w:type="dxa" w:w="80"/>
              <w:right w:type="dxa" w:w="80"/>
            </w:tcMar>
            <w:vAlign w:val="top"/>
          </w:tcPr>
          <w:p>
            <w:pPr>
              <w:pStyle w:val="Default"/>
              <w:spacing w:line="480" w:lineRule="auto"/>
            </w:pPr>
            <w:r>
              <w:rPr>
                <w:rFonts w:ascii="Times New Roman" w:hAnsi="Times New Roman"/>
                <w:b w:val="1"/>
                <w:bCs w:val="1"/>
                <w:i w:val="1"/>
                <w:iCs w:val="1"/>
                <w:rtl w:val="0"/>
                <w:lang w:val="en-US"/>
              </w:rPr>
              <w:t>Cost (</w:t>
            </w:r>
            <w:r>
              <w:rPr>
                <w:rFonts w:ascii="Times New Roman" w:hAnsi="Times New Roman" w:hint="default"/>
                <w:b w:val="1"/>
                <w:bCs w:val="1"/>
                <w:i w:val="1"/>
                <w:iCs w:val="1"/>
                <w:rtl w:val="0"/>
                <w:lang w:val="en-US"/>
              </w:rPr>
              <w:t>£</w:t>
            </w:r>
            <w:r>
              <w:rPr>
                <w:rFonts w:ascii="Times New Roman" w:hAnsi="Times New Roman"/>
                <w:b w:val="1"/>
                <w:bCs w:val="1"/>
                <w:i w:val="1"/>
                <w:iCs w:val="1"/>
                <w:rtl w:val="0"/>
                <w:lang w:val="en-US"/>
              </w:rPr>
              <w:t>)</w:t>
            </w:r>
          </w:p>
        </w:tc>
      </w:tr>
      <w:tr>
        <w:tblPrEx>
          <w:shd w:val="clear" w:color="auto" w:fill="cdd4e9"/>
        </w:tblPrEx>
        <w:trPr>
          <w:trHeight w:val="305" w:hRule="atLeast"/>
        </w:trPr>
        <w:tc>
          <w:tcPr>
            <w:tcW w:type="dxa" w:w="570"/>
            <w:tcBorders>
              <w:top w:val="single" w:color="7f7f7f" w:sz="4" w:space="0" w:shadow="0" w:frame="0"/>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jc w:val="right"/>
            </w:pPr>
            <w:r>
              <w:rPr>
                <w:rFonts w:ascii="Times New Roman" w:hAnsi="Times New Roman"/>
                <w:b w:val="1"/>
                <w:bCs w:val="1"/>
                <w:i w:val="1"/>
                <w:iCs w:val="1"/>
                <w:rtl w:val="0"/>
                <w:lang w:val="en-US"/>
              </w:rPr>
              <w:t>1.</w:t>
            </w:r>
          </w:p>
        </w:tc>
        <w:tc>
          <w:tcPr>
            <w:tcW w:type="dxa" w:w="7213"/>
            <w:tcBorders>
              <w:top w:val="single" w:color="7f7f7f" w:sz="4" w:space="0" w:shadow="0" w:frame="0"/>
              <w:left w:val="single" w:color="7f7f7f" w:sz="4" w:space="0" w:shadow="0" w:frame="0"/>
              <w:bottom w:val="nil"/>
              <w:right w:val="nil"/>
            </w:tcBorders>
            <w:shd w:val="clear" w:color="auto" w:fill="f2f2f2"/>
            <w:tcMar>
              <w:top w:type="dxa" w:w="80"/>
              <w:left w:type="dxa" w:w="80"/>
              <w:bottom w:type="dxa" w:w="80"/>
              <w:right w:type="dxa" w:w="80"/>
            </w:tcMar>
            <w:vAlign w:val="top"/>
          </w:tcPr>
          <w:p>
            <w:pPr>
              <w:pStyle w:val="Default"/>
              <w:spacing w:line="480" w:lineRule="auto"/>
            </w:pPr>
            <w:r>
              <w:rPr>
                <w:rFonts w:ascii="Times New Roman" w:hAnsi="Times New Roman"/>
                <w:rtl w:val="0"/>
                <w:lang w:val="en-US"/>
              </w:rPr>
              <w:t>Amazon fulfilment fees</w:t>
            </w:r>
          </w:p>
        </w:tc>
        <w:tc>
          <w:tcPr>
            <w:tcW w:type="dxa" w:w="1577"/>
            <w:tcBorders>
              <w:top w:val="single" w:color="7f7f7f" w:sz="4" w:space="0" w:shadow="0" w:frame="0"/>
              <w:left w:val="nil"/>
              <w:bottom w:val="nil"/>
              <w:right w:val="nil"/>
            </w:tcBorders>
            <w:shd w:val="clear" w:color="auto" w:fill="f2f2f2"/>
            <w:tcMar>
              <w:top w:type="dxa" w:w="80"/>
              <w:left w:type="dxa" w:w="80"/>
              <w:bottom w:type="dxa" w:w="80"/>
              <w:right w:type="dxa" w:w="80"/>
            </w:tcMar>
            <w:vAlign w:val="top"/>
          </w:tcPr>
          <w:p>
            <w:pPr>
              <w:pStyle w:val="Default"/>
              <w:spacing w:line="480" w:lineRule="auto"/>
            </w:pPr>
            <w:r>
              <w:rPr>
                <w:rFonts w:ascii="Times New Roman" w:hAnsi="Times New Roman"/>
                <w:b w:val="1"/>
                <w:bCs w:val="1"/>
                <w:rtl w:val="0"/>
                <w:lang w:val="en-US"/>
              </w:rPr>
              <w:t>50,000</w:t>
            </w:r>
          </w:p>
        </w:tc>
      </w:tr>
      <w:tr>
        <w:tblPrEx>
          <w:shd w:val="clear" w:color="auto" w:fill="cdd4e9"/>
        </w:tblPrEx>
        <w:trPr>
          <w:trHeight w:val="310" w:hRule="atLeast"/>
        </w:trPr>
        <w:tc>
          <w:tcPr>
            <w:tcW w:type="dxa" w:w="7783"/>
            <w:gridSpan w:val="2"/>
            <w:tcBorders>
              <w:top w:val="nil"/>
              <w:left w:val="nil"/>
              <w:bottom w:val="nil"/>
              <w:right w:val="single" w:color="7f7f7f" w:sz="4" w:space="0" w:shadow="0" w:frame="0"/>
            </w:tcBorders>
            <w:shd w:val="clear" w:color="auto" w:fill="ffffff"/>
            <w:tcMar>
              <w:top w:type="dxa" w:w="80"/>
              <w:left w:type="dxa" w:w="80"/>
              <w:bottom w:type="dxa" w:w="80"/>
              <w:right w:type="dxa" w:w="80"/>
            </w:tcMar>
            <w:vAlign w:val="top"/>
          </w:tcPr>
          <w:p>
            <w:pPr>
              <w:pStyle w:val="Default"/>
              <w:spacing w:line="480" w:lineRule="auto"/>
              <w:jc w:val="right"/>
            </w:pPr>
            <w:r>
              <w:rPr>
                <w:rFonts w:ascii="Times New Roman" w:hAnsi="Times New Roman"/>
                <w:i w:val="1"/>
                <w:iCs w:val="1"/>
                <w:rtl w:val="0"/>
                <w:lang w:val="en-US"/>
              </w:rPr>
              <w:t>Total</w:t>
            </w:r>
          </w:p>
        </w:tc>
        <w:tc>
          <w:tcPr>
            <w:tcW w:type="dxa" w:w="1577"/>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Default"/>
              <w:spacing w:line="480" w:lineRule="auto"/>
            </w:pPr>
            <w:r>
              <w:rPr>
                <w:rFonts w:ascii="Times New Roman" w:hAnsi="Times New Roman"/>
                <w:b w:val="1"/>
                <w:bCs w:val="1"/>
                <w:rtl w:val="0"/>
                <w:lang w:val="en-US"/>
              </w:rPr>
              <w:t>50,000</w:t>
            </w:r>
          </w:p>
        </w:tc>
      </w:tr>
    </w:tbl>
    <w:p>
      <w:pPr>
        <w:pStyle w:val="Default"/>
        <w:widowControl w:val="0"/>
        <w:ind w:left="108" w:hanging="108"/>
        <w:rPr>
          <w:rFonts w:ascii="Times New Roman" w:cs="Times New Roman" w:hAnsi="Times New Roman" w:eastAsia="Times New Roman"/>
        </w:rPr>
      </w:pPr>
    </w:p>
    <w:p>
      <w:pPr>
        <w:pStyle w:val="Default"/>
        <w:widowControl w:val="0"/>
        <w:rPr>
          <w:rFonts w:ascii="Times New Roman" w:cs="Times New Roman" w:hAnsi="Times New Roman" w:eastAsia="Times New Roman"/>
        </w:rPr>
      </w:pP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 xml:space="preserve"> In term of startup financial requirements, the company seems to have a better option in moving the company</w:t>
      </w:r>
      <w:r>
        <w:rPr>
          <w:rFonts w:ascii="Times New Roman" w:hAnsi="Times New Roman" w:hint="default"/>
          <w:rtl w:val="0"/>
          <w:lang w:val="en-US"/>
        </w:rPr>
        <w:t>’</w:t>
      </w:r>
      <w:r>
        <w:rPr>
          <w:rFonts w:ascii="Times New Roman" w:hAnsi="Times New Roman"/>
          <w:rtl w:val="0"/>
          <w:lang w:val="en-US"/>
        </w:rPr>
        <w:t>s online platform through Amazon. The fees needed for Amazon are less than the company</w:t>
      </w:r>
      <w:r>
        <w:rPr>
          <w:rFonts w:ascii="Times New Roman" w:hAnsi="Times New Roman" w:hint="default"/>
          <w:rtl w:val="0"/>
          <w:lang w:val="en-US"/>
        </w:rPr>
        <w:t>’</w:t>
      </w:r>
      <w:r>
        <w:rPr>
          <w:rFonts w:ascii="Times New Roman" w:hAnsi="Times New Roman"/>
          <w:rtl w:val="0"/>
          <w:lang w:val="en-US"/>
        </w:rPr>
        <w:t xml:space="preserve">s own website because the company does not need to upgrade its existing infrastructure to meet the increasing demand for these services and serve the increased capacity of customers on the platform (Coles, 2017). The company would also not be required to set up its own delivery network as all that would be done by Amazon, and the company may also not require the services of a fulltime IT programmer. In this essence, working with Amazon comes in as the easier and cheaper option. </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 xml:space="preserve">However, the management has to deliberate on a few factors about this option. First of all, the number of guaranteed annual unit sales is less than when the company decides to sell its products on its own website.  In this regard, the company would be guaranteed to sell 65,000 souvenir units per annum, which, at a hypothetical price of </w:t>
      </w:r>
      <w:r>
        <w:rPr>
          <w:rFonts w:ascii="Times New Roman" w:hAnsi="Times New Roman" w:hint="default"/>
          <w:rtl w:val="0"/>
          <w:lang w:val="en-US"/>
        </w:rPr>
        <w:t>£</w:t>
      </w:r>
      <w:r>
        <w:rPr>
          <w:rFonts w:ascii="Times New Roman" w:hAnsi="Times New Roman"/>
          <w:rtl w:val="0"/>
          <w:lang w:val="en-US"/>
        </w:rPr>
        <w:t xml:space="preserve">25, the company would be raising a guaranteed </w:t>
      </w:r>
      <w:r>
        <w:rPr>
          <w:rFonts w:ascii="Times New Roman" w:hAnsi="Times New Roman" w:hint="default"/>
          <w:rtl w:val="0"/>
          <w:lang w:val="en-US"/>
        </w:rPr>
        <w:t>£</w:t>
      </w:r>
      <w:r>
        <w:rPr>
          <w:rFonts w:ascii="Times New Roman" w:hAnsi="Times New Roman"/>
          <w:rtl w:val="0"/>
          <w:lang w:val="en-US"/>
        </w:rPr>
        <w:t xml:space="preserve">1,625,000 per year. This is considerably less than what the company would be making every year if it decided to develop its own website and sell its products from there. </w:t>
      </w:r>
    </w:p>
    <w:p>
      <w:pPr>
        <w:pStyle w:val="Default"/>
        <w:spacing w:line="480" w:lineRule="auto"/>
        <w:ind w:firstLine="720"/>
        <w:rPr>
          <w:rFonts w:ascii="Times New Roman" w:cs="Times New Roman" w:hAnsi="Times New Roman" w:eastAsia="Times New Roman"/>
          <w:b w:val="1"/>
          <w:bCs w:val="1"/>
        </w:rPr>
      </w:pPr>
      <w:r>
        <w:rPr>
          <w:rFonts w:ascii="Times New Roman" w:hAnsi="Times New Roman"/>
          <w:rtl w:val="0"/>
          <w:lang w:val="en-US"/>
        </w:rPr>
        <w:t>Additionally, Amana Ltd would be facing more intense competition from companies offering similar products through Amazon. To face this competition, the company will be required to engage in intense marketing activities so that it can reach more potential customers and convert them into buyers (McGrath, 2013). This would mean that the company would possibly end up spending a lot more money on making its products visible and known in the market than it could have anticipated or done if developing its own website was the chosen option. Indeed, the company would still need to market its products while using its own website to inform its customers that it is offering such services, but the company has a better start with the website being an already existing infrastructure that its customers already access. Thus, the company will begin its services by serving its already existing customer base</w:t>
      </w:r>
      <w:r>
        <w:rPr>
          <w:rFonts w:ascii="Times New Roman" w:hAnsi="Times New Roman"/>
          <w:b w:val="1"/>
          <w:bCs w:val="1"/>
          <w:rtl w:val="0"/>
          <w:lang w:val="en-US"/>
        </w:rPr>
        <w:t xml:space="preserve"> (</w:t>
      </w:r>
      <w:r>
        <w:rPr>
          <w:rFonts w:ascii="Times New Roman" w:hAnsi="Times New Roman"/>
          <w:rtl w:val="0"/>
          <w:lang w:val="en-US"/>
        </w:rPr>
        <w:t>Bland &amp; Osterwalder, 2019)</w:t>
      </w:r>
      <w:r>
        <w:rPr>
          <w:rFonts w:ascii="Times New Roman" w:hAnsi="Times New Roman"/>
          <w:b w:val="1"/>
          <w:bCs w:val="1"/>
          <w:rtl w:val="0"/>
          <w:lang w:val="en-US"/>
        </w:rPr>
        <w:t>.</w:t>
      </w:r>
    </w:p>
    <w:p>
      <w:pPr>
        <w:pStyle w:val="Default"/>
        <w:spacing w:line="480" w:lineRule="auto"/>
        <w:ind w:firstLine="720"/>
        <w:rPr>
          <w:rFonts w:ascii="Times New Roman" w:cs="Times New Roman" w:hAnsi="Times New Roman" w:eastAsia="Times New Roman"/>
        </w:rPr>
      </w:pPr>
      <w:r>
        <w:rPr>
          <w:rFonts w:ascii="Times New Roman" w:hAnsi="Times New Roman"/>
          <w:rtl w:val="0"/>
          <w:lang w:val="en-US"/>
        </w:rPr>
        <w:t xml:space="preserve">One thing the company should be looking to do once it starts dealing with its customers online is developing a positive customer relationship. While selling and shipping commodities through an online platform, one of the most crucial factors that customers focus on is the return policy of the company in the event they receive wrong products or ones that they have not found to meet their demands (Szkudlarek et al., 2020). Companies that have poor or inconsiderate return policies are unlikely to attract more customers to trade with them. In this regard, Amana Ltd should consider to develop an online strategy that presents it with all the freedom and control to develop the return policy that it feels best meets the needs of its customers. This means that the company should prefer to work on developing its own website instead of selling its souvenirs on Amazon (Gupta, 2018). </w:t>
      </w:r>
    </w:p>
    <w:p>
      <w:pPr>
        <w:pStyle w:val="Default"/>
        <w:spacing w:line="480" w:lineRule="auto"/>
        <w:ind w:firstLine="720"/>
        <w:rPr>
          <w:rFonts w:ascii="Times New Roman" w:cs="Times New Roman" w:hAnsi="Times New Roman" w:eastAsia="Times New Roman"/>
          <w:b w:val="1"/>
          <w:bCs w:val="1"/>
        </w:rPr>
      </w:pPr>
      <w:r>
        <w:rPr>
          <w:rFonts w:ascii="Times New Roman" w:hAnsi="Times New Roman"/>
          <w:rtl w:val="0"/>
          <w:lang w:val="en-US"/>
        </w:rPr>
        <w:t>In conclusion, Amana Ltd should select developing its own website to trade its merchandise online. There are benefits which come with this choice, which include a higher guaranteed number of souvenir sales per annum. Also, the company will benefit by having a system on which it has full control, especially with regards to customer service and return policies. Since the company has an already established customer base, the needs of its customers are more understood to its management than they would be understood by the management of Amazon. This means that the company</w:t>
      </w:r>
      <w:r>
        <w:rPr>
          <w:rFonts w:ascii="Times New Roman" w:hAnsi="Times New Roman" w:hint="default"/>
          <w:rtl w:val="0"/>
          <w:lang w:val="en-US"/>
        </w:rPr>
        <w:t>’</w:t>
      </w:r>
      <w:r>
        <w:rPr>
          <w:rFonts w:ascii="Times New Roman" w:hAnsi="Times New Roman"/>
          <w:rtl w:val="0"/>
          <w:lang w:val="en-US"/>
        </w:rPr>
        <w:t>s own system has a higher chance of meeting their specific needs than if they are served through Amazon. Building its own website also gives the company an advantage through differentiation from competition as others on Amazon would be grinding to compete with each other for the same customer base while the company develops its own customer base.</w:t>
      </w:r>
    </w:p>
    <w:p>
      <w:pPr>
        <w:pStyle w:val="Default"/>
        <w:spacing w:line="480" w:lineRule="auto"/>
        <w:rPr>
          <w:rFonts w:ascii="Times New Roman" w:cs="Times New Roman" w:hAnsi="Times New Roman" w:eastAsia="Times New Roman"/>
          <w:b w:val="1"/>
          <w:bCs w:val="1"/>
        </w:rPr>
      </w:pPr>
    </w:p>
    <w:p>
      <w:pPr>
        <w:pStyle w:val="Default"/>
        <w:spacing w:line="480" w:lineRule="auto"/>
        <w:rPr>
          <w:rFonts w:ascii="Times New Roman" w:cs="Times New Roman" w:hAnsi="Times New Roman" w:eastAsia="Times New Roman"/>
          <w:b w:val="1"/>
          <w:bCs w:val="1"/>
        </w:rPr>
      </w:pPr>
    </w:p>
    <w:p>
      <w:pPr>
        <w:pStyle w:val="Body A"/>
        <w:spacing w:line="480" w:lineRule="auto"/>
      </w:pPr>
      <w:r>
        <w:rPr>
          <w:rFonts w:ascii="Arial Unicode MS" w:cs="Arial Unicode MS" w:hAnsi="Arial Unicode MS" w:eastAsia="Arial Unicode MS"/>
          <w:b w:val="0"/>
          <w:bCs w:val="0"/>
          <w:i w:val="0"/>
          <w:iCs w:val="0"/>
          <w:sz w:val="24"/>
          <w:szCs w:val="24"/>
        </w:rPr>
        <w:br w:type="page"/>
      </w:r>
    </w:p>
    <w:p>
      <w:pPr>
        <w:pStyle w:val="Body A"/>
        <w:spacing w:after="0" w:line="480" w:lineRule="auto"/>
        <w:ind w:left="720" w:hanging="72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Reference</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de-DE"/>
        </w:rPr>
        <w:t xml:space="preserve">Bland, D. J., &amp; Osterwalder, A. (2019). </w:t>
      </w:r>
      <w:r>
        <w:rPr>
          <w:rFonts w:ascii="Times New Roman" w:hAnsi="Times New Roman"/>
          <w:i w:val="1"/>
          <w:iCs w:val="1"/>
          <w:sz w:val="24"/>
          <w:szCs w:val="24"/>
          <w:rtl w:val="0"/>
          <w:lang w:val="en-US"/>
        </w:rPr>
        <w:t>Testing business ideas: A field guide for rapid experimentation</w:t>
      </w:r>
      <w:r>
        <w:rPr>
          <w:rFonts w:ascii="Times New Roman" w:hAnsi="Times New Roman"/>
          <w:sz w:val="24"/>
          <w:szCs w:val="24"/>
          <w:rtl w:val="0"/>
          <w:lang w:val="it-IT"/>
        </w:rPr>
        <w:t>. John Wiley &amp; Sons.</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 xml:space="preserve">Brogan, C. (2010). </w:t>
      </w:r>
      <w:r>
        <w:rPr>
          <w:rFonts w:ascii="Times New Roman" w:hAnsi="Times New Roman"/>
          <w:i w:val="1"/>
          <w:iCs w:val="1"/>
          <w:sz w:val="24"/>
          <w:szCs w:val="24"/>
          <w:rtl w:val="0"/>
          <w:lang w:val="en-US"/>
        </w:rPr>
        <w:t>Social media 101: Tactics and tips to develop your business online</w:t>
      </w:r>
      <w:r>
        <w:rPr>
          <w:rFonts w:ascii="Times New Roman" w:hAnsi="Times New Roman"/>
          <w:sz w:val="24"/>
          <w:szCs w:val="24"/>
          <w:rtl w:val="0"/>
          <w:lang w:val="it-IT"/>
        </w:rPr>
        <w:t>. John Wiley &amp; Sons.</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 xml:space="preserve">Coles, L. (2017). </w:t>
      </w:r>
      <w:r>
        <w:rPr>
          <w:rFonts w:ascii="Times New Roman" w:hAnsi="Times New Roman"/>
          <w:i w:val="1"/>
          <w:iCs w:val="1"/>
          <w:sz w:val="24"/>
          <w:szCs w:val="24"/>
          <w:rtl w:val="0"/>
          <w:lang w:val="en-US"/>
        </w:rPr>
        <w:t>Social media for business: foolproof tips to help you promote your business or your brand</w:t>
      </w:r>
      <w:r>
        <w:rPr>
          <w:rFonts w:ascii="Times New Roman" w:hAnsi="Times New Roman"/>
          <w:sz w:val="24"/>
          <w:szCs w:val="24"/>
          <w:rtl w:val="0"/>
          <w:lang w:val="it-IT"/>
        </w:rPr>
        <w:t>. John Wiley &amp; Sons.</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 xml:space="preserve">Gupta, S. (2018). </w:t>
      </w:r>
      <w:r>
        <w:rPr>
          <w:rFonts w:ascii="Times New Roman" w:hAnsi="Times New Roman"/>
          <w:i w:val="1"/>
          <w:iCs w:val="1"/>
          <w:sz w:val="24"/>
          <w:szCs w:val="24"/>
          <w:rtl w:val="0"/>
          <w:lang w:val="en-US"/>
        </w:rPr>
        <w:t>Driving digital strategy: A guide to reimagining your business</w:t>
      </w:r>
      <w:r>
        <w:rPr>
          <w:rFonts w:ascii="Times New Roman" w:hAnsi="Times New Roman"/>
          <w:sz w:val="24"/>
          <w:szCs w:val="24"/>
          <w:rtl w:val="0"/>
          <w:lang w:val="en-US"/>
        </w:rPr>
        <w:t>. Harvard Business Press.</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 xml:space="preserve">McGrath, R. G. (2013). </w:t>
      </w:r>
      <w:r>
        <w:rPr>
          <w:rFonts w:ascii="Times New Roman" w:hAnsi="Times New Roman"/>
          <w:i w:val="1"/>
          <w:iCs w:val="1"/>
          <w:sz w:val="24"/>
          <w:szCs w:val="24"/>
          <w:rtl w:val="0"/>
          <w:lang w:val="en-US"/>
        </w:rPr>
        <w:t>The end of competitive advantage: How to keep your strategy moving as fast as your business</w:t>
      </w:r>
      <w:r>
        <w:rPr>
          <w:rFonts w:ascii="Times New Roman" w:hAnsi="Times New Roman"/>
          <w:sz w:val="24"/>
          <w:szCs w:val="24"/>
          <w:rtl w:val="0"/>
          <w:lang w:val="en-US"/>
        </w:rPr>
        <w:t>. Harvard Business Review Press.</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Ohe, Y., &amp; Kurihara, S. (2013). Evaluating the complementary relationship between local brand farm products and rural tourism: Evidence from Japan. </w:t>
      </w:r>
      <w:r>
        <w:rPr>
          <w:rFonts w:ascii="Times New Roman" w:hAnsi="Times New Roman"/>
          <w:i w:val="1"/>
          <w:iCs w:val="1"/>
          <w:sz w:val="24"/>
          <w:szCs w:val="24"/>
          <w:rtl w:val="0"/>
          <w:lang w:val="en-US"/>
        </w:rPr>
        <w:t>Tourism Management</w:t>
      </w:r>
      <w:r>
        <w:rPr>
          <w:rFonts w:ascii="Times New Roman" w:hAnsi="Times New Roman"/>
          <w:sz w:val="24"/>
          <w:szCs w:val="24"/>
          <w:rtl w:val="0"/>
        </w:rPr>
        <w:t xml:space="preserve">, </w:t>
      </w:r>
      <w:r>
        <w:rPr>
          <w:rFonts w:ascii="Times New Roman" w:hAnsi="Times New Roman"/>
          <w:i w:val="1"/>
          <w:iCs w:val="1"/>
          <w:sz w:val="24"/>
          <w:szCs w:val="24"/>
          <w:rtl w:val="0"/>
        </w:rPr>
        <w:t>35</w:t>
      </w:r>
      <w:r>
        <w:rPr>
          <w:rFonts w:ascii="Times New Roman" w:hAnsi="Times New Roman"/>
          <w:sz w:val="24"/>
          <w:szCs w:val="24"/>
          <w:rtl w:val="0"/>
        </w:rPr>
        <w:t>, 278-283.</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Ross, J. W., Beath, C. M., &amp; Mocker, M. (2019). </w:t>
      </w:r>
      <w:r>
        <w:rPr>
          <w:rFonts w:ascii="Times New Roman" w:hAnsi="Times New Roman"/>
          <w:i w:val="1"/>
          <w:iCs w:val="1"/>
          <w:sz w:val="24"/>
          <w:szCs w:val="24"/>
          <w:rtl w:val="0"/>
          <w:lang w:val="en-US"/>
        </w:rPr>
        <w:t>Designed for digital: How to architect your business for sustained success</w:t>
      </w:r>
      <w:r>
        <w:rPr>
          <w:rFonts w:ascii="Times New Roman" w:hAnsi="Times New Roman"/>
          <w:sz w:val="24"/>
          <w:szCs w:val="24"/>
          <w:rtl w:val="0"/>
          <w:lang w:val="de-DE"/>
        </w:rPr>
        <w:t>. Mit Press.</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Sheller, M. (2020). Reconstructing tourism in the Caribbean: connecting pandemic recovery, climate resilience and sustainable tourism through mobility justice. </w:t>
      </w:r>
      <w:r>
        <w:rPr>
          <w:rFonts w:ascii="Times New Roman" w:hAnsi="Times New Roman"/>
          <w:i w:val="1"/>
          <w:iCs w:val="1"/>
          <w:sz w:val="24"/>
          <w:szCs w:val="24"/>
          <w:rtl w:val="0"/>
          <w:lang w:val="en-US"/>
        </w:rPr>
        <w:t>Journal of Sustainable Tourism</w:t>
      </w:r>
      <w:r>
        <w:rPr>
          <w:rFonts w:ascii="Times New Roman" w:hAnsi="Times New Roman"/>
          <w:sz w:val="24"/>
          <w:szCs w:val="24"/>
          <w:rtl w:val="0"/>
        </w:rPr>
        <w:t>, 1-14.</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Sigala, M. (2020). Tourism and COVID-19: Impacts and implications for advancing and resetting industry and research. </w:t>
      </w:r>
      <w:r>
        <w:rPr>
          <w:rFonts w:ascii="Times New Roman" w:hAnsi="Times New Roman"/>
          <w:i w:val="1"/>
          <w:iCs w:val="1"/>
          <w:sz w:val="24"/>
          <w:szCs w:val="24"/>
          <w:rtl w:val="0"/>
          <w:lang w:val="en-US"/>
        </w:rPr>
        <w:t>Journal of business research</w:t>
      </w:r>
      <w:r>
        <w:rPr>
          <w:rFonts w:ascii="Times New Roman" w:hAnsi="Times New Roman"/>
          <w:sz w:val="24"/>
          <w:szCs w:val="24"/>
          <w:rtl w:val="0"/>
        </w:rPr>
        <w:t xml:space="preserve">, </w:t>
      </w:r>
      <w:r>
        <w:rPr>
          <w:rFonts w:ascii="Times New Roman" w:hAnsi="Times New Roman"/>
          <w:i w:val="1"/>
          <w:iCs w:val="1"/>
          <w:sz w:val="24"/>
          <w:szCs w:val="24"/>
          <w:rtl w:val="0"/>
        </w:rPr>
        <w:t>117</w:t>
      </w:r>
      <w:r>
        <w:rPr>
          <w:rFonts w:ascii="Times New Roman" w:hAnsi="Times New Roman"/>
          <w:sz w:val="24"/>
          <w:szCs w:val="24"/>
          <w:rtl w:val="0"/>
        </w:rPr>
        <w:t xml:space="preserve">, </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Szkudlarek, B., Osland, J. S., Nardon, L., &amp; Zander, L. (2020). Communication and culture in international business</w:t>
      </w:r>
      <w:r>
        <w:rPr>
          <w:rFonts w:ascii="Times New Roman" w:hAnsi="Times New Roman" w:hint="default"/>
          <w:sz w:val="24"/>
          <w:szCs w:val="24"/>
          <w:rtl w:val="0"/>
          <w:lang w:val="en-US"/>
        </w:rPr>
        <w:t>–</w:t>
      </w:r>
      <w:r>
        <w:rPr>
          <w:rFonts w:ascii="Times New Roman" w:hAnsi="Times New Roman"/>
          <w:sz w:val="24"/>
          <w:szCs w:val="24"/>
          <w:rtl w:val="0"/>
          <w:lang w:val="en-US"/>
        </w:rPr>
        <w:t xml:space="preserve">Moving the field forward. </w:t>
      </w:r>
      <w:r>
        <w:rPr>
          <w:rFonts w:ascii="Times New Roman" w:hAnsi="Times New Roman"/>
          <w:i w:val="1"/>
          <w:iCs w:val="1"/>
          <w:sz w:val="24"/>
          <w:szCs w:val="24"/>
          <w:rtl w:val="0"/>
          <w:lang w:val="en-US"/>
        </w:rPr>
        <w:t>Journal of World Business</w:t>
      </w:r>
      <w:r>
        <w:rPr>
          <w:rFonts w:ascii="Times New Roman" w:hAnsi="Times New Roman"/>
          <w:sz w:val="24"/>
          <w:szCs w:val="24"/>
          <w:rtl w:val="0"/>
        </w:rPr>
        <w:t xml:space="preserve">, </w:t>
      </w:r>
      <w:r>
        <w:rPr>
          <w:rFonts w:ascii="Times New Roman" w:hAnsi="Times New Roman"/>
          <w:i w:val="1"/>
          <w:iCs w:val="1"/>
          <w:sz w:val="24"/>
          <w:szCs w:val="24"/>
          <w:rtl w:val="0"/>
        </w:rPr>
        <w:t>55</w:t>
      </w:r>
      <w:r>
        <w:rPr>
          <w:rFonts w:ascii="Times New Roman" w:hAnsi="Times New Roman"/>
          <w:sz w:val="24"/>
          <w:szCs w:val="24"/>
          <w:rtl w:val="0"/>
        </w:rPr>
        <w:t>(6), 101126.</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Webb, A., McQuaid, R. W., &amp; Webster, C. W. R. (2021). Moving learning online and the COVID-19 pandemic: a university response. </w:t>
      </w:r>
      <w:r>
        <w:rPr>
          <w:rFonts w:ascii="Times New Roman" w:hAnsi="Times New Roman"/>
          <w:i w:val="1"/>
          <w:iCs w:val="1"/>
          <w:sz w:val="24"/>
          <w:szCs w:val="24"/>
          <w:rtl w:val="0"/>
          <w:lang w:val="en-US"/>
        </w:rPr>
        <w:t>World Journal of Science, Technology and Sustainable Development</w:t>
      </w:r>
      <w:r>
        <w:rPr>
          <w:rFonts w:ascii="Times New Roman" w:hAnsi="Times New Roman"/>
          <w:sz w:val="24"/>
          <w:szCs w:val="24"/>
          <w:rtl w:val="0"/>
        </w:rPr>
        <w:t>.</w:t>
      </w:r>
    </w:p>
    <w:p>
      <w:pPr>
        <w:pStyle w:val="Body A"/>
        <w:spacing w:line="480" w:lineRule="auto"/>
        <w:ind w:left="720" w:hanging="720"/>
      </w:pPr>
      <w:r>
        <w:rPr>
          <w:rFonts w:ascii="Times New Roman" w:hAnsi="Times New Roman"/>
          <w:sz w:val="24"/>
          <w:szCs w:val="24"/>
          <w:rtl w:val="0"/>
          <w:lang w:val="en-US"/>
        </w:rPr>
        <w:t xml:space="preserve">Zhang, H., Song, H., Wen, L., &amp; Liu, C. (2021). Forecasting tourism recovery amid COVID-19. </w:t>
      </w:r>
      <w:r>
        <w:rPr>
          <w:rFonts w:ascii="Times New Roman" w:hAnsi="Times New Roman"/>
          <w:i w:val="1"/>
          <w:iCs w:val="1"/>
          <w:sz w:val="24"/>
          <w:szCs w:val="24"/>
          <w:rtl w:val="0"/>
          <w:lang w:val="en-US"/>
        </w:rPr>
        <w:t>Annals of Tourism Research</w:t>
      </w:r>
      <w:r>
        <w:rPr>
          <w:rFonts w:ascii="Times New Roman" w:hAnsi="Times New Roman"/>
          <w:sz w:val="24"/>
          <w:szCs w:val="24"/>
          <w:rtl w:val="0"/>
        </w:rPr>
        <w:t xml:space="preserve">, </w:t>
      </w:r>
      <w:r>
        <w:rPr>
          <w:rFonts w:ascii="Times New Roman" w:hAnsi="Times New Roman"/>
          <w:i w:val="1"/>
          <w:iCs w:val="1"/>
          <w:sz w:val="24"/>
          <w:szCs w:val="24"/>
          <w:rtl w:val="0"/>
        </w:rPr>
        <w:t>87</w:t>
      </w:r>
      <w:r>
        <w:rPr>
          <w:rFonts w:ascii="Times New Roman" w:hAnsi="Times New Roman"/>
          <w:sz w:val="24"/>
          <w:szCs w:val="24"/>
          <w:rtl w:val="0"/>
        </w:rPr>
        <w:t>, 103149.-321.</w:t>
      </w:r>
    </w:p>
    <w:sectPr>
      <w:headerReference w:type="default" r:id="rId5"/>
      <w:headerReference w:type="first" r:id="rId6"/>
      <w:footerReference w:type="default" r:id="rId7"/>
      <w:footerReference w:type="first" r:id="rId8"/>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lang w:val="en-US"/>
      </w:rPr>
      <w:t>MANAGEMENT ACCOUNTING</w:t>
    </w:r>
    <w:r>
      <w:rPr>
        <w:rtl w:val="0"/>
        <w:lang w:val="en-US"/>
      </w:rPr>
      <w:t xml:space="preserve"> </w:t>
      <w:tab/>
      <w:tab/>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t>1</w:t>
    </w:r>
    <w:r>
      <w:rPr>
        <w:rFonts w:ascii="Times New Roman" w:cs="Times New Roman" w:hAnsi="Times New Roman" w:eastAsia="Times New Roman"/>
        <w:sz w:val="24"/>
        <w:szCs w:val="24"/>
        <w:rtl w:val="0"/>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pPr>
    <w:r>
      <w:rPr>
        <w:rFonts w:ascii="Times New Roman" w:hAnsi="Times New Roman"/>
        <w:sz w:val="24"/>
        <w:szCs w:val="24"/>
        <w:rtl w:val="0"/>
        <w:lang w:val="en-US"/>
      </w:rPr>
      <w:t>Running Head: MANAGEMENT ACCOUNTING</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lowerRoman"/>
      <w:suff w:val="tab"/>
      <w:lvlText w:val="%1."/>
      <w:lvlJc w:val="left"/>
      <w:pPr>
        <w:ind w:left="108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2"/>
    </w:lvlOverride>
  </w:num>
  <w:num w:numId="4">
    <w:abstractNumId w:val="0"/>
    <w:lvlOverride w:ilvl="0">
      <w:startOverride w:val="3"/>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