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17AA963" w:rsidR="000E2E7E" w:rsidRPr="000E2E7E" w:rsidRDefault="000E2E7E">
      <w:pPr>
        <w:rPr>
          <w:b/>
          <w:bCs/>
          <w:sz w:val="52"/>
          <w:szCs w:val="52"/>
        </w:rPr>
      </w:pPr>
      <w:r w:rsidRPr="000E2E7E">
        <w:rPr>
          <w:b/>
          <w:bCs/>
          <w:sz w:val="52"/>
          <w:szCs w:val="52"/>
        </w:rPr>
        <w:t>Module Code:</w:t>
      </w:r>
      <w:r>
        <w:rPr>
          <w:b/>
          <w:bCs/>
          <w:sz w:val="52"/>
          <w:szCs w:val="52"/>
        </w:rPr>
        <w:t xml:space="preserve">  </w:t>
      </w:r>
      <w:r w:rsidRPr="00D163BC">
        <w:rPr>
          <w:b/>
          <w:bCs/>
          <w:color w:val="FF0000"/>
          <w:sz w:val="48"/>
          <w:szCs w:val="48"/>
        </w:rPr>
        <w:t>ECAD</w:t>
      </w:r>
      <w:r w:rsidR="00510D18" w:rsidRPr="00D163BC">
        <w:rPr>
          <w:b/>
          <w:bCs/>
          <w:color w:val="FF0000"/>
          <w:sz w:val="48"/>
          <w:szCs w:val="48"/>
        </w:rPr>
        <w:t>501</w:t>
      </w:r>
      <w:r w:rsidR="00D163BC" w:rsidRPr="00D163BC">
        <w:rPr>
          <w:b/>
          <w:bCs/>
          <w:color w:val="FF0000"/>
          <w:sz w:val="48"/>
          <w:szCs w:val="48"/>
        </w:rPr>
        <w:t>5</w:t>
      </w:r>
    </w:p>
    <w:p w14:paraId="10FFAE95" w14:textId="77777777" w:rsidR="000E2E7E" w:rsidRPr="000E2E7E" w:rsidRDefault="000E2E7E">
      <w:pPr>
        <w:rPr>
          <w:b/>
          <w:bCs/>
          <w:sz w:val="52"/>
          <w:szCs w:val="52"/>
        </w:rPr>
      </w:pPr>
    </w:p>
    <w:p w14:paraId="78DCE9B9" w14:textId="553AE9B7" w:rsidR="000E2E7E" w:rsidRPr="00D163BC" w:rsidRDefault="000E2E7E" w:rsidP="00D163BC">
      <w:pPr>
        <w:rPr>
          <w:b/>
          <w:bCs/>
          <w:color w:val="FF0000"/>
          <w:sz w:val="52"/>
          <w:szCs w:val="52"/>
        </w:rPr>
      </w:pPr>
      <w:r w:rsidRPr="000E2E7E">
        <w:rPr>
          <w:b/>
          <w:bCs/>
          <w:sz w:val="52"/>
          <w:szCs w:val="52"/>
        </w:rPr>
        <w:t>Assignment Title:</w:t>
      </w:r>
      <w:r>
        <w:rPr>
          <w:b/>
          <w:bCs/>
          <w:sz w:val="52"/>
          <w:szCs w:val="52"/>
        </w:rPr>
        <w:t xml:space="preserve"> </w:t>
      </w:r>
      <w:r w:rsidR="00D163BC" w:rsidRPr="00D163BC">
        <w:rPr>
          <w:b/>
          <w:bCs/>
          <w:color w:val="FF0000"/>
          <w:sz w:val="52"/>
          <w:szCs w:val="52"/>
        </w:rPr>
        <w:t xml:space="preserve">Deepening Practice </w:t>
      </w:r>
    </w:p>
    <w:p w14:paraId="32D7A0CD" w14:textId="2F7A2DC3" w:rsidR="00D163BC" w:rsidRPr="00D163BC" w:rsidRDefault="00D163BC" w:rsidP="00D163BC">
      <w:pPr>
        <w:rPr>
          <w:b/>
          <w:bCs/>
          <w:color w:val="FF0000"/>
          <w:sz w:val="52"/>
          <w:szCs w:val="52"/>
        </w:rPr>
      </w:pPr>
      <w:r w:rsidRPr="00D163BC">
        <w:rPr>
          <w:b/>
          <w:bCs/>
          <w:color w:val="FF0000"/>
          <w:sz w:val="52"/>
          <w:szCs w:val="52"/>
        </w:rPr>
        <w:t xml:space="preserve">ALN – Part 1 Journal  </w:t>
      </w:r>
    </w:p>
    <w:p w14:paraId="47D65DC0" w14:textId="7FC346B2" w:rsidR="000E2E7E" w:rsidRPr="00D163BC" w:rsidRDefault="000E2E7E">
      <w:pPr>
        <w:rPr>
          <w:b/>
          <w:bCs/>
          <w:sz w:val="52"/>
          <w:szCs w:val="52"/>
        </w:rPr>
      </w:pPr>
      <w:r w:rsidRPr="00D163BC">
        <w:rPr>
          <w:b/>
          <w:bCs/>
          <w:sz w:val="52"/>
          <w:szCs w:val="52"/>
        </w:rPr>
        <w:t>Student Name:</w:t>
      </w:r>
      <w:r w:rsidR="008A7F19">
        <w:rPr>
          <w:b/>
          <w:bCs/>
          <w:sz w:val="52"/>
          <w:szCs w:val="52"/>
        </w:rPr>
        <w:t xml:space="preserve">  Josh James</w:t>
      </w:r>
    </w:p>
    <w:p w14:paraId="1025240F" w14:textId="4A13BF80" w:rsidR="000E2E7E" w:rsidRPr="000E2E7E" w:rsidRDefault="000E2E7E">
      <w:pPr>
        <w:rPr>
          <w:b/>
          <w:bCs/>
          <w:sz w:val="52"/>
          <w:szCs w:val="52"/>
        </w:rPr>
      </w:pPr>
      <w:r w:rsidRPr="000E2E7E">
        <w:rPr>
          <w:b/>
          <w:bCs/>
          <w:sz w:val="52"/>
          <w:szCs w:val="52"/>
        </w:rPr>
        <w:t>Student Number:</w:t>
      </w:r>
      <w:r w:rsidR="008A7F19">
        <w:rPr>
          <w:b/>
          <w:bCs/>
          <w:sz w:val="52"/>
          <w:szCs w:val="52"/>
        </w:rPr>
        <w:t xml:space="preserve"> 1900368</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2009F732" w14:textId="41C00E89" w:rsidR="000E2E7E" w:rsidRPr="008A7F19" w:rsidRDefault="000E2E7E" w:rsidP="000E2E7E">
      <w:pPr>
        <w:rPr>
          <w:b/>
          <w:bCs/>
          <w:sz w:val="32"/>
          <w:szCs w:val="32"/>
          <w:u w:val="single"/>
        </w:rPr>
      </w:pPr>
      <w:r w:rsidRPr="00E243A8">
        <w:rPr>
          <w:b/>
          <w:bCs/>
          <w:sz w:val="32"/>
          <w:szCs w:val="32"/>
          <w:u w:val="single"/>
        </w:rPr>
        <w:t>AI Acknowledgement</w:t>
      </w:r>
    </w:p>
    <w:p w14:paraId="395CF8DB" w14:textId="37DC4531" w:rsidR="000E2E7E" w:rsidRPr="00DD5969" w:rsidRDefault="000E2E7E" w:rsidP="000E2E7E">
      <w:r w:rsidRPr="00DD5969">
        <w:t xml:space="preserve">I acknowledge the use of </w:t>
      </w:r>
      <w:proofErr w:type="spellStart"/>
      <w:r w:rsidR="008A7F19">
        <w:t>ChatGPT</w:t>
      </w:r>
      <w:proofErr w:type="spellEnd"/>
      <w:r w:rsidRPr="00DD5969">
        <w:t xml:space="preserve"> (</w:t>
      </w:r>
      <w:r w:rsidR="008A7F19" w:rsidRPr="008A7F19">
        <w:t>https://chatgpt.com</w:t>
      </w:r>
      <w:r w:rsidRPr="00DD5969">
        <w:t xml:space="preserve">) on </w:t>
      </w:r>
      <w:r w:rsidR="008A7F19">
        <w:t>01/05/25</w:t>
      </w:r>
      <w:r w:rsidRPr="00DD5969">
        <w:t xml:space="preserve"> to </w:t>
      </w:r>
      <w:r w:rsidR="008A7F19">
        <w:t xml:space="preserve">summarise a document. </w:t>
      </w:r>
      <w:r w:rsidRPr="00DD5969">
        <w:t xml:space="preserve">I used the prompt(s): </w:t>
      </w:r>
    </w:p>
    <w:p w14:paraId="3EC3AC2C" w14:textId="7A6028F3" w:rsidR="000E2E7E" w:rsidRPr="00DD5969" w:rsidRDefault="000E2E7E" w:rsidP="000E2E7E">
      <w:r w:rsidRPr="00DD5969">
        <w:t xml:space="preserve">1. </w:t>
      </w:r>
      <w:r w:rsidR="008A7F19">
        <w:t>Can you summarise the Equality Act 2010</w:t>
      </w:r>
      <w:r w:rsidRPr="00DD5969">
        <w:t xml:space="preserve"> </w:t>
      </w:r>
    </w:p>
    <w:p w14:paraId="57509DCF" w14:textId="77777777" w:rsidR="000E2E7E" w:rsidRDefault="000E2E7E" w:rsidP="000E2E7E">
      <w:r w:rsidRPr="00DD5969">
        <w:t xml:space="preserve">I confirm that I have not presented any AI generated text as my own work. </w:t>
      </w: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lastRenderedPageBreak/>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4D6BC9F1" w:rsidR="000E2E7E" w:rsidRDefault="00814955" w:rsidP="00AE36BB">
            <w:pPr>
              <w:rPr>
                <w:lang w:val="cy-GB"/>
              </w:rPr>
            </w:pPr>
            <w:r>
              <w:rPr>
                <w:rFonts w:ascii="Roboto" w:hAnsi="Roboto"/>
                <w:color w:val="283041"/>
                <w:sz w:val="21"/>
                <w:szCs w:val="21"/>
                <w:shd w:val="clear" w:color="auto" w:fill="FFFFFF"/>
              </w:rPr>
              <w:t>Pay close attention to grammar and punctuation to ensure clarity and precision in academic writing. Proofreading would enhance the overall quality.</w:t>
            </w:r>
          </w:p>
          <w:p w14:paraId="18121FAC" w14:textId="77777777" w:rsidR="000E2E7E" w:rsidRPr="001B4AB4" w:rsidRDefault="000E2E7E" w:rsidP="00AE36BB">
            <w:pPr>
              <w:rPr>
                <w:lang w:val="cy-GB"/>
              </w:rPr>
            </w:pPr>
          </w:p>
        </w:tc>
        <w:tc>
          <w:tcPr>
            <w:tcW w:w="3118" w:type="dxa"/>
          </w:tcPr>
          <w:p w14:paraId="0A55C9ED" w14:textId="5B41E1AA" w:rsidR="000E2E7E" w:rsidRPr="001B4AB4" w:rsidRDefault="00130138" w:rsidP="00AE36BB">
            <w:pPr>
              <w:rPr>
                <w:lang w:val="cy-GB"/>
              </w:rPr>
            </w:pPr>
            <w:r>
              <w:rPr>
                <w:lang w:val="cy-GB"/>
              </w:rPr>
              <w:t>I have proofread the assingment before submitting.</w:t>
            </w:r>
          </w:p>
        </w:tc>
        <w:tc>
          <w:tcPr>
            <w:tcW w:w="2908" w:type="dxa"/>
          </w:tcPr>
          <w:p w14:paraId="183044AB" w14:textId="1FB41978" w:rsidR="000E2E7E" w:rsidRPr="001B4AB4" w:rsidRDefault="00130138" w:rsidP="00AE36BB">
            <w:pPr>
              <w:rPr>
                <w:lang w:val="cy-GB"/>
              </w:rPr>
            </w:pPr>
            <w:r>
              <w:rPr>
                <w:lang w:val="cy-GB"/>
              </w:rPr>
              <w:t>Throughout the essay.</w:t>
            </w:r>
          </w:p>
        </w:tc>
      </w:tr>
      <w:tr w:rsidR="000E2E7E" w:rsidRPr="001B4AB4" w14:paraId="388E36FE" w14:textId="77777777" w:rsidTr="000E2E7E">
        <w:trPr>
          <w:trHeight w:val="338"/>
        </w:trPr>
        <w:tc>
          <w:tcPr>
            <w:tcW w:w="3256" w:type="dxa"/>
          </w:tcPr>
          <w:p w14:paraId="2740262D" w14:textId="708A0371" w:rsidR="000E2E7E" w:rsidRDefault="00814955" w:rsidP="00AE36BB">
            <w:pPr>
              <w:rPr>
                <w:lang w:val="cy-GB"/>
              </w:rPr>
            </w:pPr>
            <w:r>
              <w:rPr>
                <w:rFonts w:ascii="Roboto" w:hAnsi="Roboto"/>
                <w:color w:val="283041"/>
                <w:sz w:val="21"/>
                <w:szCs w:val="21"/>
                <w:shd w:val="clear" w:color="auto" w:fill="FFFFFF"/>
              </w:rPr>
              <w:t>Read more widely and cite key authors in your writing.</w:t>
            </w:r>
          </w:p>
          <w:p w14:paraId="06CE4F7D" w14:textId="77777777" w:rsidR="000E2E7E" w:rsidRPr="001B4AB4" w:rsidRDefault="000E2E7E" w:rsidP="00AE36BB">
            <w:pPr>
              <w:rPr>
                <w:lang w:val="cy-GB"/>
              </w:rPr>
            </w:pPr>
          </w:p>
        </w:tc>
        <w:tc>
          <w:tcPr>
            <w:tcW w:w="3118" w:type="dxa"/>
          </w:tcPr>
          <w:p w14:paraId="33CC185F" w14:textId="6E15717E" w:rsidR="000E2E7E" w:rsidRPr="001B4AB4" w:rsidRDefault="00130138" w:rsidP="00AE36BB">
            <w:pPr>
              <w:rPr>
                <w:lang w:val="cy-GB"/>
              </w:rPr>
            </w:pPr>
            <w:r>
              <w:rPr>
                <w:lang w:val="cy-GB"/>
              </w:rPr>
              <w:t>I have used different types of sources inlcuding government websites and books</w:t>
            </w:r>
          </w:p>
        </w:tc>
        <w:tc>
          <w:tcPr>
            <w:tcW w:w="2908" w:type="dxa"/>
          </w:tcPr>
          <w:p w14:paraId="37CFC390" w14:textId="58F882BC" w:rsidR="000E2E7E" w:rsidRPr="001B4AB4" w:rsidRDefault="00130138" w:rsidP="00AE36BB">
            <w:pPr>
              <w:rPr>
                <w:lang w:val="cy-GB"/>
              </w:rPr>
            </w:pPr>
            <w:r>
              <w:rPr>
                <w:lang w:val="cy-GB"/>
              </w:rPr>
              <w:t>In the essay and reference list.</w:t>
            </w:r>
          </w:p>
        </w:tc>
      </w:tr>
      <w:tr w:rsidR="000E2E7E" w:rsidRPr="001B4AB4" w14:paraId="05EE73CD" w14:textId="77777777" w:rsidTr="000E2E7E">
        <w:trPr>
          <w:trHeight w:val="338"/>
        </w:trPr>
        <w:tc>
          <w:tcPr>
            <w:tcW w:w="3256" w:type="dxa"/>
          </w:tcPr>
          <w:p w14:paraId="5C658833" w14:textId="77777777" w:rsidR="000E2E7E" w:rsidRDefault="000E2E7E" w:rsidP="00AE36BB">
            <w:pPr>
              <w:rPr>
                <w:lang w:val="cy-GB"/>
              </w:rPr>
            </w:pPr>
          </w:p>
          <w:p w14:paraId="42E07348" w14:textId="77777777" w:rsidR="000E2E7E" w:rsidRPr="001B4AB4" w:rsidRDefault="000E2E7E" w:rsidP="00AE36BB">
            <w:pPr>
              <w:rPr>
                <w:lang w:val="cy-GB"/>
              </w:rPr>
            </w:pPr>
          </w:p>
        </w:tc>
        <w:tc>
          <w:tcPr>
            <w:tcW w:w="3118" w:type="dxa"/>
          </w:tcPr>
          <w:p w14:paraId="37B37629" w14:textId="77777777" w:rsidR="000E2E7E" w:rsidRPr="001B4AB4" w:rsidRDefault="000E2E7E" w:rsidP="00AE36BB">
            <w:pPr>
              <w:rPr>
                <w:lang w:val="cy-GB"/>
              </w:rPr>
            </w:pPr>
          </w:p>
        </w:tc>
        <w:tc>
          <w:tcPr>
            <w:tcW w:w="2908" w:type="dxa"/>
          </w:tcPr>
          <w:p w14:paraId="7AC8D709" w14:textId="77777777" w:rsidR="000E2E7E" w:rsidRPr="001B4AB4" w:rsidRDefault="000E2E7E" w:rsidP="00AE36BB">
            <w:pPr>
              <w:rPr>
                <w:lang w:val="cy-GB"/>
              </w:rPr>
            </w:pPr>
          </w:p>
        </w:tc>
      </w:tr>
    </w:tbl>
    <w:p w14:paraId="1CD1FA79" w14:textId="1E826845" w:rsidR="000E2E7E" w:rsidRDefault="000E2E7E" w:rsidP="00D163BC">
      <w:pPr>
        <w:rPr>
          <w:sz w:val="52"/>
          <w:szCs w:val="52"/>
        </w:rPr>
      </w:pPr>
    </w:p>
    <w:p w14:paraId="015543FB" w14:textId="77777777" w:rsidR="00F15368" w:rsidRDefault="00F15368" w:rsidP="00D163BC">
      <w:pPr>
        <w:rPr>
          <w:sz w:val="52"/>
          <w:szCs w:val="52"/>
        </w:rPr>
      </w:pPr>
    </w:p>
    <w:p w14:paraId="222944BF" w14:textId="71E29E7B" w:rsidR="00F15368" w:rsidRPr="00FD6D7F" w:rsidRDefault="00F15368" w:rsidP="00F15368">
      <w:pPr>
        <w:rPr>
          <w:color w:val="000000" w:themeColor="text1"/>
          <w:sz w:val="22"/>
          <w:szCs w:val="22"/>
        </w:rPr>
      </w:pPr>
      <w:r w:rsidRPr="00FD6D7F">
        <w:rPr>
          <w:rStyle w:val="editortaddedltunj"/>
          <w:rFonts w:cs="Open Sans"/>
          <w:color w:val="000000" w:themeColor="text1"/>
          <w:spacing w:val="2"/>
          <w:sz w:val="22"/>
          <w:szCs w:val="22"/>
        </w:rPr>
        <w:t>The</w:t>
      </w:r>
      <w:r w:rsidRPr="00FD6D7F">
        <w:rPr>
          <w:rStyle w:val="apple-converted-space"/>
          <w:rFonts w:cs="Open Sans"/>
          <w:color w:val="000000" w:themeColor="text1"/>
          <w:spacing w:val="2"/>
          <w:sz w:val="22"/>
          <w:szCs w:val="22"/>
        </w:rPr>
        <w:t> </w:t>
      </w:r>
      <w:r w:rsidRPr="00FD6D7F">
        <w:rPr>
          <w:rStyle w:val="editortnoteditedwurp8"/>
          <w:rFonts w:cs="Open Sans"/>
          <w:color w:val="000000" w:themeColor="text1"/>
          <w:spacing w:val="2"/>
          <w:sz w:val="22"/>
          <w:szCs w:val="22"/>
        </w:rPr>
        <w:t>practice</w:t>
      </w:r>
      <w:r w:rsidRPr="00FD6D7F">
        <w:rPr>
          <w:rStyle w:val="apple-converted-space"/>
          <w:rFonts w:cs="Open Sans"/>
          <w:color w:val="000000" w:themeColor="text1"/>
          <w:spacing w:val="2"/>
          <w:sz w:val="22"/>
          <w:szCs w:val="22"/>
        </w:rPr>
        <w:t> </w:t>
      </w:r>
      <w:r w:rsidRPr="00FD6D7F">
        <w:rPr>
          <w:rStyle w:val="editortaddedltunj"/>
          <w:rFonts w:cs="Open Sans"/>
          <w:color w:val="000000" w:themeColor="text1"/>
          <w:spacing w:val="2"/>
          <w:sz w:val="22"/>
          <w:szCs w:val="22"/>
        </w:rPr>
        <w:t>of inclusion</w:t>
      </w:r>
      <w:r w:rsidRPr="00FD6D7F">
        <w:rPr>
          <w:rStyle w:val="apple-converted-space"/>
          <w:rFonts w:cs="Open Sans"/>
          <w:color w:val="000000" w:themeColor="text1"/>
          <w:spacing w:val="2"/>
          <w:sz w:val="22"/>
          <w:szCs w:val="22"/>
        </w:rPr>
        <w:t> </w:t>
      </w:r>
      <w:r w:rsidRPr="00FD6D7F">
        <w:rPr>
          <w:rStyle w:val="editortnoteditedlongjunnx"/>
          <w:rFonts w:cs="Open Sans"/>
          <w:color w:val="000000" w:themeColor="text1"/>
          <w:spacing w:val="2"/>
          <w:sz w:val="22"/>
          <w:szCs w:val="22"/>
        </w:rPr>
        <w:t>in Wales refers to</w:t>
      </w:r>
      <w:r w:rsidRPr="00FD6D7F">
        <w:rPr>
          <w:rStyle w:val="apple-converted-space"/>
          <w:rFonts w:cs="Open Sans"/>
          <w:color w:val="000000" w:themeColor="text1"/>
          <w:spacing w:val="2"/>
          <w:sz w:val="22"/>
          <w:szCs w:val="22"/>
        </w:rPr>
        <w:t> </w:t>
      </w:r>
      <w:r w:rsidRPr="00FD6D7F">
        <w:rPr>
          <w:rStyle w:val="editortaddedltunj"/>
          <w:rFonts w:cs="Open Sans"/>
          <w:color w:val="000000" w:themeColor="text1"/>
          <w:spacing w:val="2"/>
          <w:sz w:val="22"/>
          <w:szCs w:val="22"/>
        </w:rPr>
        <w:t>the</w:t>
      </w:r>
      <w:r w:rsidRPr="00FD6D7F">
        <w:rPr>
          <w:rStyle w:val="apple-converted-space"/>
          <w:rFonts w:cs="Open Sans"/>
          <w:color w:val="000000" w:themeColor="text1"/>
          <w:spacing w:val="2"/>
          <w:sz w:val="22"/>
          <w:szCs w:val="22"/>
        </w:rPr>
        <w:t> </w:t>
      </w:r>
      <w:r w:rsidRPr="00FD6D7F">
        <w:rPr>
          <w:rStyle w:val="editortaddedltunj"/>
          <w:rFonts w:cs="Open Sans"/>
          <w:color w:val="000000" w:themeColor="text1"/>
          <w:spacing w:val="2"/>
          <w:sz w:val="22"/>
          <w:szCs w:val="22"/>
        </w:rPr>
        <w:t>ways or methods</w:t>
      </w:r>
      <w:r w:rsidRPr="00FD6D7F">
        <w:rPr>
          <w:rStyle w:val="apple-converted-space"/>
          <w:rFonts w:cs="Open Sans"/>
          <w:color w:val="000000" w:themeColor="text1"/>
          <w:spacing w:val="2"/>
          <w:sz w:val="22"/>
          <w:szCs w:val="22"/>
        </w:rPr>
        <w:t> </w:t>
      </w:r>
      <w:r w:rsidRPr="00FD6D7F">
        <w:rPr>
          <w:rStyle w:val="editortnoteditedwurp8"/>
          <w:rFonts w:cs="Open Sans"/>
          <w:color w:val="000000" w:themeColor="text1"/>
          <w:spacing w:val="2"/>
          <w:sz w:val="22"/>
          <w:szCs w:val="22"/>
        </w:rPr>
        <w:t>that ensure</w:t>
      </w:r>
      <w:r w:rsidRPr="00FD6D7F">
        <w:rPr>
          <w:rStyle w:val="apple-converted-space"/>
          <w:rFonts w:cs="Open Sans"/>
          <w:color w:val="000000" w:themeColor="text1"/>
          <w:spacing w:val="2"/>
          <w:sz w:val="22"/>
          <w:szCs w:val="22"/>
        </w:rPr>
        <w:t> </w:t>
      </w:r>
      <w:r w:rsidRPr="00FD6D7F">
        <w:rPr>
          <w:rStyle w:val="editortaddedltunj"/>
          <w:rFonts w:cs="Open Sans"/>
          <w:color w:val="000000" w:themeColor="text1"/>
          <w:spacing w:val="2"/>
          <w:sz w:val="22"/>
          <w:szCs w:val="22"/>
        </w:rPr>
        <w:t>that</w:t>
      </w:r>
      <w:r w:rsidRPr="00FD6D7F">
        <w:rPr>
          <w:rStyle w:val="apple-converted-space"/>
          <w:rFonts w:cs="Open Sans"/>
          <w:color w:val="000000" w:themeColor="text1"/>
          <w:spacing w:val="2"/>
          <w:sz w:val="22"/>
          <w:szCs w:val="22"/>
        </w:rPr>
        <w:t> </w:t>
      </w:r>
      <w:r w:rsidRPr="00FD6D7F">
        <w:rPr>
          <w:rStyle w:val="editortaddedltunj"/>
          <w:rFonts w:cs="Open Sans"/>
          <w:color w:val="000000" w:themeColor="text1"/>
          <w:spacing w:val="2"/>
          <w:sz w:val="22"/>
          <w:szCs w:val="22"/>
        </w:rPr>
        <w:t>everyone</w:t>
      </w:r>
      <w:r w:rsidR="00130138">
        <w:rPr>
          <w:rStyle w:val="editortnoteditedwurp8"/>
          <w:rFonts w:cs="Open Sans"/>
          <w:color w:val="000000" w:themeColor="text1"/>
          <w:spacing w:val="2"/>
          <w:sz w:val="22"/>
          <w:szCs w:val="22"/>
        </w:rPr>
        <w:t xml:space="preserve"> </w:t>
      </w:r>
      <w:r w:rsidRPr="00FD6D7F">
        <w:rPr>
          <w:rStyle w:val="editortnoteditedwurp8"/>
          <w:rFonts w:cs="Open Sans"/>
          <w:color w:val="000000" w:themeColor="text1"/>
          <w:spacing w:val="2"/>
          <w:sz w:val="22"/>
          <w:szCs w:val="22"/>
        </w:rPr>
        <w:t>regardless of</w:t>
      </w:r>
      <w:r w:rsidRPr="00FD6D7F">
        <w:rPr>
          <w:rStyle w:val="apple-converted-space"/>
          <w:rFonts w:cs="Open Sans"/>
          <w:color w:val="000000" w:themeColor="text1"/>
          <w:spacing w:val="2"/>
          <w:sz w:val="22"/>
          <w:szCs w:val="22"/>
        </w:rPr>
        <w:t> </w:t>
      </w:r>
      <w:r w:rsidRPr="00FD6D7F">
        <w:rPr>
          <w:rStyle w:val="editortaddedltunj"/>
          <w:rFonts w:cs="Open Sans"/>
          <w:color w:val="000000" w:themeColor="text1"/>
          <w:spacing w:val="2"/>
          <w:sz w:val="22"/>
          <w:szCs w:val="22"/>
        </w:rPr>
        <w:t>their</w:t>
      </w:r>
      <w:r w:rsidRPr="00FD6D7F">
        <w:rPr>
          <w:rStyle w:val="apple-converted-space"/>
          <w:rFonts w:cs="Open Sans"/>
          <w:color w:val="000000" w:themeColor="text1"/>
          <w:spacing w:val="2"/>
          <w:sz w:val="22"/>
          <w:szCs w:val="22"/>
        </w:rPr>
        <w:t> </w:t>
      </w:r>
      <w:r w:rsidRPr="00FD6D7F">
        <w:rPr>
          <w:rStyle w:val="editortnoteditedwurp8"/>
          <w:rFonts w:cs="Open Sans"/>
          <w:color w:val="000000" w:themeColor="text1"/>
          <w:spacing w:val="2"/>
          <w:sz w:val="22"/>
          <w:szCs w:val="22"/>
        </w:rPr>
        <w:t>background, identity, or ability</w:t>
      </w:r>
      <w:r w:rsidRPr="00FD6D7F">
        <w:rPr>
          <w:rStyle w:val="apple-converted-space"/>
          <w:rFonts w:cs="Open Sans"/>
          <w:color w:val="000000" w:themeColor="text1"/>
          <w:spacing w:val="2"/>
          <w:sz w:val="22"/>
          <w:szCs w:val="22"/>
        </w:rPr>
        <w:t> </w:t>
      </w:r>
      <w:r w:rsidRPr="00FD6D7F">
        <w:rPr>
          <w:rStyle w:val="editortaddedltunj"/>
          <w:rFonts w:cs="Open Sans"/>
          <w:color w:val="000000" w:themeColor="text1"/>
          <w:spacing w:val="2"/>
          <w:sz w:val="22"/>
          <w:szCs w:val="22"/>
        </w:rPr>
        <w:t>is</w:t>
      </w:r>
      <w:r w:rsidRPr="00FD6D7F">
        <w:rPr>
          <w:rStyle w:val="apple-converted-space"/>
          <w:rFonts w:cs="Open Sans"/>
          <w:color w:val="000000" w:themeColor="text1"/>
          <w:spacing w:val="2"/>
          <w:sz w:val="22"/>
          <w:szCs w:val="22"/>
        </w:rPr>
        <w:t> </w:t>
      </w:r>
      <w:r w:rsidRPr="00FD6D7F">
        <w:rPr>
          <w:rStyle w:val="editortnoteditedwurp8"/>
          <w:rFonts w:cs="Open Sans"/>
          <w:color w:val="000000" w:themeColor="text1"/>
          <w:spacing w:val="2"/>
          <w:sz w:val="22"/>
          <w:szCs w:val="22"/>
        </w:rPr>
        <w:t>treated fairly</w:t>
      </w:r>
      <w:r>
        <w:rPr>
          <w:rStyle w:val="editortnoteditedwurp8"/>
          <w:rFonts w:cs="Open Sans"/>
          <w:color w:val="000000" w:themeColor="text1"/>
          <w:spacing w:val="2"/>
          <w:sz w:val="22"/>
          <w:szCs w:val="22"/>
        </w:rPr>
        <w:t xml:space="preserve"> </w:t>
      </w:r>
      <w:r w:rsidRPr="00FD6D7F">
        <w:rPr>
          <w:rStyle w:val="editortnoteditedwurp8"/>
          <w:rFonts w:cs="Open Sans"/>
          <w:color w:val="000000" w:themeColor="text1"/>
          <w:spacing w:val="2"/>
          <w:sz w:val="22"/>
          <w:szCs w:val="22"/>
        </w:rPr>
        <w:t>and</w:t>
      </w:r>
      <w:r w:rsidRPr="00FD6D7F">
        <w:rPr>
          <w:rStyle w:val="apple-converted-space"/>
          <w:rFonts w:cs="Open Sans"/>
          <w:color w:val="000000" w:themeColor="text1"/>
          <w:spacing w:val="2"/>
          <w:sz w:val="22"/>
          <w:szCs w:val="22"/>
        </w:rPr>
        <w:t> </w:t>
      </w:r>
      <w:r w:rsidRPr="00FD6D7F">
        <w:rPr>
          <w:rStyle w:val="editortaddedltunj"/>
          <w:rFonts w:cs="Open Sans"/>
          <w:color w:val="000000" w:themeColor="text1"/>
          <w:spacing w:val="2"/>
          <w:sz w:val="22"/>
          <w:szCs w:val="22"/>
        </w:rPr>
        <w:t>has</w:t>
      </w:r>
      <w:r w:rsidRPr="00FD6D7F">
        <w:rPr>
          <w:rStyle w:val="apple-converted-space"/>
          <w:rFonts w:cs="Open Sans"/>
          <w:color w:val="000000" w:themeColor="text1"/>
          <w:spacing w:val="2"/>
          <w:sz w:val="22"/>
          <w:szCs w:val="22"/>
        </w:rPr>
        <w:t> </w:t>
      </w:r>
      <w:r w:rsidRPr="00FD6D7F">
        <w:rPr>
          <w:rStyle w:val="editortnoteditedwurp8"/>
          <w:rFonts w:cs="Open Sans"/>
          <w:color w:val="000000" w:themeColor="text1"/>
          <w:spacing w:val="2"/>
          <w:sz w:val="22"/>
          <w:szCs w:val="22"/>
        </w:rPr>
        <w:t>equal</w:t>
      </w:r>
      <w:r w:rsidRPr="00FD6D7F">
        <w:rPr>
          <w:rStyle w:val="apple-converted-space"/>
          <w:rFonts w:cs="Open Sans"/>
          <w:color w:val="000000" w:themeColor="text1"/>
          <w:spacing w:val="2"/>
          <w:sz w:val="22"/>
          <w:szCs w:val="22"/>
        </w:rPr>
        <w:t> </w:t>
      </w:r>
      <w:r w:rsidRPr="00FD6D7F">
        <w:rPr>
          <w:rStyle w:val="editortnoteditedwurp8"/>
          <w:rFonts w:cs="Open Sans"/>
          <w:color w:val="000000" w:themeColor="text1"/>
          <w:spacing w:val="2"/>
          <w:sz w:val="22"/>
          <w:szCs w:val="22"/>
        </w:rPr>
        <w:t xml:space="preserve">opportunities. It involves removing barriers to participation and promoting environments where diversity is </w:t>
      </w:r>
      <w:proofErr w:type="gramStart"/>
      <w:r w:rsidRPr="00FD6D7F">
        <w:rPr>
          <w:rStyle w:val="editortnoteditedwurp8"/>
          <w:rFonts w:cs="Open Sans"/>
          <w:color w:val="000000" w:themeColor="text1"/>
          <w:spacing w:val="2"/>
          <w:sz w:val="22"/>
          <w:szCs w:val="22"/>
        </w:rPr>
        <w:t>valued</w:t>
      </w:r>
      <w:proofErr w:type="gramEnd"/>
      <w:r w:rsidRPr="00FD6D7F">
        <w:rPr>
          <w:rStyle w:val="editortnoteditedwurp8"/>
          <w:rFonts w:cs="Open Sans"/>
          <w:color w:val="000000" w:themeColor="text1"/>
          <w:spacing w:val="2"/>
          <w:sz w:val="22"/>
          <w:szCs w:val="22"/>
        </w:rPr>
        <w:t xml:space="preserve"> and everyone can contribute fully. Inclusive practice emphasises equality, respect, and support for all, including those with protected characteristics under the Equality Act 2010 for example disability, </w:t>
      </w:r>
      <w:proofErr w:type="gramStart"/>
      <w:r w:rsidRPr="00FD6D7F">
        <w:rPr>
          <w:rStyle w:val="editortnoteditedwurp8"/>
          <w:rFonts w:cs="Open Sans"/>
          <w:color w:val="000000" w:themeColor="text1"/>
          <w:spacing w:val="2"/>
          <w:sz w:val="22"/>
          <w:szCs w:val="22"/>
        </w:rPr>
        <w:t>race</w:t>
      </w:r>
      <w:proofErr w:type="gramEnd"/>
      <w:r w:rsidR="00130138">
        <w:rPr>
          <w:rStyle w:val="editortnoteditedwurp8"/>
          <w:rFonts w:cs="Open Sans"/>
          <w:color w:val="000000" w:themeColor="text1"/>
          <w:spacing w:val="2"/>
          <w:sz w:val="22"/>
          <w:szCs w:val="22"/>
        </w:rPr>
        <w:t xml:space="preserve"> and</w:t>
      </w:r>
      <w:r w:rsidRPr="00FD6D7F">
        <w:rPr>
          <w:rStyle w:val="editortnoteditedwurp8"/>
          <w:rFonts w:cs="Open Sans"/>
          <w:color w:val="000000" w:themeColor="text1"/>
          <w:spacing w:val="2"/>
          <w:sz w:val="22"/>
          <w:szCs w:val="22"/>
        </w:rPr>
        <w:t xml:space="preserve"> gender. In school settings, it means changing practices and policies to ensure everyone is included and can thrive</w:t>
      </w:r>
      <w:r w:rsidR="00130138">
        <w:rPr>
          <w:rStyle w:val="editortnoteditedwurp8"/>
          <w:rFonts w:cs="Open Sans"/>
          <w:color w:val="000000" w:themeColor="text1"/>
          <w:spacing w:val="2"/>
          <w:sz w:val="22"/>
          <w:szCs w:val="22"/>
        </w:rPr>
        <w:t>,</w:t>
      </w:r>
      <w:r w:rsidRPr="00FD6D7F">
        <w:rPr>
          <w:rStyle w:val="editortnoteditedwurp8"/>
          <w:rFonts w:cs="Open Sans"/>
          <w:color w:val="000000" w:themeColor="text1"/>
          <w:spacing w:val="2"/>
          <w:sz w:val="22"/>
          <w:szCs w:val="22"/>
        </w:rPr>
        <w:t xml:space="preserve"> promoting accessibility, participation, and opportunity for all learners.</w:t>
      </w:r>
      <w:r w:rsidRPr="00FD6D7F">
        <w:rPr>
          <w:rFonts w:cs="Open Sans"/>
          <w:color w:val="000000" w:themeColor="text1"/>
          <w:spacing w:val="2"/>
          <w:sz w:val="22"/>
          <w:szCs w:val="22"/>
        </w:rPr>
        <w:t xml:space="preserve"> </w:t>
      </w:r>
      <w:r w:rsidRPr="00FD6D7F">
        <w:rPr>
          <w:color w:val="000000" w:themeColor="text1"/>
          <w:sz w:val="22"/>
          <w:szCs w:val="22"/>
        </w:rPr>
        <w:t>The Additional Learning Needs (ALN) Reform in Wales emphasi</w:t>
      </w:r>
      <w:r>
        <w:rPr>
          <w:color w:val="000000" w:themeColor="text1"/>
          <w:sz w:val="22"/>
          <w:szCs w:val="22"/>
        </w:rPr>
        <w:t>s</w:t>
      </w:r>
      <w:r w:rsidRPr="00FD6D7F">
        <w:rPr>
          <w:color w:val="000000" w:themeColor="text1"/>
          <w:sz w:val="22"/>
          <w:szCs w:val="22"/>
        </w:rPr>
        <w:t>es creating an inclusive education system that meets the diverse needs of learners with additional learning needs. It requires schools to adopt a learner-centred approach, focusing on the individual’s strengths</w:t>
      </w:r>
      <w:r w:rsidR="00130138">
        <w:rPr>
          <w:color w:val="000000" w:themeColor="text1"/>
          <w:sz w:val="22"/>
          <w:szCs w:val="22"/>
        </w:rPr>
        <w:t xml:space="preserve"> and </w:t>
      </w:r>
      <w:r w:rsidRPr="00FD6D7F">
        <w:rPr>
          <w:color w:val="000000" w:themeColor="text1"/>
          <w:sz w:val="22"/>
          <w:szCs w:val="22"/>
        </w:rPr>
        <w:t>needs. The reform promotes early identification and support, with a clear focus on collaboration between learners, families, schools, and professionals. There should be clear, personali</w:t>
      </w:r>
      <w:r>
        <w:rPr>
          <w:color w:val="000000" w:themeColor="text1"/>
          <w:sz w:val="22"/>
          <w:szCs w:val="22"/>
        </w:rPr>
        <w:t>s</w:t>
      </w:r>
      <w:r w:rsidRPr="00FD6D7F">
        <w:rPr>
          <w:color w:val="000000" w:themeColor="text1"/>
          <w:sz w:val="22"/>
          <w:szCs w:val="22"/>
        </w:rPr>
        <w:t>ed learning plans (Individual Development Plans) and regular reviews to ensure that all learners receive the necessary support to achieve their potential.</w:t>
      </w:r>
      <w:r w:rsidRPr="00FD6D7F">
        <w:rPr>
          <w:rFonts w:cs="Open Sans"/>
          <w:color w:val="000000" w:themeColor="text1"/>
          <w:spacing w:val="2"/>
          <w:sz w:val="22"/>
          <w:szCs w:val="22"/>
        </w:rPr>
        <w:t xml:space="preserve"> </w:t>
      </w:r>
      <w:r w:rsidRPr="00FD6D7F">
        <w:rPr>
          <w:color w:val="000000" w:themeColor="text1"/>
          <w:sz w:val="22"/>
          <w:szCs w:val="22"/>
        </w:rPr>
        <w:t>The ALN Reform aligns closely with the Curriculum for Wales and its Four Purposes. The Four Purposes aim to develop learners who are ambitious, capable learners, enterprising, creative contributors, ethical, informed citizens, and healthy, confident individuals. The ALN Reform supports these goals by ensuring that all learners, including those with additional needs receive tailored</w:t>
      </w:r>
      <w:r w:rsidR="00130138">
        <w:rPr>
          <w:color w:val="000000" w:themeColor="text1"/>
          <w:sz w:val="22"/>
          <w:szCs w:val="22"/>
        </w:rPr>
        <w:t xml:space="preserve"> and</w:t>
      </w:r>
      <w:r w:rsidRPr="00FD6D7F">
        <w:rPr>
          <w:color w:val="000000" w:themeColor="text1"/>
          <w:sz w:val="22"/>
          <w:szCs w:val="22"/>
        </w:rPr>
        <w:t xml:space="preserve"> inclusive support. The person-</w:t>
      </w:r>
      <w:r w:rsidR="00130138" w:rsidRPr="00FD6D7F">
        <w:rPr>
          <w:color w:val="000000" w:themeColor="text1"/>
          <w:sz w:val="22"/>
          <w:szCs w:val="22"/>
        </w:rPr>
        <w:t>c</w:t>
      </w:r>
      <w:r w:rsidR="00130138">
        <w:rPr>
          <w:color w:val="000000" w:themeColor="text1"/>
          <w:sz w:val="22"/>
          <w:szCs w:val="22"/>
        </w:rPr>
        <w:t>e</w:t>
      </w:r>
      <w:r w:rsidR="00130138" w:rsidRPr="00FD6D7F">
        <w:rPr>
          <w:color w:val="000000" w:themeColor="text1"/>
          <w:sz w:val="22"/>
          <w:szCs w:val="22"/>
        </w:rPr>
        <w:t>ntred</w:t>
      </w:r>
      <w:r w:rsidRPr="00FD6D7F">
        <w:rPr>
          <w:color w:val="000000" w:themeColor="text1"/>
          <w:sz w:val="22"/>
          <w:szCs w:val="22"/>
        </w:rPr>
        <w:t xml:space="preserve"> approach within the ALN framework helps to personali</w:t>
      </w:r>
      <w:r>
        <w:rPr>
          <w:color w:val="000000" w:themeColor="text1"/>
          <w:sz w:val="22"/>
          <w:szCs w:val="22"/>
        </w:rPr>
        <w:t>s</w:t>
      </w:r>
      <w:r w:rsidRPr="00FD6D7F">
        <w:rPr>
          <w:color w:val="000000" w:themeColor="text1"/>
          <w:sz w:val="22"/>
          <w:szCs w:val="22"/>
        </w:rPr>
        <w:t>e learning</w:t>
      </w:r>
      <w:r w:rsidR="00130138">
        <w:rPr>
          <w:color w:val="000000" w:themeColor="text1"/>
          <w:sz w:val="22"/>
          <w:szCs w:val="22"/>
        </w:rPr>
        <w:t xml:space="preserve"> by </w:t>
      </w:r>
      <w:r w:rsidRPr="00FD6D7F">
        <w:rPr>
          <w:color w:val="000000" w:themeColor="text1"/>
          <w:sz w:val="22"/>
          <w:szCs w:val="22"/>
        </w:rPr>
        <w:t xml:space="preserve">enabling learners to thrive and meet the four purposes. By </w:t>
      </w:r>
      <w:r w:rsidR="00130138">
        <w:rPr>
          <w:color w:val="000000" w:themeColor="text1"/>
          <w:sz w:val="22"/>
          <w:szCs w:val="22"/>
        </w:rPr>
        <w:t>developing</w:t>
      </w:r>
      <w:r w:rsidRPr="00FD6D7F">
        <w:rPr>
          <w:color w:val="000000" w:themeColor="text1"/>
          <w:sz w:val="22"/>
          <w:szCs w:val="22"/>
        </w:rPr>
        <w:t xml:space="preserve"> collaboration, inclusion, and flexibility</w:t>
      </w:r>
      <w:r w:rsidR="00130138">
        <w:rPr>
          <w:color w:val="000000" w:themeColor="text1"/>
          <w:sz w:val="22"/>
          <w:szCs w:val="22"/>
        </w:rPr>
        <w:t xml:space="preserve"> </w:t>
      </w:r>
      <w:r w:rsidRPr="00FD6D7F">
        <w:rPr>
          <w:color w:val="000000" w:themeColor="text1"/>
          <w:sz w:val="22"/>
          <w:szCs w:val="22"/>
        </w:rPr>
        <w:t xml:space="preserve">the reform ensures that all learners regardless of need, are </w:t>
      </w:r>
      <w:r w:rsidR="00130138">
        <w:rPr>
          <w:color w:val="000000" w:themeColor="text1"/>
          <w:sz w:val="22"/>
          <w:szCs w:val="22"/>
        </w:rPr>
        <w:t xml:space="preserve">able </w:t>
      </w:r>
      <w:r w:rsidRPr="00FD6D7F">
        <w:rPr>
          <w:color w:val="000000" w:themeColor="text1"/>
          <w:sz w:val="22"/>
          <w:szCs w:val="22"/>
        </w:rPr>
        <w:t>to reach their potential.</w:t>
      </w:r>
      <w:r w:rsidRPr="00FD6D7F">
        <w:rPr>
          <w:rFonts w:cs="Open Sans"/>
          <w:color w:val="000000" w:themeColor="text1"/>
          <w:spacing w:val="2"/>
          <w:sz w:val="22"/>
          <w:szCs w:val="22"/>
        </w:rPr>
        <w:t xml:space="preserve"> </w:t>
      </w:r>
      <w:r w:rsidRPr="00FD6D7F">
        <w:rPr>
          <w:color w:val="000000" w:themeColor="text1"/>
          <w:sz w:val="22"/>
          <w:szCs w:val="22"/>
        </w:rPr>
        <w:t>The UNCRC (United Nations Convention on the Rights of the Child) supports the ALN Reform and the Curriculum for Wales by emphasi</w:t>
      </w:r>
      <w:r>
        <w:rPr>
          <w:color w:val="000000" w:themeColor="text1"/>
          <w:sz w:val="22"/>
          <w:szCs w:val="22"/>
        </w:rPr>
        <w:t>s</w:t>
      </w:r>
      <w:r w:rsidRPr="00FD6D7F">
        <w:rPr>
          <w:color w:val="000000" w:themeColor="text1"/>
          <w:sz w:val="22"/>
          <w:szCs w:val="22"/>
        </w:rPr>
        <w:t xml:space="preserve">ing children's rights to inclusive, accessible education. Article 28 guarantees the right to education for all children, ensuring it is inclusive and of high quality. Article 23 focuses </w:t>
      </w:r>
      <w:r w:rsidRPr="00FD6D7F">
        <w:rPr>
          <w:color w:val="000000" w:themeColor="text1"/>
          <w:sz w:val="22"/>
          <w:szCs w:val="22"/>
        </w:rPr>
        <w:lastRenderedPageBreak/>
        <w:t xml:space="preserve">on children with disabilities, </w:t>
      </w:r>
      <w:r w:rsidR="00130138">
        <w:rPr>
          <w:color w:val="000000" w:themeColor="text1"/>
          <w:sz w:val="22"/>
          <w:szCs w:val="22"/>
        </w:rPr>
        <w:t>promoting</w:t>
      </w:r>
      <w:r w:rsidRPr="00FD6D7F">
        <w:rPr>
          <w:color w:val="000000" w:themeColor="text1"/>
          <w:sz w:val="22"/>
          <w:szCs w:val="22"/>
        </w:rPr>
        <w:t xml:space="preserve"> for support that allows them to participate fully in life and learning. Article 3 reinforces that decisions should always be made in the child’s best interests. These principles align with the child-centred approach and response in the ALN Reform promoting equality and inclusion.</w:t>
      </w:r>
      <w:r w:rsidRPr="00FD6D7F">
        <w:rPr>
          <w:rFonts w:cs="Open Sans"/>
          <w:color w:val="000000" w:themeColor="text1"/>
          <w:spacing w:val="2"/>
          <w:sz w:val="22"/>
          <w:szCs w:val="22"/>
        </w:rPr>
        <w:t xml:space="preserve"> </w:t>
      </w:r>
      <w:r w:rsidRPr="00FD6D7F">
        <w:rPr>
          <w:color w:val="000000" w:themeColor="text1"/>
          <w:sz w:val="22"/>
          <w:szCs w:val="22"/>
        </w:rPr>
        <w:t>Florian (2014</w:t>
      </w:r>
      <w:r w:rsidR="00130138">
        <w:rPr>
          <w:color w:val="000000" w:themeColor="text1"/>
          <w:sz w:val="22"/>
          <w:szCs w:val="22"/>
        </w:rPr>
        <w:t>)</w:t>
      </w:r>
      <w:r w:rsidRPr="00FD6D7F">
        <w:rPr>
          <w:color w:val="000000" w:themeColor="text1"/>
          <w:sz w:val="22"/>
          <w:szCs w:val="22"/>
        </w:rPr>
        <w:t xml:space="preserve"> argues that inclusive practice is central to providing equal educational opportunities for all students, particularly those with additional learning needs.</w:t>
      </w:r>
      <w:r w:rsidRPr="00FD6D7F">
        <w:rPr>
          <w:rFonts w:cs="Open Sans"/>
          <w:color w:val="000000" w:themeColor="text1"/>
          <w:spacing w:val="2"/>
          <w:sz w:val="22"/>
          <w:szCs w:val="22"/>
        </w:rPr>
        <w:t xml:space="preserve"> </w:t>
      </w:r>
      <w:r w:rsidRPr="00FD6D7F">
        <w:rPr>
          <w:color w:val="000000" w:themeColor="text1"/>
          <w:sz w:val="22"/>
          <w:szCs w:val="22"/>
        </w:rPr>
        <w:t>Ainscow (2013) identifies limitations to inclusive practice. Including a lack of resources, lack of teacher training, and resistance to change issues in schools. They identify barriers such as overcrowded classrooms and inadequate support which can often hinder its full implementation, limiting its effectiveness in practice.</w:t>
      </w:r>
      <w:r>
        <w:rPr>
          <w:color w:val="000000" w:themeColor="text1"/>
          <w:sz w:val="22"/>
          <w:szCs w:val="22"/>
        </w:rPr>
        <w:t xml:space="preserve"> I will keep the school and children anonymous in line with BERA guidelines (2024)</w:t>
      </w:r>
    </w:p>
    <w:p w14:paraId="243F04FE" w14:textId="77777777" w:rsidR="00F15368" w:rsidRPr="00FD6D7F" w:rsidRDefault="00F15368" w:rsidP="00F15368">
      <w:pPr>
        <w:rPr>
          <w:rFonts w:cs="Open Sans"/>
          <w:color w:val="000000" w:themeColor="text1"/>
          <w:spacing w:val="2"/>
          <w:sz w:val="22"/>
          <w:szCs w:val="22"/>
        </w:rPr>
      </w:pPr>
    </w:p>
    <w:p w14:paraId="20AF4131" w14:textId="77777777" w:rsidR="00F15368" w:rsidRPr="00FD6D7F" w:rsidRDefault="00F15368" w:rsidP="00F15368">
      <w:pPr>
        <w:rPr>
          <w:color w:val="000000" w:themeColor="text1"/>
          <w:sz w:val="22"/>
          <w:szCs w:val="22"/>
        </w:rPr>
      </w:pPr>
    </w:p>
    <w:p w14:paraId="7E64C220" w14:textId="32673120" w:rsidR="00F15368" w:rsidRDefault="00F15368" w:rsidP="00F15368">
      <w:pPr>
        <w:rPr>
          <w:color w:val="000000" w:themeColor="text1"/>
          <w:sz w:val="22"/>
          <w:szCs w:val="22"/>
        </w:rPr>
      </w:pPr>
      <w:r w:rsidRPr="00FD6D7F">
        <w:rPr>
          <w:color w:val="000000" w:themeColor="text1"/>
          <w:sz w:val="22"/>
          <w:szCs w:val="22"/>
        </w:rPr>
        <w:t xml:space="preserve">A visual timetable is a tool that uses pictures, symbols, or photos to explain the order of the day or routines helping children to understand what is happening, now, </w:t>
      </w:r>
      <w:r w:rsidR="00130138" w:rsidRPr="00FD6D7F">
        <w:rPr>
          <w:color w:val="000000" w:themeColor="text1"/>
          <w:sz w:val="22"/>
          <w:szCs w:val="22"/>
        </w:rPr>
        <w:t>next,</w:t>
      </w:r>
      <w:r w:rsidRPr="00FD6D7F">
        <w:rPr>
          <w:color w:val="000000" w:themeColor="text1"/>
          <w:sz w:val="22"/>
          <w:szCs w:val="22"/>
        </w:rPr>
        <w:t xml:space="preserve"> and later.</w:t>
      </w:r>
      <w:r w:rsidR="00130138">
        <w:rPr>
          <w:color w:val="000000" w:themeColor="text1"/>
          <w:sz w:val="22"/>
          <w:szCs w:val="22"/>
        </w:rPr>
        <w:t xml:space="preserve"> I</w:t>
      </w:r>
      <w:r w:rsidRPr="00FD6D7F">
        <w:rPr>
          <w:color w:val="000000" w:themeColor="text1"/>
          <w:sz w:val="22"/>
          <w:szCs w:val="22"/>
        </w:rPr>
        <w:t xml:space="preserve">t supports all children, especially those with additional learning needs like autism, ADHD, and speech and language difficulties. The aim of this is to reduce anxiety, improve predictability, support communication, and promote independence. For children with additional learning needs a visual timetables help make concepts more reliable, provide reassurance , reduce sensory overload, and improve understanding of routines and expectations. They also support emotional regulation by preparing children for transitions and changes. According to Vygotsky’s social development theory a visual supports help develop a child’s learning, helping them understand routines and language Vygotsky (1978). Bandura’s social learning theory states that children observe and copy adults using the timetable. The strengths of the visual include developing understanding, improving transitions, supporting communication, and building independence </w:t>
      </w:r>
      <w:r w:rsidR="00130138">
        <w:rPr>
          <w:color w:val="000000" w:themeColor="text1"/>
          <w:sz w:val="22"/>
          <w:szCs w:val="22"/>
        </w:rPr>
        <w:t>(</w:t>
      </w:r>
      <w:r w:rsidRPr="00FD6D7F">
        <w:rPr>
          <w:color w:val="000000" w:themeColor="text1"/>
          <w:sz w:val="22"/>
          <w:szCs w:val="22"/>
        </w:rPr>
        <w:t xml:space="preserve">Bandura 1977). Some of the limitations include the risk of over reliance, the timetable being too </w:t>
      </w:r>
      <w:r w:rsidR="00130138" w:rsidRPr="00FD6D7F">
        <w:rPr>
          <w:color w:val="000000" w:themeColor="text1"/>
          <w:sz w:val="22"/>
          <w:szCs w:val="22"/>
        </w:rPr>
        <w:t>rigid</w:t>
      </w:r>
      <w:r w:rsidR="00130138">
        <w:rPr>
          <w:color w:val="000000" w:themeColor="text1"/>
          <w:sz w:val="22"/>
          <w:szCs w:val="22"/>
        </w:rPr>
        <w:t xml:space="preserve"> </w:t>
      </w:r>
      <w:r w:rsidRPr="00FD6D7F">
        <w:rPr>
          <w:color w:val="000000" w:themeColor="text1"/>
          <w:sz w:val="22"/>
          <w:szCs w:val="22"/>
        </w:rPr>
        <w:t xml:space="preserve">or confusion if the timetable is not updated. Too overcome this, clear communication before a change is vital. Another barrier includes time to prepare visuals this can be overcome by using ready-made resources and involving children in creating the timetable. </w:t>
      </w:r>
      <w:proofErr w:type="spellStart"/>
      <w:r w:rsidRPr="00FD6D7F">
        <w:rPr>
          <w:color w:val="000000" w:themeColor="text1"/>
          <w:sz w:val="22"/>
          <w:szCs w:val="22"/>
        </w:rPr>
        <w:t>Hodgodn</w:t>
      </w:r>
      <w:proofErr w:type="spellEnd"/>
      <w:r w:rsidRPr="00FD6D7F">
        <w:rPr>
          <w:color w:val="000000" w:themeColor="text1"/>
          <w:sz w:val="22"/>
          <w:szCs w:val="22"/>
        </w:rPr>
        <w:t xml:space="preserve"> (1995) discusses the benefits for visual strategies for  the development of communication and Dettmer et al (2000) found that visual supports promote independence. Kern and Hilt-</w:t>
      </w:r>
      <w:proofErr w:type="spellStart"/>
      <w:r w:rsidRPr="00FD6D7F">
        <w:rPr>
          <w:color w:val="000000" w:themeColor="text1"/>
          <w:sz w:val="22"/>
          <w:szCs w:val="22"/>
        </w:rPr>
        <w:t>Panahon</w:t>
      </w:r>
      <w:proofErr w:type="spellEnd"/>
      <w:r w:rsidRPr="00FD6D7F">
        <w:rPr>
          <w:color w:val="000000" w:themeColor="text1"/>
          <w:sz w:val="22"/>
          <w:szCs w:val="22"/>
        </w:rPr>
        <w:t xml:space="preserve"> (2012) found that while visual timetable can help structure, they may not fully address the diverse needs of all children, especially those who need additional support interpretation the visuals.</w:t>
      </w:r>
    </w:p>
    <w:p w14:paraId="75693BFF" w14:textId="7CB04525" w:rsidR="00F15368" w:rsidRDefault="00F15368" w:rsidP="00D163BC">
      <w:pPr>
        <w:rPr>
          <w:sz w:val="52"/>
          <w:szCs w:val="52"/>
        </w:rPr>
      </w:pPr>
    </w:p>
    <w:p w14:paraId="14260FC6" w14:textId="5A93213A" w:rsidR="00F15368" w:rsidRDefault="00F15368" w:rsidP="00D163BC">
      <w:pPr>
        <w:rPr>
          <w:sz w:val="52"/>
          <w:szCs w:val="52"/>
        </w:rPr>
      </w:pPr>
    </w:p>
    <w:p w14:paraId="5EC0BAC3" w14:textId="7035B6BA" w:rsidR="00F15368" w:rsidRDefault="00F15368" w:rsidP="00D163BC">
      <w:pPr>
        <w:rPr>
          <w:sz w:val="52"/>
          <w:szCs w:val="52"/>
        </w:rPr>
      </w:pPr>
    </w:p>
    <w:p w14:paraId="30E70909" w14:textId="02875234" w:rsidR="00F15368" w:rsidRDefault="00F15368" w:rsidP="00D163BC">
      <w:pPr>
        <w:rPr>
          <w:sz w:val="52"/>
          <w:szCs w:val="52"/>
        </w:rPr>
      </w:pPr>
    </w:p>
    <w:p w14:paraId="6709E579" w14:textId="71638352" w:rsidR="00F15368" w:rsidRDefault="00F15368" w:rsidP="00D163BC">
      <w:pPr>
        <w:rPr>
          <w:sz w:val="52"/>
          <w:szCs w:val="52"/>
        </w:rPr>
      </w:pPr>
    </w:p>
    <w:p w14:paraId="1FF44F3B" w14:textId="1C6959AD" w:rsidR="00F15368" w:rsidRDefault="00F23C05" w:rsidP="00D163BC">
      <w:pPr>
        <w:rPr>
          <w:sz w:val="52"/>
          <w:szCs w:val="52"/>
        </w:rPr>
      </w:pPr>
      <w:r>
        <w:rPr>
          <w:noProof/>
          <w:color w:val="000000" w:themeColor="text1"/>
          <w:sz w:val="22"/>
          <w:szCs w:val="22"/>
        </w:rPr>
        <w:drawing>
          <wp:anchor distT="0" distB="0" distL="114300" distR="114300" simplePos="0" relativeHeight="251659264" behindDoc="0" locked="0" layoutInCell="1" allowOverlap="1" wp14:anchorId="0584B906" wp14:editId="4B6E8940">
            <wp:simplePos x="0" y="0"/>
            <wp:positionH relativeFrom="column">
              <wp:posOffset>43392</wp:posOffset>
            </wp:positionH>
            <wp:positionV relativeFrom="paragraph">
              <wp:posOffset>-414866</wp:posOffset>
            </wp:positionV>
            <wp:extent cx="1735730" cy="7178464"/>
            <wp:effectExtent l="0" t="0" r="4445" b="0"/>
            <wp:wrapNone/>
            <wp:docPr id="813589020" name="Picture 1" descr="A poster with pictur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89020" name="Picture 1" descr="A poster with pictures on i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35730" cy="7178464"/>
                    </a:xfrm>
                    <a:prstGeom prst="rect">
                      <a:avLst/>
                    </a:prstGeom>
                  </pic:spPr>
                </pic:pic>
              </a:graphicData>
            </a:graphic>
            <wp14:sizeRelH relativeFrom="page">
              <wp14:pctWidth>0</wp14:pctWidth>
            </wp14:sizeRelH>
            <wp14:sizeRelV relativeFrom="page">
              <wp14:pctHeight>0</wp14:pctHeight>
            </wp14:sizeRelV>
          </wp:anchor>
        </w:drawing>
      </w:r>
    </w:p>
    <w:p w14:paraId="0C02AC8C" w14:textId="1CC7ADED" w:rsidR="00F15368" w:rsidRDefault="00F15368" w:rsidP="00D163BC">
      <w:pPr>
        <w:rPr>
          <w:sz w:val="52"/>
          <w:szCs w:val="52"/>
        </w:rPr>
      </w:pPr>
    </w:p>
    <w:p w14:paraId="2F398E32" w14:textId="6DEB4708" w:rsidR="00F15368" w:rsidRDefault="00F15368" w:rsidP="00D163BC">
      <w:pPr>
        <w:rPr>
          <w:sz w:val="52"/>
          <w:szCs w:val="52"/>
        </w:rPr>
      </w:pPr>
    </w:p>
    <w:p w14:paraId="76A4DAC7" w14:textId="1BF99419" w:rsidR="00F15368" w:rsidRDefault="00F15368" w:rsidP="00D163BC">
      <w:pPr>
        <w:rPr>
          <w:sz w:val="52"/>
          <w:szCs w:val="52"/>
        </w:rPr>
      </w:pPr>
    </w:p>
    <w:p w14:paraId="58214389" w14:textId="6C4DEC08" w:rsidR="00F15368" w:rsidRDefault="00F15368" w:rsidP="00D163BC">
      <w:pPr>
        <w:rPr>
          <w:sz w:val="52"/>
          <w:szCs w:val="52"/>
        </w:rPr>
      </w:pPr>
    </w:p>
    <w:p w14:paraId="68167519" w14:textId="77777777" w:rsidR="008A7F19" w:rsidRDefault="008A7F19" w:rsidP="00D163BC">
      <w:pPr>
        <w:rPr>
          <w:sz w:val="52"/>
          <w:szCs w:val="52"/>
        </w:rPr>
      </w:pPr>
    </w:p>
    <w:p w14:paraId="0117B569" w14:textId="77777777" w:rsidR="008A7F19" w:rsidRDefault="008A7F19" w:rsidP="00D163BC">
      <w:pPr>
        <w:rPr>
          <w:sz w:val="52"/>
          <w:szCs w:val="52"/>
        </w:rPr>
      </w:pPr>
    </w:p>
    <w:p w14:paraId="117974BC" w14:textId="77777777" w:rsidR="008A7F19" w:rsidRDefault="008A7F19" w:rsidP="00D163BC">
      <w:pPr>
        <w:rPr>
          <w:sz w:val="52"/>
          <w:szCs w:val="52"/>
        </w:rPr>
      </w:pPr>
    </w:p>
    <w:p w14:paraId="7ABFD1C8" w14:textId="77777777" w:rsidR="008A7F19" w:rsidRDefault="008A7F19" w:rsidP="00D163BC">
      <w:pPr>
        <w:rPr>
          <w:sz w:val="52"/>
          <w:szCs w:val="52"/>
        </w:rPr>
      </w:pPr>
    </w:p>
    <w:p w14:paraId="2B8F0432" w14:textId="19C51127" w:rsidR="00F15368" w:rsidRDefault="00F15368" w:rsidP="00D163BC">
      <w:pPr>
        <w:rPr>
          <w:sz w:val="52"/>
          <w:szCs w:val="52"/>
        </w:rPr>
      </w:pPr>
    </w:p>
    <w:p w14:paraId="472C281D" w14:textId="77777777" w:rsidR="00F15368" w:rsidRDefault="00F15368" w:rsidP="00F15368">
      <w:pPr>
        <w:rPr>
          <w:color w:val="000000" w:themeColor="text1"/>
          <w:sz w:val="22"/>
          <w:szCs w:val="22"/>
        </w:rPr>
      </w:pPr>
    </w:p>
    <w:p w14:paraId="7A3F27E7" w14:textId="77777777" w:rsidR="00F23C05" w:rsidRDefault="00F23C05" w:rsidP="00F15368">
      <w:pPr>
        <w:rPr>
          <w:color w:val="000000" w:themeColor="text1"/>
          <w:sz w:val="22"/>
          <w:szCs w:val="22"/>
        </w:rPr>
      </w:pPr>
    </w:p>
    <w:p w14:paraId="3D7B06BE" w14:textId="77777777" w:rsidR="00F23C05" w:rsidRDefault="00F23C05" w:rsidP="00F15368">
      <w:pPr>
        <w:rPr>
          <w:color w:val="000000" w:themeColor="text1"/>
          <w:sz w:val="22"/>
          <w:szCs w:val="22"/>
        </w:rPr>
      </w:pPr>
    </w:p>
    <w:p w14:paraId="2BC4AE17" w14:textId="77777777" w:rsidR="00F23C05" w:rsidRDefault="00F23C05" w:rsidP="00F15368">
      <w:pPr>
        <w:rPr>
          <w:color w:val="000000" w:themeColor="text1"/>
          <w:sz w:val="22"/>
          <w:szCs w:val="22"/>
        </w:rPr>
      </w:pPr>
    </w:p>
    <w:p w14:paraId="6ABB690D" w14:textId="33BE6F68" w:rsidR="00F15368" w:rsidRDefault="00F15368" w:rsidP="00F15368">
      <w:pPr>
        <w:rPr>
          <w:color w:val="000000" w:themeColor="text1"/>
          <w:sz w:val="22"/>
          <w:szCs w:val="22"/>
        </w:rPr>
      </w:pPr>
      <w:r>
        <w:rPr>
          <w:color w:val="000000" w:themeColor="text1"/>
          <w:sz w:val="22"/>
          <w:szCs w:val="22"/>
        </w:rPr>
        <w:t>(Authors photo)</w:t>
      </w:r>
    </w:p>
    <w:p w14:paraId="2FAD657F" w14:textId="77777777" w:rsidR="00F23C05" w:rsidRPr="00FD6D7F" w:rsidRDefault="00F23C05" w:rsidP="00F15368">
      <w:pPr>
        <w:rPr>
          <w:color w:val="000000" w:themeColor="text1"/>
          <w:sz w:val="22"/>
          <w:szCs w:val="22"/>
        </w:rPr>
      </w:pPr>
    </w:p>
    <w:p w14:paraId="32B9FF20" w14:textId="5CB17982" w:rsidR="00F15368" w:rsidRDefault="00F15368" w:rsidP="00F15368">
      <w:pPr>
        <w:rPr>
          <w:color w:val="000000" w:themeColor="text1"/>
          <w:sz w:val="22"/>
          <w:szCs w:val="22"/>
        </w:rPr>
      </w:pPr>
      <w:r w:rsidRPr="00FD6D7F">
        <w:rPr>
          <w:noProof/>
          <w:color w:val="4EA72E" w:themeColor="accent6"/>
          <w:sz w:val="22"/>
          <w:szCs w:val="22"/>
        </w:rPr>
        <w:lastRenderedPageBreak/>
        <w:drawing>
          <wp:anchor distT="0" distB="0" distL="114300" distR="114300" simplePos="0" relativeHeight="251661312" behindDoc="0" locked="0" layoutInCell="1" allowOverlap="1" wp14:anchorId="7F1BB0C4" wp14:editId="5CC49A9E">
            <wp:simplePos x="0" y="0"/>
            <wp:positionH relativeFrom="column">
              <wp:posOffset>-530437</wp:posOffset>
            </wp:positionH>
            <wp:positionV relativeFrom="paragraph">
              <wp:posOffset>3965152</wp:posOffset>
            </wp:positionV>
            <wp:extent cx="6825725" cy="5121939"/>
            <wp:effectExtent l="0" t="0" r="0" b="0"/>
            <wp:wrapNone/>
            <wp:docPr id="1494520123" name="Picture 1" descr="A gym with a variety of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20123" name="Picture 1" descr="A gym with a variety of object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825725" cy="5121939"/>
                    </a:xfrm>
                    <a:prstGeom prst="rect">
                      <a:avLst/>
                    </a:prstGeom>
                  </pic:spPr>
                </pic:pic>
              </a:graphicData>
            </a:graphic>
            <wp14:sizeRelH relativeFrom="page">
              <wp14:pctWidth>0</wp14:pctWidth>
            </wp14:sizeRelH>
            <wp14:sizeRelV relativeFrom="page">
              <wp14:pctHeight>0</wp14:pctHeight>
            </wp14:sizeRelV>
          </wp:anchor>
        </w:drawing>
      </w:r>
      <w:r w:rsidRPr="00FD6D7F">
        <w:rPr>
          <w:color w:val="000000" w:themeColor="text1"/>
          <w:sz w:val="22"/>
          <w:szCs w:val="22"/>
        </w:rPr>
        <w:t xml:space="preserve">While on PTE2 I observed the sports hall set up for enhanced provision to use for the first half hour of the day. The hall was set up in an obstacle course way by ‘fitness friends’ which consisted of year 5 pupils. This included many different resources like trampolines, ramps for jumping, balance boards and many sensory items, along with footballs, basket balls and tennis balls and rackets. Once the half hour is up the children then have access to the ‘big yard’ where there is more resources like tyres for dragging and flipping which works on gross motor skills and bikes and scooters for children to use. This is used by the children who regularly attended the enhanced provision and children who were dysregulated when coming into school. Piaget discusses the importance of active, hands on learning in children’s development </w:t>
      </w:r>
      <w:r w:rsidR="00130138">
        <w:rPr>
          <w:color w:val="000000" w:themeColor="text1"/>
          <w:sz w:val="22"/>
          <w:szCs w:val="22"/>
        </w:rPr>
        <w:t>(</w:t>
      </w:r>
      <w:r w:rsidRPr="00FD6D7F">
        <w:rPr>
          <w:color w:val="000000" w:themeColor="text1"/>
          <w:sz w:val="22"/>
          <w:szCs w:val="22"/>
        </w:rPr>
        <w:t>Piaget 1962), while Vygotsky (1978) discusses social interaction and scaffolding which can be seen with the inclusion of the year 5 pupils. There are many strengths to this such as improving physical development, supporting emotional regulation, developing social interaction, and providing an inclusive environment. It also encourages peer support and leadership for the older children. However some limitations to consider include potential overstimulation or inconsistent access due to weather or staffing. To overcome these barriers planning and adapting activities to meet different sensory needs is important. Ayres (1972) explains how that providing structured experiences helps children regulate their sensory system, improving their ability to focus , learn and engage in daily activities. Humphrey and Lewis (2008) found that pupils on the autistic spectrum may struggle with the sudden changes in their routine can lead to distress when activities are cancelled or altered.</w:t>
      </w:r>
    </w:p>
    <w:p w14:paraId="2205A06C" w14:textId="0DA265C1" w:rsidR="00F15368" w:rsidRDefault="00F15368" w:rsidP="00F15368">
      <w:pPr>
        <w:rPr>
          <w:color w:val="000000" w:themeColor="text1"/>
          <w:sz w:val="22"/>
          <w:szCs w:val="22"/>
        </w:rPr>
      </w:pPr>
    </w:p>
    <w:p w14:paraId="2E224331" w14:textId="0AF63064" w:rsidR="00F15368" w:rsidRDefault="00F15368" w:rsidP="00F15368">
      <w:pPr>
        <w:rPr>
          <w:color w:val="000000" w:themeColor="text1"/>
          <w:sz w:val="22"/>
          <w:szCs w:val="22"/>
        </w:rPr>
      </w:pPr>
    </w:p>
    <w:p w14:paraId="7061414B" w14:textId="21E7A086" w:rsidR="00F15368" w:rsidRDefault="00F15368" w:rsidP="00F15368">
      <w:pPr>
        <w:rPr>
          <w:color w:val="000000" w:themeColor="text1"/>
          <w:sz w:val="22"/>
          <w:szCs w:val="22"/>
        </w:rPr>
      </w:pPr>
    </w:p>
    <w:p w14:paraId="12425753" w14:textId="025AEF53" w:rsidR="00F15368" w:rsidRDefault="00F15368" w:rsidP="00F15368">
      <w:pPr>
        <w:rPr>
          <w:color w:val="000000" w:themeColor="text1"/>
          <w:sz w:val="22"/>
          <w:szCs w:val="22"/>
        </w:rPr>
      </w:pPr>
    </w:p>
    <w:p w14:paraId="676B1C6D" w14:textId="77777777" w:rsidR="00F15368" w:rsidRDefault="00F15368" w:rsidP="00F15368">
      <w:pPr>
        <w:rPr>
          <w:color w:val="000000" w:themeColor="text1"/>
          <w:sz w:val="22"/>
          <w:szCs w:val="22"/>
        </w:rPr>
      </w:pPr>
    </w:p>
    <w:p w14:paraId="7787660D" w14:textId="53CEA637" w:rsidR="00F15368" w:rsidRDefault="00F15368" w:rsidP="00F15368">
      <w:pPr>
        <w:rPr>
          <w:color w:val="000000" w:themeColor="text1"/>
          <w:sz w:val="22"/>
          <w:szCs w:val="22"/>
        </w:rPr>
      </w:pPr>
    </w:p>
    <w:p w14:paraId="0F360C25" w14:textId="0F470E6C" w:rsidR="00F15368" w:rsidRDefault="00F15368" w:rsidP="00F15368">
      <w:pPr>
        <w:rPr>
          <w:color w:val="000000" w:themeColor="text1"/>
          <w:sz w:val="22"/>
          <w:szCs w:val="22"/>
        </w:rPr>
      </w:pPr>
    </w:p>
    <w:p w14:paraId="759A3526" w14:textId="647985C2" w:rsidR="00F15368" w:rsidRDefault="00F15368" w:rsidP="00F15368">
      <w:pPr>
        <w:rPr>
          <w:color w:val="000000" w:themeColor="text1"/>
          <w:sz w:val="22"/>
          <w:szCs w:val="22"/>
        </w:rPr>
      </w:pPr>
    </w:p>
    <w:p w14:paraId="6EACA599" w14:textId="008AF696" w:rsidR="00F15368" w:rsidRDefault="00F15368" w:rsidP="00F15368">
      <w:pPr>
        <w:rPr>
          <w:color w:val="000000" w:themeColor="text1"/>
          <w:sz w:val="22"/>
          <w:szCs w:val="22"/>
        </w:rPr>
      </w:pPr>
    </w:p>
    <w:p w14:paraId="41408827" w14:textId="1A33D0DC" w:rsidR="00F15368" w:rsidRDefault="00F15368" w:rsidP="00F15368">
      <w:pPr>
        <w:rPr>
          <w:color w:val="000000" w:themeColor="text1"/>
          <w:sz w:val="22"/>
          <w:szCs w:val="22"/>
        </w:rPr>
      </w:pPr>
    </w:p>
    <w:p w14:paraId="0C6B3207" w14:textId="29B73303" w:rsidR="00F15368" w:rsidRDefault="00F15368" w:rsidP="00F15368">
      <w:pPr>
        <w:rPr>
          <w:color w:val="000000" w:themeColor="text1"/>
          <w:sz w:val="22"/>
          <w:szCs w:val="22"/>
        </w:rPr>
      </w:pPr>
    </w:p>
    <w:p w14:paraId="2B27D8EC" w14:textId="77777777" w:rsidR="00F15368" w:rsidRDefault="00F15368" w:rsidP="00F15368">
      <w:pPr>
        <w:rPr>
          <w:color w:val="000000" w:themeColor="text1"/>
          <w:sz w:val="22"/>
          <w:szCs w:val="22"/>
        </w:rPr>
      </w:pPr>
    </w:p>
    <w:p w14:paraId="15B18D2F" w14:textId="77777777" w:rsidR="00F15368" w:rsidRDefault="00F15368" w:rsidP="00F15368">
      <w:pPr>
        <w:rPr>
          <w:color w:val="000000" w:themeColor="text1"/>
          <w:sz w:val="22"/>
          <w:szCs w:val="22"/>
        </w:rPr>
      </w:pPr>
    </w:p>
    <w:p w14:paraId="025A060D" w14:textId="77777777" w:rsidR="00F23C05" w:rsidRDefault="00F23C05" w:rsidP="00F15368">
      <w:pPr>
        <w:rPr>
          <w:color w:val="000000" w:themeColor="text1"/>
          <w:sz w:val="22"/>
          <w:szCs w:val="22"/>
        </w:rPr>
      </w:pPr>
    </w:p>
    <w:p w14:paraId="3EDE5D44" w14:textId="77777777" w:rsidR="008C74F1" w:rsidRDefault="008C74F1" w:rsidP="00F15368">
      <w:pPr>
        <w:rPr>
          <w:color w:val="000000" w:themeColor="text1"/>
          <w:sz w:val="22"/>
          <w:szCs w:val="22"/>
        </w:rPr>
      </w:pPr>
    </w:p>
    <w:p w14:paraId="62D474F8" w14:textId="77777777" w:rsidR="00F23C05" w:rsidRDefault="00F23C05" w:rsidP="00F15368">
      <w:pPr>
        <w:rPr>
          <w:color w:val="000000" w:themeColor="text1"/>
          <w:sz w:val="22"/>
          <w:szCs w:val="22"/>
        </w:rPr>
      </w:pPr>
    </w:p>
    <w:p w14:paraId="21E82E6E" w14:textId="52A6C4B0" w:rsidR="00F15368" w:rsidRPr="00FD6D7F" w:rsidRDefault="00F15368" w:rsidP="00F15368">
      <w:pPr>
        <w:rPr>
          <w:color w:val="000000" w:themeColor="text1"/>
          <w:sz w:val="22"/>
          <w:szCs w:val="22"/>
        </w:rPr>
      </w:pPr>
      <w:r w:rsidRPr="00FD6D7F">
        <w:rPr>
          <w:color w:val="000000" w:themeColor="text1"/>
          <w:sz w:val="22"/>
          <w:szCs w:val="22"/>
        </w:rPr>
        <w:lastRenderedPageBreak/>
        <w:t>(Authors Photo)</w:t>
      </w:r>
    </w:p>
    <w:p w14:paraId="634A0009" w14:textId="77777777" w:rsidR="00F15368" w:rsidRPr="00FD6D7F" w:rsidRDefault="00F15368" w:rsidP="00F15368">
      <w:pPr>
        <w:pStyle w:val="NormalWeb"/>
        <w:rPr>
          <w:rFonts w:asciiTheme="minorHAnsi" w:hAnsiTheme="minorHAnsi"/>
          <w:color w:val="000000"/>
          <w:sz w:val="22"/>
          <w:szCs w:val="22"/>
        </w:rPr>
      </w:pPr>
      <w:r w:rsidRPr="00FD6D7F">
        <w:rPr>
          <w:rFonts w:asciiTheme="minorHAnsi" w:hAnsiTheme="minorHAnsi"/>
          <w:color w:val="000000"/>
          <w:sz w:val="22"/>
          <w:szCs w:val="22"/>
        </w:rPr>
        <w:t xml:space="preserve">A raised writing support is designed to assist children in particular with fine motor difficulties. This can include raised lines on paper, writing slopes, or specialised pens that make it easier for children to form letters and keep their writing organised. It benefits children with motor difficulties, visual impairments, or conditions like dysgraphia by providing physical guidance that reduces strain and encourages independence and legible writing. Piaget (1962) found that physical tools like writing support aids cognitive development by encouraging children to manipulate objects and practise skills promoting independence in learning. This is supported by Vygotsky (1978) who discussed that writing support acts as a scaffold which helps the to children complete tasks that they would not be able to do independently leading to a sense of accomplishment, belonging and achievement. The benefits of raised writing supports include improved handwriting, reducing fatigue and promoting confidence and achievement. However some of the limitations to writing support include the risk of over-reliance on the support which may hinder independent handwriting development. Funding is another issue, to overcome this fundraising activities could be carried out. Hughes (2008) discusses the role of physical objects in supporting fine motor skills and Richards (2011) found that the effectiveness of scaffolding in promoting independent writing. Berninger and </w:t>
      </w:r>
      <w:proofErr w:type="spellStart"/>
      <w:r w:rsidRPr="00FD6D7F">
        <w:rPr>
          <w:rFonts w:asciiTheme="minorHAnsi" w:hAnsiTheme="minorHAnsi"/>
          <w:color w:val="000000"/>
          <w:sz w:val="22"/>
          <w:szCs w:val="22"/>
        </w:rPr>
        <w:t>Amtmann</w:t>
      </w:r>
      <w:proofErr w:type="spellEnd"/>
      <w:r w:rsidRPr="00FD6D7F">
        <w:rPr>
          <w:rFonts w:asciiTheme="minorHAnsi" w:hAnsiTheme="minorHAnsi"/>
          <w:color w:val="000000"/>
          <w:sz w:val="22"/>
          <w:szCs w:val="22"/>
        </w:rPr>
        <w:t xml:space="preserve"> (2003) stresses that while raised writing support can be helpful it may not be effective for children with severe dysgraphia as they may needs specialised interventions. </w:t>
      </w:r>
    </w:p>
    <w:p w14:paraId="72DA8C0B" w14:textId="588E96CF" w:rsidR="00F15368" w:rsidRDefault="00F15368" w:rsidP="00F15368">
      <w:pPr>
        <w:rPr>
          <w:color w:val="000000" w:themeColor="text1"/>
          <w:sz w:val="22"/>
          <w:szCs w:val="22"/>
        </w:rPr>
      </w:pPr>
      <w:r w:rsidRPr="00BD5F8B">
        <w:rPr>
          <w:noProof/>
          <w:color w:val="000000"/>
          <w:sz w:val="22"/>
          <w:szCs w:val="22"/>
        </w:rPr>
        <w:drawing>
          <wp:inline distT="0" distB="0" distL="0" distR="0" wp14:anchorId="713C6906" wp14:editId="16D1E4E7">
            <wp:extent cx="5731510" cy="4280535"/>
            <wp:effectExtent l="0" t="0" r="0" b="0"/>
            <wp:docPr id="1503987220" name="Picture 1" descr="A green board with a piece of paper and a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987220" name="Picture 1" descr="A green board with a piece of paper and a pencil&#10;&#10;Description automatically generated"/>
                    <pic:cNvPicPr/>
                  </pic:nvPicPr>
                  <pic:blipFill>
                    <a:blip r:embed="rId7"/>
                    <a:stretch>
                      <a:fillRect/>
                    </a:stretch>
                  </pic:blipFill>
                  <pic:spPr>
                    <a:xfrm>
                      <a:off x="0" y="0"/>
                      <a:ext cx="5731510" cy="4280535"/>
                    </a:xfrm>
                    <a:prstGeom prst="rect">
                      <a:avLst/>
                    </a:prstGeom>
                  </pic:spPr>
                </pic:pic>
              </a:graphicData>
            </a:graphic>
          </wp:inline>
        </w:drawing>
      </w:r>
    </w:p>
    <w:p w14:paraId="152D053A" w14:textId="77777777" w:rsidR="00F15368" w:rsidRDefault="00F15368" w:rsidP="00F15368">
      <w:pPr>
        <w:rPr>
          <w:color w:val="000000" w:themeColor="text1"/>
          <w:sz w:val="22"/>
          <w:szCs w:val="22"/>
        </w:rPr>
      </w:pPr>
    </w:p>
    <w:p w14:paraId="3A1347A4" w14:textId="77777777" w:rsidR="00F15368" w:rsidRDefault="00F15368" w:rsidP="00F15368">
      <w:pPr>
        <w:rPr>
          <w:color w:val="000000" w:themeColor="text1"/>
          <w:sz w:val="22"/>
          <w:szCs w:val="22"/>
        </w:rPr>
      </w:pPr>
    </w:p>
    <w:p w14:paraId="2CE43FFD" w14:textId="77777777" w:rsidR="00F15368" w:rsidRDefault="00F15368" w:rsidP="00F15368">
      <w:pPr>
        <w:pStyle w:val="NormalWeb"/>
        <w:rPr>
          <w:rFonts w:asciiTheme="minorHAnsi" w:hAnsiTheme="minorHAnsi"/>
          <w:color w:val="000000"/>
          <w:sz w:val="22"/>
          <w:szCs w:val="22"/>
        </w:rPr>
      </w:pPr>
      <w:r>
        <w:rPr>
          <w:rFonts w:asciiTheme="minorHAnsi" w:hAnsiTheme="minorHAnsi"/>
          <w:color w:val="000000"/>
          <w:sz w:val="22"/>
          <w:szCs w:val="22"/>
        </w:rPr>
        <w:lastRenderedPageBreak/>
        <w:t>(Complete Care Shop)</w:t>
      </w:r>
    </w:p>
    <w:p w14:paraId="4B778508" w14:textId="77777777" w:rsidR="00F15368" w:rsidRDefault="00F15368" w:rsidP="00F15368">
      <w:pPr>
        <w:pStyle w:val="NormalWeb"/>
        <w:rPr>
          <w:rFonts w:asciiTheme="minorHAnsi" w:hAnsiTheme="minorHAnsi"/>
          <w:color w:val="000000"/>
          <w:sz w:val="22"/>
          <w:szCs w:val="22"/>
        </w:rPr>
      </w:pPr>
    </w:p>
    <w:p w14:paraId="43375F9E" w14:textId="73ACC0CF" w:rsidR="00F15368" w:rsidRPr="00FD6D7F" w:rsidRDefault="00F15368" w:rsidP="00F15368">
      <w:pPr>
        <w:pStyle w:val="NormalWeb"/>
        <w:rPr>
          <w:rFonts w:asciiTheme="minorHAnsi" w:hAnsiTheme="minorHAnsi"/>
          <w:color w:val="000000"/>
          <w:sz w:val="22"/>
          <w:szCs w:val="22"/>
        </w:rPr>
      </w:pPr>
      <w:r w:rsidRPr="00FD6D7F">
        <w:rPr>
          <w:rFonts w:asciiTheme="minorHAnsi" w:hAnsiTheme="minorHAnsi"/>
          <w:color w:val="000000"/>
          <w:sz w:val="22"/>
          <w:szCs w:val="22"/>
        </w:rPr>
        <w:t>Inclusion is vital to ensure that all children regardless of their backgrounds or abilities have equal opportunities to thrive academically and socially. The Additional Learning Needs (ALN) Reform in Wales along with the UNCRC promotes an inclusive educational system that supports all learners. There are many types of inclusive practise help develop independence, improve emotional regulation, and encourage participation. However limitations such as over reliance, inconsistent application, and challenges in meeting all children’s need require careful consideration such as clear communication and better resource availability.  In PTE3 and further I will focus on ensuring my classroom is accessible and inclusive for all children. I will complete regular reviews and adapt my practise wherever possible to ensure I am fully supporting the children in their learning. The Professional Standards for Teaching and Leadership (Welsh Government 2017) highlighted the importance of reflection and continuous development to improve the practise and meet the diverse needs of learners.</w:t>
      </w:r>
    </w:p>
    <w:p w14:paraId="521E0181" w14:textId="112D0313" w:rsidR="00F15368" w:rsidRDefault="00F15368" w:rsidP="00F15368">
      <w:pPr>
        <w:rPr>
          <w:color w:val="000000" w:themeColor="text1"/>
          <w:sz w:val="22"/>
          <w:szCs w:val="22"/>
        </w:rPr>
      </w:pPr>
    </w:p>
    <w:p w14:paraId="6D1D5708" w14:textId="77777777" w:rsidR="00F15368" w:rsidRDefault="00F15368" w:rsidP="00F15368">
      <w:pPr>
        <w:rPr>
          <w:color w:val="000000" w:themeColor="text1"/>
          <w:sz w:val="22"/>
          <w:szCs w:val="22"/>
        </w:rPr>
      </w:pPr>
    </w:p>
    <w:p w14:paraId="0FB5FD8C" w14:textId="3451CC16" w:rsidR="00F15368" w:rsidRDefault="00F15368" w:rsidP="00F15368">
      <w:pPr>
        <w:rPr>
          <w:color w:val="000000" w:themeColor="text1"/>
          <w:sz w:val="22"/>
          <w:szCs w:val="22"/>
        </w:rPr>
      </w:pPr>
      <w:r>
        <w:rPr>
          <w:color w:val="000000" w:themeColor="text1"/>
          <w:sz w:val="22"/>
          <w:szCs w:val="22"/>
        </w:rPr>
        <w:t xml:space="preserve">Reference List </w:t>
      </w:r>
    </w:p>
    <w:p w14:paraId="7F12F46E" w14:textId="77777777" w:rsidR="00F15368" w:rsidRDefault="00F15368" w:rsidP="00F15368">
      <w:pPr>
        <w:rPr>
          <w:color w:val="000000" w:themeColor="text1"/>
          <w:sz w:val="22"/>
          <w:szCs w:val="22"/>
        </w:rPr>
      </w:pPr>
    </w:p>
    <w:p w14:paraId="5BB59063"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Ainscow, M., Dyson, A. and Weiner, S. (2013). </w:t>
      </w:r>
      <w:r w:rsidRPr="00F15368">
        <w:rPr>
          <w:rFonts w:ascii="Times New Roman" w:eastAsia="Times New Roman" w:hAnsi="Times New Roman" w:cs="Times New Roman"/>
          <w:i/>
          <w:iCs/>
          <w:color w:val="000000"/>
          <w:kern w:val="0"/>
          <w:lang w:eastAsia="en-GB"/>
          <w14:ligatures w14:val="none"/>
        </w:rPr>
        <w:t>From exclusion to inclusion: A review of the literature</w:t>
      </w:r>
      <w:r w:rsidRPr="00F15368">
        <w:rPr>
          <w:rFonts w:ascii="Times New Roman" w:eastAsia="Times New Roman" w:hAnsi="Times New Roman" w:cs="Times New Roman"/>
          <w:color w:val="000000"/>
          <w:kern w:val="0"/>
          <w:lang w:eastAsia="en-GB"/>
          <w14:ligatures w14:val="none"/>
        </w:rPr>
        <w:t>. </w:t>
      </w:r>
      <w:r w:rsidRPr="00F15368">
        <w:rPr>
          <w:rFonts w:ascii="Times New Roman" w:eastAsia="Times New Roman" w:hAnsi="Times New Roman" w:cs="Times New Roman"/>
          <w:i/>
          <w:iCs/>
          <w:color w:val="000000"/>
          <w:kern w:val="0"/>
          <w:lang w:eastAsia="en-GB"/>
          <w14:ligatures w14:val="none"/>
        </w:rPr>
        <w:t>International Journal of Inclusive Education</w:t>
      </w:r>
      <w:r w:rsidRPr="00F15368">
        <w:rPr>
          <w:rFonts w:ascii="Times New Roman" w:eastAsia="Times New Roman" w:hAnsi="Times New Roman" w:cs="Times New Roman"/>
          <w:color w:val="000000"/>
          <w:kern w:val="0"/>
          <w:lang w:eastAsia="en-GB"/>
          <w14:ligatures w14:val="none"/>
        </w:rPr>
        <w:t>, 17(2), pp.118–137.</w:t>
      </w:r>
    </w:p>
    <w:p w14:paraId="5F710D97"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Ayres, A.J. (1972). </w:t>
      </w:r>
      <w:r w:rsidRPr="00F15368">
        <w:rPr>
          <w:rFonts w:ascii="Times New Roman" w:eastAsia="Times New Roman" w:hAnsi="Times New Roman" w:cs="Times New Roman"/>
          <w:i/>
          <w:iCs/>
          <w:color w:val="000000"/>
          <w:kern w:val="0"/>
          <w:lang w:eastAsia="en-GB"/>
          <w14:ligatures w14:val="none"/>
        </w:rPr>
        <w:t>Sensory integration and learning disorders</w:t>
      </w:r>
      <w:r w:rsidRPr="00F15368">
        <w:rPr>
          <w:rFonts w:ascii="Times New Roman" w:eastAsia="Times New Roman" w:hAnsi="Times New Roman" w:cs="Times New Roman"/>
          <w:color w:val="000000"/>
          <w:kern w:val="0"/>
          <w:lang w:eastAsia="en-GB"/>
          <w14:ligatures w14:val="none"/>
        </w:rPr>
        <w:t>. Los Angeles: Western Psychological Services.</w:t>
      </w:r>
    </w:p>
    <w:p w14:paraId="0F233BB7"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Bandura, A. (1977). </w:t>
      </w:r>
      <w:r w:rsidRPr="00F15368">
        <w:rPr>
          <w:rFonts w:ascii="Times New Roman" w:eastAsia="Times New Roman" w:hAnsi="Times New Roman" w:cs="Times New Roman"/>
          <w:i/>
          <w:iCs/>
          <w:color w:val="000000"/>
          <w:kern w:val="0"/>
          <w:lang w:eastAsia="en-GB"/>
          <w14:ligatures w14:val="none"/>
        </w:rPr>
        <w:t>Social learning theory</w:t>
      </w:r>
      <w:r w:rsidRPr="00F15368">
        <w:rPr>
          <w:rFonts w:ascii="Times New Roman" w:eastAsia="Times New Roman" w:hAnsi="Times New Roman" w:cs="Times New Roman"/>
          <w:color w:val="000000"/>
          <w:kern w:val="0"/>
          <w:lang w:eastAsia="en-GB"/>
          <w14:ligatures w14:val="none"/>
        </w:rPr>
        <w:t>. Englewood Cliffs, NJ: Prentice Hall.</w:t>
      </w:r>
    </w:p>
    <w:p w14:paraId="55B6977F"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BERA. (2024). </w:t>
      </w:r>
      <w:r w:rsidRPr="00F15368">
        <w:rPr>
          <w:rFonts w:ascii="Times New Roman" w:eastAsia="Times New Roman" w:hAnsi="Times New Roman" w:cs="Times New Roman"/>
          <w:i/>
          <w:iCs/>
          <w:color w:val="000000"/>
          <w:kern w:val="0"/>
          <w:lang w:eastAsia="en-GB"/>
          <w14:ligatures w14:val="none"/>
        </w:rPr>
        <w:t>Research ethics guidelines</w:t>
      </w:r>
      <w:r w:rsidRPr="00F15368">
        <w:rPr>
          <w:rFonts w:ascii="Times New Roman" w:eastAsia="Times New Roman" w:hAnsi="Times New Roman" w:cs="Times New Roman"/>
          <w:color w:val="000000"/>
          <w:kern w:val="0"/>
          <w:lang w:eastAsia="en-GB"/>
          <w14:ligatures w14:val="none"/>
        </w:rPr>
        <w:t>. London: British Educational Research Association.</w:t>
      </w:r>
    </w:p>
    <w:p w14:paraId="58DECFEE"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 xml:space="preserve">Berninger, V.W. and </w:t>
      </w:r>
      <w:proofErr w:type="spellStart"/>
      <w:r w:rsidRPr="00F15368">
        <w:rPr>
          <w:rFonts w:ascii="Times New Roman" w:eastAsia="Times New Roman" w:hAnsi="Times New Roman" w:cs="Times New Roman"/>
          <w:color w:val="000000"/>
          <w:kern w:val="0"/>
          <w:lang w:eastAsia="en-GB"/>
          <w14:ligatures w14:val="none"/>
        </w:rPr>
        <w:t>Amtmann</w:t>
      </w:r>
      <w:proofErr w:type="spellEnd"/>
      <w:r w:rsidRPr="00F15368">
        <w:rPr>
          <w:rFonts w:ascii="Times New Roman" w:eastAsia="Times New Roman" w:hAnsi="Times New Roman" w:cs="Times New Roman"/>
          <w:color w:val="000000"/>
          <w:kern w:val="0"/>
          <w:lang w:eastAsia="en-GB"/>
          <w14:ligatures w14:val="none"/>
        </w:rPr>
        <w:t>, D. (2003). Supporting handwriting in children with learning disabilities: Assessment and intervention strategies. </w:t>
      </w:r>
      <w:r w:rsidRPr="00F15368">
        <w:rPr>
          <w:rFonts w:ascii="Times New Roman" w:eastAsia="Times New Roman" w:hAnsi="Times New Roman" w:cs="Times New Roman"/>
          <w:i/>
          <w:iCs/>
          <w:color w:val="000000"/>
          <w:kern w:val="0"/>
          <w:lang w:eastAsia="en-GB"/>
          <w14:ligatures w14:val="none"/>
        </w:rPr>
        <w:t>Journal of Learning Disabilities</w:t>
      </w:r>
      <w:r w:rsidRPr="00F15368">
        <w:rPr>
          <w:rFonts w:ascii="Times New Roman" w:eastAsia="Times New Roman" w:hAnsi="Times New Roman" w:cs="Times New Roman"/>
          <w:color w:val="000000"/>
          <w:kern w:val="0"/>
          <w:lang w:eastAsia="en-GB"/>
          <w14:ligatures w14:val="none"/>
        </w:rPr>
        <w:t>, 36(6), pp.474–482.</w:t>
      </w:r>
    </w:p>
    <w:p w14:paraId="76DBD3C5"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Department for Education. (2015). </w:t>
      </w:r>
      <w:r w:rsidRPr="00F15368">
        <w:rPr>
          <w:rFonts w:ascii="Times New Roman" w:eastAsia="Times New Roman" w:hAnsi="Times New Roman" w:cs="Times New Roman"/>
          <w:i/>
          <w:iCs/>
          <w:color w:val="000000"/>
          <w:kern w:val="0"/>
          <w:lang w:eastAsia="en-GB"/>
          <w14:ligatures w14:val="none"/>
        </w:rPr>
        <w:t>Special educational needs and disability code of practice: 0 to 25 years</w:t>
      </w:r>
      <w:r w:rsidRPr="00F15368">
        <w:rPr>
          <w:rFonts w:ascii="Times New Roman" w:eastAsia="Times New Roman" w:hAnsi="Times New Roman" w:cs="Times New Roman"/>
          <w:color w:val="000000"/>
          <w:kern w:val="0"/>
          <w:lang w:eastAsia="en-GB"/>
          <w14:ligatures w14:val="none"/>
        </w:rPr>
        <w:t>. [online] Available at: </w:t>
      </w:r>
      <w:hyperlink r:id="rId8" w:tgtFrame="_new" w:history="1">
        <w:r w:rsidRPr="00F15368">
          <w:rPr>
            <w:rFonts w:ascii="Times New Roman" w:eastAsia="Times New Roman" w:hAnsi="Times New Roman" w:cs="Times New Roman"/>
            <w:color w:val="0000FF"/>
            <w:kern w:val="0"/>
            <w:u w:val="single"/>
            <w:lang w:eastAsia="en-GB"/>
            <w14:ligatures w14:val="none"/>
          </w:rPr>
          <w:t>https://www.gov.uk/government/publications/send-code-of-practice-0-to-25</w:t>
        </w:r>
      </w:hyperlink>
      <w:r w:rsidRPr="00F15368">
        <w:rPr>
          <w:rFonts w:ascii="Times New Roman" w:eastAsia="Times New Roman" w:hAnsi="Times New Roman" w:cs="Times New Roman"/>
          <w:color w:val="000000"/>
          <w:kern w:val="0"/>
          <w:lang w:eastAsia="en-GB"/>
          <w14:ligatures w14:val="none"/>
        </w:rPr>
        <w:t> [Accessed 20 Jan. 2025].</w:t>
      </w:r>
    </w:p>
    <w:p w14:paraId="6A582580"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Dettmer, P., Thurston, L. and Dyck, N. (2000). </w:t>
      </w:r>
      <w:r w:rsidRPr="00F15368">
        <w:rPr>
          <w:rFonts w:ascii="Times New Roman" w:eastAsia="Times New Roman" w:hAnsi="Times New Roman" w:cs="Times New Roman"/>
          <w:i/>
          <w:iCs/>
          <w:color w:val="000000"/>
          <w:kern w:val="0"/>
          <w:lang w:eastAsia="en-GB"/>
          <w14:ligatures w14:val="none"/>
        </w:rPr>
        <w:t>Teaching communication skills to students with severe disabilities</w:t>
      </w:r>
      <w:r w:rsidRPr="00F15368">
        <w:rPr>
          <w:rFonts w:ascii="Times New Roman" w:eastAsia="Times New Roman" w:hAnsi="Times New Roman" w:cs="Times New Roman"/>
          <w:color w:val="000000"/>
          <w:kern w:val="0"/>
          <w:lang w:eastAsia="en-GB"/>
          <w14:ligatures w14:val="none"/>
        </w:rPr>
        <w:t xml:space="preserve">. </w:t>
      </w:r>
      <w:proofErr w:type="spellStart"/>
      <w:r w:rsidRPr="00F15368">
        <w:rPr>
          <w:rFonts w:ascii="Times New Roman" w:eastAsia="Times New Roman" w:hAnsi="Times New Roman" w:cs="Times New Roman"/>
          <w:color w:val="000000"/>
          <w:kern w:val="0"/>
          <w:lang w:eastAsia="en-GB"/>
          <w14:ligatures w14:val="none"/>
        </w:rPr>
        <w:t>Allyn</w:t>
      </w:r>
      <w:proofErr w:type="spellEnd"/>
      <w:r w:rsidRPr="00F15368">
        <w:rPr>
          <w:rFonts w:ascii="Times New Roman" w:eastAsia="Times New Roman" w:hAnsi="Times New Roman" w:cs="Times New Roman"/>
          <w:color w:val="000000"/>
          <w:kern w:val="0"/>
          <w:lang w:eastAsia="en-GB"/>
          <w14:ligatures w14:val="none"/>
        </w:rPr>
        <w:t xml:space="preserve"> &amp; Bacon.</w:t>
      </w:r>
    </w:p>
    <w:p w14:paraId="52A37FC8"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Florian, L. (2014). What counts as evidence in inclusive education? </w:t>
      </w:r>
      <w:r w:rsidRPr="00F15368">
        <w:rPr>
          <w:rFonts w:ascii="Times New Roman" w:eastAsia="Times New Roman" w:hAnsi="Times New Roman" w:cs="Times New Roman"/>
          <w:i/>
          <w:iCs/>
          <w:color w:val="000000"/>
          <w:kern w:val="0"/>
          <w:lang w:eastAsia="en-GB"/>
          <w14:ligatures w14:val="none"/>
        </w:rPr>
        <w:t>European Journal of Special Needs Education</w:t>
      </w:r>
      <w:r w:rsidRPr="00F15368">
        <w:rPr>
          <w:rFonts w:ascii="Times New Roman" w:eastAsia="Times New Roman" w:hAnsi="Times New Roman" w:cs="Times New Roman"/>
          <w:color w:val="000000"/>
          <w:kern w:val="0"/>
          <w:lang w:eastAsia="en-GB"/>
          <w14:ligatures w14:val="none"/>
        </w:rPr>
        <w:t>, 29(3), pp.368–378.</w:t>
      </w:r>
    </w:p>
    <w:p w14:paraId="656A0527"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roofErr w:type="spellStart"/>
      <w:r w:rsidRPr="00F15368">
        <w:rPr>
          <w:rFonts w:ascii="Times New Roman" w:eastAsia="Times New Roman" w:hAnsi="Times New Roman" w:cs="Times New Roman"/>
          <w:color w:val="000000"/>
          <w:kern w:val="0"/>
          <w:lang w:eastAsia="en-GB"/>
          <w14:ligatures w14:val="none"/>
        </w:rPr>
        <w:lastRenderedPageBreak/>
        <w:t>Hodgdon</w:t>
      </w:r>
      <w:proofErr w:type="spellEnd"/>
      <w:r w:rsidRPr="00F15368">
        <w:rPr>
          <w:rFonts w:ascii="Times New Roman" w:eastAsia="Times New Roman" w:hAnsi="Times New Roman" w:cs="Times New Roman"/>
          <w:color w:val="000000"/>
          <w:kern w:val="0"/>
          <w:lang w:eastAsia="en-GB"/>
          <w14:ligatures w14:val="none"/>
        </w:rPr>
        <w:t>, L. (1995). </w:t>
      </w:r>
      <w:r w:rsidRPr="00F15368">
        <w:rPr>
          <w:rFonts w:ascii="Times New Roman" w:eastAsia="Times New Roman" w:hAnsi="Times New Roman" w:cs="Times New Roman"/>
          <w:i/>
          <w:iCs/>
          <w:color w:val="000000"/>
          <w:kern w:val="0"/>
          <w:lang w:eastAsia="en-GB"/>
          <w14:ligatures w14:val="none"/>
        </w:rPr>
        <w:t>Visual strategies for improving communication: Practical supports for school and home</w:t>
      </w:r>
      <w:r w:rsidRPr="00F15368">
        <w:rPr>
          <w:rFonts w:ascii="Times New Roman" w:eastAsia="Times New Roman" w:hAnsi="Times New Roman" w:cs="Times New Roman"/>
          <w:color w:val="000000"/>
          <w:kern w:val="0"/>
          <w:lang w:eastAsia="en-GB"/>
          <w14:ligatures w14:val="none"/>
        </w:rPr>
        <w:t>. Quirk Roberts Publishing.</w:t>
      </w:r>
    </w:p>
    <w:p w14:paraId="2F549FC8"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Humphrey, N. and Lewis, S. (2008). ‘Make me normal’: The views and experiences of pupils on the autistic spectrum in mainstream secondary schools. </w:t>
      </w:r>
      <w:r w:rsidRPr="00F15368">
        <w:rPr>
          <w:rFonts w:ascii="Times New Roman" w:eastAsia="Times New Roman" w:hAnsi="Times New Roman" w:cs="Times New Roman"/>
          <w:i/>
          <w:iCs/>
          <w:color w:val="000000"/>
          <w:kern w:val="0"/>
          <w:lang w:eastAsia="en-GB"/>
          <w14:ligatures w14:val="none"/>
        </w:rPr>
        <w:t>Autism</w:t>
      </w:r>
      <w:r w:rsidRPr="00F15368">
        <w:rPr>
          <w:rFonts w:ascii="Times New Roman" w:eastAsia="Times New Roman" w:hAnsi="Times New Roman" w:cs="Times New Roman"/>
          <w:color w:val="000000"/>
          <w:kern w:val="0"/>
          <w:lang w:eastAsia="en-GB"/>
          <w14:ligatures w14:val="none"/>
        </w:rPr>
        <w:t>, 12(1), pp.23–46.</w:t>
      </w:r>
    </w:p>
    <w:p w14:paraId="5C8283BC"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Kern, L. and Hilt-</w:t>
      </w:r>
      <w:proofErr w:type="spellStart"/>
      <w:r w:rsidRPr="00F15368">
        <w:rPr>
          <w:rFonts w:ascii="Times New Roman" w:eastAsia="Times New Roman" w:hAnsi="Times New Roman" w:cs="Times New Roman"/>
          <w:color w:val="000000"/>
          <w:kern w:val="0"/>
          <w:lang w:eastAsia="en-GB"/>
          <w14:ligatures w14:val="none"/>
        </w:rPr>
        <w:t>Panahon</w:t>
      </w:r>
      <w:proofErr w:type="spellEnd"/>
      <w:r w:rsidRPr="00F15368">
        <w:rPr>
          <w:rFonts w:ascii="Times New Roman" w:eastAsia="Times New Roman" w:hAnsi="Times New Roman" w:cs="Times New Roman"/>
          <w:color w:val="000000"/>
          <w:kern w:val="0"/>
          <w:lang w:eastAsia="en-GB"/>
          <w14:ligatures w14:val="none"/>
        </w:rPr>
        <w:t>, A. (2012). The effects of visual schedules on students with autism: A review of the literature. </w:t>
      </w:r>
      <w:r w:rsidRPr="00F15368">
        <w:rPr>
          <w:rFonts w:ascii="Times New Roman" w:eastAsia="Times New Roman" w:hAnsi="Times New Roman" w:cs="Times New Roman"/>
          <w:i/>
          <w:iCs/>
          <w:color w:val="000000"/>
          <w:kern w:val="0"/>
          <w:lang w:eastAsia="en-GB"/>
          <w14:ligatures w14:val="none"/>
        </w:rPr>
        <w:t>Focus on Autism and Other Developmental Disabilities</w:t>
      </w:r>
      <w:r w:rsidRPr="00F15368">
        <w:rPr>
          <w:rFonts w:ascii="Times New Roman" w:eastAsia="Times New Roman" w:hAnsi="Times New Roman" w:cs="Times New Roman"/>
          <w:color w:val="000000"/>
          <w:kern w:val="0"/>
          <w:lang w:eastAsia="en-GB"/>
          <w14:ligatures w14:val="none"/>
        </w:rPr>
        <w:t>, 27(4), pp.242–251.</w:t>
      </w:r>
    </w:p>
    <w:p w14:paraId="1604B976"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Piaget, J. (1962). </w:t>
      </w:r>
      <w:r w:rsidRPr="00F15368">
        <w:rPr>
          <w:rFonts w:ascii="Times New Roman" w:eastAsia="Times New Roman" w:hAnsi="Times New Roman" w:cs="Times New Roman"/>
          <w:i/>
          <w:iCs/>
          <w:color w:val="000000"/>
          <w:kern w:val="0"/>
          <w:lang w:eastAsia="en-GB"/>
          <w14:ligatures w14:val="none"/>
        </w:rPr>
        <w:t>Play, dreams and imitation in childhood</w:t>
      </w:r>
      <w:r w:rsidRPr="00F15368">
        <w:rPr>
          <w:rFonts w:ascii="Times New Roman" w:eastAsia="Times New Roman" w:hAnsi="Times New Roman" w:cs="Times New Roman"/>
          <w:color w:val="000000"/>
          <w:kern w:val="0"/>
          <w:lang w:eastAsia="en-GB"/>
          <w14:ligatures w14:val="none"/>
        </w:rPr>
        <w:t>. New York: Norton.</w:t>
      </w:r>
    </w:p>
    <w:p w14:paraId="4E4BA880"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UK Government. (2010). </w:t>
      </w:r>
      <w:r w:rsidRPr="00F15368">
        <w:rPr>
          <w:rFonts w:ascii="Times New Roman" w:eastAsia="Times New Roman" w:hAnsi="Times New Roman" w:cs="Times New Roman"/>
          <w:i/>
          <w:iCs/>
          <w:color w:val="000000"/>
          <w:kern w:val="0"/>
          <w:lang w:eastAsia="en-GB"/>
          <w14:ligatures w14:val="none"/>
        </w:rPr>
        <w:t>Equality Act 2010</w:t>
      </w:r>
      <w:r w:rsidRPr="00F15368">
        <w:rPr>
          <w:rFonts w:ascii="Times New Roman" w:eastAsia="Times New Roman" w:hAnsi="Times New Roman" w:cs="Times New Roman"/>
          <w:color w:val="000000"/>
          <w:kern w:val="0"/>
          <w:lang w:eastAsia="en-GB"/>
          <w14:ligatures w14:val="none"/>
        </w:rPr>
        <w:t>. [online] Available at: </w:t>
      </w:r>
      <w:hyperlink r:id="rId9" w:tgtFrame="_new" w:history="1">
        <w:r w:rsidRPr="00F15368">
          <w:rPr>
            <w:rFonts w:ascii="Times New Roman" w:eastAsia="Times New Roman" w:hAnsi="Times New Roman" w:cs="Times New Roman"/>
            <w:color w:val="0000FF"/>
            <w:kern w:val="0"/>
            <w:u w:val="single"/>
            <w:lang w:eastAsia="en-GB"/>
            <w14:ligatures w14:val="none"/>
          </w:rPr>
          <w:t>https://www.legislation.gov.uk/ukpga/2010/15/contents/enacted</w:t>
        </w:r>
      </w:hyperlink>
      <w:r w:rsidRPr="00F15368">
        <w:rPr>
          <w:rFonts w:ascii="Times New Roman" w:eastAsia="Times New Roman" w:hAnsi="Times New Roman" w:cs="Times New Roman"/>
          <w:color w:val="000000"/>
          <w:kern w:val="0"/>
          <w:lang w:eastAsia="en-GB"/>
          <w14:ligatures w14:val="none"/>
        </w:rPr>
        <w:t> [Accessed 20 Jan. 2025].</w:t>
      </w:r>
    </w:p>
    <w:p w14:paraId="478C1F06"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United Nations. (1989). </w:t>
      </w:r>
      <w:r w:rsidRPr="00F15368">
        <w:rPr>
          <w:rFonts w:ascii="Times New Roman" w:eastAsia="Times New Roman" w:hAnsi="Times New Roman" w:cs="Times New Roman"/>
          <w:i/>
          <w:iCs/>
          <w:color w:val="000000"/>
          <w:kern w:val="0"/>
          <w:lang w:eastAsia="en-GB"/>
          <w14:ligatures w14:val="none"/>
        </w:rPr>
        <w:t>Convention on the Rights of the Child</w:t>
      </w:r>
      <w:r w:rsidRPr="00F15368">
        <w:rPr>
          <w:rFonts w:ascii="Times New Roman" w:eastAsia="Times New Roman" w:hAnsi="Times New Roman" w:cs="Times New Roman"/>
          <w:color w:val="000000"/>
          <w:kern w:val="0"/>
          <w:lang w:eastAsia="en-GB"/>
          <w14:ligatures w14:val="none"/>
        </w:rPr>
        <w:t>. United Nations, Treaty Series, Vol. 1577, p.3. [online] Available at: </w:t>
      </w:r>
      <w:hyperlink r:id="rId10" w:tgtFrame="_new" w:history="1">
        <w:r w:rsidRPr="00F15368">
          <w:rPr>
            <w:rFonts w:ascii="Times New Roman" w:eastAsia="Times New Roman" w:hAnsi="Times New Roman" w:cs="Times New Roman"/>
            <w:color w:val="0000FF"/>
            <w:kern w:val="0"/>
            <w:u w:val="single"/>
            <w:lang w:eastAsia="en-GB"/>
            <w14:ligatures w14:val="none"/>
          </w:rPr>
          <w:t>https://www.ohchr.org/en/professionalinterest/pages/crc.aspx</w:t>
        </w:r>
      </w:hyperlink>
      <w:r w:rsidRPr="00F15368">
        <w:rPr>
          <w:rFonts w:ascii="Times New Roman" w:eastAsia="Times New Roman" w:hAnsi="Times New Roman" w:cs="Times New Roman"/>
          <w:color w:val="000000"/>
          <w:kern w:val="0"/>
          <w:lang w:eastAsia="en-GB"/>
          <w14:ligatures w14:val="none"/>
        </w:rPr>
        <w:t> [Accessed 20 Jan. 2025].</w:t>
      </w:r>
    </w:p>
    <w:p w14:paraId="658F11ED"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Vygotsky, L.S. (1978). </w:t>
      </w:r>
      <w:r w:rsidRPr="00F15368">
        <w:rPr>
          <w:rFonts w:ascii="Times New Roman" w:eastAsia="Times New Roman" w:hAnsi="Times New Roman" w:cs="Times New Roman"/>
          <w:i/>
          <w:iCs/>
          <w:color w:val="000000"/>
          <w:kern w:val="0"/>
          <w:lang w:eastAsia="en-GB"/>
          <w14:ligatures w14:val="none"/>
        </w:rPr>
        <w:t>Mind in society: The development of higher psychological processes</w:t>
      </w:r>
      <w:r w:rsidRPr="00F15368">
        <w:rPr>
          <w:rFonts w:ascii="Times New Roman" w:eastAsia="Times New Roman" w:hAnsi="Times New Roman" w:cs="Times New Roman"/>
          <w:color w:val="000000"/>
          <w:kern w:val="0"/>
          <w:lang w:eastAsia="en-GB"/>
          <w14:ligatures w14:val="none"/>
        </w:rPr>
        <w:t>. Cambridge, MA: Harvard University Press.</w:t>
      </w:r>
    </w:p>
    <w:p w14:paraId="3CAFAEC1"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Welsh Government. (2017). </w:t>
      </w:r>
      <w:r w:rsidRPr="00F15368">
        <w:rPr>
          <w:rFonts w:ascii="Times New Roman" w:eastAsia="Times New Roman" w:hAnsi="Times New Roman" w:cs="Times New Roman"/>
          <w:i/>
          <w:iCs/>
          <w:color w:val="000000"/>
          <w:kern w:val="0"/>
          <w:lang w:eastAsia="en-GB"/>
          <w14:ligatures w14:val="none"/>
        </w:rPr>
        <w:t>Professional standards for teaching and leadership</w:t>
      </w:r>
      <w:r w:rsidRPr="00F15368">
        <w:rPr>
          <w:rFonts w:ascii="Times New Roman" w:eastAsia="Times New Roman" w:hAnsi="Times New Roman" w:cs="Times New Roman"/>
          <w:color w:val="000000"/>
          <w:kern w:val="0"/>
          <w:lang w:eastAsia="en-GB"/>
          <w14:ligatures w14:val="none"/>
        </w:rPr>
        <w:t>. Cardiff: Welsh Government. [online] Available at: </w:t>
      </w:r>
      <w:hyperlink r:id="rId11" w:tgtFrame="_new" w:history="1">
        <w:r w:rsidRPr="00F15368">
          <w:rPr>
            <w:rFonts w:ascii="Times New Roman" w:eastAsia="Times New Roman" w:hAnsi="Times New Roman" w:cs="Times New Roman"/>
            <w:color w:val="0000FF"/>
            <w:kern w:val="0"/>
            <w:u w:val="single"/>
            <w:lang w:eastAsia="en-GB"/>
            <w14:ligatures w14:val="none"/>
          </w:rPr>
          <w:t>https://hwb.gov.wales/professional-learning/identifying-professional-learning-needs/professional-standards</w:t>
        </w:r>
      </w:hyperlink>
      <w:r w:rsidRPr="00F15368">
        <w:rPr>
          <w:rFonts w:ascii="Times New Roman" w:eastAsia="Times New Roman" w:hAnsi="Times New Roman" w:cs="Times New Roman"/>
          <w:color w:val="000000"/>
          <w:kern w:val="0"/>
          <w:lang w:eastAsia="en-GB"/>
          <w14:ligatures w14:val="none"/>
        </w:rPr>
        <w:t>[Accessed 1 May 2025].</w:t>
      </w:r>
    </w:p>
    <w:p w14:paraId="3ACFED0B"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Welsh Government. (2018). </w:t>
      </w:r>
      <w:r w:rsidRPr="00F15368">
        <w:rPr>
          <w:rFonts w:ascii="Times New Roman" w:eastAsia="Times New Roman" w:hAnsi="Times New Roman" w:cs="Times New Roman"/>
          <w:i/>
          <w:iCs/>
          <w:color w:val="000000"/>
          <w:kern w:val="0"/>
          <w:lang w:eastAsia="en-GB"/>
          <w14:ligatures w14:val="none"/>
        </w:rPr>
        <w:t>Additional Learning Needs and Education Tribunal (Wales) Act 2018: Explanatory Memorandum</w:t>
      </w:r>
      <w:r w:rsidRPr="00F15368">
        <w:rPr>
          <w:rFonts w:ascii="Times New Roman" w:eastAsia="Times New Roman" w:hAnsi="Times New Roman" w:cs="Times New Roman"/>
          <w:color w:val="000000"/>
          <w:kern w:val="0"/>
          <w:lang w:eastAsia="en-GB"/>
          <w14:ligatures w14:val="none"/>
        </w:rPr>
        <w:t>. [online] Available at: </w:t>
      </w:r>
      <w:hyperlink r:id="rId12" w:tgtFrame="_new" w:history="1">
        <w:r w:rsidRPr="00F15368">
          <w:rPr>
            <w:rFonts w:ascii="Times New Roman" w:eastAsia="Times New Roman" w:hAnsi="Times New Roman" w:cs="Times New Roman"/>
            <w:color w:val="0000FF"/>
            <w:kern w:val="0"/>
            <w:u w:val="single"/>
            <w:lang w:eastAsia="en-GB"/>
            <w14:ligatures w14:val="none"/>
          </w:rPr>
          <w:t>https://www.gov.wales/additional-learning-needs-and-education-tribunal-wales-act-explanatory-memorandum</w:t>
        </w:r>
      </w:hyperlink>
      <w:r w:rsidRPr="00F15368">
        <w:rPr>
          <w:rFonts w:ascii="Times New Roman" w:eastAsia="Times New Roman" w:hAnsi="Times New Roman" w:cs="Times New Roman"/>
          <w:color w:val="000000"/>
          <w:kern w:val="0"/>
          <w:lang w:eastAsia="en-GB"/>
          <w14:ligatures w14:val="none"/>
        </w:rPr>
        <w:t> [Accessed 18 May 2025].</w:t>
      </w:r>
    </w:p>
    <w:p w14:paraId="55C58B0C" w14:textId="77777777" w:rsidR="00F15368" w:rsidRPr="00F15368" w:rsidRDefault="00F15368" w:rsidP="00F1536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15368">
        <w:rPr>
          <w:rFonts w:ascii="Times New Roman" w:eastAsia="Times New Roman" w:hAnsi="Times New Roman" w:cs="Times New Roman"/>
          <w:color w:val="000000"/>
          <w:kern w:val="0"/>
          <w:lang w:eastAsia="en-GB"/>
          <w14:ligatures w14:val="none"/>
        </w:rPr>
        <w:t>Welsh Government. (2020). </w:t>
      </w:r>
      <w:r w:rsidRPr="00F15368">
        <w:rPr>
          <w:rFonts w:ascii="Times New Roman" w:eastAsia="Times New Roman" w:hAnsi="Times New Roman" w:cs="Times New Roman"/>
          <w:i/>
          <w:iCs/>
          <w:color w:val="000000"/>
          <w:kern w:val="0"/>
          <w:lang w:eastAsia="en-GB"/>
          <w14:ligatures w14:val="none"/>
        </w:rPr>
        <w:t>Curriculum for Wales</w:t>
      </w:r>
      <w:r w:rsidRPr="00F15368">
        <w:rPr>
          <w:rFonts w:ascii="Times New Roman" w:eastAsia="Times New Roman" w:hAnsi="Times New Roman" w:cs="Times New Roman"/>
          <w:color w:val="000000"/>
          <w:kern w:val="0"/>
          <w:lang w:eastAsia="en-GB"/>
          <w14:ligatures w14:val="none"/>
        </w:rPr>
        <w:t>. [online] Hwb. Available at: </w:t>
      </w:r>
      <w:hyperlink r:id="rId13" w:tgtFrame="_new" w:history="1">
        <w:r w:rsidRPr="00F15368">
          <w:rPr>
            <w:rFonts w:ascii="Times New Roman" w:eastAsia="Times New Roman" w:hAnsi="Times New Roman" w:cs="Times New Roman"/>
            <w:color w:val="0000FF"/>
            <w:kern w:val="0"/>
            <w:u w:val="single"/>
            <w:lang w:eastAsia="en-GB"/>
            <w14:ligatures w14:val="none"/>
          </w:rPr>
          <w:t>https://hwb.gov.wales/curriculum-for-wales</w:t>
        </w:r>
      </w:hyperlink>
      <w:r w:rsidRPr="00F15368">
        <w:rPr>
          <w:rFonts w:ascii="Times New Roman" w:eastAsia="Times New Roman" w:hAnsi="Times New Roman" w:cs="Times New Roman"/>
          <w:color w:val="000000"/>
          <w:kern w:val="0"/>
          <w:lang w:eastAsia="en-GB"/>
          <w14:ligatures w14:val="none"/>
        </w:rPr>
        <w:t> [Accessed 18 May 2025].</w:t>
      </w:r>
    </w:p>
    <w:p w14:paraId="24A70379" w14:textId="77777777" w:rsidR="00F15368" w:rsidRDefault="00F15368" w:rsidP="00F15368">
      <w:pPr>
        <w:rPr>
          <w:color w:val="000000" w:themeColor="text1"/>
          <w:sz w:val="22"/>
          <w:szCs w:val="22"/>
        </w:rPr>
      </w:pPr>
    </w:p>
    <w:p w14:paraId="1A549CF2" w14:textId="1B4163AE" w:rsidR="00F15368" w:rsidRPr="00FD6D7F" w:rsidRDefault="00F15368" w:rsidP="00F15368">
      <w:pPr>
        <w:rPr>
          <w:color w:val="000000" w:themeColor="text1"/>
          <w:sz w:val="22"/>
          <w:szCs w:val="22"/>
        </w:rPr>
      </w:pPr>
    </w:p>
    <w:p w14:paraId="37B72277" w14:textId="475F042B" w:rsidR="00F15368" w:rsidRDefault="00F15368" w:rsidP="00D163BC">
      <w:pPr>
        <w:rPr>
          <w:sz w:val="52"/>
          <w:szCs w:val="52"/>
        </w:rPr>
      </w:pPr>
    </w:p>
    <w:p w14:paraId="518086D3" w14:textId="22495357" w:rsidR="00F15368" w:rsidRDefault="00F15368" w:rsidP="00D163BC">
      <w:pPr>
        <w:rPr>
          <w:sz w:val="52"/>
          <w:szCs w:val="52"/>
        </w:rPr>
      </w:pPr>
    </w:p>
    <w:p w14:paraId="724FBA84" w14:textId="3B1175D0" w:rsidR="00F15368" w:rsidRDefault="00F15368" w:rsidP="00D163BC">
      <w:pPr>
        <w:rPr>
          <w:sz w:val="52"/>
          <w:szCs w:val="52"/>
        </w:rPr>
      </w:pPr>
    </w:p>
    <w:p w14:paraId="197843E8" w14:textId="669E5215" w:rsidR="00F15368" w:rsidRPr="000E2E7E" w:rsidRDefault="00F15368" w:rsidP="00D163BC">
      <w:pPr>
        <w:rPr>
          <w:sz w:val="52"/>
          <w:szCs w:val="52"/>
        </w:rPr>
      </w:pPr>
    </w:p>
    <w:sectPr w:rsidR="00F15368" w:rsidRPr="000E2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E2E7E"/>
    <w:rsid w:val="00121BB2"/>
    <w:rsid w:val="00130138"/>
    <w:rsid w:val="001675AC"/>
    <w:rsid w:val="00191CFB"/>
    <w:rsid w:val="001E698E"/>
    <w:rsid w:val="001F1157"/>
    <w:rsid w:val="00371AC6"/>
    <w:rsid w:val="00372668"/>
    <w:rsid w:val="003A7750"/>
    <w:rsid w:val="00403714"/>
    <w:rsid w:val="00504994"/>
    <w:rsid w:val="00510D18"/>
    <w:rsid w:val="00604703"/>
    <w:rsid w:val="00814955"/>
    <w:rsid w:val="008A7F19"/>
    <w:rsid w:val="008C74F1"/>
    <w:rsid w:val="008F0B48"/>
    <w:rsid w:val="00965B69"/>
    <w:rsid w:val="009D31A8"/>
    <w:rsid w:val="00AB5565"/>
    <w:rsid w:val="00C0493E"/>
    <w:rsid w:val="00D163BC"/>
    <w:rsid w:val="00DF09B3"/>
    <w:rsid w:val="00E5184C"/>
    <w:rsid w:val="00F15368"/>
    <w:rsid w:val="00F23C05"/>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ditortaddedltunj">
    <w:name w:val="editor_t__added__ltunj"/>
    <w:basedOn w:val="DefaultParagraphFont"/>
    <w:rsid w:val="00F15368"/>
  </w:style>
  <w:style w:type="character" w:customStyle="1" w:styleId="editortnoteditedwurp8">
    <w:name w:val="editor_t__not_edited__wurp8"/>
    <w:basedOn w:val="DefaultParagraphFont"/>
    <w:rsid w:val="00F15368"/>
  </w:style>
  <w:style w:type="character" w:customStyle="1" w:styleId="apple-converted-space">
    <w:name w:val="apple-converted-space"/>
    <w:basedOn w:val="DefaultParagraphFont"/>
    <w:rsid w:val="00F15368"/>
  </w:style>
  <w:style w:type="character" w:customStyle="1" w:styleId="editortnoteditedlongjunnx">
    <w:name w:val="editor_t__not_edited_long__junnx"/>
    <w:basedOn w:val="DefaultParagraphFont"/>
    <w:rsid w:val="00F15368"/>
  </w:style>
  <w:style w:type="paragraph" w:styleId="NormalWeb">
    <w:name w:val="Normal (Web)"/>
    <w:basedOn w:val="Normal"/>
    <w:uiPriority w:val="99"/>
    <w:unhideWhenUsed/>
    <w:rsid w:val="00F153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15368"/>
    <w:rPr>
      <w:i/>
      <w:iCs/>
    </w:rPr>
  </w:style>
  <w:style w:type="character" w:styleId="Hyperlink">
    <w:name w:val="Hyperlink"/>
    <w:basedOn w:val="DefaultParagraphFont"/>
    <w:uiPriority w:val="99"/>
    <w:semiHidden/>
    <w:unhideWhenUsed/>
    <w:rsid w:val="00F1536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25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end-code-of-practice-0-to-25" TargetMode="External"/><Relationship Id="rId13" Type="http://schemas.openxmlformats.org/officeDocument/2006/relationships/hyperlink" Target="https://hwb.gov.wales/curriculum-for-wales"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gov.wales/additional-learning-needs-and-education-tribunal-wales-act-explanatory-memorandu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hwb.gov.wales/professional-learning/identifying-professional-learning-needs/professional-standards"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www.ohchr.org/en/professionalinterest/pages/crc.aspx" TargetMode="External"/><Relationship Id="rId4" Type="http://schemas.openxmlformats.org/officeDocument/2006/relationships/image" Target="media/image1.png"/><Relationship Id="rId9" Type="http://schemas.openxmlformats.org/officeDocument/2006/relationships/hyperlink" Target="https://www.legislation.gov.uk/ukpga/2010/15/contents/enact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9</Pages>
  <Words>2118</Words>
  <Characters>12077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Josh James (1900368)</cp:lastModifiedBy>
  <cp:revision>5</cp:revision>
  <dcterms:created xsi:type="dcterms:W3CDTF">2025-05-18T18:41:00Z</dcterms:created>
  <dcterms:modified xsi:type="dcterms:W3CDTF">2025-05-18T19:17:00Z</dcterms:modified>
</cp:coreProperties>
</file>