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49638003"/>
        <w:docPartObj>
          <w:docPartGallery w:val="Cover Pages"/>
          <w:docPartUnique/>
        </w:docPartObj>
      </w:sdtPr>
      <w:sdtEndPr>
        <w:rPr>
          <w:color w:val="auto"/>
        </w:rPr>
      </w:sdtEndPr>
      <w:sdtContent>
        <w:p w14:paraId="12096C6E" w14:textId="0378688F" w:rsidR="003D03D9" w:rsidRPr="003D03D9" w:rsidRDefault="003D03D9" w:rsidP="003D03D9">
          <w:pPr>
            <w:pStyle w:val="NoSpacing"/>
            <w:spacing w:before="1540" w:after="240"/>
            <w:jc w:val="center"/>
            <w:rPr>
              <w:color w:val="4472C4" w:themeColor="accent1"/>
            </w:rPr>
          </w:pPr>
          <w:r>
            <w:rPr>
              <w:noProof/>
              <w:color w:val="4472C4" w:themeColor="accent1"/>
            </w:rPr>
            <w:drawing>
              <wp:inline distT="0" distB="0" distL="0" distR="0" wp14:anchorId="718E2864" wp14:editId="75B0879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F1B8F35" w14:textId="5E6F0A59" w:rsidR="003D03D9" w:rsidRDefault="003D03D9" w:rsidP="003D03D9">
          <w:pPr>
            <w:pStyle w:val="paragraph"/>
            <w:spacing w:before="0" w:beforeAutospacing="0" w:after="0" w:afterAutospacing="0"/>
            <w:jc w:val="center"/>
            <w:textAlignment w:val="baseline"/>
            <w:rPr>
              <w:rFonts w:asciiTheme="minorHAnsi" w:hAnsiTheme="minorHAnsi" w:cstheme="minorHAnsi"/>
              <w:b/>
              <w:bCs/>
              <w:sz w:val="44"/>
              <w:szCs w:val="44"/>
              <w:u w:val="single"/>
            </w:rPr>
          </w:pPr>
          <w:r w:rsidRPr="003D03D9">
            <w:rPr>
              <w:rFonts w:asciiTheme="minorHAnsi" w:hAnsiTheme="minorHAnsi" w:cstheme="minorHAnsi"/>
              <w:b/>
              <w:bCs/>
              <w:sz w:val="44"/>
              <w:szCs w:val="44"/>
              <w:u w:val="single"/>
            </w:rPr>
            <w:t xml:space="preserve">Critically </w:t>
          </w:r>
          <w:r>
            <w:rPr>
              <w:rFonts w:asciiTheme="minorHAnsi" w:hAnsiTheme="minorHAnsi" w:cstheme="minorHAnsi"/>
              <w:b/>
              <w:bCs/>
              <w:sz w:val="44"/>
              <w:szCs w:val="44"/>
              <w:u w:val="single"/>
            </w:rPr>
            <w:t>E</w:t>
          </w:r>
          <w:r w:rsidRPr="003D03D9">
            <w:rPr>
              <w:rFonts w:asciiTheme="minorHAnsi" w:hAnsiTheme="minorHAnsi" w:cstheme="minorHAnsi"/>
              <w:b/>
              <w:bCs/>
              <w:sz w:val="44"/>
              <w:szCs w:val="44"/>
              <w:u w:val="single"/>
            </w:rPr>
            <w:t xml:space="preserve">valuate </w:t>
          </w:r>
          <w:r w:rsidR="007367EC">
            <w:rPr>
              <w:rFonts w:asciiTheme="minorHAnsi" w:hAnsiTheme="minorHAnsi" w:cstheme="minorHAnsi"/>
              <w:b/>
              <w:bCs/>
              <w:sz w:val="44"/>
              <w:szCs w:val="44"/>
              <w:u w:val="single"/>
            </w:rPr>
            <w:t>H</w:t>
          </w:r>
          <w:r w:rsidRPr="003D03D9">
            <w:rPr>
              <w:rFonts w:asciiTheme="minorHAnsi" w:hAnsiTheme="minorHAnsi" w:cstheme="minorHAnsi"/>
              <w:b/>
              <w:bCs/>
              <w:sz w:val="44"/>
              <w:szCs w:val="44"/>
              <w:u w:val="single"/>
            </w:rPr>
            <w:t xml:space="preserve">ow the Criminal Justice System </w:t>
          </w:r>
          <w:r>
            <w:rPr>
              <w:rFonts w:asciiTheme="minorHAnsi" w:hAnsiTheme="minorHAnsi" w:cstheme="minorHAnsi"/>
              <w:b/>
              <w:bCs/>
              <w:sz w:val="44"/>
              <w:szCs w:val="44"/>
              <w:u w:val="single"/>
            </w:rPr>
            <w:t>R</w:t>
          </w:r>
          <w:r w:rsidRPr="003D03D9">
            <w:rPr>
              <w:rFonts w:asciiTheme="minorHAnsi" w:hAnsiTheme="minorHAnsi" w:cstheme="minorHAnsi"/>
              <w:b/>
              <w:bCs/>
              <w:sz w:val="44"/>
              <w:szCs w:val="44"/>
              <w:u w:val="single"/>
            </w:rPr>
            <w:t xml:space="preserve">esponds to </w:t>
          </w:r>
          <w:r>
            <w:rPr>
              <w:rFonts w:asciiTheme="minorHAnsi" w:hAnsiTheme="minorHAnsi" w:cstheme="minorHAnsi"/>
              <w:b/>
              <w:bCs/>
              <w:sz w:val="44"/>
              <w:szCs w:val="44"/>
              <w:u w:val="single"/>
            </w:rPr>
            <w:t>V</w:t>
          </w:r>
          <w:r w:rsidRPr="003D03D9">
            <w:rPr>
              <w:rFonts w:asciiTheme="minorHAnsi" w:hAnsiTheme="minorHAnsi" w:cstheme="minorHAnsi"/>
              <w:b/>
              <w:bCs/>
              <w:sz w:val="44"/>
              <w:szCs w:val="44"/>
              <w:u w:val="single"/>
            </w:rPr>
            <w:t xml:space="preserve">ictims of </w:t>
          </w:r>
          <w:r>
            <w:rPr>
              <w:rFonts w:asciiTheme="minorHAnsi" w:hAnsiTheme="minorHAnsi" w:cstheme="minorHAnsi"/>
              <w:b/>
              <w:bCs/>
              <w:sz w:val="44"/>
              <w:szCs w:val="44"/>
              <w:u w:val="single"/>
            </w:rPr>
            <w:t>C</w:t>
          </w:r>
          <w:r w:rsidRPr="003D03D9">
            <w:rPr>
              <w:rFonts w:asciiTheme="minorHAnsi" w:hAnsiTheme="minorHAnsi" w:cstheme="minorHAnsi"/>
              <w:b/>
              <w:bCs/>
              <w:sz w:val="44"/>
              <w:szCs w:val="44"/>
              <w:u w:val="single"/>
            </w:rPr>
            <w:t>rime</w:t>
          </w:r>
        </w:p>
        <w:p w14:paraId="18BB6933" w14:textId="77777777" w:rsidR="003D03D9" w:rsidRPr="003D03D9" w:rsidRDefault="003D03D9" w:rsidP="003D03D9">
          <w:pPr>
            <w:pStyle w:val="paragraph"/>
            <w:spacing w:before="0" w:beforeAutospacing="0" w:after="0" w:afterAutospacing="0"/>
            <w:jc w:val="center"/>
            <w:textAlignment w:val="baseline"/>
            <w:rPr>
              <w:rFonts w:asciiTheme="minorHAnsi" w:hAnsiTheme="minorHAnsi" w:cstheme="minorHAnsi"/>
              <w:sz w:val="44"/>
              <w:szCs w:val="44"/>
              <w:u w:val="single"/>
            </w:rPr>
          </w:pPr>
        </w:p>
        <w:p w14:paraId="4313E79E" w14:textId="0BEE9B69" w:rsidR="003D03D9" w:rsidRPr="003D03D9" w:rsidRDefault="003D03D9">
          <w:pPr>
            <w:pStyle w:val="NoSpacing"/>
            <w:pBdr>
              <w:top w:val="single" w:sz="6" w:space="6" w:color="4472C4" w:themeColor="accent1"/>
              <w:bottom w:val="single" w:sz="6" w:space="6" w:color="4472C4" w:themeColor="accent1"/>
            </w:pBdr>
            <w:spacing w:after="240"/>
            <w:jc w:val="center"/>
            <w:rPr>
              <w:rFonts w:eastAsiaTheme="majorEastAsia" w:cstheme="minorHAnsi"/>
              <w:caps/>
              <w:sz w:val="48"/>
              <w:szCs w:val="48"/>
            </w:rPr>
          </w:pPr>
          <w:r w:rsidRPr="003D03D9">
            <w:rPr>
              <w:rFonts w:eastAsiaTheme="majorEastAsia" w:cstheme="minorHAnsi"/>
              <w:caps/>
              <w:sz w:val="48"/>
              <w:szCs w:val="48"/>
            </w:rPr>
            <w:t>Jack JOnes</w:t>
          </w:r>
        </w:p>
        <w:p w14:paraId="6DA97B74" w14:textId="47065D2A" w:rsidR="003D03D9" w:rsidRDefault="003D03D9" w:rsidP="003D03D9">
          <w:pPr>
            <w:pStyle w:val="NoSpacing"/>
            <w:rPr>
              <w:color w:val="4472C4" w:themeColor="accent1"/>
              <w:sz w:val="28"/>
              <w:szCs w:val="28"/>
            </w:rPr>
          </w:pPr>
        </w:p>
        <w:p w14:paraId="19F1EFED" w14:textId="176F3371" w:rsidR="003D03D9" w:rsidRDefault="003D03D9">
          <w:pPr>
            <w:pStyle w:val="NoSpacing"/>
            <w:spacing w:before="480"/>
            <w:jc w:val="center"/>
            <w:rPr>
              <w:color w:val="4472C4" w:themeColor="accent1"/>
            </w:rPr>
          </w:pPr>
          <w:r>
            <w:rPr>
              <w:noProof/>
              <w:color w:val="4472C4" w:themeColor="accent1"/>
            </w:rPr>
            <w:drawing>
              <wp:inline distT="0" distB="0" distL="0" distR="0" wp14:anchorId="2D7DCA71" wp14:editId="69208A0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CD0F9B" w14:textId="77777777" w:rsidR="003D03D9" w:rsidRDefault="003D03D9"/>
        <w:p w14:paraId="23981331" w14:textId="77777777" w:rsidR="003D03D9" w:rsidRDefault="003D03D9"/>
        <w:p w14:paraId="5249AA20" w14:textId="77777777" w:rsidR="003D03D9" w:rsidRDefault="003D03D9"/>
        <w:p w14:paraId="64E22071" w14:textId="77777777" w:rsidR="003D03D9" w:rsidRDefault="003D03D9"/>
        <w:p w14:paraId="6AAA642B" w14:textId="77777777" w:rsidR="003D03D9" w:rsidRDefault="003D03D9"/>
        <w:p w14:paraId="25D1A48F" w14:textId="77777777" w:rsidR="003D03D9" w:rsidRDefault="003D03D9" w:rsidP="003D03D9">
          <w:pPr>
            <w:rPr>
              <w:b/>
              <w:bCs/>
              <w:sz w:val="40"/>
              <w:szCs w:val="40"/>
            </w:rPr>
          </w:pPr>
        </w:p>
        <w:p w14:paraId="76A2BABE" w14:textId="77777777" w:rsidR="003D03D9" w:rsidRPr="005A13D8" w:rsidRDefault="003D03D9" w:rsidP="003D03D9">
          <w:pPr>
            <w:rPr>
              <w:b/>
              <w:bCs/>
              <w:sz w:val="56"/>
              <w:szCs w:val="56"/>
              <w:u w:val="single"/>
            </w:rPr>
          </w:pPr>
          <w:r w:rsidRPr="00384CAB">
            <w:rPr>
              <w:b/>
              <w:bCs/>
              <w:sz w:val="40"/>
              <w:szCs w:val="40"/>
            </w:rPr>
            <w:t xml:space="preserve">Student Number: 1902835 </w:t>
          </w:r>
        </w:p>
        <w:p w14:paraId="5BE2FF16" w14:textId="28A5246D" w:rsidR="003D03D9" w:rsidRDefault="003D03D9" w:rsidP="003D03D9">
          <w:pPr>
            <w:rPr>
              <w:b/>
              <w:bCs/>
              <w:sz w:val="40"/>
              <w:szCs w:val="40"/>
            </w:rPr>
          </w:pPr>
          <w:r w:rsidRPr="00384CAB">
            <w:rPr>
              <w:b/>
              <w:bCs/>
              <w:sz w:val="40"/>
              <w:szCs w:val="40"/>
            </w:rPr>
            <w:t>Word count:</w:t>
          </w:r>
          <w:r>
            <w:rPr>
              <w:b/>
              <w:bCs/>
              <w:sz w:val="40"/>
              <w:szCs w:val="40"/>
            </w:rPr>
            <w:t xml:space="preserve"> </w:t>
          </w:r>
          <w:r w:rsidR="00821FE4">
            <w:rPr>
              <w:b/>
              <w:bCs/>
              <w:sz w:val="40"/>
              <w:szCs w:val="40"/>
            </w:rPr>
            <w:t>29</w:t>
          </w:r>
          <w:r w:rsidR="001B2C82">
            <w:rPr>
              <w:b/>
              <w:bCs/>
              <w:sz w:val="40"/>
              <w:szCs w:val="40"/>
            </w:rPr>
            <w:t>5</w:t>
          </w:r>
          <w:r w:rsidR="00821FE4">
            <w:rPr>
              <w:b/>
              <w:bCs/>
              <w:sz w:val="40"/>
              <w:szCs w:val="40"/>
            </w:rPr>
            <w:t>7</w:t>
          </w:r>
        </w:p>
        <w:p w14:paraId="2E60D6C5" w14:textId="0995AC6B" w:rsidR="003D03D9" w:rsidRDefault="003D03D9" w:rsidP="003D03D9">
          <w:pPr>
            <w:rPr>
              <w:b/>
              <w:bCs/>
              <w:sz w:val="40"/>
              <w:szCs w:val="40"/>
            </w:rPr>
          </w:pPr>
          <w:r w:rsidRPr="00AC60D5">
            <w:rPr>
              <w:b/>
              <w:bCs/>
              <w:sz w:val="40"/>
              <w:szCs w:val="40"/>
            </w:rPr>
            <w:t>Module Code:</w:t>
          </w:r>
          <w:r w:rsidRPr="00AC60D5">
            <w:t xml:space="preserve"> </w:t>
          </w:r>
          <w:r w:rsidRPr="008554A0">
            <w:rPr>
              <w:rFonts w:eastAsia="Times New Roman"/>
              <w:b/>
              <w:bCs/>
              <w:sz w:val="40"/>
              <w:szCs w:val="40"/>
            </w:rPr>
            <w:t>BMPL</w:t>
          </w:r>
          <w:r w:rsidRPr="003D03D9">
            <w:rPr>
              <w:rFonts w:eastAsia="Times New Roman" w:cstheme="minorHAnsi"/>
              <w:b/>
              <w:sz w:val="40"/>
              <w:szCs w:val="40"/>
              <w:lang w:eastAsia="en-GB"/>
            </w:rPr>
            <w:t>6007</w:t>
          </w:r>
        </w:p>
        <w:p w14:paraId="1A97D180" w14:textId="0722A159" w:rsidR="007F29E7" w:rsidRDefault="001B2C82"/>
      </w:sdtContent>
    </w:sdt>
    <w:p w14:paraId="56948502" w14:textId="1ABF87FA" w:rsidR="00E71660" w:rsidRDefault="00E71660"/>
    <w:p w14:paraId="40D04B07" w14:textId="11DB10C8" w:rsidR="00E71660" w:rsidRPr="00925D40" w:rsidRDefault="00E71660">
      <w:pPr>
        <w:rPr>
          <w:sz w:val="24"/>
          <w:szCs w:val="24"/>
        </w:rPr>
      </w:pPr>
    </w:p>
    <w:p w14:paraId="1C1F75D7" w14:textId="7DF880E2" w:rsidR="00E71660" w:rsidRPr="00925D40" w:rsidRDefault="00E71660">
      <w:pPr>
        <w:rPr>
          <w:sz w:val="24"/>
          <w:szCs w:val="24"/>
        </w:rPr>
      </w:pPr>
    </w:p>
    <w:p w14:paraId="29945B03" w14:textId="1FE24E4A" w:rsidR="00D218DB" w:rsidRPr="00A169F7" w:rsidRDefault="00EA47E3" w:rsidP="00A169F7">
      <w:pPr>
        <w:spacing w:line="480" w:lineRule="auto"/>
        <w:ind w:firstLine="720"/>
        <w:rPr>
          <w:rFonts w:cstheme="minorHAnsi"/>
          <w:sz w:val="24"/>
          <w:szCs w:val="24"/>
        </w:rPr>
      </w:pPr>
      <w:r w:rsidRPr="00A169F7">
        <w:rPr>
          <w:rFonts w:cstheme="minorHAnsi"/>
          <w:sz w:val="24"/>
          <w:szCs w:val="24"/>
        </w:rPr>
        <w:lastRenderedPageBreak/>
        <w:t>After World War II, the study of "victimology" developed in Europe, with the goal of having a better understanding of the 'victim to criminal' connection</w:t>
      </w:r>
      <w:r w:rsidR="00B17DFA" w:rsidRPr="00A169F7">
        <w:rPr>
          <w:rFonts w:cstheme="minorHAnsi"/>
          <w:sz w:val="24"/>
          <w:szCs w:val="24"/>
        </w:rPr>
        <w:t xml:space="preserve"> (Ellenberger, 1954)</w:t>
      </w:r>
      <w:r w:rsidRPr="00A169F7">
        <w:rPr>
          <w:rFonts w:cstheme="minorHAnsi"/>
          <w:sz w:val="24"/>
          <w:szCs w:val="24"/>
        </w:rPr>
        <w:t xml:space="preserve">. </w:t>
      </w:r>
      <w:r w:rsidR="00B17DFA" w:rsidRPr="00A169F7">
        <w:rPr>
          <w:rFonts w:cstheme="minorHAnsi"/>
          <w:sz w:val="24"/>
          <w:szCs w:val="24"/>
        </w:rPr>
        <w:t xml:space="preserve">Many criminologists believe that victims' behaviour is one of the reasons for the growth in </w:t>
      </w:r>
      <w:r w:rsidR="002D4AA5">
        <w:rPr>
          <w:rFonts w:cstheme="minorHAnsi"/>
          <w:sz w:val="24"/>
          <w:szCs w:val="24"/>
        </w:rPr>
        <w:t>crime rates</w:t>
      </w:r>
      <w:r w:rsidR="00B17DFA" w:rsidRPr="00A169F7">
        <w:rPr>
          <w:rFonts w:cstheme="minorHAnsi"/>
          <w:sz w:val="24"/>
          <w:szCs w:val="24"/>
        </w:rPr>
        <w:t xml:space="preserve">. </w:t>
      </w:r>
      <w:r w:rsidR="00D218DB" w:rsidRPr="00A169F7">
        <w:rPr>
          <w:rFonts w:cstheme="minorHAnsi"/>
          <w:sz w:val="24"/>
          <w:szCs w:val="24"/>
        </w:rPr>
        <w:t>Traditionally, victimology arose from the works of criminal solicitors and criminologists, such as Wolfgang (1958)</w:t>
      </w:r>
      <w:r w:rsidR="007E006C">
        <w:rPr>
          <w:rFonts w:cstheme="minorHAnsi"/>
          <w:sz w:val="24"/>
          <w:szCs w:val="24"/>
        </w:rPr>
        <w:t>.</w:t>
      </w:r>
      <w:r w:rsidR="00FE6896" w:rsidRPr="00A169F7">
        <w:rPr>
          <w:rFonts w:cstheme="minorHAnsi"/>
          <w:sz w:val="24"/>
          <w:szCs w:val="24"/>
        </w:rPr>
        <w:t xml:space="preserve"> </w:t>
      </w:r>
      <w:r w:rsidR="007E006C">
        <w:rPr>
          <w:rFonts w:cstheme="minorHAnsi"/>
          <w:sz w:val="24"/>
          <w:szCs w:val="24"/>
        </w:rPr>
        <w:t>‘V</w:t>
      </w:r>
      <w:r w:rsidR="00FE6896" w:rsidRPr="00A169F7">
        <w:rPr>
          <w:rFonts w:cstheme="minorHAnsi"/>
          <w:sz w:val="24"/>
          <w:szCs w:val="24"/>
        </w:rPr>
        <w:t>ictimology theory</w:t>
      </w:r>
      <w:r w:rsidR="007E006C">
        <w:rPr>
          <w:rFonts w:cstheme="minorHAnsi"/>
          <w:sz w:val="24"/>
          <w:szCs w:val="24"/>
        </w:rPr>
        <w:t>’</w:t>
      </w:r>
      <w:r w:rsidR="00FE6896" w:rsidRPr="00A169F7">
        <w:rPr>
          <w:rFonts w:cstheme="minorHAnsi"/>
          <w:sz w:val="24"/>
          <w:szCs w:val="24"/>
        </w:rPr>
        <w:t xml:space="preserve"> is the name given to this study of the impact of crime on victims </w:t>
      </w:r>
      <w:r w:rsidR="00B17DFA" w:rsidRPr="00A169F7">
        <w:rPr>
          <w:rFonts w:cstheme="minorHAnsi"/>
          <w:sz w:val="24"/>
          <w:szCs w:val="24"/>
        </w:rPr>
        <w:t>(</w:t>
      </w:r>
      <w:r w:rsidRPr="00A169F7">
        <w:rPr>
          <w:rFonts w:cstheme="minorHAnsi"/>
          <w:sz w:val="24"/>
          <w:szCs w:val="24"/>
        </w:rPr>
        <w:t>Mendelssohn, 1946) (Hentig, 1948)</w:t>
      </w:r>
      <w:r w:rsidR="00D218DB" w:rsidRPr="00A169F7">
        <w:rPr>
          <w:rFonts w:cstheme="minorHAnsi"/>
          <w:sz w:val="24"/>
          <w:szCs w:val="24"/>
        </w:rPr>
        <w:t>.</w:t>
      </w:r>
      <w:r w:rsidRPr="00A169F7">
        <w:rPr>
          <w:rFonts w:cstheme="minorHAnsi"/>
          <w:sz w:val="24"/>
          <w:szCs w:val="24"/>
        </w:rPr>
        <w:t xml:space="preserve"> </w:t>
      </w:r>
    </w:p>
    <w:p w14:paraId="3F976235" w14:textId="13697697" w:rsidR="00FE6896" w:rsidRPr="00A169F7" w:rsidRDefault="00FE6896" w:rsidP="00A169F7">
      <w:pPr>
        <w:spacing w:line="480" w:lineRule="auto"/>
        <w:ind w:firstLine="720"/>
        <w:rPr>
          <w:rFonts w:cstheme="minorHAnsi"/>
          <w:sz w:val="24"/>
          <w:szCs w:val="24"/>
        </w:rPr>
      </w:pPr>
      <w:r w:rsidRPr="00A169F7">
        <w:rPr>
          <w:rFonts w:cstheme="minorHAnsi"/>
          <w:sz w:val="24"/>
          <w:szCs w:val="24"/>
        </w:rPr>
        <w:t xml:space="preserve">To victimise </w:t>
      </w:r>
      <w:r w:rsidR="000E5903">
        <w:rPr>
          <w:rFonts w:cstheme="minorHAnsi"/>
          <w:sz w:val="24"/>
          <w:szCs w:val="24"/>
        </w:rPr>
        <w:t>someone</w:t>
      </w:r>
      <w:r w:rsidRPr="00A169F7">
        <w:rPr>
          <w:rFonts w:cstheme="minorHAnsi"/>
          <w:sz w:val="24"/>
          <w:szCs w:val="24"/>
        </w:rPr>
        <w:t>, it refers to them being purposefully treated unfairly (Cambridge Dictionary, online 2015)</w:t>
      </w:r>
      <w:r w:rsidR="001A5BD5" w:rsidRPr="00A169F7">
        <w:rPr>
          <w:rFonts w:cstheme="minorHAnsi"/>
          <w:sz w:val="24"/>
          <w:szCs w:val="24"/>
        </w:rPr>
        <w:t>.</w:t>
      </w:r>
      <w:r w:rsidRPr="00A169F7">
        <w:rPr>
          <w:rFonts w:cstheme="minorHAnsi"/>
          <w:sz w:val="24"/>
          <w:szCs w:val="24"/>
        </w:rPr>
        <w:t xml:space="preserve"> However, according to</w:t>
      </w:r>
      <w:r w:rsidR="001C62C6" w:rsidRPr="00A169F7">
        <w:rPr>
          <w:rFonts w:cstheme="minorHAnsi"/>
          <w:sz w:val="24"/>
          <w:szCs w:val="24"/>
        </w:rPr>
        <w:t xml:space="preserve"> Pennington (2014), </w:t>
      </w:r>
      <w:r w:rsidRPr="00A169F7">
        <w:rPr>
          <w:rFonts w:cstheme="minorHAnsi"/>
          <w:sz w:val="24"/>
          <w:szCs w:val="24"/>
        </w:rPr>
        <w:t xml:space="preserve">the concept that victimisation entails getting mistreated </w:t>
      </w:r>
      <w:r w:rsidR="001C62C6" w:rsidRPr="00A169F7">
        <w:rPr>
          <w:rFonts w:cstheme="minorHAnsi"/>
          <w:sz w:val="24"/>
          <w:szCs w:val="24"/>
        </w:rPr>
        <w:t>‘</w:t>
      </w:r>
      <w:r w:rsidRPr="00A169F7">
        <w:rPr>
          <w:rFonts w:cstheme="minorHAnsi"/>
          <w:sz w:val="24"/>
          <w:szCs w:val="24"/>
        </w:rPr>
        <w:t>with intention</w:t>
      </w:r>
      <w:r w:rsidR="001C62C6" w:rsidRPr="00A169F7">
        <w:rPr>
          <w:rFonts w:cstheme="minorHAnsi"/>
          <w:sz w:val="24"/>
          <w:szCs w:val="24"/>
        </w:rPr>
        <w:t>’</w:t>
      </w:r>
      <w:r w:rsidRPr="00A169F7">
        <w:rPr>
          <w:rFonts w:cstheme="minorHAnsi"/>
          <w:sz w:val="24"/>
          <w:szCs w:val="24"/>
        </w:rPr>
        <w:t xml:space="preserve"> </w:t>
      </w:r>
      <w:r w:rsidR="003D363E">
        <w:rPr>
          <w:rFonts w:cstheme="minorHAnsi"/>
          <w:sz w:val="24"/>
          <w:szCs w:val="24"/>
        </w:rPr>
        <w:t>has been proven difficult,</w:t>
      </w:r>
      <w:r w:rsidRPr="00A169F7">
        <w:rPr>
          <w:rFonts w:cstheme="minorHAnsi"/>
          <w:sz w:val="24"/>
          <w:szCs w:val="24"/>
        </w:rPr>
        <w:t xml:space="preserve"> since proving intent in a court of law can </w:t>
      </w:r>
      <w:r w:rsidR="003D363E">
        <w:rPr>
          <w:rFonts w:cstheme="minorHAnsi"/>
          <w:sz w:val="24"/>
          <w:szCs w:val="24"/>
        </w:rPr>
        <w:t xml:space="preserve">always </w:t>
      </w:r>
      <w:r w:rsidRPr="00A169F7">
        <w:rPr>
          <w:rFonts w:cstheme="minorHAnsi"/>
          <w:sz w:val="24"/>
          <w:szCs w:val="24"/>
        </w:rPr>
        <w:t>be problematic.</w:t>
      </w:r>
    </w:p>
    <w:p w14:paraId="21A77278" w14:textId="42D7861D" w:rsidR="001744B0" w:rsidRDefault="00B17DFA" w:rsidP="00A169F7">
      <w:pPr>
        <w:spacing w:line="480" w:lineRule="auto"/>
        <w:ind w:firstLine="720"/>
        <w:rPr>
          <w:rFonts w:cstheme="minorHAnsi"/>
          <w:sz w:val="24"/>
          <w:szCs w:val="24"/>
        </w:rPr>
      </w:pPr>
      <w:r w:rsidRPr="00A169F7">
        <w:rPr>
          <w:rFonts w:cstheme="minorHAnsi"/>
          <w:sz w:val="24"/>
          <w:szCs w:val="24"/>
        </w:rPr>
        <w:t>O</w:t>
      </w:r>
      <w:r w:rsidR="009C190E" w:rsidRPr="00A169F7">
        <w:rPr>
          <w:rFonts w:cstheme="minorHAnsi"/>
          <w:sz w:val="24"/>
          <w:szCs w:val="24"/>
        </w:rPr>
        <w:t xml:space="preserve">ne of the earliest victimologists, </w:t>
      </w:r>
      <w:r w:rsidRPr="00A169F7">
        <w:rPr>
          <w:rFonts w:cstheme="minorHAnsi"/>
          <w:sz w:val="24"/>
          <w:szCs w:val="24"/>
        </w:rPr>
        <w:t xml:space="preserve">Schafer (1965), </w:t>
      </w:r>
      <w:r w:rsidR="009C190E" w:rsidRPr="00A169F7">
        <w:rPr>
          <w:rFonts w:cstheme="minorHAnsi"/>
          <w:sz w:val="24"/>
          <w:szCs w:val="24"/>
        </w:rPr>
        <w:t xml:space="preserve">performed the first nationwide victimisation assessment, which revealed that victimisation levels were considerably higher than </w:t>
      </w:r>
      <w:r w:rsidR="001744B0">
        <w:rPr>
          <w:rFonts w:cstheme="minorHAnsi"/>
          <w:sz w:val="24"/>
          <w:szCs w:val="24"/>
        </w:rPr>
        <w:t xml:space="preserve">originally </w:t>
      </w:r>
      <w:r w:rsidR="009C190E" w:rsidRPr="00A169F7">
        <w:rPr>
          <w:rFonts w:cstheme="minorHAnsi"/>
          <w:sz w:val="24"/>
          <w:szCs w:val="24"/>
        </w:rPr>
        <w:t xml:space="preserve">reported by </w:t>
      </w:r>
      <w:r w:rsidR="001744B0">
        <w:rPr>
          <w:rFonts w:cstheme="minorHAnsi"/>
          <w:sz w:val="24"/>
          <w:szCs w:val="24"/>
        </w:rPr>
        <w:t xml:space="preserve">the </w:t>
      </w:r>
      <w:r w:rsidR="009C190E" w:rsidRPr="00A169F7">
        <w:rPr>
          <w:rFonts w:cstheme="minorHAnsi"/>
          <w:sz w:val="24"/>
          <w:szCs w:val="24"/>
        </w:rPr>
        <w:t xml:space="preserve">police </w:t>
      </w:r>
      <w:r w:rsidR="001744B0">
        <w:rPr>
          <w:rFonts w:cstheme="minorHAnsi"/>
          <w:sz w:val="24"/>
          <w:szCs w:val="24"/>
        </w:rPr>
        <w:t xml:space="preserve">forces </w:t>
      </w:r>
      <w:r w:rsidR="009C190E" w:rsidRPr="00A169F7">
        <w:rPr>
          <w:rFonts w:cstheme="minorHAnsi"/>
          <w:sz w:val="24"/>
          <w:szCs w:val="24"/>
        </w:rPr>
        <w:t xml:space="preserve">and that </w:t>
      </w:r>
      <w:r w:rsidR="001744B0">
        <w:rPr>
          <w:rFonts w:cstheme="minorHAnsi"/>
          <w:sz w:val="24"/>
          <w:szCs w:val="24"/>
        </w:rPr>
        <w:t xml:space="preserve">many of the </w:t>
      </w:r>
      <w:r w:rsidR="00D224D6">
        <w:rPr>
          <w:rFonts w:cstheme="minorHAnsi"/>
          <w:sz w:val="24"/>
          <w:szCs w:val="24"/>
        </w:rPr>
        <w:t>victims</w:t>
      </w:r>
      <w:r w:rsidR="001744B0">
        <w:rPr>
          <w:rFonts w:cstheme="minorHAnsi"/>
          <w:sz w:val="24"/>
          <w:szCs w:val="24"/>
        </w:rPr>
        <w:t xml:space="preserve"> did not report crime</w:t>
      </w:r>
      <w:r w:rsidR="00D224D6">
        <w:rPr>
          <w:rFonts w:cstheme="minorHAnsi"/>
          <w:sz w:val="24"/>
          <w:szCs w:val="24"/>
        </w:rPr>
        <w:t>s</w:t>
      </w:r>
      <w:r w:rsidR="001744B0">
        <w:rPr>
          <w:rFonts w:cstheme="minorHAnsi"/>
          <w:sz w:val="24"/>
          <w:szCs w:val="24"/>
        </w:rPr>
        <w:t xml:space="preserve"> due to the fear of the outcome from the failure of the Criminal Justice System.</w:t>
      </w:r>
    </w:p>
    <w:p w14:paraId="0EFA4A9C" w14:textId="31A8B989" w:rsidR="003750AE" w:rsidRPr="00A169F7" w:rsidRDefault="00FE2C56" w:rsidP="00A169F7">
      <w:pPr>
        <w:spacing w:line="480" w:lineRule="auto"/>
        <w:ind w:firstLine="720"/>
        <w:rPr>
          <w:rFonts w:cstheme="minorHAnsi"/>
          <w:sz w:val="24"/>
          <w:szCs w:val="24"/>
        </w:rPr>
      </w:pPr>
      <w:r w:rsidRPr="00A169F7">
        <w:rPr>
          <w:rFonts w:cstheme="minorHAnsi"/>
          <w:sz w:val="24"/>
          <w:szCs w:val="24"/>
        </w:rPr>
        <w:t>Furthermore,</w:t>
      </w:r>
      <w:r w:rsidR="00F30AA7" w:rsidRPr="00A169F7">
        <w:rPr>
          <w:rFonts w:cstheme="minorHAnsi"/>
          <w:sz w:val="24"/>
          <w:szCs w:val="24"/>
        </w:rPr>
        <w:t xml:space="preserve"> Biderman </w:t>
      </w:r>
      <w:r w:rsidR="004B6D8A" w:rsidRPr="00A169F7">
        <w:rPr>
          <w:rFonts w:cstheme="minorHAnsi"/>
          <w:sz w:val="24"/>
          <w:szCs w:val="24"/>
        </w:rPr>
        <w:t>(</w:t>
      </w:r>
      <w:r w:rsidR="00F30AA7" w:rsidRPr="00A169F7">
        <w:rPr>
          <w:rFonts w:cstheme="minorHAnsi"/>
          <w:sz w:val="24"/>
          <w:szCs w:val="24"/>
        </w:rPr>
        <w:t xml:space="preserve">1967) highlights, as a response of the study, psychologists has become </w:t>
      </w:r>
      <w:r w:rsidR="00D224D6">
        <w:rPr>
          <w:rFonts w:cstheme="minorHAnsi"/>
          <w:sz w:val="24"/>
          <w:szCs w:val="24"/>
        </w:rPr>
        <w:t xml:space="preserve">increasingly </w:t>
      </w:r>
      <w:r w:rsidR="00F30AA7" w:rsidRPr="00A169F7">
        <w:rPr>
          <w:rFonts w:cstheme="minorHAnsi"/>
          <w:sz w:val="24"/>
          <w:szCs w:val="24"/>
        </w:rPr>
        <w:t>interested in the impacts of crime on victims, which now has resulted in a significant rise in studies not only in America, but globally.</w:t>
      </w:r>
      <w:r w:rsidR="00FC1429" w:rsidRPr="00A169F7">
        <w:rPr>
          <w:rFonts w:cstheme="minorHAnsi"/>
          <w:sz w:val="24"/>
          <w:szCs w:val="24"/>
        </w:rPr>
        <w:t xml:space="preserve"> </w:t>
      </w:r>
      <w:r w:rsidR="003750AE" w:rsidRPr="00A169F7">
        <w:rPr>
          <w:rFonts w:cstheme="minorHAnsi"/>
          <w:sz w:val="24"/>
          <w:szCs w:val="24"/>
        </w:rPr>
        <w:t>Victimology, according to Cressey (1992)</w:t>
      </w:r>
      <w:r w:rsidR="001A5BD5" w:rsidRPr="00A169F7">
        <w:rPr>
          <w:rFonts w:cstheme="minorHAnsi"/>
          <w:sz w:val="24"/>
          <w:szCs w:val="24"/>
        </w:rPr>
        <w:t>,</w:t>
      </w:r>
      <w:r w:rsidR="003750AE" w:rsidRPr="00A169F7">
        <w:rPr>
          <w:rFonts w:cstheme="minorHAnsi"/>
          <w:sz w:val="24"/>
          <w:szCs w:val="24"/>
        </w:rPr>
        <w:t xml:space="preserve"> is formed by two perspectives: a humanistic perspective that examines the human suffering elements of victimisation, as well as a scientific approach which is less focused with the individuals but more importantly focusses on social norms in communities.</w:t>
      </w:r>
    </w:p>
    <w:p w14:paraId="3AD52F30" w14:textId="70823C62" w:rsidR="009C5706" w:rsidRPr="00A169F7" w:rsidRDefault="00FE2C56" w:rsidP="00A169F7">
      <w:pPr>
        <w:spacing w:line="480" w:lineRule="auto"/>
        <w:ind w:firstLine="720"/>
        <w:rPr>
          <w:rFonts w:cstheme="minorHAnsi"/>
          <w:sz w:val="24"/>
          <w:szCs w:val="24"/>
        </w:rPr>
      </w:pPr>
      <w:r w:rsidRPr="00A169F7">
        <w:rPr>
          <w:rFonts w:cstheme="minorHAnsi"/>
          <w:sz w:val="24"/>
          <w:szCs w:val="24"/>
        </w:rPr>
        <w:t>In the 1950s, UK prison reformist Margery Fry proposed the concept of providing financial compensation to victims of crime</w:t>
      </w:r>
      <w:r w:rsidR="00B96ACA" w:rsidRPr="00A169F7">
        <w:rPr>
          <w:rFonts w:cstheme="minorHAnsi"/>
          <w:sz w:val="24"/>
          <w:szCs w:val="24"/>
        </w:rPr>
        <w:t>, s</w:t>
      </w:r>
      <w:r w:rsidRPr="00A169F7">
        <w:rPr>
          <w:rFonts w:cstheme="minorHAnsi"/>
          <w:sz w:val="24"/>
          <w:szCs w:val="24"/>
        </w:rPr>
        <w:t xml:space="preserve">hortly after the compensation developed into </w:t>
      </w:r>
      <w:r w:rsidRPr="00A169F7">
        <w:rPr>
          <w:rFonts w:cstheme="minorHAnsi"/>
          <w:sz w:val="24"/>
          <w:szCs w:val="24"/>
        </w:rPr>
        <w:lastRenderedPageBreak/>
        <w:t>welfare programmes that provided emotional support</w:t>
      </w:r>
      <w:r w:rsidR="00B96ACA" w:rsidRPr="00A169F7">
        <w:rPr>
          <w:rFonts w:cstheme="minorHAnsi"/>
          <w:sz w:val="24"/>
          <w:szCs w:val="24"/>
        </w:rPr>
        <w:t xml:space="preserve"> (Glazebrook, 1962)</w:t>
      </w:r>
      <w:r w:rsidRPr="00A169F7">
        <w:rPr>
          <w:rFonts w:cstheme="minorHAnsi"/>
          <w:sz w:val="24"/>
          <w:szCs w:val="24"/>
        </w:rPr>
        <w:t xml:space="preserve">. This idea of emotional support was strongly supported by Goldberg (1970) who importantly </w:t>
      </w:r>
      <w:r w:rsidR="004F337D" w:rsidRPr="00A169F7">
        <w:rPr>
          <w:rFonts w:cstheme="minorHAnsi"/>
          <w:sz w:val="24"/>
          <w:szCs w:val="24"/>
        </w:rPr>
        <w:t>stated,</w:t>
      </w:r>
      <w:r w:rsidRPr="00A169F7">
        <w:rPr>
          <w:rFonts w:cstheme="minorHAnsi"/>
          <w:sz w:val="24"/>
          <w:szCs w:val="24"/>
        </w:rPr>
        <w:t xml:space="preserve"> "one who experiences the effects of crime is also the sufferer of humanity's lack of attention to poverty and social injustice". </w:t>
      </w:r>
      <w:r w:rsidR="009C5706" w:rsidRPr="00A169F7">
        <w:rPr>
          <w:rFonts w:cstheme="minorHAnsi"/>
          <w:sz w:val="24"/>
          <w:szCs w:val="24"/>
        </w:rPr>
        <w:t xml:space="preserve">However according to Young &amp; Stein (2019), victimisation became increasingly evident to the public in the 1970s, that victims were still being neglected, which correlated with the high level of crime rates that were starting to cause some concern. </w:t>
      </w:r>
    </w:p>
    <w:p w14:paraId="13D76813" w14:textId="47157D21" w:rsidR="00CF04C8" w:rsidRPr="00A169F7" w:rsidRDefault="003750AE" w:rsidP="00A169F7">
      <w:pPr>
        <w:spacing w:line="480" w:lineRule="auto"/>
        <w:ind w:firstLine="720"/>
        <w:rPr>
          <w:rFonts w:cstheme="minorHAnsi"/>
          <w:sz w:val="24"/>
          <w:szCs w:val="24"/>
        </w:rPr>
      </w:pPr>
      <w:r w:rsidRPr="00A169F7">
        <w:rPr>
          <w:rFonts w:cstheme="minorHAnsi"/>
          <w:sz w:val="24"/>
          <w:szCs w:val="24"/>
        </w:rPr>
        <w:t xml:space="preserve">Many victimologists believe that the criminal justice system's unfairness contributes to victimisation. </w:t>
      </w:r>
      <w:r w:rsidR="00A92348">
        <w:rPr>
          <w:rFonts w:cstheme="minorHAnsi"/>
          <w:sz w:val="24"/>
          <w:szCs w:val="24"/>
        </w:rPr>
        <w:t>C</w:t>
      </w:r>
      <w:r w:rsidRPr="00A169F7">
        <w:rPr>
          <w:rFonts w:cstheme="minorHAnsi"/>
          <w:sz w:val="24"/>
          <w:szCs w:val="24"/>
        </w:rPr>
        <w:t xml:space="preserve">rimes that go unpunished might lead to more issues for the victims. </w:t>
      </w:r>
      <w:r w:rsidR="000A2753" w:rsidRPr="00A169F7">
        <w:rPr>
          <w:rFonts w:cstheme="minorHAnsi"/>
          <w:sz w:val="24"/>
          <w:szCs w:val="24"/>
        </w:rPr>
        <w:t>As illustrated by Michaelson (2015)</w:t>
      </w:r>
      <w:r w:rsidRPr="00A169F7">
        <w:rPr>
          <w:rFonts w:cstheme="minorHAnsi"/>
          <w:sz w:val="24"/>
          <w:szCs w:val="24"/>
        </w:rPr>
        <w:t xml:space="preserve">, the criminal justice system must take a wider perspective of social justice </w:t>
      </w:r>
      <w:r w:rsidR="000D56DC">
        <w:rPr>
          <w:rFonts w:cstheme="minorHAnsi"/>
          <w:sz w:val="24"/>
          <w:szCs w:val="24"/>
        </w:rPr>
        <w:t>responsibility</w:t>
      </w:r>
      <w:r w:rsidRPr="00A169F7">
        <w:rPr>
          <w:rFonts w:cstheme="minorHAnsi"/>
          <w:sz w:val="24"/>
          <w:szCs w:val="24"/>
        </w:rPr>
        <w:t xml:space="preserve">. </w:t>
      </w:r>
      <w:r w:rsidR="00CF04C8" w:rsidRPr="00A169F7">
        <w:rPr>
          <w:rFonts w:cstheme="minorHAnsi"/>
          <w:sz w:val="24"/>
          <w:szCs w:val="24"/>
        </w:rPr>
        <w:t xml:space="preserve">A supporting statement from </w:t>
      </w:r>
      <w:r w:rsidR="00837F85" w:rsidRPr="00A169F7">
        <w:rPr>
          <w:rFonts w:cstheme="minorHAnsi"/>
          <w:sz w:val="24"/>
          <w:szCs w:val="24"/>
        </w:rPr>
        <w:t>Lynch &amp; Joyce (2016), s</w:t>
      </w:r>
      <w:r w:rsidR="00CF04C8" w:rsidRPr="00A169F7">
        <w:rPr>
          <w:rFonts w:cstheme="minorHAnsi"/>
          <w:sz w:val="24"/>
          <w:szCs w:val="24"/>
        </w:rPr>
        <w:t xml:space="preserve">tates that </w:t>
      </w:r>
      <w:r w:rsidR="00C27F04" w:rsidRPr="00A169F7">
        <w:rPr>
          <w:rFonts w:cstheme="minorHAnsi"/>
          <w:sz w:val="24"/>
          <w:szCs w:val="24"/>
        </w:rPr>
        <w:t xml:space="preserve">consequently, </w:t>
      </w:r>
      <w:r w:rsidR="00CF04C8" w:rsidRPr="00A169F7">
        <w:rPr>
          <w:rFonts w:cstheme="minorHAnsi"/>
          <w:sz w:val="24"/>
          <w:szCs w:val="24"/>
        </w:rPr>
        <w:t>the Criminal Justice System ha</w:t>
      </w:r>
      <w:r w:rsidR="00C27F04" w:rsidRPr="00A169F7">
        <w:rPr>
          <w:rFonts w:cstheme="minorHAnsi"/>
          <w:sz w:val="24"/>
          <w:szCs w:val="24"/>
        </w:rPr>
        <w:t>s</w:t>
      </w:r>
      <w:r w:rsidR="00CF04C8" w:rsidRPr="00A169F7">
        <w:rPr>
          <w:rFonts w:cstheme="minorHAnsi"/>
          <w:sz w:val="24"/>
          <w:szCs w:val="24"/>
        </w:rPr>
        <w:t xml:space="preserve"> the </w:t>
      </w:r>
      <w:r w:rsidR="00C27F04" w:rsidRPr="00A169F7">
        <w:rPr>
          <w:rFonts w:cstheme="minorHAnsi"/>
          <w:sz w:val="24"/>
          <w:szCs w:val="24"/>
        </w:rPr>
        <w:t>possibility</w:t>
      </w:r>
      <w:r w:rsidR="00CF04C8" w:rsidRPr="00A169F7">
        <w:rPr>
          <w:rFonts w:cstheme="minorHAnsi"/>
          <w:sz w:val="24"/>
          <w:szCs w:val="24"/>
        </w:rPr>
        <w:t xml:space="preserve"> to re-traumatize victims, affecting whether they engage with victim support programmes and other criminal justice system agencies</w:t>
      </w:r>
      <w:r w:rsidR="00AE5ED9">
        <w:rPr>
          <w:rFonts w:cstheme="minorHAnsi"/>
          <w:sz w:val="24"/>
          <w:szCs w:val="24"/>
        </w:rPr>
        <w:t xml:space="preserve"> in the future</w:t>
      </w:r>
      <w:r w:rsidR="00CF04C8" w:rsidRPr="00A169F7">
        <w:rPr>
          <w:rFonts w:cstheme="minorHAnsi"/>
          <w:sz w:val="24"/>
          <w:szCs w:val="24"/>
        </w:rPr>
        <w:t xml:space="preserve">. </w:t>
      </w:r>
      <w:r w:rsidR="00C27F04" w:rsidRPr="00A169F7">
        <w:rPr>
          <w:rFonts w:cstheme="minorHAnsi"/>
          <w:sz w:val="24"/>
          <w:szCs w:val="24"/>
        </w:rPr>
        <w:t>However,</w:t>
      </w:r>
      <w:r w:rsidR="00837F85" w:rsidRPr="00A169F7">
        <w:rPr>
          <w:rFonts w:cstheme="minorHAnsi"/>
          <w:sz w:val="24"/>
          <w:szCs w:val="24"/>
        </w:rPr>
        <w:t xml:space="preserve"> in the opinion of Mearns &amp; Thorne (2012),</w:t>
      </w:r>
      <w:r w:rsidR="00C27F04" w:rsidRPr="00A169F7">
        <w:rPr>
          <w:rFonts w:cstheme="minorHAnsi"/>
          <w:sz w:val="24"/>
          <w:szCs w:val="24"/>
        </w:rPr>
        <w:t xml:space="preserve"> </w:t>
      </w:r>
      <w:r w:rsidR="00CF04C8" w:rsidRPr="00A169F7">
        <w:rPr>
          <w:rFonts w:cstheme="minorHAnsi"/>
          <w:sz w:val="24"/>
          <w:szCs w:val="24"/>
        </w:rPr>
        <w:t>gaining a greater knowledge of trauma and how it affects victims and families, existing victim services may be able to build a more caring and supportive response</w:t>
      </w:r>
      <w:r w:rsidR="00BF0E8D">
        <w:rPr>
          <w:rFonts w:cstheme="minorHAnsi"/>
          <w:sz w:val="24"/>
          <w:szCs w:val="24"/>
        </w:rPr>
        <w:t xml:space="preserve"> to reduce the reoffending rates</w:t>
      </w:r>
      <w:r w:rsidR="00CF04C8" w:rsidRPr="00A169F7">
        <w:rPr>
          <w:rFonts w:cstheme="minorHAnsi"/>
          <w:sz w:val="24"/>
          <w:szCs w:val="24"/>
        </w:rPr>
        <w:t>.</w:t>
      </w:r>
    </w:p>
    <w:p w14:paraId="2240D3E5" w14:textId="26BD46C7" w:rsidR="00D22DFC" w:rsidRPr="00A169F7" w:rsidRDefault="003750AE" w:rsidP="00A169F7">
      <w:pPr>
        <w:spacing w:line="480" w:lineRule="auto"/>
        <w:ind w:firstLine="720"/>
        <w:rPr>
          <w:rFonts w:cstheme="minorHAnsi"/>
          <w:sz w:val="24"/>
          <w:szCs w:val="24"/>
        </w:rPr>
      </w:pPr>
      <w:r w:rsidRPr="00A169F7">
        <w:rPr>
          <w:rFonts w:cstheme="minorHAnsi"/>
          <w:sz w:val="24"/>
          <w:szCs w:val="24"/>
        </w:rPr>
        <w:t>To support</w:t>
      </w:r>
      <w:r w:rsidR="00FC1429" w:rsidRPr="00A169F7">
        <w:rPr>
          <w:rFonts w:cstheme="minorHAnsi"/>
          <w:sz w:val="24"/>
          <w:szCs w:val="24"/>
        </w:rPr>
        <w:t xml:space="preserve"> this, the</w:t>
      </w:r>
      <w:r w:rsidRPr="00A169F7">
        <w:rPr>
          <w:rFonts w:cstheme="minorHAnsi"/>
          <w:sz w:val="24"/>
          <w:szCs w:val="24"/>
        </w:rPr>
        <w:t xml:space="preserve"> </w:t>
      </w:r>
      <w:r w:rsidR="00FC1429" w:rsidRPr="00A169F7">
        <w:rPr>
          <w:rFonts w:cstheme="minorHAnsi"/>
          <w:sz w:val="24"/>
          <w:szCs w:val="24"/>
        </w:rPr>
        <w:t xml:space="preserve">research by </w:t>
      </w:r>
      <w:r w:rsidR="0094421D" w:rsidRPr="00A169F7">
        <w:rPr>
          <w:rFonts w:cstheme="minorHAnsi"/>
          <w:sz w:val="24"/>
          <w:szCs w:val="24"/>
        </w:rPr>
        <w:t>Santarelli (1974)</w:t>
      </w:r>
      <w:r w:rsidR="00FC1429" w:rsidRPr="00A169F7">
        <w:rPr>
          <w:rFonts w:cstheme="minorHAnsi"/>
          <w:sz w:val="24"/>
          <w:szCs w:val="24"/>
        </w:rPr>
        <w:t xml:space="preserve"> </w:t>
      </w:r>
      <w:r w:rsidR="0094421D" w:rsidRPr="00A169F7">
        <w:rPr>
          <w:rFonts w:cstheme="minorHAnsi"/>
          <w:sz w:val="24"/>
          <w:szCs w:val="24"/>
        </w:rPr>
        <w:t>arguably had a huge impact on victim support when suggest</w:t>
      </w:r>
      <w:r w:rsidR="00F55B61">
        <w:rPr>
          <w:rFonts w:cstheme="minorHAnsi"/>
          <w:sz w:val="24"/>
          <w:szCs w:val="24"/>
        </w:rPr>
        <w:t>ing</w:t>
      </w:r>
      <w:r w:rsidR="0094421D" w:rsidRPr="00A169F7">
        <w:rPr>
          <w:rFonts w:cstheme="minorHAnsi"/>
          <w:sz w:val="24"/>
          <w:szCs w:val="24"/>
        </w:rPr>
        <w:t xml:space="preserve"> that</w:t>
      </w:r>
      <w:r w:rsidR="00F55B61">
        <w:rPr>
          <w:rFonts w:cstheme="minorHAnsi"/>
          <w:sz w:val="24"/>
          <w:szCs w:val="24"/>
        </w:rPr>
        <w:t xml:space="preserve">, </w:t>
      </w:r>
      <w:r w:rsidR="0094421D" w:rsidRPr="00A169F7">
        <w:rPr>
          <w:rFonts w:cstheme="minorHAnsi"/>
          <w:sz w:val="24"/>
          <w:szCs w:val="24"/>
        </w:rPr>
        <w:t>neglecting victims during a court trial had a massive impact on the failure to prosecute offenders, and therefore both the victims and offenders were likely to reoffend and repeat the process.</w:t>
      </w:r>
      <w:r w:rsidR="00D65F7C" w:rsidRPr="00A169F7">
        <w:rPr>
          <w:rFonts w:cstheme="minorHAnsi"/>
          <w:sz w:val="24"/>
          <w:szCs w:val="24"/>
        </w:rPr>
        <w:t xml:space="preserve"> This idea controversially made a stronger case for the increase in funding for victim and witness support (Young &amp; Stein, 2019).</w:t>
      </w:r>
      <w:r w:rsidR="00D218DB" w:rsidRPr="00A169F7">
        <w:rPr>
          <w:rFonts w:cstheme="minorHAnsi"/>
          <w:sz w:val="24"/>
          <w:szCs w:val="24"/>
        </w:rPr>
        <w:t xml:space="preserve"> To support this idea further, Dignan (2005)</w:t>
      </w:r>
      <w:r w:rsidR="00FB5120" w:rsidRPr="00A169F7">
        <w:rPr>
          <w:rFonts w:cstheme="minorHAnsi"/>
          <w:sz w:val="24"/>
          <w:szCs w:val="24"/>
        </w:rPr>
        <w:t xml:space="preserve"> </w:t>
      </w:r>
      <w:r w:rsidR="00D218DB" w:rsidRPr="00A169F7">
        <w:rPr>
          <w:rFonts w:cstheme="minorHAnsi"/>
          <w:sz w:val="24"/>
          <w:szCs w:val="24"/>
        </w:rPr>
        <w:t>also stated that the offenders are often people who have been victimised from past crimes.</w:t>
      </w:r>
      <w:r w:rsidR="00CF04C8" w:rsidRPr="00A169F7">
        <w:rPr>
          <w:rFonts w:cstheme="minorHAnsi"/>
          <w:sz w:val="24"/>
          <w:szCs w:val="24"/>
        </w:rPr>
        <w:t xml:space="preserve"> </w:t>
      </w:r>
    </w:p>
    <w:p w14:paraId="68F2F779" w14:textId="78DE5C69" w:rsidR="00F11F39" w:rsidRPr="00A169F7" w:rsidRDefault="00D22DFC" w:rsidP="00A169F7">
      <w:pPr>
        <w:spacing w:line="480" w:lineRule="auto"/>
        <w:ind w:firstLine="720"/>
        <w:rPr>
          <w:rFonts w:cstheme="minorHAnsi"/>
          <w:sz w:val="24"/>
          <w:szCs w:val="24"/>
        </w:rPr>
      </w:pPr>
      <w:r w:rsidRPr="00A169F7">
        <w:rPr>
          <w:rFonts w:cstheme="minorHAnsi"/>
          <w:sz w:val="24"/>
          <w:szCs w:val="24"/>
        </w:rPr>
        <w:lastRenderedPageBreak/>
        <w:t xml:space="preserve">Even by </w:t>
      </w:r>
      <w:r w:rsidR="00533B67" w:rsidRPr="00A169F7">
        <w:rPr>
          <w:rFonts w:cstheme="minorHAnsi"/>
          <w:sz w:val="24"/>
          <w:szCs w:val="24"/>
        </w:rPr>
        <w:t xml:space="preserve">the </w:t>
      </w:r>
      <w:r w:rsidRPr="00A169F7">
        <w:rPr>
          <w:rFonts w:cstheme="minorHAnsi"/>
          <w:sz w:val="24"/>
          <w:szCs w:val="24"/>
        </w:rPr>
        <w:t>1990s, victim groups were becoming more prevalent throughout the world, and non-profit organisations were beginning to emerge to deal with the surplus of victims as crime rates continued to increase</w:t>
      </w:r>
      <w:r w:rsidR="000C108F" w:rsidRPr="00A169F7">
        <w:rPr>
          <w:rFonts w:cstheme="minorHAnsi"/>
          <w:sz w:val="24"/>
          <w:szCs w:val="24"/>
        </w:rPr>
        <w:t xml:space="preserve"> (Nuttman-Shwartz &amp; Schindler, 2004)</w:t>
      </w:r>
      <w:r w:rsidR="00511F6D" w:rsidRPr="00A169F7">
        <w:rPr>
          <w:rFonts w:cstheme="minorHAnsi"/>
          <w:sz w:val="24"/>
          <w:szCs w:val="24"/>
        </w:rPr>
        <w:t xml:space="preserve">. </w:t>
      </w:r>
      <w:r w:rsidRPr="00A169F7">
        <w:rPr>
          <w:rFonts w:cstheme="minorHAnsi"/>
          <w:sz w:val="24"/>
          <w:szCs w:val="24"/>
        </w:rPr>
        <w:t>Victimisation had developed strongly by the 2000’s, as stated by Andrews et al (2000) scientists had begun to look into the brain's response to trauma</w:t>
      </w:r>
      <w:r w:rsidR="002B2964">
        <w:rPr>
          <w:rFonts w:cstheme="minorHAnsi"/>
          <w:sz w:val="24"/>
          <w:szCs w:val="24"/>
        </w:rPr>
        <w:t xml:space="preserve">, </w:t>
      </w:r>
      <w:r w:rsidRPr="00A169F7">
        <w:rPr>
          <w:rFonts w:cstheme="minorHAnsi"/>
          <w:sz w:val="24"/>
          <w:szCs w:val="24"/>
        </w:rPr>
        <w:t xml:space="preserve">in </w:t>
      </w:r>
      <w:r w:rsidR="002B2964">
        <w:rPr>
          <w:rFonts w:cstheme="minorHAnsi"/>
          <w:sz w:val="24"/>
          <w:szCs w:val="24"/>
        </w:rPr>
        <w:t xml:space="preserve">an </w:t>
      </w:r>
      <w:r w:rsidRPr="00A169F7">
        <w:rPr>
          <w:rFonts w:cstheme="minorHAnsi"/>
          <w:sz w:val="24"/>
          <w:szCs w:val="24"/>
        </w:rPr>
        <w:t>attempt to understand why victims are prone to long-term impairments such posttraumatic stress disorder.</w:t>
      </w:r>
      <w:r w:rsidR="00F11F39" w:rsidRPr="00A169F7">
        <w:rPr>
          <w:rFonts w:cstheme="minorHAnsi"/>
          <w:sz w:val="24"/>
          <w:szCs w:val="24"/>
        </w:rPr>
        <w:t xml:space="preserve"> </w:t>
      </w:r>
      <w:r w:rsidR="00067F91">
        <w:rPr>
          <w:rFonts w:cstheme="minorHAnsi"/>
          <w:sz w:val="24"/>
          <w:szCs w:val="24"/>
        </w:rPr>
        <w:t>As the population in the UK came more diverse, research found that p</w:t>
      </w:r>
      <w:r w:rsidR="00544050" w:rsidRPr="00A169F7">
        <w:rPr>
          <w:rFonts w:cstheme="minorHAnsi"/>
          <w:sz w:val="24"/>
          <w:szCs w:val="24"/>
        </w:rPr>
        <w:t xml:space="preserve">eople are </w:t>
      </w:r>
      <w:r w:rsidR="00067F91">
        <w:rPr>
          <w:rFonts w:cstheme="minorHAnsi"/>
          <w:sz w:val="24"/>
          <w:szCs w:val="24"/>
        </w:rPr>
        <w:t>more likely to be</w:t>
      </w:r>
      <w:r w:rsidR="00544050" w:rsidRPr="00A169F7">
        <w:rPr>
          <w:rFonts w:cstheme="minorHAnsi"/>
          <w:sz w:val="24"/>
          <w:szCs w:val="24"/>
        </w:rPr>
        <w:t xml:space="preserve"> neglected based on their ethnicity, gender, age, sexuality, religion, disability, and wealth (Spalek, 200</w:t>
      </w:r>
      <w:r w:rsidR="001A2260" w:rsidRPr="00A169F7">
        <w:rPr>
          <w:rFonts w:cstheme="minorHAnsi"/>
          <w:sz w:val="24"/>
          <w:szCs w:val="24"/>
        </w:rPr>
        <w:t>4</w:t>
      </w:r>
      <w:r w:rsidR="00544050" w:rsidRPr="00A169F7">
        <w:rPr>
          <w:rFonts w:cstheme="minorHAnsi"/>
          <w:sz w:val="24"/>
          <w:szCs w:val="24"/>
        </w:rPr>
        <w:t>)</w:t>
      </w:r>
      <w:r w:rsidR="001A2260" w:rsidRPr="00A169F7">
        <w:rPr>
          <w:rFonts w:cstheme="minorHAnsi"/>
          <w:sz w:val="24"/>
          <w:szCs w:val="24"/>
        </w:rPr>
        <w:t>.</w:t>
      </w:r>
      <w:r w:rsidR="00544050" w:rsidRPr="00A169F7">
        <w:rPr>
          <w:rFonts w:cstheme="minorHAnsi"/>
          <w:sz w:val="24"/>
          <w:szCs w:val="24"/>
        </w:rPr>
        <w:t xml:space="preserve"> As argued by Hopkins (2008)</w:t>
      </w:r>
      <w:r w:rsidR="004433D1" w:rsidRPr="00A169F7">
        <w:rPr>
          <w:rFonts w:cstheme="minorHAnsi"/>
          <w:sz w:val="24"/>
          <w:szCs w:val="24"/>
        </w:rPr>
        <w:t>,</w:t>
      </w:r>
      <w:r w:rsidR="00544050" w:rsidRPr="00A169F7">
        <w:rPr>
          <w:rFonts w:cstheme="minorHAnsi"/>
          <w:sz w:val="24"/>
          <w:szCs w:val="24"/>
        </w:rPr>
        <w:t xml:space="preserve"> any valuable work on victimisation and trauma must explicitly address issues of diversity. </w:t>
      </w:r>
    </w:p>
    <w:p w14:paraId="24C1824F" w14:textId="5DAE59DF" w:rsidR="00D22DFC" w:rsidRPr="00A169F7" w:rsidRDefault="00F11F39" w:rsidP="00A169F7">
      <w:pPr>
        <w:spacing w:line="480" w:lineRule="auto"/>
        <w:ind w:firstLine="720"/>
        <w:rPr>
          <w:rFonts w:cstheme="minorHAnsi"/>
          <w:sz w:val="24"/>
          <w:szCs w:val="24"/>
        </w:rPr>
      </w:pPr>
      <w:r w:rsidRPr="00A169F7">
        <w:rPr>
          <w:rFonts w:cstheme="minorHAnsi"/>
          <w:sz w:val="24"/>
          <w:szCs w:val="24"/>
        </w:rPr>
        <w:t xml:space="preserve">On the other hand, according to </w:t>
      </w:r>
      <w:r w:rsidR="00FB5120" w:rsidRPr="00A169F7">
        <w:rPr>
          <w:rFonts w:cstheme="minorHAnsi"/>
          <w:sz w:val="24"/>
          <w:szCs w:val="24"/>
        </w:rPr>
        <w:t xml:space="preserve">Goodey (2005), </w:t>
      </w:r>
      <w:r w:rsidRPr="00A169F7">
        <w:rPr>
          <w:rFonts w:cstheme="minorHAnsi"/>
          <w:sz w:val="24"/>
          <w:szCs w:val="24"/>
        </w:rPr>
        <w:t xml:space="preserve">victim services infrequently examine psychological trauma, when interacting with victims. </w:t>
      </w:r>
      <w:r w:rsidR="00CF04C8" w:rsidRPr="00A169F7">
        <w:rPr>
          <w:rFonts w:cstheme="minorHAnsi"/>
          <w:sz w:val="24"/>
          <w:szCs w:val="24"/>
        </w:rPr>
        <w:t xml:space="preserve">Furthermore, </w:t>
      </w:r>
      <w:r w:rsidR="001A6487" w:rsidRPr="00A169F7">
        <w:rPr>
          <w:rFonts w:cstheme="minorHAnsi"/>
          <w:sz w:val="24"/>
          <w:szCs w:val="24"/>
        </w:rPr>
        <w:t xml:space="preserve">Khan (2015), </w:t>
      </w:r>
      <w:r w:rsidR="00CF04C8" w:rsidRPr="00A169F7">
        <w:rPr>
          <w:rFonts w:cstheme="minorHAnsi"/>
          <w:sz w:val="24"/>
          <w:szCs w:val="24"/>
        </w:rPr>
        <w:t xml:space="preserve">states that trauma-related symptoms among minorities remain unclear due to the lack of willing people to come forward from those minority groups. </w:t>
      </w:r>
      <w:r w:rsidR="00E1630E" w:rsidRPr="00A169F7">
        <w:rPr>
          <w:rFonts w:cstheme="minorHAnsi"/>
          <w:sz w:val="24"/>
          <w:szCs w:val="24"/>
        </w:rPr>
        <w:t>Additionally, Mack &amp; Goodfellow (2014)</w:t>
      </w:r>
      <w:r w:rsidR="000424FA" w:rsidRPr="00A169F7">
        <w:rPr>
          <w:rFonts w:cstheme="minorHAnsi"/>
          <w:sz w:val="24"/>
          <w:szCs w:val="24"/>
        </w:rPr>
        <w:t xml:space="preserve">, </w:t>
      </w:r>
      <w:r w:rsidR="00CF04C8" w:rsidRPr="00A169F7">
        <w:rPr>
          <w:rFonts w:cstheme="minorHAnsi"/>
          <w:sz w:val="24"/>
          <w:szCs w:val="24"/>
        </w:rPr>
        <w:t>believe</w:t>
      </w:r>
      <w:r w:rsidR="000424FA" w:rsidRPr="00A169F7">
        <w:rPr>
          <w:rFonts w:cstheme="minorHAnsi"/>
          <w:sz w:val="24"/>
          <w:szCs w:val="24"/>
        </w:rPr>
        <w:t>s</w:t>
      </w:r>
      <w:r w:rsidR="00CF04C8" w:rsidRPr="00A169F7">
        <w:rPr>
          <w:rFonts w:cstheme="minorHAnsi"/>
          <w:sz w:val="24"/>
          <w:szCs w:val="24"/>
        </w:rPr>
        <w:t xml:space="preserve"> that minority populations have less access to mental health treatments. Further</w:t>
      </w:r>
      <w:r w:rsidR="00322AF8" w:rsidRPr="00A169F7">
        <w:rPr>
          <w:rFonts w:cstheme="minorHAnsi"/>
          <w:sz w:val="24"/>
          <w:szCs w:val="24"/>
        </w:rPr>
        <w:t xml:space="preserve">more, </w:t>
      </w:r>
      <w:r w:rsidR="00E1630E" w:rsidRPr="00A169F7">
        <w:rPr>
          <w:rFonts w:cstheme="minorHAnsi"/>
          <w:sz w:val="24"/>
          <w:szCs w:val="24"/>
        </w:rPr>
        <w:t>Kalonji</w:t>
      </w:r>
      <w:r w:rsidR="000424FA" w:rsidRPr="00A169F7">
        <w:rPr>
          <w:rFonts w:cstheme="minorHAnsi"/>
          <w:sz w:val="24"/>
          <w:szCs w:val="24"/>
        </w:rPr>
        <w:t xml:space="preserve"> </w:t>
      </w:r>
      <w:r w:rsidR="00E1630E" w:rsidRPr="00A169F7">
        <w:rPr>
          <w:rFonts w:cstheme="minorHAnsi"/>
          <w:sz w:val="24"/>
          <w:szCs w:val="24"/>
        </w:rPr>
        <w:t>(2016)</w:t>
      </w:r>
      <w:r w:rsidR="000424FA" w:rsidRPr="00A169F7">
        <w:rPr>
          <w:rFonts w:cstheme="minorHAnsi"/>
          <w:sz w:val="24"/>
          <w:szCs w:val="24"/>
        </w:rPr>
        <w:t xml:space="preserve">, </w:t>
      </w:r>
      <w:r w:rsidR="00CF04C8" w:rsidRPr="00A169F7">
        <w:rPr>
          <w:rFonts w:cstheme="minorHAnsi"/>
          <w:sz w:val="24"/>
          <w:szCs w:val="24"/>
        </w:rPr>
        <w:t>believes that minority communities might also be excluded and humiliated as a consequence of not conforming to mainstream society's norms</w:t>
      </w:r>
      <w:r w:rsidR="005D7E2A">
        <w:rPr>
          <w:rFonts w:cstheme="minorHAnsi"/>
          <w:sz w:val="24"/>
          <w:szCs w:val="24"/>
        </w:rPr>
        <w:t xml:space="preserve"> about seeking help</w:t>
      </w:r>
      <w:r w:rsidR="00CF04C8" w:rsidRPr="00A169F7">
        <w:rPr>
          <w:rFonts w:cstheme="minorHAnsi"/>
          <w:sz w:val="24"/>
          <w:szCs w:val="24"/>
        </w:rPr>
        <w:t>. It is suggested that the lack of representation from diverse groups seeking help has had a negative impact on the research and overall outcome</w:t>
      </w:r>
      <w:r w:rsidR="002C5655">
        <w:rPr>
          <w:rFonts w:cstheme="minorHAnsi"/>
          <w:sz w:val="24"/>
          <w:szCs w:val="24"/>
        </w:rPr>
        <w:t>.</w:t>
      </w:r>
      <w:r w:rsidR="00CF04C8" w:rsidRPr="00A169F7">
        <w:rPr>
          <w:rFonts w:cstheme="minorHAnsi"/>
          <w:sz w:val="24"/>
          <w:szCs w:val="24"/>
        </w:rPr>
        <w:t xml:space="preserve"> </w:t>
      </w:r>
      <w:r w:rsidR="002C5655">
        <w:rPr>
          <w:rFonts w:cstheme="minorHAnsi"/>
          <w:sz w:val="24"/>
          <w:szCs w:val="24"/>
        </w:rPr>
        <w:t>Therefore, support</w:t>
      </w:r>
      <w:r w:rsidR="00CF04C8" w:rsidRPr="00A169F7">
        <w:rPr>
          <w:rFonts w:cstheme="minorHAnsi"/>
          <w:sz w:val="24"/>
          <w:szCs w:val="24"/>
        </w:rPr>
        <w:t xml:space="preserve"> organisations could well fail to recognise symptoms that people from minority backgrounds suffer from and therefore will not be able to provide them with the appropriate help or treatment (Mack &amp; Goodfellow, 2014)</w:t>
      </w:r>
      <w:r w:rsidR="001A2260" w:rsidRPr="00A169F7">
        <w:rPr>
          <w:rFonts w:cstheme="minorHAnsi"/>
          <w:sz w:val="24"/>
          <w:szCs w:val="24"/>
        </w:rPr>
        <w:t>.</w:t>
      </w:r>
      <w:r w:rsidR="00CF04C8" w:rsidRPr="00A169F7">
        <w:rPr>
          <w:rFonts w:cstheme="minorHAnsi"/>
          <w:sz w:val="24"/>
          <w:szCs w:val="24"/>
        </w:rPr>
        <w:t xml:space="preserve"> </w:t>
      </w:r>
    </w:p>
    <w:p w14:paraId="76D7ED19" w14:textId="3F17ED0E" w:rsidR="00925D40" w:rsidRPr="00A169F7" w:rsidRDefault="00925D40" w:rsidP="00A169F7">
      <w:pPr>
        <w:spacing w:line="480" w:lineRule="auto"/>
        <w:ind w:firstLine="720"/>
        <w:rPr>
          <w:rFonts w:cstheme="minorHAnsi"/>
          <w:sz w:val="24"/>
          <w:szCs w:val="24"/>
        </w:rPr>
      </w:pPr>
      <w:r w:rsidRPr="00A169F7">
        <w:rPr>
          <w:rFonts w:cstheme="minorHAnsi"/>
          <w:sz w:val="24"/>
          <w:szCs w:val="24"/>
        </w:rPr>
        <w:lastRenderedPageBreak/>
        <w:t xml:space="preserve">The consequences of criminality can remain with the victim for a long time, regardless of how severe the offense was. Many people can tolerate the most severe acts with ease, while others might be deeply affected by a little encounter (Visconti, 2019). According to recent studies, there are three stages in which a victim of crime goes through </w:t>
      </w:r>
      <w:bookmarkStart w:id="0" w:name="_Hlk85320388"/>
      <w:r w:rsidRPr="00A169F7">
        <w:rPr>
          <w:rFonts w:cstheme="minorHAnsi"/>
          <w:sz w:val="24"/>
          <w:szCs w:val="24"/>
        </w:rPr>
        <w:t>(Victim Support, 2021</w:t>
      </w:r>
      <w:r w:rsidR="00DC5315" w:rsidRPr="00A169F7">
        <w:rPr>
          <w:rFonts w:cstheme="minorHAnsi"/>
          <w:sz w:val="24"/>
          <w:szCs w:val="24"/>
        </w:rPr>
        <w:t>a</w:t>
      </w:r>
      <w:r w:rsidRPr="00A169F7">
        <w:rPr>
          <w:rFonts w:cstheme="minorHAnsi"/>
          <w:sz w:val="24"/>
          <w:szCs w:val="24"/>
        </w:rPr>
        <w:t>)</w:t>
      </w:r>
      <w:bookmarkEnd w:id="0"/>
      <w:r w:rsidRPr="00A169F7">
        <w:rPr>
          <w:rFonts w:cstheme="minorHAnsi"/>
          <w:sz w:val="24"/>
          <w:szCs w:val="24"/>
        </w:rPr>
        <w:t xml:space="preserve">. Victims of crime often feel upset, disturbed, or experience other intense emotions in the short to medium term. Physical symptoms, such like loss of sleep or feeling unwell, may follow, and long-term issues, such as depression or anxiety-related disorders, such as post-traumatic stress disorder, are frequently found in victims that often offend as a result of victimisation (Hall, 2018) (Rossetti, Mayes and Moroz, 2017). Furthermore, according to Evans, Stalker &amp; Brown (2020) the police often fail to expand their support to the people in the near area, such as </w:t>
      </w:r>
      <w:r w:rsidR="00AC7A5D">
        <w:rPr>
          <w:rFonts w:cstheme="minorHAnsi"/>
          <w:sz w:val="24"/>
          <w:szCs w:val="24"/>
        </w:rPr>
        <w:t xml:space="preserve">providing care for </w:t>
      </w:r>
      <w:r w:rsidRPr="00A169F7">
        <w:rPr>
          <w:rFonts w:cstheme="minorHAnsi"/>
          <w:sz w:val="24"/>
          <w:szCs w:val="24"/>
        </w:rPr>
        <w:t>relatives or friends. These people are often prone to be affected too</w:t>
      </w:r>
      <w:r w:rsidR="00AC7A5D">
        <w:rPr>
          <w:rFonts w:cstheme="minorHAnsi"/>
          <w:sz w:val="24"/>
          <w:szCs w:val="24"/>
        </w:rPr>
        <w:t xml:space="preserve"> </w:t>
      </w:r>
      <w:r w:rsidR="00AC7A5D" w:rsidRPr="00AC7A5D">
        <w:rPr>
          <w:rFonts w:cstheme="minorHAnsi"/>
          <w:sz w:val="24"/>
          <w:szCs w:val="24"/>
        </w:rPr>
        <w:t>(Victim Support, 2021a)</w:t>
      </w:r>
      <w:r w:rsidRPr="00A169F7">
        <w:rPr>
          <w:rFonts w:cstheme="minorHAnsi"/>
          <w:sz w:val="24"/>
          <w:szCs w:val="24"/>
        </w:rPr>
        <w:t>.</w:t>
      </w:r>
    </w:p>
    <w:p w14:paraId="2528FD3D" w14:textId="156BAC0D" w:rsidR="00244980" w:rsidRPr="00A169F7" w:rsidRDefault="008D3DC8" w:rsidP="00A169F7">
      <w:pPr>
        <w:spacing w:line="480" w:lineRule="auto"/>
        <w:ind w:firstLine="720"/>
        <w:rPr>
          <w:rFonts w:cstheme="minorHAnsi"/>
          <w:sz w:val="24"/>
          <w:szCs w:val="24"/>
        </w:rPr>
      </w:pPr>
      <w:r w:rsidRPr="00A169F7">
        <w:rPr>
          <w:rFonts w:cstheme="minorHAnsi"/>
          <w:sz w:val="24"/>
          <w:szCs w:val="24"/>
        </w:rPr>
        <w:t>To help the victims it is important to try and reduce the chances of victimisation and provide the best support services possible in hope to reduce the overall crime rates (Victim Support, 2021</w:t>
      </w:r>
      <w:r w:rsidR="00DC5315" w:rsidRPr="00A169F7">
        <w:rPr>
          <w:rFonts w:cstheme="minorHAnsi"/>
          <w:sz w:val="24"/>
          <w:szCs w:val="24"/>
        </w:rPr>
        <w:t>b</w:t>
      </w:r>
      <w:r w:rsidRPr="00A169F7">
        <w:rPr>
          <w:rFonts w:cstheme="minorHAnsi"/>
          <w:sz w:val="24"/>
          <w:szCs w:val="24"/>
        </w:rPr>
        <w:t xml:space="preserve">). </w:t>
      </w:r>
      <w:r w:rsidR="00247482">
        <w:rPr>
          <w:rFonts w:cstheme="minorHAnsi"/>
          <w:sz w:val="24"/>
          <w:szCs w:val="24"/>
        </w:rPr>
        <w:t>However, t</w:t>
      </w:r>
      <w:r w:rsidR="00B923E0" w:rsidRPr="00A169F7">
        <w:rPr>
          <w:rFonts w:cstheme="minorHAnsi"/>
          <w:sz w:val="24"/>
          <w:szCs w:val="24"/>
        </w:rPr>
        <w:t xml:space="preserve">he World Society of Victimology definition appears rather </w:t>
      </w:r>
      <w:r w:rsidRPr="00A169F7">
        <w:rPr>
          <w:rFonts w:cstheme="minorHAnsi"/>
          <w:sz w:val="24"/>
          <w:szCs w:val="24"/>
        </w:rPr>
        <w:t>limited</w:t>
      </w:r>
      <w:r w:rsidR="00244980" w:rsidRPr="00A169F7">
        <w:rPr>
          <w:rFonts w:cstheme="minorHAnsi"/>
          <w:sz w:val="24"/>
          <w:szCs w:val="24"/>
        </w:rPr>
        <w:t xml:space="preserve"> because</w:t>
      </w:r>
      <w:r w:rsidR="00B923E0" w:rsidRPr="00A169F7">
        <w:rPr>
          <w:rFonts w:cstheme="minorHAnsi"/>
          <w:sz w:val="24"/>
          <w:szCs w:val="24"/>
        </w:rPr>
        <w:t xml:space="preserve"> there are numerous instances of victimisation which do not fit into, or not being addressed by, criminal statutes and the </w:t>
      </w:r>
      <w:r w:rsidR="00247482">
        <w:rPr>
          <w:rFonts w:cstheme="minorHAnsi"/>
          <w:sz w:val="24"/>
          <w:szCs w:val="24"/>
        </w:rPr>
        <w:t>C</w:t>
      </w:r>
      <w:r w:rsidR="00B923E0" w:rsidRPr="00A169F7">
        <w:rPr>
          <w:rFonts w:cstheme="minorHAnsi"/>
          <w:sz w:val="24"/>
          <w:szCs w:val="24"/>
        </w:rPr>
        <w:t xml:space="preserve">riminal </w:t>
      </w:r>
      <w:r w:rsidR="00247482">
        <w:rPr>
          <w:rFonts w:cstheme="minorHAnsi"/>
          <w:sz w:val="24"/>
          <w:szCs w:val="24"/>
        </w:rPr>
        <w:t>J</w:t>
      </w:r>
      <w:r w:rsidR="00B923E0" w:rsidRPr="00A169F7">
        <w:rPr>
          <w:rFonts w:cstheme="minorHAnsi"/>
          <w:sz w:val="24"/>
          <w:szCs w:val="24"/>
        </w:rPr>
        <w:t xml:space="preserve">ustice </w:t>
      </w:r>
      <w:r w:rsidR="00247482">
        <w:rPr>
          <w:rFonts w:cstheme="minorHAnsi"/>
          <w:sz w:val="24"/>
          <w:szCs w:val="24"/>
        </w:rPr>
        <w:t>S</w:t>
      </w:r>
      <w:r w:rsidR="00B923E0" w:rsidRPr="00A169F7">
        <w:rPr>
          <w:rFonts w:cstheme="minorHAnsi"/>
          <w:sz w:val="24"/>
          <w:szCs w:val="24"/>
        </w:rPr>
        <w:t>ystem (Hillyard &amp; Tombs, 2008)</w:t>
      </w:r>
      <w:r w:rsidR="00E024A2" w:rsidRPr="00A169F7">
        <w:rPr>
          <w:rFonts w:cstheme="minorHAnsi"/>
          <w:sz w:val="24"/>
          <w:szCs w:val="24"/>
        </w:rPr>
        <w:t xml:space="preserve">. </w:t>
      </w:r>
      <w:r w:rsidR="00244980" w:rsidRPr="00A169F7">
        <w:rPr>
          <w:rFonts w:cstheme="minorHAnsi"/>
          <w:sz w:val="24"/>
          <w:szCs w:val="24"/>
        </w:rPr>
        <w:t xml:space="preserve">To support this argument, </w:t>
      </w:r>
      <w:r w:rsidR="00244980" w:rsidRPr="00A169F7">
        <w:rPr>
          <w:rFonts w:eastAsia="Calibri" w:cstheme="minorHAnsi"/>
          <w:sz w:val="24"/>
          <w:szCs w:val="24"/>
        </w:rPr>
        <w:t xml:space="preserve">Patel (2021) </w:t>
      </w:r>
      <w:r w:rsidR="001A2A73">
        <w:rPr>
          <w:rFonts w:eastAsia="Calibri" w:cstheme="minorHAnsi"/>
          <w:sz w:val="24"/>
          <w:szCs w:val="24"/>
        </w:rPr>
        <w:t>highlighted</w:t>
      </w:r>
      <w:r w:rsidR="00244980" w:rsidRPr="00A169F7">
        <w:rPr>
          <w:rFonts w:eastAsia="Calibri" w:cstheme="minorHAnsi"/>
          <w:sz w:val="24"/>
          <w:szCs w:val="24"/>
        </w:rPr>
        <w:t xml:space="preserve"> </w:t>
      </w:r>
      <w:r w:rsidR="001A2A73">
        <w:rPr>
          <w:rFonts w:eastAsia="Calibri" w:cstheme="minorHAnsi"/>
          <w:sz w:val="24"/>
          <w:szCs w:val="24"/>
        </w:rPr>
        <w:t>the</w:t>
      </w:r>
      <w:r w:rsidR="00244980" w:rsidRPr="00A169F7">
        <w:rPr>
          <w:rFonts w:eastAsia="Calibri" w:cstheme="minorHAnsi"/>
          <w:sz w:val="24"/>
          <w:szCs w:val="24"/>
        </w:rPr>
        <w:t xml:space="preserve"> committed to provide the </w:t>
      </w:r>
      <w:r w:rsidR="001A2A73">
        <w:rPr>
          <w:rFonts w:eastAsia="Calibri" w:cstheme="minorHAnsi"/>
          <w:sz w:val="24"/>
          <w:szCs w:val="24"/>
        </w:rPr>
        <w:t xml:space="preserve">correct </w:t>
      </w:r>
      <w:r w:rsidR="00244980" w:rsidRPr="00A169F7">
        <w:rPr>
          <w:rFonts w:eastAsia="Calibri" w:cstheme="minorHAnsi"/>
          <w:sz w:val="24"/>
          <w:szCs w:val="24"/>
        </w:rPr>
        <w:t>polic</w:t>
      </w:r>
      <w:r w:rsidR="001A2A73">
        <w:rPr>
          <w:rFonts w:eastAsia="Calibri" w:cstheme="minorHAnsi"/>
          <w:sz w:val="24"/>
          <w:szCs w:val="24"/>
        </w:rPr>
        <w:t>ing</w:t>
      </w:r>
      <w:r w:rsidR="00244980" w:rsidRPr="00A169F7">
        <w:rPr>
          <w:rFonts w:eastAsia="Calibri" w:cstheme="minorHAnsi"/>
          <w:sz w:val="24"/>
          <w:szCs w:val="24"/>
        </w:rPr>
        <w:t xml:space="preserve"> tools they to prosecute criminals. Additionally, the government stated that they were "looking closely at the existing law </w:t>
      </w:r>
      <w:r w:rsidR="00D64DE9">
        <w:rPr>
          <w:rFonts w:eastAsia="Calibri" w:cstheme="minorHAnsi"/>
          <w:sz w:val="24"/>
          <w:szCs w:val="24"/>
        </w:rPr>
        <w:t xml:space="preserve">that </w:t>
      </w:r>
      <w:r w:rsidR="00244980" w:rsidRPr="00A169F7">
        <w:rPr>
          <w:rFonts w:eastAsia="Calibri" w:cstheme="minorHAnsi"/>
          <w:sz w:val="24"/>
          <w:szCs w:val="24"/>
        </w:rPr>
        <w:t xml:space="preserve">may have gaps" </w:t>
      </w:r>
      <w:r w:rsidR="00D64DE9">
        <w:rPr>
          <w:rFonts w:eastAsia="Calibri" w:cstheme="minorHAnsi"/>
          <w:sz w:val="24"/>
          <w:szCs w:val="24"/>
        </w:rPr>
        <w:t xml:space="preserve">to overcome the problem of the increasing crime rates </w:t>
      </w:r>
      <w:r w:rsidR="00244980" w:rsidRPr="00A169F7">
        <w:rPr>
          <w:rFonts w:eastAsia="Calibri" w:cstheme="minorHAnsi"/>
          <w:sz w:val="24"/>
          <w:szCs w:val="24"/>
          <w:lang w:val="en"/>
        </w:rPr>
        <w:t xml:space="preserve">(GOV.UK, 2021, p.5). To support this further, "We need a radical change in the entire system," argues Andrea Simon, director of the VAWG campaign (Simon, 2021, p.16). However, campaigners call for long-awaited strategy for a new law based on street harassment, however according to home secretary Patel (2021) the new bill </w:t>
      </w:r>
      <w:r w:rsidR="00244980" w:rsidRPr="00A169F7">
        <w:rPr>
          <w:rFonts w:eastAsia="Calibri" w:cstheme="minorHAnsi"/>
          <w:sz w:val="24"/>
          <w:szCs w:val="24"/>
          <w:lang w:val="en"/>
        </w:rPr>
        <w:lastRenderedPageBreak/>
        <w:t>called the ‘VAWG strategy’ will not be processed. The strategy gained huge support due to the aftermath of the murder of Sarah Everard. The strategy also proposes a reassessment of offender rehabilitation, allowing police to focus on repeat offenders and crime victims</w:t>
      </w:r>
      <w:r w:rsidR="00244980" w:rsidRPr="00A169F7">
        <w:rPr>
          <w:rFonts w:eastAsia="Calibri" w:cstheme="minorHAnsi"/>
          <w:sz w:val="24"/>
          <w:szCs w:val="24"/>
        </w:rPr>
        <w:t xml:space="preserve"> (Topping, 2021). According to the independent adviser Ali (2021, p.17) "Ending harassment would need a whole-system shift”. </w:t>
      </w:r>
    </w:p>
    <w:p w14:paraId="60079B73" w14:textId="208E9901" w:rsidR="007D7A6B" w:rsidRPr="00A169F7" w:rsidRDefault="00032AA9" w:rsidP="00A169F7">
      <w:pPr>
        <w:spacing w:line="480" w:lineRule="auto"/>
        <w:ind w:firstLine="720"/>
        <w:rPr>
          <w:rFonts w:cstheme="minorHAnsi"/>
          <w:sz w:val="24"/>
          <w:szCs w:val="24"/>
        </w:rPr>
      </w:pPr>
      <w:r w:rsidRPr="00A169F7">
        <w:rPr>
          <w:rFonts w:cstheme="minorHAnsi"/>
          <w:sz w:val="24"/>
          <w:szCs w:val="24"/>
        </w:rPr>
        <w:t xml:space="preserve">Shoham et al (2010) </w:t>
      </w:r>
      <w:r w:rsidR="002D69D3" w:rsidRPr="00A169F7">
        <w:rPr>
          <w:rFonts w:cstheme="minorHAnsi"/>
          <w:sz w:val="24"/>
          <w:szCs w:val="24"/>
        </w:rPr>
        <w:t xml:space="preserve">argues that </w:t>
      </w:r>
      <w:r w:rsidR="00B923E0" w:rsidRPr="00A169F7">
        <w:rPr>
          <w:rFonts w:cstheme="minorHAnsi"/>
          <w:sz w:val="24"/>
          <w:szCs w:val="24"/>
        </w:rPr>
        <w:t>the police are not focusing and resolving cases as effectively as they should be</w:t>
      </w:r>
      <w:r w:rsidR="00456E69">
        <w:rPr>
          <w:rFonts w:cstheme="minorHAnsi"/>
          <w:sz w:val="24"/>
          <w:szCs w:val="24"/>
        </w:rPr>
        <w:t xml:space="preserve"> in relation to victimisation related offences</w:t>
      </w:r>
      <w:r w:rsidR="00B923E0" w:rsidRPr="00A169F7">
        <w:rPr>
          <w:rFonts w:cstheme="minorHAnsi"/>
          <w:sz w:val="24"/>
          <w:szCs w:val="24"/>
        </w:rPr>
        <w:t>.</w:t>
      </w:r>
      <w:r w:rsidR="002D69D3" w:rsidRPr="00A169F7">
        <w:rPr>
          <w:rFonts w:cstheme="minorHAnsi"/>
          <w:sz w:val="24"/>
          <w:szCs w:val="24"/>
        </w:rPr>
        <w:t xml:space="preserve"> On the other hand, local police have had a significant voice in claiming that various regions respond to the same sort of crime differently because of the 'luxury' of having the time and resources to respond efficiently (HMICFRS, 2018</w:t>
      </w:r>
      <w:r w:rsidR="004B6D8A" w:rsidRPr="00A169F7">
        <w:rPr>
          <w:rFonts w:cstheme="minorHAnsi"/>
          <w:sz w:val="24"/>
          <w:szCs w:val="24"/>
        </w:rPr>
        <w:t>a</w:t>
      </w:r>
      <w:r w:rsidR="002D69D3" w:rsidRPr="00A169F7">
        <w:rPr>
          <w:rFonts w:cstheme="minorHAnsi"/>
          <w:sz w:val="24"/>
          <w:szCs w:val="24"/>
        </w:rPr>
        <w:t xml:space="preserve">). </w:t>
      </w:r>
      <w:r w:rsidR="00405075" w:rsidRPr="00A169F7">
        <w:rPr>
          <w:rFonts w:cstheme="minorHAnsi"/>
          <w:sz w:val="24"/>
          <w:szCs w:val="24"/>
        </w:rPr>
        <w:t xml:space="preserve">As a result of the inquest, many services highlight that a lack of funding for the police has led </w:t>
      </w:r>
      <w:r w:rsidR="00456E69">
        <w:rPr>
          <w:rFonts w:cstheme="minorHAnsi"/>
          <w:sz w:val="24"/>
          <w:szCs w:val="24"/>
        </w:rPr>
        <w:t>to an</w:t>
      </w:r>
      <w:r w:rsidR="00405075" w:rsidRPr="00A169F7">
        <w:rPr>
          <w:rFonts w:cstheme="minorHAnsi"/>
          <w:sz w:val="24"/>
          <w:szCs w:val="24"/>
        </w:rPr>
        <w:t xml:space="preserve"> increase </w:t>
      </w:r>
      <w:r w:rsidR="00456E69">
        <w:rPr>
          <w:rFonts w:cstheme="minorHAnsi"/>
          <w:sz w:val="24"/>
          <w:szCs w:val="24"/>
        </w:rPr>
        <w:t xml:space="preserve">of </w:t>
      </w:r>
      <w:r w:rsidR="00405075" w:rsidRPr="00A169F7">
        <w:rPr>
          <w:rFonts w:cstheme="minorHAnsi"/>
          <w:sz w:val="24"/>
          <w:szCs w:val="24"/>
        </w:rPr>
        <w:t xml:space="preserve">victimisation </w:t>
      </w:r>
      <w:r w:rsidR="00456E69">
        <w:rPr>
          <w:rFonts w:cstheme="minorHAnsi"/>
          <w:sz w:val="24"/>
          <w:szCs w:val="24"/>
        </w:rPr>
        <w:t>cases</w:t>
      </w:r>
      <w:r w:rsidR="00405075" w:rsidRPr="00A169F7">
        <w:rPr>
          <w:rFonts w:cstheme="minorHAnsi"/>
          <w:sz w:val="24"/>
          <w:szCs w:val="24"/>
        </w:rPr>
        <w:t xml:space="preserve"> (Travis, 2017).</w:t>
      </w:r>
      <w:r w:rsidR="005B3A80" w:rsidRPr="00A169F7">
        <w:rPr>
          <w:rFonts w:cstheme="minorHAnsi"/>
          <w:sz w:val="24"/>
          <w:szCs w:val="24"/>
        </w:rPr>
        <w:t xml:space="preserve"> Alternatively, it is claimed that victimisation should not be a police concern, and that only emergency response and investigation</w:t>
      </w:r>
      <w:r w:rsidR="00412644" w:rsidRPr="00A169F7">
        <w:rPr>
          <w:rFonts w:cstheme="minorHAnsi"/>
          <w:sz w:val="24"/>
          <w:szCs w:val="24"/>
        </w:rPr>
        <w:t>s</w:t>
      </w:r>
      <w:r w:rsidR="005B3A80" w:rsidRPr="00A169F7">
        <w:rPr>
          <w:rFonts w:cstheme="minorHAnsi"/>
          <w:sz w:val="24"/>
          <w:szCs w:val="24"/>
        </w:rPr>
        <w:t xml:space="preserve"> should be the responsibility of the police, rather than attempting to offer after-care services to victims and witnesses (Aliverti, 2019). </w:t>
      </w:r>
    </w:p>
    <w:p w14:paraId="281B8C18" w14:textId="40205A71" w:rsidR="002374F8" w:rsidRPr="00A169F7" w:rsidRDefault="002374F8" w:rsidP="00A169F7">
      <w:pPr>
        <w:spacing w:line="480" w:lineRule="auto"/>
        <w:ind w:firstLine="720"/>
        <w:rPr>
          <w:rFonts w:cstheme="minorHAnsi"/>
          <w:sz w:val="24"/>
          <w:szCs w:val="24"/>
        </w:rPr>
      </w:pPr>
      <w:r w:rsidRPr="00A169F7">
        <w:rPr>
          <w:rFonts w:cstheme="minorHAnsi"/>
          <w:sz w:val="24"/>
          <w:szCs w:val="24"/>
        </w:rPr>
        <w:t>Mencap is a non-profit organisation that provides assistance to those who have been recogni</w:t>
      </w:r>
      <w:r w:rsidR="00234EF9">
        <w:rPr>
          <w:rFonts w:cstheme="minorHAnsi"/>
          <w:sz w:val="24"/>
          <w:szCs w:val="24"/>
        </w:rPr>
        <w:t>s</w:t>
      </w:r>
      <w:r w:rsidRPr="00A169F7">
        <w:rPr>
          <w:rFonts w:cstheme="minorHAnsi"/>
          <w:sz w:val="24"/>
          <w:szCs w:val="24"/>
        </w:rPr>
        <w:t xml:space="preserve">ed with a disability since 1946. They work closely with the Criminal Justice System to provide that extra care that some people need during victimisation (Mencap, 2003). According to Mencap research, the majority of people who are susceptible to crime are unfortunately people who have a disability (Mencap, 2020). Research from Caliri (2020) shows that the people who are victimised from crime do not report the incident. Nevertheless, if they do, those who have previously reported have had a poor experience and, as a result, have not reported again. However, according to the Police Foundation, their services have made it a priority to safeguard individuals with learning disabilities and ensure </w:t>
      </w:r>
      <w:r w:rsidRPr="00A169F7">
        <w:rPr>
          <w:rFonts w:cstheme="minorHAnsi"/>
          <w:sz w:val="24"/>
          <w:szCs w:val="24"/>
        </w:rPr>
        <w:lastRenderedPageBreak/>
        <w:t xml:space="preserve">that they receive the same level of service as everyone else (Higgins, 2019). Nevertheless, each year, thousands of instances occur. Many of them are dealt with appropriately, while others are dismissed. According to the British Crime Survey (2021), in the year of 2020, 30% of victims were dissatisfied with the </w:t>
      </w:r>
      <w:r w:rsidR="007058D6">
        <w:rPr>
          <w:rFonts w:cstheme="minorHAnsi"/>
          <w:sz w:val="24"/>
          <w:szCs w:val="24"/>
        </w:rPr>
        <w:t>C</w:t>
      </w:r>
      <w:r w:rsidRPr="00A169F7">
        <w:rPr>
          <w:rFonts w:cstheme="minorHAnsi"/>
          <w:sz w:val="24"/>
          <w:szCs w:val="24"/>
        </w:rPr>
        <w:t xml:space="preserve">riminal </w:t>
      </w:r>
      <w:r w:rsidR="007058D6">
        <w:rPr>
          <w:rFonts w:cstheme="minorHAnsi"/>
          <w:sz w:val="24"/>
          <w:szCs w:val="24"/>
        </w:rPr>
        <w:t>J</w:t>
      </w:r>
      <w:r w:rsidRPr="00A169F7">
        <w:rPr>
          <w:rFonts w:cstheme="minorHAnsi"/>
          <w:sz w:val="24"/>
          <w:szCs w:val="24"/>
        </w:rPr>
        <w:t xml:space="preserve">ustice </w:t>
      </w:r>
      <w:r w:rsidR="007058D6">
        <w:rPr>
          <w:rFonts w:cstheme="minorHAnsi"/>
          <w:sz w:val="24"/>
          <w:szCs w:val="24"/>
        </w:rPr>
        <w:t>S</w:t>
      </w:r>
      <w:r w:rsidRPr="00A169F7">
        <w:rPr>
          <w:rFonts w:cstheme="minorHAnsi"/>
          <w:sz w:val="24"/>
          <w:szCs w:val="24"/>
        </w:rPr>
        <w:t>ystem's attitude to aiding crime victims.</w:t>
      </w:r>
    </w:p>
    <w:p w14:paraId="43DA3B4D" w14:textId="0E47EAC4" w:rsidR="002374F8" w:rsidRPr="00A169F7" w:rsidRDefault="002374F8" w:rsidP="00A169F7">
      <w:pPr>
        <w:spacing w:line="480" w:lineRule="auto"/>
        <w:ind w:firstLine="720"/>
        <w:rPr>
          <w:rFonts w:cstheme="minorHAnsi"/>
          <w:sz w:val="24"/>
          <w:szCs w:val="24"/>
        </w:rPr>
      </w:pPr>
      <w:r w:rsidRPr="00A169F7">
        <w:rPr>
          <w:rFonts w:cstheme="minorHAnsi"/>
          <w:sz w:val="24"/>
          <w:szCs w:val="24"/>
        </w:rPr>
        <w:t>The events considered within a study for more police powers, has shown an inadequate response from the overall Criminal Justice System (Simon, 2021). Cases including Fiona Pilkington (2007) and David Askew (2010), are used to argue for more police powers and, perhaps, an increase in financing for improved victim and witness care (Gray et al, 2018). The Criminal Justice System was condemned for failing to respond quickly enough in these incidents, weakening public trust</w:t>
      </w:r>
      <w:r w:rsidR="009F4208">
        <w:rPr>
          <w:rFonts w:cstheme="minorHAnsi"/>
          <w:sz w:val="24"/>
          <w:szCs w:val="24"/>
        </w:rPr>
        <w:t xml:space="preserve"> </w:t>
      </w:r>
      <w:r w:rsidRPr="00A169F7">
        <w:rPr>
          <w:rFonts w:cstheme="minorHAnsi"/>
          <w:sz w:val="24"/>
          <w:szCs w:val="24"/>
        </w:rPr>
        <w:t xml:space="preserve">(Davies, 2017). Therefore, it is suggested that the police are victims of their own actions. Public trust has decreased, resulting in less support on the streets and overall support for more funding, which is argued to be the only change the police can receive to improve their aftercare for victims (Heap, 2020).  </w:t>
      </w:r>
    </w:p>
    <w:p w14:paraId="7FB9427C" w14:textId="619B3D91" w:rsidR="00014240" w:rsidRPr="00A169F7" w:rsidRDefault="00014240" w:rsidP="00A7448A">
      <w:pPr>
        <w:spacing w:line="480" w:lineRule="auto"/>
        <w:ind w:firstLine="720"/>
        <w:rPr>
          <w:rFonts w:cstheme="minorHAnsi"/>
          <w:sz w:val="24"/>
          <w:szCs w:val="24"/>
        </w:rPr>
      </w:pPr>
      <w:r w:rsidRPr="00A169F7">
        <w:rPr>
          <w:rFonts w:cstheme="minorHAnsi"/>
          <w:sz w:val="24"/>
          <w:szCs w:val="24"/>
        </w:rPr>
        <w:t>The incidents involving both Fiona Pilkington and David Askew show that catastrophic occurrences are still unfolding from poor acts from the Criminal justice System towards antisocial behaviour (College of Policing, 2017). Harassment and antisocial behaviour were at the root of the Fiona Pilkington incident. For a lengthy seven years Fiona and her daughter were subjected to regular and prolonged local disturbance. Thirty-three events were reported to the local police, except according to the aftermath report, the events were frequently disregarded and dealt with as quickly as possible without professionalism (Independent Police Complaints Commission, 2011).</w:t>
      </w:r>
      <w:r w:rsidR="00A7448A">
        <w:rPr>
          <w:rFonts w:cstheme="minorHAnsi"/>
          <w:sz w:val="24"/>
          <w:szCs w:val="24"/>
        </w:rPr>
        <w:t xml:space="preserve"> </w:t>
      </w:r>
      <w:r w:rsidRPr="00A169F7">
        <w:rPr>
          <w:rFonts w:cstheme="minorHAnsi"/>
          <w:sz w:val="24"/>
          <w:szCs w:val="24"/>
        </w:rPr>
        <w:t xml:space="preserve">According to a report from the House of Commons, Strickland (2012), the police failed to see that the family was </w:t>
      </w:r>
      <w:r w:rsidRPr="00A169F7">
        <w:rPr>
          <w:rFonts w:cstheme="minorHAnsi"/>
          <w:sz w:val="24"/>
          <w:szCs w:val="24"/>
        </w:rPr>
        <w:lastRenderedPageBreak/>
        <w:t xml:space="preserve">vulnerable and did not act on the targeted hate crime whatsoever, highlighting a major miscarriage of justice. Fiona eventually killed herself and her disabled daughter, Francesca, out of desperation to escape from the repeated victimisation (Davies, 2020). </w:t>
      </w:r>
    </w:p>
    <w:p w14:paraId="5F64A241" w14:textId="2C932E32" w:rsidR="00014240" w:rsidRPr="00A169F7" w:rsidRDefault="00014240" w:rsidP="00A169F7">
      <w:pPr>
        <w:spacing w:line="480" w:lineRule="auto"/>
        <w:ind w:firstLine="720"/>
        <w:rPr>
          <w:rFonts w:cstheme="minorHAnsi"/>
          <w:sz w:val="24"/>
          <w:szCs w:val="24"/>
        </w:rPr>
      </w:pPr>
      <w:r w:rsidRPr="00A169F7">
        <w:rPr>
          <w:rFonts w:cstheme="minorHAnsi"/>
          <w:sz w:val="24"/>
          <w:szCs w:val="24"/>
        </w:rPr>
        <w:t xml:space="preserve">After a heavy criticised report from the Independent Police Complaints Commission, a disability organisation spoke out after the report and stated, “we believe that the force, certainly from the top level down, is taking hate crime more seriously (Disability News Organisation, 2011, p.6). However, despite the fact that the killing of Fiona Pilkington in 2007, the police vowed in an inquiry that they would improve their approach to anti-social behaviour and hate crime (Leicestershire Police, 2009). A similar incident took place with David Askew only three years later. After an occurrence at David's house in which youngsters were allegedly making a disturbance, David Askew fell and died (College of Policing, 2017). Both, Mr Askew and his family have been in contact with Greater Manchester Police for several years in connection to numerous claims of anti-social behaviour which were once again rejected due to poor police conduct (Dryden, 2017). </w:t>
      </w:r>
    </w:p>
    <w:p w14:paraId="1AF98626" w14:textId="77777777" w:rsidR="00B1149C" w:rsidRDefault="00D64A58" w:rsidP="00A169F7">
      <w:pPr>
        <w:spacing w:line="480" w:lineRule="auto"/>
        <w:ind w:firstLine="720"/>
        <w:rPr>
          <w:rFonts w:eastAsia="Calibri" w:cstheme="minorHAnsi"/>
          <w:sz w:val="24"/>
          <w:szCs w:val="24"/>
        </w:rPr>
      </w:pPr>
      <w:r w:rsidRPr="00A169F7">
        <w:rPr>
          <w:rFonts w:eastAsia="Calibri" w:cstheme="minorHAnsi"/>
          <w:sz w:val="24"/>
          <w:szCs w:val="24"/>
        </w:rPr>
        <w:t xml:space="preserve">Studies suggests that the persistent consequences relating to anti-social behaviour should be recognised more efficiently and understood more so that victims can receive better care, because only 23% of the UK have access to Victim Support relating to anti-social behaviour crimes (Heap, 2020) (Ant-social behaviour Help, 2014). However according to Green &amp; Pemberton (2018), the act of anti-social behaviour is not a criminal offence therefore it is argued that the police do not need to offer any aftercare. </w:t>
      </w:r>
      <w:r w:rsidR="00F62736" w:rsidRPr="00A169F7">
        <w:rPr>
          <w:rFonts w:eastAsia="Calibri" w:cstheme="minorHAnsi"/>
          <w:sz w:val="24"/>
          <w:szCs w:val="24"/>
        </w:rPr>
        <w:t>Alternatively,</w:t>
      </w:r>
      <w:r w:rsidRPr="00A169F7">
        <w:rPr>
          <w:rFonts w:eastAsia="Calibri" w:cstheme="minorHAnsi"/>
          <w:sz w:val="24"/>
          <w:szCs w:val="24"/>
        </w:rPr>
        <w:t xml:space="preserve"> legislations such as the Crime and Disorder Act (1998), provides police officers with ways around the flexible worded definition by granting powers to criminalise the perpetrators (GOV.UK, 2010). </w:t>
      </w:r>
    </w:p>
    <w:p w14:paraId="57D97CAB" w14:textId="634CC5F0" w:rsidR="00D64A58" w:rsidRPr="00A169F7" w:rsidRDefault="00D64A58" w:rsidP="005E439C">
      <w:pPr>
        <w:spacing w:line="480" w:lineRule="auto"/>
        <w:ind w:firstLine="720"/>
        <w:rPr>
          <w:rFonts w:eastAsia="Calibri" w:cstheme="minorHAnsi"/>
          <w:sz w:val="24"/>
          <w:szCs w:val="24"/>
        </w:rPr>
      </w:pPr>
      <w:r w:rsidRPr="00A169F7">
        <w:rPr>
          <w:rFonts w:eastAsia="Calibri" w:cstheme="minorHAnsi"/>
          <w:sz w:val="24"/>
          <w:szCs w:val="24"/>
        </w:rPr>
        <w:lastRenderedPageBreak/>
        <w:t>To make matters worse, anti-social behaviour is descried as ‘low level’ which often confuses police officers when responding to related incidents. For example, the Metropolitan Police (2019) has come forward and highlighted that the contrast between anti-social behaviour and a crime is ‘blurry and confusing’ because the crime is so minor. However, the Home Office (2004) attempted to settle the problem by acknowledging that the term is not clearly specified in the sections of law related to some low-level offences, and the definition remains unclear to this day.</w:t>
      </w:r>
      <w:r w:rsidR="005E439C">
        <w:rPr>
          <w:rFonts w:eastAsia="Calibri" w:cstheme="minorHAnsi"/>
          <w:sz w:val="24"/>
          <w:szCs w:val="24"/>
        </w:rPr>
        <w:t xml:space="preserve"> </w:t>
      </w:r>
      <w:r w:rsidRPr="00A169F7">
        <w:rPr>
          <w:rFonts w:eastAsia="Calibri" w:cstheme="minorHAnsi"/>
          <w:sz w:val="24"/>
          <w:szCs w:val="24"/>
        </w:rPr>
        <w:t xml:space="preserve">On the other hand, Heap (2010) implies that anti-social behaviour victimisation is not as serious as criminal victimisation because of the seriousness of the offence, therefore the research is neglected. However, research has shown that victims of persistent anti-social behaviour over a lengthy period of time have the same detrimental effects on their </w:t>
      </w:r>
      <w:r w:rsidR="00685696" w:rsidRPr="00A169F7">
        <w:rPr>
          <w:rFonts w:eastAsia="Calibri" w:cstheme="minorHAnsi"/>
          <w:sz w:val="24"/>
          <w:szCs w:val="24"/>
        </w:rPr>
        <w:t>lifestyle</w:t>
      </w:r>
      <w:r w:rsidRPr="00A169F7">
        <w:rPr>
          <w:rFonts w:eastAsia="Calibri" w:cstheme="minorHAnsi"/>
          <w:sz w:val="24"/>
          <w:szCs w:val="24"/>
        </w:rPr>
        <w:t xml:space="preserve"> as victims of violent crime</w:t>
      </w:r>
      <w:r w:rsidR="000C3A6B">
        <w:rPr>
          <w:rFonts w:eastAsia="Calibri" w:cstheme="minorHAnsi"/>
          <w:sz w:val="24"/>
          <w:szCs w:val="24"/>
        </w:rPr>
        <w:t>s</w:t>
      </w:r>
      <w:r w:rsidRPr="00A169F7">
        <w:rPr>
          <w:rFonts w:eastAsia="Calibri" w:cstheme="minorHAnsi"/>
          <w:sz w:val="24"/>
          <w:szCs w:val="24"/>
        </w:rPr>
        <w:t xml:space="preserve"> (Anti-social behaviour Help, 2014). </w:t>
      </w:r>
    </w:p>
    <w:p w14:paraId="4422573C" w14:textId="77777777" w:rsidR="009411B6" w:rsidRDefault="00D64A58" w:rsidP="00A169F7">
      <w:pPr>
        <w:spacing w:line="480" w:lineRule="auto"/>
        <w:ind w:firstLine="720"/>
        <w:rPr>
          <w:rFonts w:eastAsia="Calibri" w:cstheme="minorHAnsi"/>
          <w:sz w:val="24"/>
          <w:szCs w:val="24"/>
        </w:rPr>
      </w:pPr>
      <w:r w:rsidRPr="00A169F7">
        <w:rPr>
          <w:rFonts w:eastAsia="Calibri" w:cstheme="minorHAnsi"/>
          <w:sz w:val="24"/>
          <w:szCs w:val="24"/>
        </w:rPr>
        <w:t xml:space="preserve">The Antisocial Behaviour, Crime and Policing Act (2014), provides a variety of methods and authorities to prosecute antisocial behaviour (GOV.UK, 2014). The piece of legislation is described as </w:t>
      </w:r>
      <w:r w:rsidR="009411B6" w:rsidRPr="00A169F7">
        <w:rPr>
          <w:rFonts w:eastAsia="Calibri" w:cstheme="minorHAnsi"/>
          <w:sz w:val="24"/>
          <w:szCs w:val="24"/>
        </w:rPr>
        <w:t>flexible;</w:t>
      </w:r>
      <w:r w:rsidRPr="00A169F7">
        <w:rPr>
          <w:rFonts w:eastAsia="Calibri" w:cstheme="minorHAnsi"/>
          <w:sz w:val="24"/>
          <w:szCs w:val="24"/>
        </w:rPr>
        <w:t xml:space="preserve"> therefore the victimisation varies (Heap, 2016). Furthermore, due to the flexibility, according to Shapland &amp; Hall (2007), the police have a lack of understanding of victimisation relating to anti-social behaviour, therefore the victims suffer more due to the research mainly being carried out on more violent crimes. However, because both kinds of victimisation are prolonged, it is believed that anti-social behaviour has comparable effects on victims as stalking. </w:t>
      </w:r>
    </w:p>
    <w:p w14:paraId="1744EA9A" w14:textId="04C2E6F1" w:rsidR="00D64A58" w:rsidRPr="00A169F7" w:rsidRDefault="00D64A58" w:rsidP="00A169F7">
      <w:pPr>
        <w:spacing w:line="480" w:lineRule="auto"/>
        <w:ind w:firstLine="720"/>
        <w:rPr>
          <w:rFonts w:eastAsia="Calibri" w:cstheme="minorHAnsi"/>
          <w:sz w:val="24"/>
          <w:szCs w:val="24"/>
        </w:rPr>
      </w:pPr>
      <w:r w:rsidRPr="00A169F7">
        <w:rPr>
          <w:rFonts w:eastAsia="Calibri" w:cstheme="minorHAnsi"/>
          <w:sz w:val="24"/>
          <w:szCs w:val="24"/>
        </w:rPr>
        <w:t xml:space="preserve">As a result, the same psychosocial impacts are used to disguise the absence of anti-social behaviour research (Korkodeilou, 2017). The victims of anti-social behaviour over a prolonged period of time, have experienced disruptions in their daily lives, a reduction in </w:t>
      </w:r>
      <w:r w:rsidRPr="00A169F7">
        <w:rPr>
          <w:rFonts w:eastAsia="Calibri" w:cstheme="minorHAnsi"/>
          <w:sz w:val="24"/>
          <w:szCs w:val="24"/>
        </w:rPr>
        <w:lastRenderedPageBreak/>
        <w:t xml:space="preserve">their social lives, economic damages, and mental trauma. According to research from the Office for National Statistics (2019), in 2018, 96% of victims of disruptive neighbours had an emotional reaction, resulting in feelings of shock, anxiety, and distress. Nevertheless, 23% of the victims used violence to try to settle their problems on their own which additionally added to the crime rates. </w:t>
      </w:r>
    </w:p>
    <w:p w14:paraId="1D889840" w14:textId="0438E98B" w:rsidR="0038263F" w:rsidRPr="00A169F7" w:rsidRDefault="00D64A58" w:rsidP="00A169F7">
      <w:pPr>
        <w:spacing w:line="480" w:lineRule="auto"/>
        <w:ind w:firstLine="720"/>
        <w:rPr>
          <w:rFonts w:cstheme="minorHAnsi"/>
          <w:sz w:val="24"/>
          <w:szCs w:val="24"/>
        </w:rPr>
      </w:pPr>
      <w:r w:rsidRPr="00A169F7">
        <w:rPr>
          <w:rFonts w:cstheme="minorHAnsi"/>
          <w:sz w:val="24"/>
          <w:szCs w:val="24"/>
        </w:rPr>
        <w:t xml:space="preserve">To conclude, </w:t>
      </w:r>
      <w:r w:rsidR="003427A5" w:rsidRPr="00A169F7">
        <w:rPr>
          <w:rFonts w:cstheme="minorHAnsi"/>
          <w:sz w:val="24"/>
          <w:szCs w:val="24"/>
        </w:rPr>
        <w:t>in 2016-2017, the Home Office identified 3,629 disability-related hate crimes, totalling for 6% of all crimes overall (GOV.UK, 2018). For the past five years, anti-social behaviour has increasingly become a problem due to the lack of research from victimisation. I</w:t>
      </w:r>
      <w:r w:rsidR="002374F8" w:rsidRPr="00A169F7">
        <w:rPr>
          <w:rFonts w:cstheme="minorHAnsi"/>
          <w:sz w:val="24"/>
          <w:szCs w:val="24"/>
        </w:rPr>
        <w:t xml:space="preserve">ndividuals who have been identified as vulnerable are legally acknowledged. As a result, it is legally binding on police officers to apply a more meaningful care and support (GOV.UK, 2012). Some argue that it is not often the most helpful label. Investigators have suggested that tragic deaths like that of Fiona Pilkington, may be repeated if some police departments are too ashamed to inquire victims of crime about their disability (Salerno-Ferraro and Schuller, 2020). To support this, according to Nathan (2020, p.12), police forces have become "too concerned about offending people". Admittedly, according to the police, the National Probation Service, and the Crown Prosecution Service, personnel are hesitant to ask crime victims about their disability (Lumsden and Black, 2020). </w:t>
      </w:r>
    </w:p>
    <w:p w14:paraId="28ACD610" w14:textId="232690B4" w:rsidR="00EF2565" w:rsidRPr="00A169F7" w:rsidRDefault="00EF2565" w:rsidP="00A169F7">
      <w:pPr>
        <w:spacing w:line="480" w:lineRule="auto"/>
        <w:ind w:firstLine="720"/>
        <w:rPr>
          <w:rFonts w:cstheme="minorHAnsi"/>
          <w:color w:val="222222"/>
          <w:sz w:val="24"/>
          <w:szCs w:val="24"/>
          <w:lang w:val="en"/>
        </w:rPr>
      </w:pPr>
      <w:r w:rsidRPr="00A169F7">
        <w:rPr>
          <w:rFonts w:cstheme="minorHAnsi"/>
          <w:sz w:val="24"/>
          <w:szCs w:val="24"/>
        </w:rPr>
        <w:t xml:space="preserve">Despite the fact that the police service's approach to this problem with antisocial behaviour has advanced since 2010, victim confidence in the UK varies considerably </w:t>
      </w:r>
      <w:r w:rsidRPr="00A169F7">
        <w:rPr>
          <w:rFonts w:cstheme="minorHAnsi"/>
          <w:color w:val="222222"/>
          <w:sz w:val="24"/>
          <w:szCs w:val="24"/>
          <w:lang w:val="en"/>
        </w:rPr>
        <w:t>(HMICFRS, 2018</w:t>
      </w:r>
      <w:r w:rsidR="004B6D8A" w:rsidRPr="00A169F7">
        <w:rPr>
          <w:rFonts w:cstheme="minorHAnsi"/>
          <w:color w:val="222222"/>
          <w:sz w:val="24"/>
          <w:szCs w:val="24"/>
          <w:lang w:val="en"/>
        </w:rPr>
        <w:t>b</w:t>
      </w:r>
      <w:r w:rsidRPr="00A169F7">
        <w:rPr>
          <w:rFonts w:cstheme="minorHAnsi"/>
          <w:color w:val="222222"/>
          <w:sz w:val="24"/>
          <w:szCs w:val="24"/>
          <w:lang w:val="en"/>
        </w:rPr>
        <w:t>). Besides this, in disagreement, Victim Support (2021</w:t>
      </w:r>
      <w:r w:rsidR="00DC5315" w:rsidRPr="00A169F7">
        <w:rPr>
          <w:rFonts w:cstheme="minorHAnsi"/>
          <w:color w:val="222222"/>
          <w:sz w:val="24"/>
          <w:szCs w:val="24"/>
          <w:lang w:val="en"/>
        </w:rPr>
        <w:t>b</w:t>
      </w:r>
      <w:r w:rsidRPr="00A169F7">
        <w:rPr>
          <w:rFonts w:cstheme="minorHAnsi"/>
          <w:color w:val="222222"/>
          <w:sz w:val="24"/>
          <w:szCs w:val="24"/>
          <w:lang w:val="en"/>
        </w:rPr>
        <w:t xml:space="preserve">) highlights that more must be done to address the problem and identify individuals who are most vulnerable to </w:t>
      </w:r>
      <w:r w:rsidR="00D37B1E" w:rsidRPr="00A169F7">
        <w:rPr>
          <w:rFonts w:cstheme="minorHAnsi"/>
          <w:color w:val="222222"/>
          <w:sz w:val="24"/>
          <w:szCs w:val="24"/>
          <w:lang w:val="en"/>
        </w:rPr>
        <w:t>victimisation</w:t>
      </w:r>
      <w:r w:rsidRPr="00A169F7">
        <w:rPr>
          <w:rFonts w:cstheme="minorHAnsi"/>
          <w:color w:val="222222"/>
          <w:sz w:val="24"/>
          <w:szCs w:val="24"/>
          <w:lang w:val="en"/>
        </w:rPr>
        <w:t xml:space="preserve">. </w:t>
      </w:r>
      <w:r w:rsidRPr="00A169F7">
        <w:rPr>
          <w:rFonts w:cstheme="minorHAnsi"/>
          <w:sz w:val="24"/>
          <w:szCs w:val="24"/>
        </w:rPr>
        <w:t xml:space="preserve">Throughout the research many researchers demand for a change in the Criminal Justice System. As clearly stated, many disabled individuals continue </w:t>
      </w:r>
      <w:r w:rsidRPr="00A169F7">
        <w:rPr>
          <w:rFonts w:cstheme="minorHAnsi"/>
          <w:sz w:val="24"/>
          <w:szCs w:val="24"/>
        </w:rPr>
        <w:lastRenderedPageBreak/>
        <w:t>to be hesitant to report crimes, putting them at the highest risk of being victimised. The case of Fiona Pilkington was a momentous occasion for disabled people; since then, many have complained that not enough has been done to change anti-social behaviour victimisation. As explained by Cassell (2009) (the mother of Fiona Pilkington), people with disabilities do not believe they will be treated seriously or that what they are going through is acceptable. It's almost as though they've come to embrace it.</w:t>
      </w:r>
    </w:p>
    <w:p w14:paraId="668BE15C" w14:textId="77777777" w:rsidR="00893CCA" w:rsidRDefault="00EF2565" w:rsidP="00412653">
      <w:pPr>
        <w:spacing w:line="480" w:lineRule="auto"/>
        <w:ind w:firstLine="720"/>
        <w:rPr>
          <w:rFonts w:cstheme="minorHAnsi"/>
          <w:sz w:val="24"/>
          <w:szCs w:val="24"/>
        </w:rPr>
      </w:pPr>
      <w:r w:rsidRPr="00A169F7">
        <w:rPr>
          <w:rFonts w:cstheme="minorHAnsi"/>
          <w:sz w:val="24"/>
          <w:szCs w:val="24"/>
        </w:rPr>
        <w:t>Alternatively, Leicestershire Police (2021) has highlighted that they work closely with other authorities to prevent this type of small misconduct. Deputy Crime Registrar at Leicestershire Constabulary, Goddard (2021, p.7), "If a crime hasn't really been committed, police can't prosecute", "However, we collaborate closely with other authorities, such as housing associations and social services, to address situations that do not rise to the level of a criminal offence". However, the first step to conquer anti-social behaviour in relation to disab</w:t>
      </w:r>
      <w:r w:rsidR="00DA6FAA">
        <w:rPr>
          <w:rFonts w:cstheme="minorHAnsi"/>
          <w:sz w:val="24"/>
          <w:szCs w:val="24"/>
        </w:rPr>
        <w:t>led</w:t>
      </w:r>
      <w:r w:rsidRPr="00A169F7">
        <w:rPr>
          <w:rFonts w:cstheme="minorHAnsi"/>
          <w:sz w:val="24"/>
          <w:szCs w:val="24"/>
        </w:rPr>
        <w:t xml:space="preserve"> victims, the whole of the UK needs to overcome the discomfit of asking about a person’s disability when coming into contact with the public. As implied by the chief executive of Disability Rights UK, Mallick (2017), </w:t>
      </w:r>
      <w:r w:rsidR="00420369">
        <w:rPr>
          <w:rFonts w:cstheme="minorHAnsi"/>
          <w:sz w:val="24"/>
          <w:szCs w:val="24"/>
        </w:rPr>
        <w:t>the UK needs a</w:t>
      </w:r>
      <w:r w:rsidRPr="00A169F7">
        <w:rPr>
          <w:rFonts w:cstheme="minorHAnsi"/>
          <w:sz w:val="24"/>
          <w:szCs w:val="24"/>
        </w:rPr>
        <w:t xml:space="preserve"> simple definition </w:t>
      </w:r>
      <w:r w:rsidR="0021245F" w:rsidRPr="00A169F7">
        <w:rPr>
          <w:rFonts w:cstheme="minorHAnsi"/>
          <w:sz w:val="24"/>
          <w:szCs w:val="24"/>
        </w:rPr>
        <w:t>of disability</w:t>
      </w:r>
      <w:r w:rsidRPr="00A169F7">
        <w:rPr>
          <w:rFonts w:cstheme="minorHAnsi"/>
          <w:sz w:val="24"/>
          <w:szCs w:val="24"/>
        </w:rPr>
        <w:t xml:space="preserve"> for use </w:t>
      </w:r>
      <w:r w:rsidR="00420369">
        <w:rPr>
          <w:rFonts w:cstheme="minorHAnsi"/>
          <w:sz w:val="24"/>
          <w:szCs w:val="24"/>
        </w:rPr>
        <w:t xml:space="preserve">throughout </w:t>
      </w:r>
      <w:r w:rsidRPr="00A169F7">
        <w:rPr>
          <w:rFonts w:cstheme="minorHAnsi"/>
          <w:sz w:val="24"/>
          <w:szCs w:val="24"/>
        </w:rPr>
        <w:t xml:space="preserve">the Criminal </w:t>
      </w:r>
      <w:r w:rsidRPr="00893CCA">
        <w:rPr>
          <w:rFonts w:cstheme="minorHAnsi"/>
          <w:sz w:val="24"/>
          <w:szCs w:val="24"/>
        </w:rPr>
        <w:t xml:space="preserve">Justice System. </w:t>
      </w:r>
    </w:p>
    <w:p w14:paraId="564D40C4" w14:textId="5E43B537" w:rsidR="00412653" w:rsidRDefault="0021245F" w:rsidP="00412653">
      <w:pPr>
        <w:spacing w:line="480" w:lineRule="auto"/>
        <w:ind w:firstLine="720"/>
        <w:rPr>
          <w:rFonts w:cstheme="minorHAnsi"/>
          <w:sz w:val="24"/>
          <w:szCs w:val="24"/>
        </w:rPr>
      </w:pPr>
      <w:r w:rsidRPr="00893CCA">
        <w:rPr>
          <w:rFonts w:cstheme="minorHAnsi"/>
          <w:sz w:val="24"/>
          <w:szCs w:val="24"/>
        </w:rPr>
        <w:t xml:space="preserve">Aside from anti-social behaviour, all crimes have consequences that affect the victims, whether the offence is </w:t>
      </w:r>
      <w:r w:rsidR="00893CCA" w:rsidRPr="00893CCA">
        <w:rPr>
          <w:rFonts w:cstheme="minorHAnsi"/>
          <w:sz w:val="24"/>
          <w:szCs w:val="24"/>
        </w:rPr>
        <w:t>serve</w:t>
      </w:r>
      <w:r w:rsidRPr="00893CCA">
        <w:rPr>
          <w:rFonts w:cstheme="minorHAnsi"/>
          <w:sz w:val="24"/>
          <w:szCs w:val="24"/>
        </w:rPr>
        <w:t xml:space="preserve"> or </w:t>
      </w:r>
      <w:r w:rsidR="00893CCA" w:rsidRPr="00893CCA">
        <w:rPr>
          <w:rFonts w:cstheme="minorHAnsi"/>
          <w:sz w:val="24"/>
          <w:szCs w:val="24"/>
        </w:rPr>
        <w:t xml:space="preserve">minor </w:t>
      </w:r>
      <w:r w:rsidR="00893CCA" w:rsidRPr="00893CCA">
        <w:rPr>
          <w:rFonts w:cstheme="minorHAnsi"/>
          <w:sz w:val="24"/>
          <w:szCs w:val="24"/>
        </w:rPr>
        <w:t>(Visconti, 2019)</w:t>
      </w:r>
      <w:r w:rsidRPr="00893CCA">
        <w:rPr>
          <w:rFonts w:cstheme="minorHAnsi"/>
          <w:sz w:val="24"/>
          <w:szCs w:val="24"/>
        </w:rPr>
        <w:t>. It is clear that the care for victims is inadequate, and therefore the Criminal Justice System is failing to provide a good service</w:t>
      </w:r>
      <w:r w:rsidR="001C140C" w:rsidRPr="00893CCA">
        <w:rPr>
          <w:rFonts w:cstheme="minorHAnsi"/>
          <w:sz w:val="24"/>
          <w:szCs w:val="24"/>
        </w:rPr>
        <w:t xml:space="preserve">. This is clearly shown in the correlation between </w:t>
      </w:r>
      <w:r w:rsidRPr="00893CCA">
        <w:rPr>
          <w:rFonts w:cstheme="minorHAnsi"/>
          <w:sz w:val="24"/>
          <w:szCs w:val="24"/>
        </w:rPr>
        <w:t>the </w:t>
      </w:r>
      <w:r w:rsidR="001C140C" w:rsidRPr="00893CCA">
        <w:rPr>
          <w:rFonts w:cstheme="minorHAnsi"/>
          <w:sz w:val="24"/>
          <w:szCs w:val="24"/>
        </w:rPr>
        <w:t xml:space="preserve">statistics </w:t>
      </w:r>
      <w:r w:rsidRPr="00893CCA">
        <w:rPr>
          <w:rFonts w:cstheme="minorHAnsi"/>
          <w:sz w:val="24"/>
          <w:szCs w:val="24"/>
        </w:rPr>
        <w:t>of victimisation increas</w:t>
      </w:r>
      <w:r w:rsidR="001C140C" w:rsidRPr="00893CCA">
        <w:rPr>
          <w:rFonts w:cstheme="minorHAnsi"/>
          <w:sz w:val="24"/>
          <w:szCs w:val="24"/>
        </w:rPr>
        <w:t>ing and t</w:t>
      </w:r>
      <w:r w:rsidRPr="00893CCA">
        <w:rPr>
          <w:rFonts w:cstheme="minorHAnsi"/>
          <w:sz w:val="24"/>
          <w:szCs w:val="24"/>
        </w:rPr>
        <w:t xml:space="preserve">he overall crime </w:t>
      </w:r>
      <w:r w:rsidR="001C140C" w:rsidRPr="00893CCA">
        <w:rPr>
          <w:rFonts w:cstheme="minorHAnsi"/>
          <w:sz w:val="24"/>
          <w:szCs w:val="24"/>
        </w:rPr>
        <w:t>rates</w:t>
      </w:r>
      <w:r w:rsidRPr="00893CCA">
        <w:rPr>
          <w:rFonts w:cstheme="minorHAnsi"/>
          <w:sz w:val="24"/>
          <w:szCs w:val="24"/>
        </w:rPr>
        <w:t xml:space="preserve"> are </w:t>
      </w:r>
      <w:r w:rsidR="001C140C" w:rsidRPr="00893CCA">
        <w:rPr>
          <w:rFonts w:cstheme="minorHAnsi"/>
          <w:sz w:val="24"/>
          <w:szCs w:val="24"/>
        </w:rPr>
        <w:t xml:space="preserve">also </w:t>
      </w:r>
      <w:r w:rsidRPr="00893CCA">
        <w:rPr>
          <w:rFonts w:cstheme="minorHAnsi"/>
          <w:sz w:val="24"/>
          <w:szCs w:val="24"/>
        </w:rPr>
        <w:t>increasing year after year</w:t>
      </w:r>
      <w:r w:rsidR="00893CCA" w:rsidRPr="00893CCA">
        <w:t xml:space="preserve"> </w:t>
      </w:r>
      <w:r w:rsidR="00893CCA" w:rsidRPr="00893CCA">
        <w:rPr>
          <w:rFonts w:cstheme="minorHAnsi"/>
          <w:sz w:val="24"/>
          <w:szCs w:val="24"/>
        </w:rPr>
        <w:t>(</w:t>
      </w:r>
      <w:r w:rsidR="00893CCA" w:rsidRPr="00893CCA">
        <w:rPr>
          <w:rFonts w:cstheme="minorHAnsi"/>
          <w:sz w:val="24"/>
          <w:szCs w:val="24"/>
        </w:rPr>
        <w:t>Office for National Statistics</w:t>
      </w:r>
      <w:r w:rsidR="00893CCA" w:rsidRPr="00893CCA">
        <w:rPr>
          <w:rFonts w:cstheme="minorHAnsi"/>
          <w:sz w:val="24"/>
          <w:szCs w:val="24"/>
        </w:rPr>
        <w:t xml:space="preserve">, </w:t>
      </w:r>
      <w:r w:rsidR="00893CCA" w:rsidRPr="00893CCA">
        <w:rPr>
          <w:rFonts w:cstheme="minorHAnsi"/>
          <w:sz w:val="24"/>
          <w:szCs w:val="24"/>
        </w:rPr>
        <w:t>2019)</w:t>
      </w:r>
      <w:r w:rsidR="001C140C" w:rsidRPr="00893CCA">
        <w:rPr>
          <w:rFonts w:cstheme="minorHAnsi"/>
          <w:sz w:val="24"/>
          <w:szCs w:val="24"/>
        </w:rPr>
        <w:t>.</w:t>
      </w:r>
      <w:r w:rsidR="001C140C">
        <w:rPr>
          <w:rFonts w:cstheme="minorHAnsi"/>
          <w:sz w:val="24"/>
          <w:szCs w:val="24"/>
        </w:rPr>
        <w:t xml:space="preserve"> </w:t>
      </w:r>
    </w:p>
    <w:p w14:paraId="06E39A2F" w14:textId="77777777" w:rsidR="00E44C2F" w:rsidRDefault="00E44C2F" w:rsidP="00412653">
      <w:pPr>
        <w:spacing w:line="480" w:lineRule="auto"/>
        <w:rPr>
          <w:rFonts w:cstheme="minorHAnsi"/>
          <w:b/>
          <w:bCs/>
          <w:sz w:val="24"/>
          <w:szCs w:val="24"/>
          <w:u w:val="single"/>
        </w:rPr>
      </w:pPr>
    </w:p>
    <w:p w14:paraId="3E12CEBA" w14:textId="5B1D1CB8" w:rsidR="00511F6D" w:rsidRPr="00412653" w:rsidRDefault="00511F6D" w:rsidP="00412653">
      <w:pPr>
        <w:spacing w:line="480" w:lineRule="auto"/>
        <w:rPr>
          <w:rFonts w:cstheme="minorHAnsi"/>
          <w:sz w:val="24"/>
          <w:szCs w:val="24"/>
        </w:rPr>
      </w:pPr>
      <w:r w:rsidRPr="00A169F7">
        <w:rPr>
          <w:rFonts w:cstheme="minorHAnsi"/>
          <w:b/>
          <w:bCs/>
          <w:sz w:val="24"/>
          <w:szCs w:val="24"/>
          <w:u w:val="single"/>
        </w:rPr>
        <w:lastRenderedPageBreak/>
        <w:t>Sources</w:t>
      </w:r>
    </w:p>
    <w:p w14:paraId="2980ECC0" w14:textId="77777777" w:rsidR="004B6D8A" w:rsidRPr="00A169F7" w:rsidRDefault="004B6D8A"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Ali, N. (2021). campaigner Nimco Ali appointed as Tackling Violence Against Women and Girls adviser. [online] Available at: </w:t>
      </w:r>
      <w:hyperlink r:id="rId7" w:history="1">
        <w:r w:rsidRPr="00A169F7">
          <w:rPr>
            <w:rStyle w:val="Hyperlink"/>
            <w:rFonts w:cstheme="minorHAnsi"/>
            <w:i/>
            <w:iCs/>
            <w:sz w:val="24"/>
            <w:szCs w:val="24"/>
          </w:rPr>
          <w:t>https://www.gov.uk/government/news/fgm-campaigner-nimco-ali-appointed-as-tackling-violence-against-women-and-girls-adviser</w:t>
        </w:r>
      </w:hyperlink>
      <w:r w:rsidRPr="00A169F7">
        <w:rPr>
          <w:rFonts w:cstheme="minorHAnsi"/>
          <w:sz w:val="24"/>
          <w:szCs w:val="24"/>
        </w:rPr>
        <w:t xml:space="preserve"> (Accessed:16/10/2021) </w:t>
      </w:r>
    </w:p>
    <w:p w14:paraId="5207426A" w14:textId="77777777" w:rsidR="004B6D8A" w:rsidRPr="00A169F7" w:rsidRDefault="004B6D8A"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Aliverti, A. (2019). Patrolling the “Thin Blue Line” in a World in Motion: An Exploration of the Crime–Migration Nexus in UK Policing. </w:t>
      </w:r>
      <w:r w:rsidRPr="00A169F7">
        <w:rPr>
          <w:rFonts w:cstheme="minorHAnsi"/>
          <w:i/>
          <w:iCs/>
          <w:sz w:val="24"/>
          <w:szCs w:val="24"/>
        </w:rPr>
        <w:t>Theoretical Criminology</w:t>
      </w:r>
      <w:r w:rsidRPr="00A169F7">
        <w:rPr>
          <w:rFonts w:cstheme="minorHAnsi"/>
          <w:sz w:val="24"/>
          <w:szCs w:val="24"/>
        </w:rPr>
        <w:t>, 24(1), pp.8–27.</w:t>
      </w:r>
    </w:p>
    <w:p w14:paraId="7B8BACFA" w14:textId="77777777" w:rsidR="004B6D8A" w:rsidRPr="00A169F7" w:rsidRDefault="004B6D8A"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Andrews et al. (2000). Predicting PTSD symptoms in victims of violent crime: The role of shame, anger, and childhood abuse. </w:t>
      </w:r>
      <w:r w:rsidRPr="00A169F7">
        <w:rPr>
          <w:rFonts w:cstheme="minorHAnsi"/>
          <w:i/>
          <w:iCs/>
          <w:sz w:val="24"/>
          <w:szCs w:val="24"/>
        </w:rPr>
        <w:t>Journal of Abnormal Psychology</w:t>
      </w:r>
      <w:r w:rsidRPr="00A169F7">
        <w:rPr>
          <w:rFonts w:cstheme="minorHAnsi"/>
          <w:sz w:val="24"/>
          <w:szCs w:val="24"/>
        </w:rPr>
        <w:t xml:space="preserve">, 109(1), pp. 69–73. </w:t>
      </w:r>
    </w:p>
    <w:p w14:paraId="3877F62C" w14:textId="77777777" w:rsidR="004B6D8A" w:rsidRPr="00A169F7" w:rsidRDefault="004B6D8A"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ASB Help (2014) Effective Support for Anti-Social Behaviour Victims. Available at: </w:t>
      </w:r>
      <w:hyperlink r:id="rId8" w:history="1">
        <w:r w:rsidRPr="00A169F7">
          <w:rPr>
            <w:rStyle w:val="Hyperlink"/>
            <w:rFonts w:cstheme="minorHAnsi"/>
            <w:i/>
            <w:iCs/>
            <w:sz w:val="24"/>
            <w:szCs w:val="24"/>
          </w:rPr>
          <w:t>https://asbhelp.co.uk/wp-content/uploads/2014/11/ASB-Help-Report-Effective-Support-November-2014.pdf</w:t>
        </w:r>
      </w:hyperlink>
      <w:r w:rsidRPr="00A169F7">
        <w:rPr>
          <w:rFonts w:cstheme="minorHAnsi"/>
          <w:i/>
          <w:iCs/>
          <w:sz w:val="24"/>
          <w:szCs w:val="24"/>
        </w:rPr>
        <w:t xml:space="preserve"> </w:t>
      </w:r>
      <w:r w:rsidRPr="00A169F7">
        <w:rPr>
          <w:rFonts w:cstheme="minorHAnsi"/>
          <w:sz w:val="24"/>
          <w:szCs w:val="24"/>
        </w:rPr>
        <w:t>(Accessed:18/10/2021)</w:t>
      </w:r>
    </w:p>
    <w:p w14:paraId="0B54E0E2" w14:textId="77777777" w:rsidR="004B6D8A" w:rsidRPr="00A169F7" w:rsidRDefault="004B6D8A"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Biderman, D (1967). Report on a Pilot Study in the District of Columbia on Victimization and Attitudes Toward Law Enforcement. </w:t>
      </w:r>
      <w:r w:rsidRPr="00A169F7">
        <w:rPr>
          <w:rFonts w:cstheme="minorHAnsi"/>
          <w:i/>
          <w:iCs/>
          <w:sz w:val="24"/>
          <w:szCs w:val="24"/>
        </w:rPr>
        <w:t>President's Commission on Law Enforcement and Administration of Justice</w:t>
      </w:r>
      <w:r w:rsidRPr="00A169F7">
        <w:rPr>
          <w:rFonts w:cstheme="minorHAnsi"/>
          <w:sz w:val="24"/>
          <w:szCs w:val="24"/>
        </w:rPr>
        <w:t>, Field Surveys I. Washington, D.C.: U.S. Government Printing Office.</w:t>
      </w:r>
    </w:p>
    <w:p w14:paraId="5243F446" w14:textId="77777777" w:rsidR="004B6D8A" w:rsidRPr="00A169F7" w:rsidRDefault="004B6D8A"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British Crime Survey (2021). Crime Survey for England &amp; Wales. [online] Crimesurvey.co.uk. Available at: </w:t>
      </w:r>
      <w:hyperlink r:id="rId9" w:history="1">
        <w:r w:rsidRPr="00A169F7">
          <w:rPr>
            <w:rStyle w:val="Hyperlink"/>
            <w:rFonts w:cstheme="minorHAnsi"/>
            <w:i/>
            <w:iCs/>
            <w:sz w:val="24"/>
            <w:szCs w:val="24"/>
          </w:rPr>
          <w:t>https://www.crimesurvey.co.uk/en/SurveyResults.html</w:t>
        </w:r>
      </w:hyperlink>
      <w:r w:rsidRPr="00A169F7">
        <w:rPr>
          <w:rFonts w:cstheme="minorHAnsi"/>
          <w:sz w:val="24"/>
          <w:szCs w:val="24"/>
        </w:rPr>
        <w:t xml:space="preserve"> (Accessed:17/10/2021)</w:t>
      </w:r>
    </w:p>
    <w:p w14:paraId="21C6A672" w14:textId="77777777" w:rsidR="003A2243" w:rsidRPr="00A169F7" w:rsidRDefault="003A2243"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Caliri (2020). Research on the Prevalence of Bullying and Related Interventions: A Literature Review - ProQuest. [online] www.proquest.com. Available at: </w:t>
      </w:r>
      <w:r w:rsidRPr="00A169F7">
        <w:rPr>
          <w:rFonts w:cstheme="minorHAnsi"/>
          <w:sz w:val="24"/>
          <w:szCs w:val="24"/>
        </w:rPr>
        <w:lastRenderedPageBreak/>
        <w:t>https://www.proquest.com/openview/1e261d4cbf26edbc45c5e035cf07629d/1?pq-origsite=gscholar&amp;cbl=44156 [Accessed 17 Oct. 2021].</w:t>
      </w:r>
    </w:p>
    <w:p w14:paraId="5CEC2580" w14:textId="77777777" w:rsidR="003A2243" w:rsidRPr="00A169F7" w:rsidRDefault="003A2243" w:rsidP="00A169F7">
      <w:pPr>
        <w:pStyle w:val="ListParagraph"/>
        <w:numPr>
          <w:ilvl w:val="0"/>
          <w:numId w:val="7"/>
        </w:numPr>
        <w:spacing w:line="480" w:lineRule="auto"/>
        <w:rPr>
          <w:rFonts w:cstheme="minorHAnsi"/>
          <w:i/>
          <w:iCs/>
          <w:sz w:val="24"/>
          <w:szCs w:val="24"/>
        </w:rPr>
      </w:pPr>
      <w:r w:rsidRPr="00A169F7">
        <w:rPr>
          <w:rFonts w:cstheme="minorHAnsi"/>
          <w:sz w:val="24"/>
          <w:szCs w:val="24"/>
        </w:rPr>
        <w:t xml:space="preserve">Cambridge Dictionary 2015 </w:t>
      </w:r>
      <w:hyperlink r:id="rId10" w:history="1">
        <w:r w:rsidRPr="00A169F7">
          <w:rPr>
            <w:rStyle w:val="Hyperlink"/>
            <w:rFonts w:cstheme="minorHAnsi"/>
            <w:i/>
            <w:iCs/>
            <w:sz w:val="24"/>
            <w:szCs w:val="24"/>
          </w:rPr>
          <w:t>http://dictionary.cambridge.org/dictionary/british/victimise</w:t>
        </w:r>
      </w:hyperlink>
      <w:r w:rsidRPr="00A169F7">
        <w:rPr>
          <w:rFonts w:cstheme="minorHAnsi"/>
          <w:i/>
          <w:iCs/>
          <w:sz w:val="24"/>
          <w:szCs w:val="24"/>
        </w:rPr>
        <w:t xml:space="preserve"> </w:t>
      </w:r>
    </w:p>
    <w:p w14:paraId="6A678147" w14:textId="77777777" w:rsidR="003A2243" w:rsidRPr="00A169F7" w:rsidRDefault="003A2243"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College of Policing (2017). Anti-social Behaviour &amp; Hate Crime. [online] </w:t>
      </w:r>
      <w:r w:rsidRPr="00A169F7">
        <w:rPr>
          <w:rFonts w:cstheme="minorHAnsi"/>
          <w:i/>
          <w:iCs/>
          <w:sz w:val="24"/>
          <w:szCs w:val="24"/>
        </w:rPr>
        <w:t>College of Policing</w:t>
      </w:r>
      <w:r w:rsidRPr="00A169F7">
        <w:rPr>
          <w:rFonts w:cstheme="minorHAnsi"/>
          <w:sz w:val="24"/>
          <w:szCs w:val="24"/>
        </w:rPr>
        <w:t xml:space="preserve">. Available at: </w:t>
      </w:r>
      <w:hyperlink r:id="rId11" w:history="1">
        <w:r w:rsidRPr="00A169F7">
          <w:rPr>
            <w:rStyle w:val="Hyperlink"/>
            <w:rFonts w:cstheme="minorHAnsi"/>
            <w:i/>
            <w:iCs/>
            <w:sz w:val="24"/>
            <w:szCs w:val="24"/>
          </w:rPr>
          <w:t>https://www.learn.college.police.uk/coursecontent/39649/assets/pdf/JoDavies_transcript.pdf</w:t>
        </w:r>
      </w:hyperlink>
      <w:r w:rsidRPr="00A169F7">
        <w:rPr>
          <w:rFonts w:cstheme="minorHAnsi"/>
          <w:i/>
          <w:iCs/>
          <w:sz w:val="24"/>
          <w:szCs w:val="24"/>
        </w:rPr>
        <w:t xml:space="preserve"> </w:t>
      </w:r>
      <w:r w:rsidRPr="00A169F7">
        <w:rPr>
          <w:rFonts w:cstheme="minorHAnsi"/>
          <w:sz w:val="24"/>
          <w:szCs w:val="24"/>
        </w:rPr>
        <w:t>(Accessed:18/10/2021).</w:t>
      </w:r>
    </w:p>
    <w:p w14:paraId="1FD78292" w14:textId="77777777" w:rsidR="003A2243" w:rsidRPr="00A169F7" w:rsidRDefault="003A2243"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Constabulary, H.M.I. of and Fire (2018a). Anti-social behaviour inspections. [online] HMICFRS. Available at: </w:t>
      </w:r>
      <w:hyperlink r:id="rId12" w:history="1">
        <w:r w:rsidRPr="00A169F7">
          <w:rPr>
            <w:rStyle w:val="Hyperlink"/>
            <w:rFonts w:cstheme="minorHAnsi"/>
            <w:i/>
            <w:iCs/>
            <w:sz w:val="24"/>
            <w:szCs w:val="24"/>
          </w:rPr>
          <w:t>https://www.justiceinspectorates.gov.uk/hmicfrs/our-work/article/anti-social-behaviour/</w:t>
        </w:r>
      </w:hyperlink>
      <w:r w:rsidRPr="00A169F7">
        <w:rPr>
          <w:rFonts w:cstheme="minorHAnsi"/>
          <w:sz w:val="24"/>
          <w:szCs w:val="24"/>
        </w:rPr>
        <w:t xml:space="preserve"> (Accessed:16/101/2021). </w:t>
      </w:r>
    </w:p>
    <w:p w14:paraId="29B8E598" w14:textId="77777777" w:rsidR="003A2243" w:rsidRPr="00A169F7" w:rsidRDefault="003A2243"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Constabulary, H.M.I. of and Fire (2018b). Hate crime. [online] HMICFRS. Available at: </w:t>
      </w:r>
      <w:hyperlink r:id="rId13" w:history="1">
        <w:r w:rsidRPr="00A169F7">
          <w:rPr>
            <w:rStyle w:val="Hyperlink"/>
            <w:rFonts w:cstheme="minorHAnsi"/>
            <w:i/>
            <w:iCs/>
            <w:sz w:val="24"/>
            <w:szCs w:val="24"/>
          </w:rPr>
          <w:t>https://www.justiceinspectorates.gov.uk/hmicfrs/our-work/article/hate-crime/</w:t>
        </w:r>
      </w:hyperlink>
      <w:r w:rsidRPr="00A169F7">
        <w:rPr>
          <w:rFonts w:cstheme="minorHAnsi"/>
          <w:i/>
          <w:iCs/>
          <w:sz w:val="24"/>
          <w:szCs w:val="24"/>
        </w:rPr>
        <w:t xml:space="preserve"> </w:t>
      </w:r>
      <w:r w:rsidRPr="00A169F7">
        <w:rPr>
          <w:rFonts w:cstheme="minorHAnsi"/>
          <w:sz w:val="24"/>
          <w:szCs w:val="24"/>
        </w:rPr>
        <w:t>(Accessed:19/10/2021).</w:t>
      </w:r>
    </w:p>
    <w:p w14:paraId="354CC7CB" w14:textId="77777777" w:rsidR="003A2243" w:rsidRPr="00A169F7" w:rsidRDefault="003A2243"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Cressey, D. (1992) ‘Research implications of conflicting conceptions of victimology’. In: A. Ezzat (ed) </w:t>
      </w:r>
      <w:r w:rsidRPr="00A169F7">
        <w:rPr>
          <w:rFonts w:cstheme="minorHAnsi"/>
          <w:i/>
          <w:iCs/>
          <w:sz w:val="24"/>
          <w:szCs w:val="24"/>
        </w:rPr>
        <w:t>Towards a Critical Victimology New York</w:t>
      </w:r>
      <w:r w:rsidRPr="00A169F7">
        <w:rPr>
          <w:rFonts w:cstheme="minorHAnsi"/>
          <w:sz w:val="24"/>
          <w:szCs w:val="24"/>
        </w:rPr>
        <w:t>: St Martin’s Press. pp.74-96.</w:t>
      </w:r>
    </w:p>
    <w:p w14:paraId="0DBBD9DC" w14:textId="77777777" w:rsidR="00D96B72" w:rsidRPr="00A169F7" w:rsidRDefault="00D96B72"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Davies, J (2020) Helping vulnerable victims. </w:t>
      </w:r>
      <w:r w:rsidRPr="00A169F7">
        <w:rPr>
          <w:rFonts w:cstheme="minorHAnsi"/>
          <w:i/>
          <w:iCs/>
          <w:sz w:val="24"/>
          <w:szCs w:val="24"/>
        </w:rPr>
        <w:t>Campaigns and Policy officer, Mencap.</w:t>
      </w:r>
      <w:r w:rsidRPr="00A169F7">
        <w:rPr>
          <w:rFonts w:cstheme="minorHAnsi"/>
          <w:sz w:val="24"/>
          <w:szCs w:val="24"/>
        </w:rPr>
        <w:t xml:space="preserve"> College of Policing Ltd.</w:t>
      </w:r>
    </w:p>
    <w:p w14:paraId="7AA17DEC" w14:textId="77777777" w:rsidR="00D96B72" w:rsidRPr="00A169F7" w:rsidRDefault="00D96B72"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Davies, K (2017) Ten years after the death of Fiona Pilkington, have the police got better at tackling hate crime? [online] </w:t>
      </w:r>
      <w:r w:rsidRPr="00A169F7">
        <w:rPr>
          <w:rFonts w:cstheme="minorHAnsi"/>
          <w:i/>
          <w:iCs/>
          <w:sz w:val="24"/>
          <w:szCs w:val="24"/>
        </w:rPr>
        <w:t>The Independent</w:t>
      </w:r>
      <w:r w:rsidRPr="00A169F7">
        <w:rPr>
          <w:rFonts w:cstheme="minorHAnsi"/>
          <w:sz w:val="24"/>
          <w:szCs w:val="24"/>
        </w:rPr>
        <w:t xml:space="preserve">. Available at: </w:t>
      </w:r>
      <w:hyperlink r:id="rId14" w:history="1">
        <w:r w:rsidRPr="00A169F7">
          <w:rPr>
            <w:rStyle w:val="Hyperlink"/>
            <w:rFonts w:cstheme="minorHAnsi"/>
            <w:i/>
            <w:iCs/>
            <w:sz w:val="24"/>
            <w:szCs w:val="24"/>
          </w:rPr>
          <w:t>https://www.independent.co.uk/news/long_reads/fiona-pilkington-frankie-pilkington-suicide-learning-disabilities-bullying-hate-crime-a8004526.html</w:t>
        </w:r>
      </w:hyperlink>
      <w:r w:rsidRPr="00A169F7">
        <w:rPr>
          <w:rFonts w:cstheme="minorHAnsi"/>
          <w:i/>
          <w:iCs/>
          <w:sz w:val="24"/>
          <w:szCs w:val="24"/>
        </w:rPr>
        <w:t xml:space="preserve"> </w:t>
      </w:r>
      <w:r w:rsidRPr="00A169F7">
        <w:rPr>
          <w:rFonts w:cstheme="minorHAnsi"/>
          <w:sz w:val="24"/>
          <w:szCs w:val="24"/>
        </w:rPr>
        <w:t>(Accessed:17/10/2021)</w:t>
      </w:r>
    </w:p>
    <w:p w14:paraId="2068BEFF" w14:textId="77777777" w:rsidR="00D96B72" w:rsidRPr="00A169F7" w:rsidRDefault="00D96B72" w:rsidP="00A169F7">
      <w:pPr>
        <w:pStyle w:val="ListParagraph"/>
        <w:numPr>
          <w:ilvl w:val="0"/>
          <w:numId w:val="7"/>
        </w:numPr>
        <w:spacing w:line="480" w:lineRule="auto"/>
        <w:rPr>
          <w:rFonts w:cstheme="minorHAnsi"/>
          <w:sz w:val="24"/>
          <w:szCs w:val="24"/>
        </w:rPr>
      </w:pPr>
      <w:r w:rsidRPr="00A169F7">
        <w:rPr>
          <w:rFonts w:cstheme="minorHAnsi"/>
          <w:sz w:val="24"/>
          <w:szCs w:val="24"/>
        </w:rPr>
        <w:lastRenderedPageBreak/>
        <w:t>Dignan, J (2005) Understanding Victims and Restorative Justice Maidenhead: Open University Press.</w:t>
      </w:r>
    </w:p>
    <w:p w14:paraId="6D7404A4" w14:textId="77777777" w:rsidR="00D96B72" w:rsidRPr="00A169F7" w:rsidRDefault="00D96B72"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Disability News Organisation (2011) Fiona Pilkington report: Police praised for learning from mistakes. [online] </w:t>
      </w:r>
      <w:r w:rsidRPr="00A169F7">
        <w:rPr>
          <w:rFonts w:cstheme="minorHAnsi"/>
          <w:i/>
          <w:iCs/>
          <w:sz w:val="24"/>
          <w:szCs w:val="24"/>
        </w:rPr>
        <w:t>Disability News Service</w:t>
      </w:r>
      <w:r w:rsidRPr="00A169F7">
        <w:rPr>
          <w:rFonts w:cstheme="minorHAnsi"/>
          <w:sz w:val="24"/>
          <w:szCs w:val="24"/>
        </w:rPr>
        <w:t xml:space="preserve">. Available at: </w:t>
      </w:r>
      <w:hyperlink r:id="rId15" w:history="1">
        <w:r w:rsidRPr="00A169F7">
          <w:rPr>
            <w:rStyle w:val="Hyperlink"/>
            <w:rFonts w:cstheme="minorHAnsi"/>
            <w:i/>
            <w:iCs/>
            <w:sz w:val="24"/>
            <w:szCs w:val="24"/>
          </w:rPr>
          <w:t>https://www.disabilitynewsservice.com/fiona-pilkington-report-police-praised-for-learning-from-mistakes/</w:t>
        </w:r>
      </w:hyperlink>
      <w:r w:rsidRPr="00A169F7">
        <w:rPr>
          <w:rFonts w:cstheme="minorHAnsi"/>
          <w:sz w:val="24"/>
          <w:szCs w:val="24"/>
        </w:rPr>
        <w:t xml:space="preserve"> (Accessed:18/10/2021)</w:t>
      </w:r>
    </w:p>
    <w:p w14:paraId="16E2F6C6" w14:textId="77777777" w:rsidR="00D96B72" w:rsidRPr="00A169F7" w:rsidRDefault="00D96B72"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Dryden, F (2017) Police: How things have changed after Fiona Pilkington’s death. [online] </w:t>
      </w:r>
      <w:r w:rsidRPr="00A169F7">
        <w:rPr>
          <w:rFonts w:cstheme="minorHAnsi"/>
          <w:i/>
          <w:iCs/>
          <w:sz w:val="24"/>
          <w:szCs w:val="24"/>
        </w:rPr>
        <w:t>Leicester Mercury</w:t>
      </w:r>
      <w:r w:rsidRPr="00A169F7">
        <w:rPr>
          <w:rFonts w:cstheme="minorHAnsi"/>
          <w:sz w:val="24"/>
          <w:szCs w:val="24"/>
        </w:rPr>
        <w:t xml:space="preserve">. Available at: </w:t>
      </w:r>
      <w:hyperlink r:id="rId16" w:history="1">
        <w:r w:rsidRPr="00A169F7">
          <w:rPr>
            <w:rStyle w:val="Hyperlink"/>
            <w:rFonts w:cstheme="minorHAnsi"/>
            <w:i/>
            <w:iCs/>
            <w:sz w:val="24"/>
            <w:szCs w:val="24"/>
          </w:rPr>
          <w:t>https://www.leicestermercury.co.uk/news/local-news/leicestershire-police-how-things-changed-669880</w:t>
        </w:r>
      </w:hyperlink>
      <w:r w:rsidRPr="00A169F7">
        <w:rPr>
          <w:rFonts w:cstheme="minorHAnsi"/>
          <w:i/>
          <w:iCs/>
          <w:sz w:val="24"/>
          <w:szCs w:val="24"/>
        </w:rPr>
        <w:t xml:space="preserve"> </w:t>
      </w:r>
      <w:r w:rsidRPr="00A169F7">
        <w:rPr>
          <w:rFonts w:cstheme="minorHAnsi"/>
          <w:sz w:val="24"/>
          <w:szCs w:val="24"/>
        </w:rPr>
        <w:t>(Accessed: 18/10/2021)</w:t>
      </w:r>
    </w:p>
    <w:p w14:paraId="0D32D0E9" w14:textId="77777777" w:rsidR="00FA1DB0" w:rsidRPr="00A169F7" w:rsidRDefault="00FA1DB0"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Ellenberger, H (1954) “Psychological relations between the criminal and his victim." </w:t>
      </w:r>
      <w:r w:rsidRPr="00A169F7">
        <w:rPr>
          <w:rFonts w:cstheme="minorHAnsi"/>
          <w:i/>
          <w:iCs/>
          <w:sz w:val="24"/>
          <w:szCs w:val="24"/>
        </w:rPr>
        <w:t xml:space="preserve">Internal Journal of Criminology and Technical Policing. </w:t>
      </w:r>
      <w:r w:rsidRPr="00A169F7">
        <w:rPr>
          <w:rFonts w:cstheme="minorHAnsi"/>
          <w:sz w:val="24"/>
          <w:szCs w:val="24"/>
        </w:rPr>
        <w:t>2(8): pp.121.</w:t>
      </w:r>
    </w:p>
    <w:p w14:paraId="71852DAB" w14:textId="77777777" w:rsidR="00FA1DB0" w:rsidRPr="00A169F7" w:rsidRDefault="00FA1DB0"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Evans, C. Stalker, C &amp; Brown, E. (2020) A Systematic Review of Crime/Violence and Substance Use Prevention Programs. </w:t>
      </w:r>
      <w:r w:rsidRPr="00A169F7">
        <w:rPr>
          <w:rFonts w:cstheme="minorHAnsi"/>
          <w:i/>
          <w:iCs/>
          <w:sz w:val="24"/>
          <w:szCs w:val="24"/>
        </w:rPr>
        <w:t>Aggression and Violent Behaviour</w:t>
      </w:r>
      <w:r w:rsidRPr="00A169F7">
        <w:rPr>
          <w:rFonts w:cstheme="minorHAnsi"/>
          <w:sz w:val="24"/>
          <w:szCs w:val="24"/>
        </w:rPr>
        <w:t>, 56, p.101.</w:t>
      </w:r>
    </w:p>
    <w:p w14:paraId="65477737"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Glazebrook, R (1962) COMPENSATION FOR VICTIMS OF CRIMES OF VIOLENCE. </w:t>
      </w:r>
      <w:r w:rsidRPr="00A169F7">
        <w:rPr>
          <w:rFonts w:cstheme="minorHAnsi"/>
          <w:i/>
          <w:iCs/>
          <w:sz w:val="24"/>
          <w:szCs w:val="24"/>
        </w:rPr>
        <w:t>The British Journal of Criminology</w:t>
      </w:r>
      <w:r w:rsidRPr="00A169F7">
        <w:rPr>
          <w:rFonts w:cstheme="minorHAnsi"/>
          <w:sz w:val="24"/>
          <w:szCs w:val="24"/>
        </w:rPr>
        <w:t xml:space="preserve">, [online] 2(3), pp.295–299. </w:t>
      </w:r>
    </w:p>
    <w:p w14:paraId="01B57883"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Goddard, D (2021) Deputy Crime Registrar at Leicestershire Constabulary. [online] </w:t>
      </w:r>
      <w:r w:rsidRPr="00A169F7">
        <w:rPr>
          <w:rFonts w:cstheme="minorHAnsi"/>
          <w:i/>
          <w:iCs/>
          <w:sz w:val="24"/>
          <w:szCs w:val="24"/>
        </w:rPr>
        <w:t>Leicestershire Police.</w:t>
      </w:r>
      <w:r w:rsidRPr="00A169F7">
        <w:rPr>
          <w:rFonts w:cstheme="minorHAnsi"/>
          <w:sz w:val="24"/>
          <w:szCs w:val="24"/>
        </w:rPr>
        <w:t xml:space="preserve"> Available at: </w:t>
      </w:r>
      <w:hyperlink r:id="rId17" w:history="1">
        <w:r w:rsidRPr="00A169F7">
          <w:rPr>
            <w:rStyle w:val="Hyperlink"/>
            <w:rFonts w:cstheme="minorHAnsi"/>
            <w:i/>
            <w:iCs/>
            <w:sz w:val="24"/>
            <w:szCs w:val="24"/>
          </w:rPr>
          <w:t>https://uk.linkedin.com/in/darren-goddard-46456468</w:t>
        </w:r>
      </w:hyperlink>
      <w:r w:rsidRPr="00A169F7">
        <w:rPr>
          <w:rFonts w:cstheme="minorHAnsi"/>
          <w:sz w:val="24"/>
          <w:szCs w:val="24"/>
        </w:rPr>
        <w:t xml:space="preserve"> (Accessed: 19/10/2021).  </w:t>
      </w:r>
    </w:p>
    <w:p w14:paraId="29DCF2E9"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Goldberg J (1970) “Preface: Symposium on Governmental Compensation for Victims of Violence.” </w:t>
      </w:r>
      <w:r w:rsidRPr="00A169F7">
        <w:rPr>
          <w:rFonts w:cstheme="minorHAnsi"/>
          <w:i/>
          <w:iCs/>
          <w:sz w:val="24"/>
          <w:szCs w:val="24"/>
        </w:rPr>
        <w:t>Southern California Law Review</w:t>
      </w:r>
      <w:r w:rsidRPr="00A169F7">
        <w:rPr>
          <w:rFonts w:cstheme="minorHAnsi"/>
          <w:sz w:val="24"/>
          <w:szCs w:val="24"/>
        </w:rPr>
        <w:t xml:space="preserve">. </w:t>
      </w:r>
    </w:p>
    <w:p w14:paraId="1C5FACC4"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Goodey, J (2005) Victims and Victimology: </w:t>
      </w:r>
      <w:r w:rsidRPr="00A169F7">
        <w:rPr>
          <w:rFonts w:cstheme="minorHAnsi"/>
          <w:i/>
          <w:iCs/>
          <w:sz w:val="24"/>
          <w:szCs w:val="24"/>
        </w:rPr>
        <w:t>Research, Policy and Practice Harlow</w:t>
      </w:r>
      <w:r w:rsidRPr="00A169F7">
        <w:rPr>
          <w:rFonts w:cstheme="minorHAnsi"/>
          <w:sz w:val="24"/>
          <w:szCs w:val="24"/>
        </w:rPr>
        <w:t>: Pearson Education Ltd.</w:t>
      </w:r>
    </w:p>
    <w:p w14:paraId="1D7396B3"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lastRenderedPageBreak/>
        <w:t xml:space="preserve">GOV.UK (2010) Crime and Disorder Act 1998. [online] </w:t>
      </w:r>
      <w:r w:rsidRPr="00A169F7">
        <w:rPr>
          <w:rFonts w:cstheme="minorHAnsi"/>
          <w:i/>
          <w:iCs/>
          <w:sz w:val="24"/>
          <w:szCs w:val="24"/>
        </w:rPr>
        <w:t>Legislation.gov.uk</w:t>
      </w:r>
      <w:r w:rsidRPr="00A169F7">
        <w:rPr>
          <w:rFonts w:cstheme="minorHAnsi"/>
          <w:sz w:val="24"/>
          <w:szCs w:val="24"/>
        </w:rPr>
        <w:t xml:space="preserve">. Available at: </w:t>
      </w:r>
      <w:hyperlink r:id="rId18" w:history="1">
        <w:r w:rsidRPr="00A169F7">
          <w:rPr>
            <w:rStyle w:val="Hyperlink"/>
            <w:rFonts w:cstheme="minorHAnsi"/>
            <w:i/>
            <w:iCs/>
            <w:sz w:val="24"/>
            <w:szCs w:val="24"/>
          </w:rPr>
          <w:t>https://www.legislation.gov.uk/ukpga/1998/37</w:t>
        </w:r>
      </w:hyperlink>
      <w:r w:rsidRPr="00A169F7">
        <w:rPr>
          <w:rFonts w:cstheme="minorHAnsi"/>
          <w:sz w:val="24"/>
          <w:szCs w:val="24"/>
        </w:rPr>
        <w:t xml:space="preserve"> (Accessed:19/10/2021)</w:t>
      </w:r>
    </w:p>
    <w:p w14:paraId="76690D0B"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GOV.UK (2012) Disability rights. [online] </w:t>
      </w:r>
      <w:r w:rsidRPr="00A169F7">
        <w:rPr>
          <w:rFonts w:cstheme="minorHAnsi"/>
          <w:i/>
          <w:iCs/>
          <w:sz w:val="24"/>
          <w:szCs w:val="24"/>
        </w:rPr>
        <w:t>GOV.UK.</w:t>
      </w:r>
      <w:r w:rsidRPr="00A169F7">
        <w:rPr>
          <w:rFonts w:cstheme="minorHAnsi"/>
          <w:sz w:val="24"/>
          <w:szCs w:val="24"/>
        </w:rPr>
        <w:t xml:space="preserve"> Available at: </w:t>
      </w:r>
      <w:hyperlink r:id="rId19" w:history="1">
        <w:r w:rsidRPr="00A169F7">
          <w:rPr>
            <w:rStyle w:val="Hyperlink"/>
            <w:rFonts w:cstheme="minorHAnsi"/>
            <w:i/>
            <w:iCs/>
            <w:sz w:val="24"/>
            <w:szCs w:val="24"/>
          </w:rPr>
          <w:t>https://www.gov.uk/rights-disabled-person/police</w:t>
        </w:r>
      </w:hyperlink>
      <w:r w:rsidRPr="00A169F7">
        <w:rPr>
          <w:rFonts w:cstheme="minorHAnsi"/>
          <w:sz w:val="24"/>
          <w:szCs w:val="24"/>
        </w:rPr>
        <w:t xml:space="preserve"> (Accessed: 17/10/2021)</w:t>
      </w:r>
    </w:p>
    <w:p w14:paraId="37264BCB"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GOV.UK (2014) Anti-social Behaviour, Crime and Policing Act 2014. [online] </w:t>
      </w:r>
      <w:r w:rsidRPr="00A169F7">
        <w:rPr>
          <w:rFonts w:cstheme="minorHAnsi"/>
          <w:i/>
          <w:iCs/>
          <w:sz w:val="24"/>
          <w:szCs w:val="24"/>
        </w:rPr>
        <w:t>Legislation.gov.uk.</w:t>
      </w:r>
      <w:r w:rsidRPr="00A169F7">
        <w:rPr>
          <w:rFonts w:cstheme="minorHAnsi"/>
          <w:sz w:val="24"/>
          <w:szCs w:val="24"/>
        </w:rPr>
        <w:t xml:space="preserve"> Available at: </w:t>
      </w:r>
      <w:hyperlink r:id="rId20" w:history="1">
        <w:r w:rsidRPr="00A169F7">
          <w:rPr>
            <w:rStyle w:val="Hyperlink"/>
            <w:rFonts w:cstheme="minorHAnsi"/>
            <w:sz w:val="24"/>
            <w:szCs w:val="24"/>
          </w:rPr>
          <w:t>https://www.legislation.gov.uk/ukpga/2014/12/contents/enacted</w:t>
        </w:r>
      </w:hyperlink>
      <w:r w:rsidRPr="00A169F7">
        <w:rPr>
          <w:rFonts w:cstheme="minorHAnsi"/>
          <w:sz w:val="24"/>
          <w:szCs w:val="24"/>
        </w:rPr>
        <w:t xml:space="preserve"> (Accessed:19/10/2021)</w:t>
      </w:r>
    </w:p>
    <w:p w14:paraId="53367AB2"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GOV.UK (2018) Victims of Crime. [online] </w:t>
      </w:r>
      <w:r w:rsidRPr="00A169F7">
        <w:rPr>
          <w:rFonts w:cstheme="minorHAnsi"/>
          <w:i/>
          <w:iCs/>
          <w:sz w:val="24"/>
          <w:szCs w:val="24"/>
        </w:rPr>
        <w:t>Service.gov.uk</w:t>
      </w:r>
      <w:r w:rsidRPr="00A169F7">
        <w:rPr>
          <w:rFonts w:cstheme="minorHAnsi"/>
          <w:sz w:val="24"/>
          <w:szCs w:val="24"/>
        </w:rPr>
        <w:t xml:space="preserve">. Available at: </w:t>
      </w:r>
      <w:hyperlink r:id="rId21" w:history="1">
        <w:r w:rsidRPr="00A169F7">
          <w:rPr>
            <w:rStyle w:val="Hyperlink"/>
            <w:rFonts w:cstheme="minorHAnsi"/>
            <w:i/>
            <w:iCs/>
            <w:sz w:val="24"/>
            <w:szCs w:val="24"/>
          </w:rPr>
          <w:t>https://www.ethnicity-facts-figures.service.gov.uk/crime-justice-and-the-law/crime-and-reoffending/victims-of-crime/lates</w:t>
        </w:r>
        <w:r w:rsidRPr="00A169F7">
          <w:rPr>
            <w:rStyle w:val="Hyperlink"/>
            <w:rFonts w:cstheme="minorHAnsi"/>
            <w:sz w:val="24"/>
            <w:szCs w:val="24"/>
          </w:rPr>
          <w:t>t</w:t>
        </w:r>
      </w:hyperlink>
      <w:r w:rsidRPr="00A169F7">
        <w:rPr>
          <w:rFonts w:cstheme="minorHAnsi"/>
          <w:sz w:val="24"/>
          <w:szCs w:val="24"/>
        </w:rPr>
        <w:t xml:space="preserve"> (Accessed:16/10/2021)</w:t>
      </w:r>
    </w:p>
    <w:p w14:paraId="6C0DD13C"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GOV.UK (2021) Tackling violence against women and girls strategy. [online] </w:t>
      </w:r>
      <w:r w:rsidRPr="00A169F7">
        <w:rPr>
          <w:rFonts w:cstheme="minorHAnsi"/>
          <w:i/>
          <w:iCs/>
          <w:sz w:val="24"/>
          <w:szCs w:val="24"/>
        </w:rPr>
        <w:t>GOV.UK.</w:t>
      </w:r>
      <w:r w:rsidRPr="00A169F7">
        <w:rPr>
          <w:rFonts w:cstheme="minorHAnsi"/>
          <w:sz w:val="24"/>
          <w:szCs w:val="24"/>
        </w:rPr>
        <w:t xml:space="preserve"> Available at: </w:t>
      </w:r>
      <w:hyperlink r:id="rId22" w:history="1">
        <w:r w:rsidRPr="00A169F7">
          <w:rPr>
            <w:rStyle w:val="Hyperlink"/>
            <w:rFonts w:cstheme="minorHAnsi"/>
            <w:sz w:val="24"/>
            <w:szCs w:val="24"/>
          </w:rPr>
          <w:t>https://www.gov.uk/government/publications/tackling-violence-against-women-and-girls-strategy</w:t>
        </w:r>
      </w:hyperlink>
      <w:r w:rsidRPr="00A169F7">
        <w:rPr>
          <w:rFonts w:cstheme="minorHAnsi"/>
          <w:sz w:val="24"/>
          <w:szCs w:val="24"/>
        </w:rPr>
        <w:t xml:space="preserve"> (Accessed:16/10/2021).</w:t>
      </w:r>
    </w:p>
    <w:p w14:paraId="6920CB14" w14:textId="77777777" w:rsidR="00F94C3B"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Gray, E. Grasso, M. Farrall, S. Jennings, W. &amp; Hay, C. (2018) Political Socialization, Worry about Crime and Antisocial Behaviour: </w:t>
      </w:r>
      <w:r w:rsidRPr="00A169F7">
        <w:rPr>
          <w:rFonts w:cstheme="minorHAnsi"/>
          <w:i/>
          <w:iCs/>
          <w:sz w:val="24"/>
          <w:szCs w:val="24"/>
        </w:rPr>
        <w:t>An Analysis of Age, Period and Cohort Effects. The British Journal of Criminology</w:t>
      </w:r>
      <w:r w:rsidRPr="00A169F7">
        <w:rPr>
          <w:rFonts w:cstheme="minorHAnsi"/>
          <w:sz w:val="24"/>
          <w:szCs w:val="24"/>
        </w:rPr>
        <w:t>, 59(2), pp.435–460.</w:t>
      </w:r>
    </w:p>
    <w:p w14:paraId="5685734A" w14:textId="4FB4A3DD" w:rsidR="00AA68BA" w:rsidRPr="00A169F7" w:rsidRDefault="00F94C3B" w:rsidP="00A169F7">
      <w:pPr>
        <w:pStyle w:val="ListParagraph"/>
        <w:numPr>
          <w:ilvl w:val="0"/>
          <w:numId w:val="7"/>
        </w:numPr>
        <w:spacing w:line="480" w:lineRule="auto"/>
        <w:rPr>
          <w:rFonts w:cstheme="minorHAnsi"/>
          <w:sz w:val="24"/>
          <w:szCs w:val="24"/>
        </w:rPr>
      </w:pPr>
      <w:r w:rsidRPr="00A169F7">
        <w:rPr>
          <w:rFonts w:cstheme="minorHAnsi"/>
          <w:sz w:val="24"/>
          <w:szCs w:val="24"/>
        </w:rPr>
        <w:t>Green, S. Pemberton, A (2018) The impact of crime: Victimisation, harm and resilience</w:t>
      </w:r>
      <w:r w:rsidRPr="00A169F7">
        <w:rPr>
          <w:rFonts w:cstheme="minorHAnsi"/>
          <w:i/>
          <w:iCs/>
          <w:sz w:val="24"/>
          <w:szCs w:val="24"/>
        </w:rPr>
        <w:t>. Handbook of Victims and Victimisation</w:t>
      </w:r>
      <w:r w:rsidRPr="00A169F7">
        <w:rPr>
          <w:rFonts w:cstheme="minorHAnsi"/>
          <w:sz w:val="24"/>
          <w:szCs w:val="24"/>
        </w:rPr>
        <w:t xml:space="preserve"> (2nd Ed). Abingdon: Routledge</w:t>
      </w:r>
      <w:r w:rsidR="00DF2A1B" w:rsidRPr="00A169F7">
        <w:rPr>
          <w:rFonts w:cstheme="minorHAnsi"/>
          <w:sz w:val="24"/>
          <w:szCs w:val="24"/>
        </w:rPr>
        <w:t xml:space="preserve">. </w:t>
      </w:r>
    </w:p>
    <w:p w14:paraId="5A979D9E"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Hall, M. (2018) Supporting victims of crime in England and Wales. </w:t>
      </w:r>
      <w:r w:rsidRPr="00A169F7">
        <w:rPr>
          <w:rFonts w:cstheme="minorHAnsi"/>
          <w:i/>
          <w:iCs/>
          <w:sz w:val="24"/>
          <w:szCs w:val="24"/>
        </w:rPr>
        <w:t>International Review of Victimology</w:t>
      </w:r>
      <w:r w:rsidRPr="00A169F7">
        <w:rPr>
          <w:rFonts w:cstheme="minorHAnsi"/>
          <w:sz w:val="24"/>
          <w:szCs w:val="24"/>
        </w:rPr>
        <w:t xml:space="preserve">, 24(2), pp.219–237. </w:t>
      </w:r>
    </w:p>
    <w:p w14:paraId="05869244"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Heap, V (2010) Understanding Public Perceptions of Anti-Social Behaviour: Problems and Policy Responses. </w:t>
      </w:r>
      <w:r w:rsidRPr="00A169F7">
        <w:rPr>
          <w:rFonts w:cstheme="minorHAnsi"/>
          <w:i/>
          <w:iCs/>
          <w:sz w:val="24"/>
          <w:szCs w:val="24"/>
        </w:rPr>
        <w:t>Doctoral Thesis, University of Huddersfield</w:t>
      </w:r>
      <w:r w:rsidRPr="00A169F7">
        <w:rPr>
          <w:rFonts w:cstheme="minorHAnsi"/>
          <w:sz w:val="24"/>
          <w:szCs w:val="24"/>
        </w:rPr>
        <w:t xml:space="preserve">. Available at: </w:t>
      </w:r>
      <w:hyperlink r:id="rId23" w:history="1">
        <w:r w:rsidRPr="00A169F7">
          <w:rPr>
            <w:rStyle w:val="Hyperlink"/>
            <w:rFonts w:cstheme="minorHAnsi"/>
            <w:i/>
            <w:iCs/>
            <w:sz w:val="24"/>
            <w:szCs w:val="24"/>
          </w:rPr>
          <w:t>http://eprints.hud.ac.uk/9209/</w:t>
        </w:r>
      </w:hyperlink>
      <w:r w:rsidRPr="00A169F7">
        <w:rPr>
          <w:rFonts w:cstheme="minorHAnsi"/>
          <w:sz w:val="24"/>
          <w:szCs w:val="24"/>
        </w:rPr>
        <w:t xml:space="preserve"> (Accessed: 16/10/2021)</w:t>
      </w:r>
    </w:p>
    <w:p w14:paraId="16A5E258"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lastRenderedPageBreak/>
        <w:t xml:space="preserve">Heap, V (2016) Anti-social behaviour, harm, and victimisation. </w:t>
      </w:r>
      <w:r w:rsidRPr="00A169F7">
        <w:rPr>
          <w:rFonts w:cstheme="minorHAnsi"/>
          <w:i/>
          <w:iCs/>
          <w:sz w:val="24"/>
          <w:szCs w:val="24"/>
        </w:rPr>
        <w:t>A Companion to Crime, Harm and Victimisation</w:t>
      </w:r>
      <w:r w:rsidRPr="00A169F7">
        <w:rPr>
          <w:rFonts w:cstheme="minorHAnsi"/>
          <w:sz w:val="24"/>
          <w:szCs w:val="24"/>
        </w:rPr>
        <w:t>. Bristol: Policy Press.</w:t>
      </w:r>
    </w:p>
    <w:p w14:paraId="74E900D0"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Heap, V. (2020) Exploring the effects of long-term anti-social behaviour victimisation. </w:t>
      </w:r>
      <w:r w:rsidRPr="00A169F7">
        <w:rPr>
          <w:rFonts w:cstheme="minorHAnsi"/>
          <w:i/>
          <w:iCs/>
          <w:sz w:val="24"/>
          <w:szCs w:val="24"/>
        </w:rPr>
        <w:t xml:space="preserve">International Review of Victimology. </w:t>
      </w:r>
    </w:p>
    <w:p w14:paraId="29D12A45"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Hentig, H (1948) The Criminal and His Victim, Studies in the Sociology of Crime. </w:t>
      </w:r>
      <w:r w:rsidRPr="00A169F7">
        <w:rPr>
          <w:rFonts w:cstheme="minorHAnsi"/>
          <w:i/>
          <w:iCs/>
          <w:sz w:val="24"/>
          <w:szCs w:val="24"/>
        </w:rPr>
        <w:t>New Haven</w:t>
      </w:r>
      <w:r w:rsidRPr="00A169F7">
        <w:rPr>
          <w:rFonts w:cstheme="minorHAnsi"/>
          <w:sz w:val="24"/>
          <w:szCs w:val="24"/>
        </w:rPr>
        <w:t>: Yale University Press.</w:t>
      </w:r>
    </w:p>
    <w:p w14:paraId="584F5289"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Higgins, A (2019) UNDERSTANDING THE PUBLIC’S PRIORITIES FOR POLICING. [online] Available at</w:t>
      </w:r>
      <w:r w:rsidRPr="00A169F7">
        <w:rPr>
          <w:rFonts w:cstheme="minorHAnsi"/>
          <w:i/>
          <w:iCs/>
          <w:sz w:val="24"/>
          <w:szCs w:val="24"/>
        </w:rPr>
        <w:t xml:space="preserve">: </w:t>
      </w:r>
      <w:hyperlink r:id="rId24" w:history="1">
        <w:r w:rsidRPr="00A169F7">
          <w:rPr>
            <w:rStyle w:val="Hyperlink"/>
            <w:rFonts w:cstheme="minorHAnsi"/>
            <w:i/>
            <w:iCs/>
            <w:sz w:val="24"/>
            <w:szCs w:val="24"/>
          </w:rPr>
          <w:t>https://www.police-foundation.org.uk/2017/wp-content/uploads/2010/10/understanding-public-priorities-final.pdf</w:t>
        </w:r>
      </w:hyperlink>
      <w:r w:rsidRPr="00A169F7">
        <w:rPr>
          <w:rFonts w:cstheme="minorHAnsi"/>
          <w:sz w:val="24"/>
          <w:szCs w:val="24"/>
        </w:rPr>
        <w:t xml:space="preserve"> (Accessed:17/10/2021) </w:t>
      </w:r>
    </w:p>
    <w:p w14:paraId="761E37D2"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Hillyard, P. &amp; Tombs, S. (2008) ‘Beyond criminology?’ </w:t>
      </w:r>
      <w:r w:rsidRPr="00A169F7">
        <w:rPr>
          <w:rFonts w:cstheme="minorHAnsi"/>
          <w:i/>
          <w:iCs/>
          <w:sz w:val="24"/>
          <w:szCs w:val="24"/>
        </w:rPr>
        <w:t>Criminal Obsessions</w:t>
      </w:r>
      <w:r w:rsidRPr="00A169F7">
        <w:rPr>
          <w:rFonts w:cstheme="minorHAnsi"/>
          <w:sz w:val="24"/>
          <w:szCs w:val="24"/>
        </w:rPr>
        <w:t>: Why Harm Matters More Than Crime second edition London: Centre for Crime and Justice Studies, pp. 6–23.</w:t>
      </w:r>
    </w:p>
    <w:p w14:paraId="00505C45"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Hopkins, M (2008) Organized crime and local businesses. </w:t>
      </w:r>
      <w:r w:rsidRPr="00A169F7">
        <w:rPr>
          <w:rFonts w:cstheme="minorHAnsi"/>
          <w:i/>
          <w:iCs/>
          <w:sz w:val="24"/>
          <w:szCs w:val="24"/>
        </w:rPr>
        <w:t>Criminology &amp; Criminal Justice</w:t>
      </w:r>
      <w:r w:rsidRPr="00A169F7">
        <w:rPr>
          <w:rFonts w:cstheme="minorHAnsi"/>
          <w:sz w:val="24"/>
          <w:szCs w:val="24"/>
        </w:rPr>
        <w:t>, 8(4), pp.443–459.</w:t>
      </w:r>
    </w:p>
    <w:p w14:paraId="7DB83B2B" w14:textId="77777777" w:rsidR="00344F74" w:rsidRPr="00A169F7" w:rsidRDefault="00344F74"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Independent Police Complaints Commission (2011) IPCC publishes Fiona Pilkington investigation report. [online] </w:t>
      </w:r>
      <w:r w:rsidRPr="00A169F7">
        <w:rPr>
          <w:rFonts w:cstheme="minorHAnsi"/>
          <w:i/>
          <w:iCs/>
          <w:sz w:val="24"/>
          <w:szCs w:val="24"/>
        </w:rPr>
        <w:t>www.report-it.org.uk.</w:t>
      </w:r>
      <w:r w:rsidRPr="00A169F7">
        <w:rPr>
          <w:rFonts w:cstheme="minorHAnsi"/>
          <w:sz w:val="24"/>
          <w:szCs w:val="24"/>
        </w:rPr>
        <w:t xml:space="preserve"> Available at: </w:t>
      </w:r>
      <w:hyperlink r:id="rId25" w:history="1">
        <w:r w:rsidRPr="00A169F7">
          <w:rPr>
            <w:rStyle w:val="Hyperlink"/>
            <w:rFonts w:cstheme="minorHAnsi"/>
            <w:i/>
            <w:iCs/>
            <w:sz w:val="24"/>
            <w:szCs w:val="24"/>
          </w:rPr>
          <w:t>https://www.report-it.org.uk/ipcc_publishes_fiona_pilkington_investigation_r</w:t>
        </w:r>
      </w:hyperlink>
      <w:r w:rsidRPr="00A169F7">
        <w:rPr>
          <w:rFonts w:cstheme="minorHAnsi"/>
          <w:sz w:val="24"/>
          <w:szCs w:val="24"/>
        </w:rPr>
        <w:t xml:space="preserve">  (Accessed:18/10/2021)</w:t>
      </w:r>
    </w:p>
    <w:p w14:paraId="24889A9E" w14:textId="77777777" w:rsidR="003138DD" w:rsidRPr="00A169F7" w:rsidRDefault="003138DD"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Kalonji, S (2016) Exploring UK Congolese Communities’ Perceptions and Experiences of Youth Crime and Youth Justice in Britain and the Democratic Republic of Congo, and the Prospects for the Development of Restorative Justice. </w:t>
      </w:r>
      <w:r w:rsidRPr="00A169F7">
        <w:rPr>
          <w:rFonts w:cstheme="minorHAnsi"/>
          <w:i/>
          <w:iCs/>
          <w:sz w:val="24"/>
          <w:szCs w:val="24"/>
        </w:rPr>
        <w:t>Doctoral thesis Birmingham</w:t>
      </w:r>
      <w:r w:rsidRPr="00A169F7">
        <w:rPr>
          <w:rFonts w:cstheme="minorHAnsi"/>
          <w:sz w:val="24"/>
          <w:szCs w:val="24"/>
        </w:rPr>
        <w:t xml:space="preserve">: University of Birmingham. </w:t>
      </w:r>
    </w:p>
    <w:p w14:paraId="27A06383" w14:textId="77777777" w:rsidR="003138DD" w:rsidRPr="00A169F7" w:rsidRDefault="003138DD" w:rsidP="00A169F7">
      <w:pPr>
        <w:pStyle w:val="ListParagraph"/>
        <w:numPr>
          <w:ilvl w:val="0"/>
          <w:numId w:val="7"/>
        </w:numPr>
        <w:spacing w:line="480" w:lineRule="auto"/>
        <w:rPr>
          <w:rFonts w:cstheme="minorHAnsi"/>
          <w:sz w:val="24"/>
          <w:szCs w:val="24"/>
        </w:rPr>
      </w:pPr>
      <w:r w:rsidRPr="00A169F7">
        <w:rPr>
          <w:rFonts w:cstheme="minorHAnsi"/>
          <w:sz w:val="24"/>
          <w:szCs w:val="24"/>
        </w:rPr>
        <w:lastRenderedPageBreak/>
        <w:t>Khan, F (2015) ‘British Muslim identities: negotiation, hybridity and resistance’ Department of Sociology, Criminology and Social Policy PhD Thesis Liverpool University.</w:t>
      </w:r>
    </w:p>
    <w:p w14:paraId="4F165EB9" w14:textId="77777777" w:rsidR="003138DD" w:rsidRPr="00A169F7" w:rsidRDefault="003138DD"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Korkodeilou, J (2017) ‘No place to hide’: </w:t>
      </w:r>
      <w:r w:rsidRPr="00A169F7">
        <w:rPr>
          <w:rFonts w:cstheme="minorHAnsi"/>
          <w:i/>
          <w:iCs/>
          <w:sz w:val="24"/>
          <w:szCs w:val="24"/>
        </w:rPr>
        <w:t>Stalking victimisation and its psycho-social effects. International Review of Victimology</w:t>
      </w:r>
      <w:r w:rsidRPr="00A169F7">
        <w:rPr>
          <w:rFonts w:cstheme="minorHAnsi"/>
          <w:sz w:val="24"/>
          <w:szCs w:val="24"/>
        </w:rPr>
        <w:t>. 23(1): pp.17–32.</w:t>
      </w:r>
    </w:p>
    <w:p w14:paraId="3701422C" w14:textId="77777777" w:rsidR="003138DD" w:rsidRPr="00A169F7" w:rsidRDefault="003138DD"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Leicestershire Police (2009) Fiona Pilkington Report. [online] Available at: </w:t>
      </w:r>
      <w:hyperlink r:id="rId26" w:history="1">
        <w:r w:rsidRPr="00A169F7">
          <w:rPr>
            <w:rStyle w:val="Hyperlink"/>
            <w:rFonts w:cstheme="minorHAnsi"/>
            <w:i/>
            <w:iCs/>
            <w:sz w:val="24"/>
            <w:szCs w:val="24"/>
          </w:rPr>
          <w:t>https://www.hampshiresab.org.uk/learning-from-experience-database/serious-case-reviews/fiona-pilkington-leicestershire/</w:t>
        </w:r>
      </w:hyperlink>
      <w:r w:rsidRPr="00A169F7">
        <w:rPr>
          <w:rFonts w:cstheme="minorHAnsi"/>
          <w:sz w:val="24"/>
          <w:szCs w:val="24"/>
        </w:rPr>
        <w:t xml:space="preserve"> (Accessed:18/10/2021)</w:t>
      </w:r>
    </w:p>
    <w:p w14:paraId="465463A8" w14:textId="77777777" w:rsidR="003138DD" w:rsidRPr="00A169F7" w:rsidRDefault="003138DD"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Leicestershire Police (2021) ASB Awareness Week. [online] Available at: </w:t>
      </w:r>
      <w:hyperlink r:id="rId27" w:history="1">
        <w:r w:rsidRPr="00A169F7">
          <w:rPr>
            <w:rStyle w:val="Hyperlink"/>
            <w:rFonts w:cstheme="minorHAnsi"/>
            <w:i/>
            <w:iCs/>
            <w:sz w:val="24"/>
            <w:szCs w:val="24"/>
          </w:rPr>
          <w:t>https://www.leics.police.uk/news/leicestershire/news/2021/july/asb-awareness-week/</w:t>
        </w:r>
      </w:hyperlink>
      <w:r w:rsidRPr="00A169F7">
        <w:rPr>
          <w:rFonts w:cstheme="minorHAnsi"/>
          <w:sz w:val="24"/>
          <w:szCs w:val="24"/>
        </w:rPr>
        <w:t xml:space="preserve"> (Accessed:19/10/2021)</w:t>
      </w:r>
    </w:p>
    <w:p w14:paraId="2E8008E3" w14:textId="77777777" w:rsidR="003138DD" w:rsidRPr="00A169F7" w:rsidRDefault="003138DD"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Lumsden, K &amp; Black, A (2020) “Sorry, I’m dead, it’s too late now”: barriers faced by deaf citizens when accessing police services. </w:t>
      </w:r>
      <w:r w:rsidRPr="00A169F7">
        <w:rPr>
          <w:rFonts w:cstheme="minorHAnsi"/>
          <w:i/>
          <w:iCs/>
          <w:sz w:val="24"/>
          <w:szCs w:val="24"/>
        </w:rPr>
        <w:t>Disability &amp; Society</w:t>
      </w:r>
      <w:r w:rsidRPr="00A169F7">
        <w:rPr>
          <w:rFonts w:cstheme="minorHAnsi"/>
          <w:sz w:val="24"/>
          <w:szCs w:val="24"/>
        </w:rPr>
        <w:t>. pp.1–20.</w:t>
      </w:r>
    </w:p>
    <w:p w14:paraId="00E1B2AD" w14:textId="77777777" w:rsidR="003138DD" w:rsidRPr="00A169F7" w:rsidRDefault="003138DD"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Lynch, O &amp; Joyce, C (2016) ‘“Doing peace”. The role of ex-political prisoners in violence prevention initiatives in Northern Ireland’ </w:t>
      </w:r>
      <w:r w:rsidRPr="00A169F7">
        <w:rPr>
          <w:rFonts w:cstheme="minorHAnsi"/>
          <w:i/>
          <w:iCs/>
          <w:sz w:val="24"/>
          <w:szCs w:val="24"/>
        </w:rPr>
        <w:t>Conflict and Terrorism Studies</w:t>
      </w:r>
      <w:r w:rsidRPr="00A169F7">
        <w:rPr>
          <w:rFonts w:cstheme="minorHAnsi"/>
          <w:sz w:val="24"/>
          <w:szCs w:val="24"/>
        </w:rPr>
        <w:t>.</w:t>
      </w:r>
    </w:p>
    <w:p w14:paraId="5803F462"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t>Mack, J &amp; Goodfellow, B (2014) Homicide Bereavement Service Evaluation Rugby: ASSIST Trauma Care.</w:t>
      </w:r>
    </w:p>
    <w:p w14:paraId="2AC33BAE"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Mallick, K (2017) Leadership Team. </w:t>
      </w:r>
      <w:r w:rsidRPr="00A169F7">
        <w:rPr>
          <w:rFonts w:cstheme="minorHAnsi"/>
          <w:i/>
          <w:iCs/>
          <w:sz w:val="24"/>
          <w:szCs w:val="24"/>
        </w:rPr>
        <w:t>Disability Rights UK</w:t>
      </w:r>
      <w:r w:rsidRPr="00A169F7">
        <w:rPr>
          <w:rFonts w:cstheme="minorHAnsi"/>
          <w:sz w:val="24"/>
          <w:szCs w:val="24"/>
        </w:rPr>
        <w:t xml:space="preserve">. [online] Available at: www.disabilityrightsuk.org. Available at: </w:t>
      </w:r>
      <w:hyperlink r:id="rId28" w:anchor=":~:text=Kamran%20Mallick%20joined%20Disability%20Rights" w:history="1">
        <w:r w:rsidRPr="00A169F7">
          <w:rPr>
            <w:rStyle w:val="Hyperlink"/>
            <w:rFonts w:cstheme="minorHAnsi"/>
            <w:i/>
            <w:iCs/>
            <w:sz w:val="24"/>
            <w:szCs w:val="24"/>
          </w:rPr>
          <w:t>https://www.disabilityrightsuk.org/about-us/our-team/smt#:~:text=Kamran%20Mallick%20joined%20Disability%20Rights</w:t>
        </w:r>
      </w:hyperlink>
      <w:r w:rsidRPr="00A169F7">
        <w:rPr>
          <w:rFonts w:cstheme="minorHAnsi"/>
          <w:sz w:val="24"/>
          <w:szCs w:val="24"/>
        </w:rPr>
        <w:t xml:space="preserve">  (Accessed:19/10/2021)</w:t>
      </w:r>
    </w:p>
    <w:p w14:paraId="1ED54127"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t>Mearns, D &amp; Thorne, B (2012) Person-Centred Counselling in Action 3rd edition London: Sage.</w:t>
      </w:r>
    </w:p>
    <w:p w14:paraId="76313ED2"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lastRenderedPageBreak/>
        <w:t xml:space="preserve">Mencap (2003) About us. [online] </w:t>
      </w:r>
      <w:r w:rsidRPr="00A169F7">
        <w:rPr>
          <w:rFonts w:cstheme="minorHAnsi"/>
          <w:i/>
          <w:iCs/>
          <w:sz w:val="24"/>
          <w:szCs w:val="24"/>
        </w:rPr>
        <w:t>Mencap.</w:t>
      </w:r>
      <w:r w:rsidRPr="00A169F7">
        <w:rPr>
          <w:rFonts w:cstheme="minorHAnsi"/>
          <w:sz w:val="24"/>
          <w:szCs w:val="24"/>
        </w:rPr>
        <w:t xml:space="preserve"> Available at: </w:t>
      </w:r>
      <w:hyperlink r:id="rId29" w:history="1">
        <w:r w:rsidRPr="00A169F7">
          <w:rPr>
            <w:rStyle w:val="Hyperlink"/>
            <w:rFonts w:cstheme="minorHAnsi"/>
            <w:i/>
            <w:iCs/>
            <w:sz w:val="24"/>
            <w:szCs w:val="24"/>
          </w:rPr>
          <w:t>https://www.mencap.org.uk/about-us</w:t>
        </w:r>
      </w:hyperlink>
      <w:r w:rsidRPr="00A169F7">
        <w:rPr>
          <w:rFonts w:cstheme="minorHAnsi"/>
          <w:sz w:val="24"/>
          <w:szCs w:val="24"/>
        </w:rPr>
        <w:t xml:space="preserve"> (Accessed:17/10/2021)</w:t>
      </w:r>
    </w:p>
    <w:p w14:paraId="5A43ED55"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Mencap (2020) Royal Mencap Society Annual Report. </w:t>
      </w:r>
      <w:r w:rsidRPr="00A169F7">
        <w:rPr>
          <w:rFonts w:cstheme="minorHAnsi"/>
          <w:i/>
          <w:iCs/>
          <w:sz w:val="24"/>
          <w:szCs w:val="24"/>
        </w:rPr>
        <w:t>Accounts Royal Mencap Society Annual Report and Accounts</w:t>
      </w:r>
      <w:r w:rsidRPr="00A169F7">
        <w:rPr>
          <w:rFonts w:cstheme="minorHAnsi"/>
          <w:sz w:val="24"/>
          <w:szCs w:val="24"/>
        </w:rPr>
        <w:t xml:space="preserve">. [online] Available at: </w:t>
      </w:r>
      <w:hyperlink r:id="rId30" w:history="1">
        <w:r w:rsidRPr="00A169F7">
          <w:rPr>
            <w:rStyle w:val="Hyperlink"/>
            <w:rFonts w:cstheme="minorHAnsi"/>
            <w:i/>
            <w:iCs/>
            <w:sz w:val="24"/>
            <w:szCs w:val="24"/>
          </w:rPr>
          <w:t>https://www.mencap.org.uk/sites/default/files/2021-02/2020.008%20Annual%20Report%20%281%29.pdf</w:t>
        </w:r>
      </w:hyperlink>
      <w:r w:rsidRPr="00A169F7">
        <w:rPr>
          <w:rFonts w:cstheme="minorHAnsi"/>
          <w:sz w:val="24"/>
          <w:szCs w:val="24"/>
        </w:rPr>
        <w:t xml:space="preserve"> (Accessed:17/10/2021)</w:t>
      </w:r>
    </w:p>
    <w:p w14:paraId="7AF4B735"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Mendelssohn, B (1946) “New bio-psycho-social horizons: victimology.” Unpublished report. </w:t>
      </w:r>
      <w:r w:rsidRPr="00A169F7">
        <w:rPr>
          <w:rFonts w:cstheme="minorHAnsi"/>
          <w:i/>
          <w:iCs/>
          <w:sz w:val="24"/>
          <w:szCs w:val="24"/>
        </w:rPr>
        <w:t>The evolution of the term study</w:t>
      </w:r>
      <w:r w:rsidRPr="00A169F7">
        <w:rPr>
          <w:rFonts w:cstheme="minorHAnsi"/>
          <w:sz w:val="24"/>
          <w:szCs w:val="24"/>
        </w:rPr>
        <w:t>: pp. 877.</w:t>
      </w:r>
    </w:p>
    <w:p w14:paraId="19256A96"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Metropolitan Police (2019) Crime type definitions. Available at: </w:t>
      </w:r>
      <w:hyperlink r:id="rId31" w:history="1">
        <w:r w:rsidRPr="00A169F7">
          <w:rPr>
            <w:rStyle w:val="Hyperlink"/>
            <w:rFonts w:cstheme="minorHAnsi"/>
            <w:i/>
            <w:iCs/>
            <w:sz w:val="24"/>
            <w:szCs w:val="24"/>
          </w:rPr>
          <w:t>https://www.met.police.uk/sd/stats-and-data/met/crime-type-definitions/</w:t>
        </w:r>
      </w:hyperlink>
      <w:r w:rsidRPr="00A169F7">
        <w:rPr>
          <w:rFonts w:cstheme="minorHAnsi"/>
          <w:i/>
          <w:iCs/>
          <w:sz w:val="24"/>
          <w:szCs w:val="24"/>
        </w:rPr>
        <w:t xml:space="preserve"> </w:t>
      </w:r>
      <w:r w:rsidRPr="00A169F7">
        <w:rPr>
          <w:rFonts w:cstheme="minorHAnsi"/>
          <w:sz w:val="24"/>
          <w:szCs w:val="24"/>
        </w:rPr>
        <w:t xml:space="preserve"> (Accessed:16/10/2021)</w:t>
      </w:r>
    </w:p>
    <w:p w14:paraId="4B76B98F" w14:textId="77777777" w:rsidR="004C3B91" w:rsidRPr="00A169F7" w:rsidRDefault="004C3B91"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Michaelson, J (2015) Measuring Wellbeing: A Guide for Practitioners London: New Economics Foundation. Available at: </w:t>
      </w:r>
      <w:hyperlink r:id="rId32" w:history="1">
        <w:r w:rsidRPr="00A169F7">
          <w:rPr>
            <w:rStyle w:val="Hyperlink"/>
            <w:rFonts w:cstheme="minorHAnsi"/>
            <w:i/>
            <w:iCs/>
            <w:sz w:val="24"/>
            <w:szCs w:val="24"/>
          </w:rPr>
          <w:t>http://b.3cdn.net/nefoundation/8d92cf44e70b3d16e6_rgm6bpd3i.pdf</w:t>
        </w:r>
      </w:hyperlink>
      <w:r w:rsidRPr="00A169F7">
        <w:rPr>
          <w:rFonts w:cstheme="minorHAnsi"/>
          <w:sz w:val="24"/>
          <w:szCs w:val="24"/>
        </w:rPr>
        <w:t xml:space="preserve"> (Accessed:17/10/2021) </w:t>
      </w:r>
    </w:p>
    <w:p w14:paraId="1A827D2E" w14:textId="77777777" w:rsidR="00EF7C31" w:rsidRPr="00A169F7" w:rsidRDefault="00EF7C31"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Nathan, F (2020) Pilkington deaths could happen again because of police failure. [online] </w:t>
      </w:r>
      <w:r w:rsidRPr="00A169F7">
        <w:rPr>
          <w:rFonts w:cstheme="minorHAnsi"/>
          <w:i/>
          <w:iCs/>
          <w:sz w:val="24"/>
          <w:szCs w:val="24"/>
        </w:rPr>
        <w:t>The Independent</w:t>
      </w:r>
      <w:r w:rsidRPr="00A169F7">
        <w:rPr>
          <w:rFonts w:cstheme="minorHAnsi"/>
          <w:sz w:val="24"/>
          <w:szCs w:val="24"/>
        </w:rPr>
        <w:t xml:space="preserve">. Available at: </w:t>
      </w:r>
      <w:hyperlink r:id="rId33" w:history="1">
        <w:r w:rsidRPr="00A169F7">
          <w:rPr>
            <w:rStyle w:val="Hyperlink"/>
            <w:rFonts w:cstheme="minorHAnsi"/>
            <w:i/>
            <w:iCs/>
            <w:sz w:val="24"/>
            <w:szCs w:val="24"/>
          </w:rPr>
          <w:t>https://www.independent.co.uk/news/uk/crime/pilkington-deaths-could-happen-again-because-police-failure-8543040.html</w:t>
        </w:r>
      </w:hyperlink>
      <w:r w:rsidRPr="00A169F7">
        <w:rPr>
          <w:rFonts w:cstheme="minorHAnsi"/>
          <w:i/>
          <w:iCs/>
          <w:sz w:val="24"/>
          <w:szCs w:val="24"/>
        </w:rPr>
        <w:t xml:space="preserve"> </w:t>
      </w:r>
      <w:r w:rsidRPr="00A169F7">
        <w:rPr>
          <w:rFonts w:cstheme="minorHAnsi"/>
          <w:sz w:val="24"/>
          <w:szCs w:val="24"/>
        </w:rPr>
        <w:t xml:space="preserve">(Accessed:17/10/2021) </w:t>
      </w:r>
    </w:p>
    <w:p w14:paraId="1B08FE6B" w14:textId="77777777" w:rsidR="00EF7C31" w:rsidRPr="00A169F7" w:rsidRDefault="00EF7C31"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Nuttman-Shwartz, D. &amp; Schindler, S. (2004) Supervision Groups for Volunteers Working with Victims of War and Terrorism: </w:t>
      </w:r>
      <w:r w:rsidRPr="00A169F7">
        <w:rPr>
          <w:rFonts w:cstheme="minorHAnsi"/>
          <w:i/>
          <w:iCs/>
          <w:sz w:val="24"/>
          <w:szCs w:val="24"/>
        </w:rPr>
        <w:t>A Social Défense Perspective. Group</w:t>
      </w:r>
      <w:r w:rsidRPr="00A169F7">
        <w:rPr>
          <w:rFonts w:cstheme="minorHAnsi"/>
          <w:sz w:val="24"/>
          <w:szCs w:val="24"/>
        </w:rPr>
        <w:t xml:space="preserve">, [online] 28(3), pp.177–190. Available at: </w:t>
      </w:r>
      <w:hyperlink r:id="rId34" w:history="1">
        <w:r w:rsidRPr="00A169F7">
          <w:rPr>
            <w:rStyle w:val="Hyperlink"/>
            <w:rFonts w:cstheme="minorHAnsi"/>
            <w:i/>
            <w:iCs/>
            <w:sz w:val="24"/>
            <w:szCs w:val="24"/>
          </w:rPr>
          <w:t>https://www.jstor.org/stable/41939228</w:t>
        </w:r>
      </w:hyperlink>
      <w:r w:rsidRPr="00A169F7">
        <w:rPr>
          <w:rFonts w:cstheme="minorHAnsi"/>
          <w:i/>
          <w:iCs/>
          <w:sz w:val="24"/>
          <w:szCs w:val="24"/>
        </w:rPr>
        <w:t xml:space="preserve">  </w:t>
      </w:r>
      <w:r w:rsidRPr="00A169F7">
        <w:rPr>
          <w:rFonts w:cstheme="minorHAnsi"/>
          <w:sz w:val="24"/>
          <w:szCs w:val="24"/>
        </w:rPr>
        <w:t>(Accessed:14/10/2021)</w:t>
      </w:r>
    </w:p>
    <w:p w14:paraId="25D91398" w14:textId="4F392798" w:rsidR="00255DD9" w:rsidRPr="00A169F7" w:rsidRDefault="00255DD9" w:rsidP="00A169F7">
      <w:pPr>
        <w:pStyle w:val="ListParagraph"/>
        <w:numPr>
          <w:ilvl w:val="0"/>
          <w:numId w:val="7"/>
        </w:numPr>
        <w:spacing w:line="480" w:lineRule="auto"/>
        <w:rPr>
          <w:rFonts w:cstheme="minorHAnsi"/>
          <w:i/>
          <w:iCs/>
          <w:sz w:val="24"/>
          <w:szCs w:val="24"/>
        </w:rPr>
      </w:pPr>
      <w:r w:rsidRPr="00A169F7">
        <w:rPr>
          <w:rFonts w:cstheme="minorHAnsi"/>
          <w:sz w:val="24"/>
          <w:szCs w:val="24"/>
        </w:rPr>
        <w:lastRenderedPageBreak/>
        <w:t xml:space="preserve">Office for National Statistics (2019) Crime in England and Wales, Year Ending December 2018. London: </w:t>
      </w:r>
      <w:r w:rsidRPr="00A169F7">
        <w:rPr>
          <w:rFonts w:cstheme="minorHAnsi"/>
          <w:i/>
          <w:iCs/>
          <w:sz w:val="24"/>
          <w:szCs w:val="24"/>
        </w:rPr>
        <w:t>Office for National Statistics.</w:t>
      </w:r>
    </w:p>
    <w:p w14:paraId="5EB0D220" w14:textId="2B6BA587" w:rsidR="00255DD9" w:rsidRPr="00A169F7" w:rsidRDefault="00255DD9"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Patel, P (2021) Peer victimisation during adolescence and its impact on wellbeing in adulthood: </w:t>
      </w:r>
      <w:r w:rsidRPr="00A169F7">
        <w:rPr>
          <w:rFonts w:cstheme="minorHAnsi"/>
          <w:i/>
          <w:iCs/>
          <w:sz w:val="24"/>
          <w:szCs w:val="24"/>
        </w:rPr>
        <w:t>A prospective cohort study</w:t>
      </w:r>
      <w:r w:rsidRPr="00A169F7">
        <w:rPr>
          <w:rFonts w:cstheme="minorHAnsi"/>
          <w:sz w:val="24"/>
          <w:szCs w:val="24"/>
        </w:rPr>
        <w:t>. BMC Public Health, 21(1).</w:t>
      </w:r>
    </w:p>
    <w:p w14:paraId="2442E1CF" w14:textId="3047D813" w:rsidR="00255DD9" w:rsidRPr="00A169F7" w:rsidRDefault="00255DD9"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Pennington, L (2014) Everyday Victim Blaming: </w:t>
      </w:r>
      <w:r w:rsidRPr="00A169F7">
        <w:rPr>
          <w:rFonts w:cstheme="minorHAnsi"/>
          <w:i/>
          <w:iCs/>
          <w:sz w:val="24"/>
          <w:szCs w:val="24"/>
        </w:rPr>
        <w:t>Challenging the Portrayal of Domestic and Sexual Violence and Abuse in the Media London</w:t>
      </w:r>
      <w:r w:rsidRPr="00A169F7">
        <w:rPr>
          <w:rFonts w:cstheme="minorHAnsi"/>
          <w:sz w:val="24"/>
          <w:szCs w:val="24"/>
        </w:rPr>
        <w:t xml:space="preserve">: EVB Press. </w:t>
      </w:r>
    </w:p>
    <w:p w14:paraId="5FFF2768" w14:textId="106198E9" w:rsidR="00344F74" w:rsidRPr="00A169F7" w:rsidRDefault="00255DD9"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Rossetti, P., Mayes, A. &amp; Moroz, A. (2017) Victim of the system 2 Victim of the system. [online] Available at: </w:t>
      </w:r>
      <w:hyperlink r:id="rId35" w:history="1">
        <w:r w:rsidRPr="00A169F7">
          <w:rPr>
            <w:rStyle w:val="Hyperlink"/>
            <w:rFonts w:cstheme="minorHAnsi"/>
            <w:sz w:val="24"/>
            <w:szCs w:val="24"/>
          </w:rPr>
          <w:t>https://www.criminal-injuries.co.uk/wp-content/uploads/2017/05/Victim-of-the-System-report.pdf</w:t>
        </w:r>
      </w:hyperlink>
      <w:r w:rsidRPr="00A169F7">
        <w:rPr>
          <w:rFonts w:cstheme="minorHAnsi"/>
          <w:sz w:val="24"/>
          <w:szCs w:val="24"/>
        </w:rPr>
        <w:t xml:space="preserve"> (Accessed:16/10/2021)</w:t>
      </w:r>
    </w:p>
    <w:p w14:paraId="5F84AB1A"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Salerno-Ferraro, C. &amp; Schuller, A (2020) Perspectives from the ASD community on police interactions: Challenges &amp; recommendations. Research in Developmental Disabilities, 105, p.103732.</w:t>
      </w:r>
    </w:p>
    <w:p w14:paraId="7FA4FDE7"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Santarelli, D (1974) The National Institute of Law Enforcement and Criminal Justice. [online] Available at</w:t>
      </w:r>
      <w:r w:rsidRPr="00A169F7">
        <w:rPr>
          <w:rFonts w:cstheme="minorHAnsi"/>
          <w:i/>
          <w:iCs/>
          <w:sz w:val="24"/>
          <w:szCs w:val="24"/>
        </w:rPr>
        <w:t xml:space="preserve">: </w:t>
      </w:r>
      <w:hyperlink r:id="rId36" w:history="1">
        <w:r w:rsidRPr="00A169F7">
          <w:rPr>
            <w:rStyle w:val="Hyperlink"/>
            <w:rFonts w:cstheme="minorHAnsi"/>
            <w:i/>
            <w:iCs/>
            <w:sz w:val="24"/>
            <w:szCs w:val="24"/>
          </w:rPr>
          <w:t>https://www.ojp.gov/pdffiles1/Digitization/12393NCJRS.pdf</w:t>
        </w:r>
      </w:hyperlink>
      <w:r w:rsidRPr="00A169F7">
        <w:rPr>
          <w:rFonts w:cstheme="minorHAnsi"/>
          <w:sz w:val="24"/>
          <w:szCs w:val="24"/>
        </w:rPr>
        <w:t xml:space="preserve"> (Accessed:14/10/2021)</w:t>
      </w:r>
    </w:p>
    <w:p w14:paraId="77AD719D"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Schafer, S (1965) “Criminal-Victim Relationship in Violent Crimes.” </w:t>
      </w:r>
      <w:r w:rsidRPr="00A169F7">
        <w:rPr>
          <w:rFonts w:cstheme="minorHAnsi"/>
          <w:i/>
          <w:iCs/>
          <w:sz w:val="24"/>
          <w:szCs w:val="24"/>
        </w:rPr>
        <w:t>Unpublished research. U.S. Department of Health, Education, and Welfare</w:t>
      </w:r>
      <w:r w:rsidRPr="00A169F7">
        <w:rPr>
          <w:rFonts w:cstheme="minorHAnsi"/>
          <w:sz w:val="24"/>
          <w:szCs w:val="24"/>
        </w:rPr>
        <w:t>.</w:t>
      </w:r>
    </w:p>
    <w:p w14:paraId="53EC870D"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Shapland, J &amp; Hall, M (2007) What do we know about the effects of crime on victims? International Review of Victimology 14: pp.175–217. </w:t>
      </w:r>
    </w:p>
    <w:p w14:paraId="3405D0AB"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Shoham, S. Knepper, P. &amp; Kett, M. (2010) International Handbook of Victimology. London: CRC Press.</w:t>
      </w:r>
    </w:p>
    <w:p w14:paraId="5E230CE1"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Simon, A (2021) Introducing EVAW’s new Director. [online] </w:t>
      </w:r>
      <w:r w:rsidRPr="00A169F7">
        <w:rPr>
          <w:rFonts w:cstheme="minorHAnsi"/>
          <w:i/>
          <w:iCs/>
          <w:sz w:val="24"/>
          <w:szCs w:val="24"/>
        </w:rPr>
        <w:t xml:space="preserve">www.endviolenceagainstwomen.org.uk. </w:t>
      </w:r>
      <w:r w:rsidRPr="00A169F7">
        <w:rPr>
          <w:rFonts w:cstheme="minorHAnsi"/>
          <w:sz w:val="24"/>
          <w:szCs w:val="24"/>
        </w:rPr>
        <w:t xml:space="preserve">Available at: </w:t>
      </w:r>
      <w:hyperlink r:id="rId37" w:history="1">
        <w:r w:rsidRPr="00A169F7">
          <w:rPr>
            <w:rStyle w:val="Hyperlink"/>
            <w:rFonts w:cstheme="minorHAnsi"/>
            <w:i/>
            <w:iCs/>
            <w:sz w:val="24"/>
            <w:szCs w:val="24"/>
          </w:rPr>
          <w:t>https://www.endviolenceagainstwomen.org.uk/introducing-evaws-new-director/</w:t>
        </w:r>
      </w:hyperlink>
      <w:r w:rsidRPr="00A169F7">
        <w:rPr>
          <w:rFonts w:cstheme="minorHAnsi"/>
          <w:i/>
          <w:iCs/>
          <w:sz w:val="24"/>
          <w:szCs w:val="24"/>
        </w:rPr>
        <w:t xml:space="preserve"> </w:t>
      </w:r>
      <w:r w:rsidRPr="00A169F7">
        <w:rPr>
          <w:rFonts w:cstheme="minorHAnsi"/>
          <w:sz w:val="24"/>
          <w:szCs w:val="24"/>
        </w:rPr>
        <w:t>(Accessed:16/10/2021)</w:t>
      </w:r>
    </w:p>
    <w:p w14:paraId="01B20F00"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Spalek, B (2004) ‘Policing financial crime: the FSA and the myth of the duped investor’. </w:t>
      </w:r>
      <w:r w:rsidRPr="00A169F7">
        <w:rPr>
          <w:rFonts w:cstheme="minorHAnsi"/>
          <w:i/>
          <w:iCs/>
          <w:sz w:val="24"/>
          <w:szCs w:val="24"/>
        </w:rPr>
        <w:t>Dilemmas and Debates in Contemporary Policing Cullompton</w:t>
      </w:r>
      <w:r w:rsidRPr="00A169F7">
        <w:rPr>
          <w:rFonts w:cstheme="minorHAnsi"/>
          <w:sz w:val="24"/>
          <w:szCs w:val="24"/>
        </w:rPr>
        <w:t>: pp.163–174.</w:t>
      </w:r>
    </w:p>
    <w:p w14:paraId="0B33DBD2" w14:textId="57DC250C"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Strickland, P (2012) The “Community Trigger”: </w:t>
      </w:r>
      <w:r w:rsidRPr="00A169F7">
        <w:rPr>
          <w:rFonts w:cstheme="minorHAnsi"/>
          <w:i/>
          <w:iCs/>
          <w:sz w:val="24"/>
          <w:szCs w:val="24"/>
        </w:rPr>
        <w:t>Government proposals on Anti-social Behaviour</w:t>
      </w:r>
      <w:r w:rsidRPr="00A169F7">
        <w:rPr>
          <w:rFonts w:cstheme="minorHAnsi"/>
          <w:sz w:val="24"/>
          <w:szCs w:val="24"/>
        </w:rPr>
        <w:t xml:space="preserve">. [online] Available at: </w:t>
      </w:r>
      <w:hyperlink r:id="rId38" w:history="1">
        <w:r w:rsidRPr="00A169F7">
          <w:rPr>
            <w:rStyle w:val="Hyperlink"/>
            <w:rFonts w:cstheme="minorHAnsi"/>
            <w:i/>
            <w:iCs/>
            <w:sz w:val="24"/>
            <w:szCs w:val="24"/>
          </w:rPr>
          <w:t>https://researchbriefings.files.parliament.uk/documents/SN06343/SN06343.pdf</w:t>
        </w:r>
      </w:hyperlink>
      <w:r w:rsidRPr="00A169F7">
        <w:rPr>
          <w:rFonts w:cstheme="minorHAnsi"/>
          <w:i/>
          <w:iCs/>
          <w:sz w:val="24"/>
          <w:szCs w:val="24"/>
        </w:rPr>
        <w:t xml:space="preserve">  </w:t>
      </w:r>
      <w:r w:rsidRPr="00A169F7">
        <w:rPr>
          <w:rFonts w:cstheme="minorHAnsi"/>
          <w:sz w:val="24"/>
          <w:szCs w:val="24"/>
        </w:rPr>
        <w:t>(Accessed:17/10/2021)</w:t>
      </w:r>
    </w:p>
    <w:p w14:paraId="3E9B9E81" w14:textId="6566461A"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Topping, A (2021) Public street harassment could be made illegal in England and Wales. [online</w:t>
      </w:r>
      <w:r w:rsidRPr="00A169F7">
        <w:rPr>
          <w:rFonts w:cstheme="minorHAnsi"/>
          <w:i/>
          <w:iCs/>
          <w:sz w:val="24"/>
          <w:szCs w:val="24"/>
        </w:rPr>
        <w:t>] the Guardian.</w:t>
      </w:r>
      <w:r w:rsidRPr="00A169F7">
        <w:rPr>
          <w:rFonts w:cstheme="minorHAnsi"/>
          <w:sz w:val="24"/>
          <w:szCs w:val="24"/>
        </w:rPr>
        <w:t xml:space="preserve"> Available at: </w:t>
      </w:r>
      <w:hyperlink r:id="rId39" w:history="1">
        <w:r w:rsidRPr="00A169F7">
          <w:rPr>
            <w:rStyle w:val="Hyperlink"/>
            <w:rFonts w:cstheme="minorHAnsi"/>
            <w:i/>
            <w:iCs/>
            <w:sz w:val="24"/>
            <w:szCs w:val="24"/>
          </w:rPr>
          <w:t>https://www.theguardian.com/world/2021/jul/20/public-street-harassment-to-be-made-in-england-and-wales</w:t>
        </w:r>
      </w:hyperlink>
      <w:r w:rsidRPr="00A169F7">
        <w:rPr>
          <w:rFonts w:cstheme="minorHAnsi"/>
          <w:sz w:val="24"/>
          <w:szCs w:val="24"/>
        </w:rPr>
        <w:t xml:space="preserve"> (Accessed:16/10/2021)</w:t>
      </w:r>
    </w:p>
    <w:p w14:paraId="49DD6903" w14:textId="0EC3E334"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Travis, A (2017) Police “to give up on minor crimes without major funding increase.” [online] the Guardian. Available at: </w:t>
      </w:r>
      <w:hyperlink r:id="rId40" w:history="1">
        <w:r w:rsidRPr="00A169F7">
          <w:rPr>
            <w:rStyle w:val="Hyperlink"/>
            <w:rFonts w:cstheme="minorHAnsi"/>
            <w:i/>
            <w:iCs/>
            <w:sz w:val="24"/>
            <w:szCs w:val="24"/>
          </w:rPr>
          <w:t>https://www.theguardian.com/uk-news/2017/nov/14/uk-police-funding-minor-crimes-bedfordshire-sussex-budget</w:t>
        </w:r>
      </w:hyperlink>
      <w:r w:rsidRPr="00A169F7">
        <w:rPr>
          <w:rFonts w:cstheme="minorHAnsi"/>
          <w:i/>
          <w:iCs/>
          <w:sz w:val="24"/>
          <w:szCs w:val="24"/>
        </w:rPr>
        <w:t xml:space="preserve">  </w:t>
      </w:r>
      <w:r w:rsidRPr="00A169F7">
        <w:rPr>
          <w:rFonts w:cstheme="minorHAnsi"/>
          <w:sz w:val="24"/>
          <w:szCs w:val="24"/>
        </w:rPr>
        <w:t>(Accessed:16/10/2019)</w:t>
      </w:r>
    </w:p>
    <w:p w14:paraId="33863492" w14:textId="33664A4C" w:rsidR="00DC5315" w:rsidRPr="00A169F7" w:rsidRDefault="00DC5315" w:rsidP="00A169F7">
      <w:pPr>
        <w:pStyle w:val="ListParagraph"/>
        <w:numPr>
          <w:ilvl w:val="0"/>
          <w:numId w:val="7"/>
        </w:numPr>
        <w:spacing w:line="480" w:lineRule="auto"/>
        <w:rPr>
          <w:rStyle w:val="Hyperlink"/>
          <w:rFonts w:cstheme="minorHAnsi"/>
          <w:i/>
          <w:iCs/>
          <w:color w:val="auto"/>
          <w:sz w:val="24"/>
          <w:szCs w:val="24"/>
          <w:u w:val="none"/>
        </w:rPr>
      </w:pPr>
      <w:r w:rsidRPr="00A169F7">
        <w:rPr>
          <w:rFonts w:cstheme="minorHAnsi"/>
          <w:sz w:val="24"/>
          <w:szCs w:val="24"/>
        </w:rPr>
        <w:t xml:space="preserve">United Nations (1985) Declaration of Basic Principles of Justice for Victims of Crime and Abuse of Power. Available at: </w:t>
      </w:r>
      <w:hyperlink r:id="rId41" w:history="1">
        <w:r w:rsidRPr="00A169F7">
          <w:rPr>
            <w:rStyle w:val="Hyperlink"/>
            <w:rFonts w:cstheme="minorHAnsi"/>
            <w:i/>
            <w:iCs/>
            <w:sz w:val="24"/>
            <w:szCs w:val="24"/>
          </w:rPr>
          <w:t>www.unodc.org/pdf/compendium/compendium_2006_part_03_02.pdf</w:t>
        </w:r>
      </w:hyperlink>
      <w:r w:rsidRPr="00A169F7">
        <w:rPr>
          <w:rStyle w:val="Hyperlink"/>
          <w:rFonts w:cstheme="minorHAnsi"/>
          <w:i/>
          <w:iCs/>
          <w:sz w:val="24"/>
          <w:szCs w:val="24"/>
        </w:rPr>
        <w:t xml:space="preserve"> </w:t>
      </w:r>
      <w:r w:rsidRPr="00A169F7">
        <w:rPr>
          <w:rStyle w:val="Hyperlink"/>
          <w:rFonts w:cstheme="minorHAnsi"/>
          <w:color w:val="auto"/>
          <w:sz w:val="24"/>
          <w:szCs w:val="24"/>
          <w:u w:val="none"/>
        </w:rPr>
        <w:t>(Accessed:18/10/2021)</w:t>
      </w:r>
    </w:p>
    <w:p w14:paraId="5FF42780" w14:textId="270AA043"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Victim Support (2021a) How can crime affect you? [online] </w:t>
      </w:r>
      <w:r w:rsidRPr="00A169F7">
        <w:rPr>
          <w:rFonts w:cstheme="minorHAnsi"/>
          <w:i/>
          <w:iCs/>
          <w:sz w:val="24"/>
          <w:szCs w:val="24"/>
        </w:rPr>
        <w:t>Victim Support</w:t>
      </w:r>
      <w:r w:rsidRPr="00A169F7">
        <w:rPr>
          <w:rFonts w:cstheme="minorHAnsi"/>
          <w:sz w:val="24"/>
          <w:szCs w:val="24"/>
        </w:rPr>
        <w:t xml:space="preserve">. Available at: </w:t>
      </w:r>
      <w:hyperlink r:id="rId42" w:history="1">
        <w:r w:rsidRPr="00A169F7">
          <w:rPr>
            <w:rStyle w:val="Hyperlink"/>
            <w:rFonts w:cstheme="minorHAnsi"/>
            <w:i/>
            <w:iCs/>
            <w:sz w:val="24"/>
            <w:szCs w:val="24"/>
          </w:rPr>
          <w:t>https://www.victimsupport.org.uk/help-and-support/coping-crime/how-can-crime-affect-you/</w:t>
        </w:r>
      </w:hyperlink>
      <w:r w:rsidRPr="00A169F7">
        <w:rPr>
          <w:rFonts w:cstheme="minorHAnsi"/>
          <w:sz w:val="24"/>
          <w:szCs w:val="24"/>
        </w:rPr>
        <w:t xml:space="preserve"> (Accessed:16/10/2021)</w:t>
      </w:r>
    </w:p>
    <w:p w14:paraId="349C33F1" w14:textId="5DB30441"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lastRenderedPageBreak/>
        <w:t xml:space="preserve">Victim Support (2021b) 2021 Archives. [online] </w:t>
      </w:r>
      <w:r w:rsidRPr="00A169F7">
        <w:rPr>
          <w:rFonts w:cstheme="minorHAnsi"/>
          <w:i/>
          <w:iCs/>
          <w:sz w:val="24"/>
          <w:szCs w:val="24"/>
        </w:rPr>
        <w:t>Victim Support</w:t>
      </w:r>
      <w:r w:rsidRPr="00A169F7">
        <w:rPr>
          <w:rFonts w:cstheme="minorHAnsi"/>
          <w:sz w:val="24"/>
          <w:szCs w:val="24"/>
        </w:rPr>
        <w:t xml:space="preserve">. Available at: </w:t>
      </w:r>
      <w:hyperlink r:id="rId43" w:history="1">
        <w:r w:rsidRPr="00A169F7">
          <w:rPr>
            <w:rStyle w:val="Hyperlink"/>
            <w:rFonts w:cstheme="minorHAnsi"/>
            <w:i/>
            <w:iCs/>
            <w:sz w:val="24"/>
            <w:szCs w:val="24"/>
          </w:rPr>
          <w:t>https://www.victimsupport.org.uk/category/2021/</w:t>
        </w:r>
      </w:hyperlink>
      <w:r w:rsidRPr="00A169F7">
        <w:rPr>
          <w:rFonts w:cstheme="minorHAnsi"/>
          <w:sz w:val="24"/>
          <w:szCs w:val="24"/>
        </w:rPr>
        <w:t xml:space="preserve">  (Accessed:19/10/2021)</w:t>
      </w:r>
    </w:p>
    <w:p w14:paraId="6781613E" w14:textId="77777777" w:rsidR="00DC5315" w:rsidRPr="00A169F7" w:rsidRDefault="00DC5315"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Visconti, G (2019) Policy Preferences after Crime Victimization: </w:t>
      </w:r>
      <w:r w:rsidRPr="00A169F7">
        <w:rPr>
          <w:rFonts w:cstheme="minorHAnsi"/>
          <w:i/>
          <w:iCs/>
          <w:sz w:val="24"/>
          <w:szCs w:val="24"/>
        </w:rPr>
        <w:t>Panel and Survey Evidence from Latin America. British Journal of Political Science</w:t>
      </w:r>
      <w:r w:rsidRPr="00A169F7">
        <w:rPr>
          <w:rFonts w:cstheme="minorHAnsi"/>
          <w:sz w:val="24"/>
          <w:szCs w:val="24"/>
        </w:rPr>
        <w:t>, 50(4), pp.1–15.</w:t>
      </w:r>
    </w:p>
    <w:p w14:paraId="697EECF9" w14:textId="77777777" w:rsidR="00AE07F9" w:rsidRPr="00A169F7" w:rsidRDefault="00AE07F9"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Wolfgang, M. (1958). Issue 1 Article 1 1957 Recommended Citation Martin F. Wolfgang, Victim Precipitated Criminal Homicide, 48. Journal of Criminal Law and Criminology, [online] 48(1), pp.1957–1958. Available at: </w:t>
      </w:r>
      <w:hyperlink r:id="rId44" w:history="1">
        <w:r w:rsidRPr="00A169F7">
          <w:rPr>
            <w:rStyle w:val="Hyperlink"/>
            <w:rFonts w:cstheme="minorHAnsi"/>
            <w:i/>
            <w:iCs/>
            <w:sz w:val="24"/>
            <w:szCs w:val="24"/>
          </w:rPr>
          <w:t>https://scholarlycommons.law.northwestern.edu/cgi/viewcontent.cgi?article=4565&amp;context=jclc</w:t>
        </w:r>
      </w:hyperlink>
      <w:r w:rsidRPr="00A169F7">
        <w:rPr>
          <w:rFonts w:cstheme="minorHAnsi"/>
          <w:i/>
          <w:iCs/>
          <w:sz w:val="24"/>
          <w:szCs w:val="24"/>
        </w:rPr>
        <w:t xml:space="preserve"> </w:t>
      </w:r>
      <w:r w:rsidRPr="00A169F7">
        <w:rPr>
          <w:rFonts w:cstheme="minorHAnsi"/>
          <w:sz w:val="24"/>
          <w:szCs w:val="24"/>
        </w:rPr>
        <w:t xml:space="preserve">(Accessed:14/10/2021) </w:t>
      </w:r>
    </w:p>
    <w:p w14:paraId="763D1149" w14:textId="4BC41DF1" w:rsidR="00DC5315" w:rsidRPr="00A169F7" w:rsidRDefault="00AE07F9" w:rsidP="00A169F7">
      <w:pPr>
        <w:pStyle w:val="ListParagraph"/>
        <w:numPr>
          <w:ilvl w:val="0"/>
          <w:numId w:val="7"/>
        </w:numPr>
        <w:spacing w:line="480" w:lineRule="auto"/>
        <w:rPr>
          <w:rFonts w:cstheme="minorHAnsi"/>
          <w:sz w:val="24"/>
          <w:szCs w:val="24"/>
        </w:rPr>
      </w:pPr>
      <w:r w:rsidRPr="00A169F7">
        <w:rPr>
          <w:rFonts w:cstheme="minorHAnsi"/>
          <w:sz w:val="24"/>
          <w:szCs w:val="24"/>
        </w:rPr>
        <w:t xml:space="preserve">Young, M &amp; Stein, J (2019) The History of the Crime Victims’ Movement in the United States. [online] </w:t>
      </w:r>
      <w:r w:rsidRPr="00A169F7">
        <w:rPr>
          <w:rFonts w:cstheme="minorHAnsi"/>
          <w:i/>
          <w:iCs/>
          <w:sz w:val="24"/>
          <w:szCs w:val="24"/>
        </w:rPr>
        <w:t>Ncjrs.gov</w:t>
      </w:r>
      <w:r w:rsidRPr="00A169F7">
        <w:rPr>
          <w:rFonts w:cstheme="minorHAnsi"/>
          <w:sz w:val="24"/>
          <w:szCs w:val="24"/>
        </w:rPr>
        <w:t xml:space="preserve">. Available at: </w:t>
      </w:r>
      <w:hyperlink r:id="rId45" w:history="1">
        <w:r w:rsidRPr="00A169F7">
          <w:rPr>
            <w:rStyle w:val="Hyperlink"/>
            <w:rFonts w:cstheme="minorHAnsi"/>
            <w:i/>
            <w:iCs/>
            <w:sz w:val="24"/>
            <w:szCs w:val="24"/>
          </w:rPr>
          <w:t>https://www.ncjrs.gov/ovc_archives/ncvrw/2005/pg4c.html</w:t>
        </w:r>
      </w:hyperlink>
      <w:r w:rsidRPr="00A169F7">
        <w:rPr>
          <w:rFonts w:cstheme="minorHAnsi"/>
          <w:sz w:val="24"/>
          <w:szCs w:val="24"/>
        </w:rPr>
        <w:t xml:space="preserve"> (Accessed:14/10/2021) </w:t>
      </w:r>
    </w:p>
    <w:sectPr w:rsidR="00DC5315" w:rsidRPr="00A169F7" w:rsidSect="003D03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D12E5"/>
    <w:multiLevelType w:val="hybridMultilevel"/>
    <w:tmpl w:val="34CAB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427E4C"/>
    <w:multiLevelType w:val="hybridMultilevel"/>
    <w:tmpl w:val="078C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F3A3E"/>
    <w:multiLevelType w:val="hybridMultilevel"/>
    <w:tmpl w:val="3EF0CB8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F92455"/>
    <w:multiLevelType w:val="hybridMultilevel"/>
    <w:tmpl w:val="0CFC7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F75BA"/>
    <w:multiLevelType w:val="hybridMultilevel"/>
    <w:tmpl w:val="79C855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58324440"/>
    <w:multiLevelType w:val="hybridMultilevel"/>
    <w:tmpl w:val="EB642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1307A0"/>
    <w:multiLevelType w:val="hybridMultilevel"/>
    <w:tmpl w:val="46C2E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3"/>
  </w:num>
  <w:num w:numId="4">
    <w:abstractNumId w:val="0"/>
  </w:num>
  <w:num w:numId="5">
    <w:abstractNumId w:val="2"/>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3D9"/>
    <w:rsid w:val="00014240"/>
    <w:rsid w:val="00032AA9"/>
    <w:rsid w:val="000424FA"/>
    <w:rsid w:val="00043871"/>
    <w:rsid w:val="00067F91"/>
    <w:rsid w:val="000A2753"/>
    <w:rsid w:val="000C108F"/>
    <w:rsid w:val="000C3A6B"/>
    <w:rsid w:val="000C4062"/>
    <w:rsid w:val="000D56DC"/>
    <w:rsid w:val="000E5903"/>
    <w:rsid w:val="001744B0"/>
    <w:rsid w:val="00193F85"/>
    <w:rsid w:val="001A2260"/>
    <w:rsid w:val="001A2A73"/>
    <w:rsid w:val="001A5BD5"/>
    <w:rsid w:val="001A6487"/>
    <w:rsid w:val="001B2C82"/>
    <w:rsid w:val="001C140C"/>
    <w:rsid w:val="001C62C6"/>
    <w:rsid w:val="0021245F"/>
    <w:rsid w:val="00234EF9"/>
    <w:rsid w:val="002374F8"/>
    <w:rsid w:val="00243970"/>
    <w:rsid w:val="00244980"/>
    <w:rsid w:val="00247482"/>
    <w:rsid w:val="00255DD9"/>
    <w:rsid w:val="00294E5B"/>
    <w:rsid w:val="002B0400"/>
    <w:rsid w:val="002B2964"/>
    <w:rsid w:val="002C5655"/>
    <w:rsid w:val="002D4AA5"/>
    <w:rsid w:val="002D69D3"/>
    <w:rsid w:val="002E237E"/>
    <w:rsid w:val="00304207"/>
    <w:rsid w:val="003138DD"/>
    <w:rsid w:val="00322AF8"/>
    <w:rsid w:val="003427A5"/>
    <w:rsid w:val="00344F74"/>
    <w:rsid w:val="003750AE"/>
    <w:rsid w:val="0038263F"/>
    <w:rsid w:val="003A2243"/>
    <w:rsid w:val="003B16C6"/>
    <w:rsid w:val="003D03D9"/>
    <w:rsid w:val="003D1B66"/>
    <w:rsid w:val="003D363E"/>
    <w:rsid w:val="00405075"/>
    <w:rsid w:val="00412644"/>
    <w:rsid w:val="00412653"/>
    <w:rsid w:val="00420369"/>
    <w:rsid w:val="004433D1"/>
    <w:rsid w:val="00456E69"/>
    <w:rsid w:val="004B6D8A"/>
    <w:rsid w:val="004C3B91"/>
    <w:rsid w:val="004F337D"/>
    <w:rsid w:val="005038C5"/>
    <w:rsid w:val="00511F6D"/>
    <w:rsid w:val="00533B67"/>
    <w:rsid w:val="00544050"/>
    <w:rsid w:val="005B3A80"/>
    <w:rsid w:val="005D7E2A"/>
    <w:rsid w:val="005E439C"/>
    <w:rsid w:val="00685696"/>
    <w:rsid w:val="006B45EC"/>
    <w:rsid w:val="007047DC"/>
    <w:rsid w:val="007058D6"/>
    <w:rsid w:val="007367EC"/>
    <w:rsid w:val="007713CB"/>
    <w:rsid w:val="007D7A6B"/>
    <w:rsid w:val="007E006C"/>
    <w:rsid w:val="00821FE4"/>
    <w:rsid w:val="00837F85"/>
    <w:rsid w:val="00893CCA"/>
    <w:rsid w:val="008D3DC8"/>
    <w:rsid w:val="0090208D"/>
    <w:rsid w:val="00925D40"/>
    <w:rsid w:val="009411B6"/>
    <w:rsid w:val="0094421D"/>
    <w:rsid w:val="009C190E"/>
    <w:rsid w:val="009C5706"/>
    <w:rsid w:val="009F4208"/>
    <w:rsid w:val="00A169F7"/>
    <w:rsid w:val="00A57475"/>
    <w:rsid w:val="00A7448A"/>
    <w:rsid w:val="00A92348"/>
    <w:rsid w:val="00A95AB8"/>
    <w:rsid w:val="00AA68BA"/>
    <w:rsid w:val="00AC7A5D"/>
    <w:rsid w:val="00AE07F9"/>
    <w:rsid w:val="00AE5ED9"/>
    <w:rsid w:val="00B10B77"/>
    <w:rsid w:val="00B1149C"/>
    <w:rsid w:val="00B17DFA"/>
    <w:rsid w:val="00B923E0"/>
    <w:rsid w:val="00B96ACA"/>
    <w:rsid w:val="00BD0037"/>
    <w:rsid w:val="00BD1939"/>
    <w:rsid w:val="00BF0E8D"/>
    <w:rsid w:val="00C27F04"/>
    <w:rsid w:val="00C4479D"/>
    <w:rsid w:val="00CE02A3"/>
    <w:rsid w:val="00CF04C8"/>
    <w:rsid w:val="00D03E73"/>
    <w:rsid w:val="00D218DB"/>
    <w:rsid w:val="00D224D6"/>
    <w:rsid w:val="00D22DFC"/>
    <w:rsid w:val="00D37B1E"/>
    <w:rsid w:val="00D64A58"/>
    <w:rsid w:val="00D64DE9"/>
    <w:rsid w:val="00D65F7C"/>
    <w:rsid w:val="00D96B72"/>
    <w:rsid w:val="00DA6FAA"/>
    <w:rsid w:val="00DC5315"/>
    <w:rsid w:val="00DC6826"/>
    <w:rsid w:val="00DF2A1B"/>
    <w:rsid w:val="00E024A2"/>
    <w:rsid w:val="00E1630E"/>
    <w:rsid w:val="00E44C2F"/>
    <w:rsid w:val="00E71660"/>
    <w:rsid w:val="00E91D1C"/>
    <w:rsid w:val="00E958B0"/>
    <w:rsid w:val="00EA47E3"/>
    <w:rsid w:val="00EE3199"/>
    <w:rsid w:val="00EF2565"/>
    <w:rsid w:val="00EF7C31"/>
    <w:rsid w:val="00F11F39"/>
    <w:rsid w:val="00F30AA7"/>
    <w:rsid w:val="00F55B61"/>
    <w:rsid w:val="00F570A9"/>
    <w:rsid w:val="00F62736"/>
    <w:rsid w:val="00F94C3B"/>
    <w:rsid w:val="00FA1DB0"/>
    <w:rsid w:val="00FB5120"/>
    <w:rsid w:val="00FC1429"/>
    <w:rsid w:val="00FE2C56"/>
    <w:rsid w:val="00FE6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5375D"/>
  <w15:chartTrackingRefBased/>
  <w15:docId w15:val="{87CDFDF4-0936-4F5B-AF42-669EF16C1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03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03D9"/>
    <w:rPr>
      <w:rFonts w:eastAsiaTheme="minorEastAsia"/>
      <w:lang w:val="en-US"/>
    </w:rPr>
  </w:style>
  <w:style w:type="paragraph" w:customStyle="1" w:styleId="paragraph">
    <w:name w:val="paragraph"/>
    <w:basedOn w:val="Normal"/>
    <w:rsid w:val="003D03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1939"/>
    <w:rPr>
      <w:color w:val="0563C1" w:themeColor="hyperlink"/>
      <w:u w:val="single"/>
    </w:rPr>
  </w:style>
  <w:style w:type="character" w:styleId="UnresolvedMention">
    <w:name w:val="Unresolved Mention"/>
    <w:basedOn w:val="DefaultParagraphFont"/>
    <w:uiPriority w:val="99"/>
    <w:semiHidden/>
    <w:unhideWhenUsed/>
    <w:rsid w:val="00BD1939"/>
    <w:rPr>
      <w:color w:val="605E5C"/>
      <w:shd w:val="clear" w:color="auto" w:fill="E1DFDD"/>
    </w:rPr>
  </w:style>
  <w:style w:type="paragraph" w:styleId="ListParagraph">
    <w:name w:val="List Paragraph"/>
    <w:basedOn w:val="Normal"/>
    <w:uiPriority w:val="34"/>
    <w:qFormat/>
    <w:rsid w:val="00CE02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bhelp.co.uk/wp-content/uploads/2014/11/ASB-Help-Report-Effective-Support-November-2014.pdf" TargetMode="External"/><Relationship Id="rId13" Type="http://schemas.openxmlformats.org/officeDocument/2006/relationships/hyperlink" Target="https://www.justiceinspectorates.gov.uk/hmicfrs/our-work/article/hate-crime/" TargetMode="External"/><Relationship Id="rId18" Type="http://schemas.openxmlformats.org/officeDocument/2006/relationships/hyperlink" Target="https://www.legislation.gov.uk/ukpga/1998/37" TargetMode="External"/><Relationship Id="rId26" Type="http://schemas.openxmlformats.org/officeDocument/2006/relationships/hyperlink" Target="https://www.hampshiresab.org.uk/learning-from-experience-database/serious-case-reviews/fiona-pilkington-leicestershire/" TargetMode="External"/><Relationship Id="rId39" Type="http://schemas.openxmlformats.org/officeDocument/2006/relationships/hyperlink" Target="https://www.theguardian.com/world/2021/jul/20/public-street-harassment-to-be-made-in-england-and-wales" TargetMode="External"/><Relationship Id="rId3" Type="http://schemas.openxmlformats.org/officeDocument/2006/relationships/settings" Target="settings.xml"/><Relationship Id="rId21" Type="http://schemas.openxmlformats.org/officeDocument/2006/relationships/hyperlink" Target="https://www.ethnicity-facts-figures.service.gov.uk/crime-justice-and-the-law/crime-and-reoffending/victims-of-crime/latest" TargetMode="External"/><Relationship Id="rId34" Type="http://schemas.openxmlformats.org/officeDocument/2006/relationships/hyperlink" Target="https://www.jstor.org/stable/41939228" TargetMode="External"/><Relationship Id="rId42" Type="http://schemas.openxmlformats.org/officeDocument/2006/relationships/hyperlink" Target="https://www.victimsupport.org.uk/help-and-support/coping-crime/how-can-crime-affect-you/" TargetMode="External"/><Relationship Id="rId47" Type="http://schemas.openxmlformats.org/officeDocument/2006/relationships/theme" Target="theme/theme1.xml"/><Relationship Id="rId7" Type="http://schemas.openxmlformats.org/officeDocument/2006/relationships/hyperlink" Target="https://www.gov.uk/government/news/fgm-campaigner-nimco-ali-appointed-as-tackling-violence-against-women-and-girls-adviser" TargetMode="External"/><Relationship Id="rId12" Type="http://schemas.openxmlformats.org/officeDocument/2006/relationships/hyperlink" Target="https://www.justiceinspectorates.gov.uk/hmicfrs/our-work/article/anti-social-behaviour/" TargetMode="External"/><Relationship Id="rId17" Type="http://schemas.openxmlformats.org/officeDocument/2006/relationships/hyperlink" Target="https://uk.linkedin.com/in/darren-goddard-46456468" TargetMode="External"/><Relationship Id="rId25" Type="http://schemas.openxmlformats.org/officeDocument/2006/relationships/hyperlink" Target="https://www.report-it.org.uk/ipcc_publishes_fiona_pilkington_investigation_r" TargetMode="External"/><Relationship Id="rId33" Type="http://schemas.openxmlformats.org/officeDocument/2006/relationships/hyperlink" Target="https://www.independent.co.uk/news/uk/crime/pilkington-deaths-could-happen-again-because-police-failure-8543040.html" TargetMode="External"/><Relationship Id="rId38" Type="http://schemas.openxmlformats.org/officeDocument/2006/relationships/hyperlink" Target="https://researchbriefings.files.parliament.uk/documents/SN06343/SN06343.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icestermercury.co.uk/news/local-news/leicestershire-police-how-things-changed-669880" TargetMode="External"/><Relationship Id="rId20" Type="http://schemas.openxmlformats.org/officeDocument/2006/relationships/hyperlink" Target="https://www.legislation.gov.uk/ukpga/2014/12/contents/enacted" TargetMode="External"/><Relationship Id="rId29" Type="http://schemas.openxmlformats.org/officeDocument/2006/relationships/hyperlink" Target="https://www.mencap.org.uk/about-us" TargetMode="External"/><Relationship Id="rId41" Type="http://schemas.openxmlformats.org/officeDocument/2006/relationships/hyperlink" Target="http://www.unodc.org/pdf/compendium/compendium_2006_part_03_02.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earn.college.police.uk/coursecontent/39649/assets/pdf/JoDavies_transcript.pdf" TargetMode="External"/><Relationship Id="rId24" Type="http://schemas.openxmlformats.org/officeDocument/2006/relationships/hyperlink" Target="https://www.police-foundation.org.uk/2017/wp-content/uploads/2010/10/understanding-public-priorities-final.pdf" TargetMode="External"/><Relationship Id="rId32" Type="http://schemas.openxmlformats.org/officeDocument/2006/relationships/hyperlink" Target="http://b.3cdn.net/nefoundation/8d92cf44e70b3d16e6_rgm6bpd3i.pdf" TargetMode="External"/><Relationship Id="rId37" Type="http://schemas.openxmlformats.org/officeDocument/2006/relationships/hyperlink" Target="https://www.endviolenceagainstwomen.org.uk/introducing-evaws-new-director/" TargetMode="External"/><Relationship Id="rId40" Type="http://schemas.openxmlformats.org/officeDocument/2006/relationships/hyperlink" Target="https://www.theguardian.com/uk-news/2017/nov/14/uk-police-funding-minor-crimes-bedfordshire-sussex-budget" TargetMode="External"/><Relationship Id="rId45" Type="http://schemas.openxmlformats.org/officeDocument/2006/relationships/hyperlink" Target="https://www.ncjrs.gov/ovc_archives/ncvrw/2005/pg4c.html" TargetMode="External"/><Relationship Id="rId5" Type="http://schemas.openxmlformats.org/officeDocument/2006/relationships/image" Target="media/image1.png"/><Relationship Id="rId15" Type="http://schemas.openxmlformats.org/officeDocument/2006/relationships/hyperlink" Target="https://www.disabilitynewsservice.com/fiona-pilkington-report-police-praised-for-learning-from-mistakes/" TargetMode="External"/><Relationship Id="rId23" Type="http://schemas.openxmlformats.org/officeDocument/2006/relationships/hyperlink" Target="http://eprints.hud.ac.uk/9209/" TargetMode="External"/><Relationship Id="rId28" Type="http://schemas.openxmlformats.org/officeDocument/2006/relationships/hyperlink" Target="https://www.disabilityrightsuk.org/about-us/our-team/smt" TargetMode="External"/><Relationship Id="rId36" Type="http://schemas.openxmlformats.org/officeDocument/2006/relationships/hyperlink" Target="https://www.ojp.gov/pdffiles1/Digitization/12393NCJRS.pdf" TargetMode="External"/><Relationship Id="rId10" Type="http://schemas.openxmlformats.org/officeDocument/2006/relationships/hyperlink" Target="http://dictionary.cambridge.org/dictionary/british/victimise" TargetMode="External"/><Relationship Id="rId19" Type="http://schemas.openxmlformats.org/officeDocument/2006/relationships/hyperlink" Target="https://www.gov.uk/rights-disabled-person/police" TargetMode="External"/><Relationship Id="rId31" Type="http://schemas.openxmlformats.org/officeDocument/2006/relationships/hyperlink" Target="https://www.met.police.uk/sd/stats-and-data/met/crime-type-definitions/" TargetMode="External"/><Relationship Id="rId44" Type="http://schemas.openxmlformats.org/officeDocument/2006/relationships/hyperlink" Target="https://scholarlycommons.law.northwestern.edu/cgi/viewcontent.cgi?article=4565&amp;context=jclc" TargetMode="External"/><Relationship Id="rId4" Type="http://schemas.openxmlformats.org/officeDocument/2006/relationships/webSettings" Target="webSettings.xml"/><Relationship Id="rId9" Type="http://schemas.openxmlformats.org/officeDocument/2006/relationships/hyperlink" Target="https://www.crimesurvey.co.uk/en/SurveyResults.html" TargetMode="External"/><Relationship Id="rId14" Type="http://schemas.openxmlformats.org/officeDocument/2006/relationships/hyperlink" Target="https://www.independent.co.uk/news/long_reads/fiona-pilkington-frankie-pilkington-suicide-learning-disabilities-bullying-hate-crime-a8004526.html" TargetMode="External"/><Relationship Id="rId22" Type="http://schemas.openxmlformats.org/officeDocument/2006/relationships/hyperlink" Target="https://www.gov.uk/government/publications/tackling-violence-against-women-and-girls-strategy" TargetMode="External"/><Relationship Id="rId27" Type="http://schemas.openxmlformats.org/officeDocument/2006/relationships/hyperlink" Target="https://www.leics.police.uk/news/leicestershire/news/2021/july/asb-awareness-week/" TargetMode="External"/><Relationship Id="rId30" Type="http://schemas.openxmlformats.org/officeDocument/2006/relationships/hyperlink" Target="https://www.mencap.org.uk/sites/default/files/2021-02/2020.008%20Annual%20Report%20%281%29.pdf" TargetMode="External"/><Relationship Id="rId35" Type="http://schemas.openxmlformats.org/officeDocument/2006/relationships/hyperlink" Target="https://www.criminal-injuries.co.uk/wp-content/uploads/2017/05/Victim-of-the-System-report.pdf" TargetMode="External"/><Relationship Id="rId43" Type="http://schemas.openxmlformats.org/officeDocument/2006/relationships/hyperlink" Target="https://www.victimsupport.org.uk/category/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21</Pages>
  <Words>5593</Words>
  <Characters>31885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Jones (1902835)</dc:creator>
  <cp:keywords/>
  <dc:description/>
  <cp:lastModifiedBy>Jack Jones (1902835)</cp:lastModifiedBy>
  <cp:revision>45</cp:revision>
  <dcterms:created xsi:type="dcterms:W3CDTF">2021-10-25T18:22:00Z</dcterms:created>
  <dcterms:modified xsi:type="dcterms:W3CDTF">2021-10-25T19:19:00Z</dcterms:modified>
</cp:coreProperties>
</file>