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header2.xml" ContentType="application/vnd.openxmlformats-officedocument.wordprocessingml.header+xml"/>
  <Override PartName="/word/media/image1.png" ContentType="image/png"/>
  <Override PartName="/word/media/image2.png" ContentType="image/png"/>
  <Override PartName="/word/media/image3.gif" ContentType="image/gif"/>
  <Override PartName="/word/header1.xml" ContentType="application/vnd.openxmlformats-officedocument.wordprocessingml.header+xml"/>
  <Override PartName="/word/numbering.xml" ContentType="application/vnd.openxmlformats-officedocument.wordprocessingml.numbering+xml"/>
  <Override PartName="/word/footer2.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word/_rels/document.xml.rels" ContentType="application/vnd.openxmlformats-package.relationships+xml"/>
  <Override PartName="/customXml/item1.xml" ContentType="application/xml"/>
  <Override PartName="/customXml/itemProps1.xml" ContentType="application/vnd.openxmlformats-officedocument.customXmlProperties+xml"/>
  <Override PartName="/customXml/item2.xml" ContentType="application/xml"/>
  <Override PartName="/customXml/_rels/item1.xml.rels" ContentType="application/vnd.openxmlformats-package.relationships+xml"/>
  <Override PartName="/customXml/_rels/item2.xml.rels" ContentType="application/vnd.openxmlformats-package.relationships+xml"/>
  <Override PartName="/customXml/_rels/item3.xml.rels" ContentType="application/vnd.openxmlformats-package.relationships+xml"/>
  <Override PartName="/customXml/_rels/item4.xml.rels" ContentType="application/vnd.openxmlformats-package.relationships+xml"/>
  <Override PartName="/customXml/itemProps2.xml" ContentType="application/vnd.openxmlformats-officedocument.customXmlProperties+xml"/>
  <Override PartName="/customXml/item3.xml" ContentType="application/xml"/>
  <Override PartName="/customXml/itemProps3.xml" ContentType="application/vnd.openxmlformats-officedocument.customXmlProperties+xml"/>
  <Override PartName="/customXml/item4.xml" ContentType="application/xml"/>
  <Override PartName="/customXml/itemProps4.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ind w:right="237" w:hanging="0"/>
        <w:rPr>
          <w:sz w:val="24"/>
          <w:szCs w:val="24"/>
        </w:rPr>
      </w:pPr>
      <w:r>
        <w:rPr>
          <w:sz w:val="24"/>
          <w:szCs w:val="24"/>
        </w:rPr>
      </w:r>
    </w:p>
    <w:p>
      <w:pPr>
        <w:pStyle w:val="Normal"/>
        <w:ind w:right="237" w:hanging="0"/>
        <w:rPr>
          <w:sz w:val="24"/>
          <w:szCs w:val="24"/>
        </w:rPr>
      </w:pPr>
      <w:r>
        <w:rPr>
          <w:color w:val="000000" w:themeColor="text1"/>
          <w:sz w:val="24"/>
          <w:szCs w:val="24"/>
        </w:rPr>
        <w:t>+</w:t>
      </w:r>
      <w:r>
        <w:rPr/>
        <w:drawing>
          <wp:inline distT="0" distB="0" distL="0" distR="0">
            <wp:extent cx="2045335" cy="714375"/>
            <wp:effectExtent l="0" t="0" r="0" b="0"/>
            <wp:docPr id="1" name="Picture 38383631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83836317" descr=""/>
                    <pic:cNvPicPr>
                      <a:picLocks noChangeAspect="1" noChangeArrowheads="1"/>
                    </pic:cNvPicPr>
                  </pic:nvPicPr>
                  <pic:blipFill>
                    <a:blip r:embed="rId2"/>
                    <a:stretch>
                      <a:fillRect/>
                    </a:stretch>
                  </pic:blipFill>
                  <pic:spPr bwMode="auto">
                    <a:xfrm>
                      <a:off x="0" y="0"/>
                      <a:ext cx="2045335" cy="714375"/>
                    </a:xfrm>
                    <a:prstGeom prst="rect">
                      <a:avLst/>
                    </a:prstGeom>
                  </pic:spPr>
                </pic:pic>
              </a:graphicData>
            </a:graphic>
          </wp:inline>
        </w:drawing>
      </w:r>
    </w:p>
    <w:p>
      <w:pPr>
        <w:pStyle w:val="Normal"/>
        <w:ind w:right="237" w:hanging="0"/>
        <w:rPr>
          <w:sz w:val="24"/>
          <w:szCs w:val="24"/>
        </w:rPr>
      </w:pPr>
      <w:r>
        <w:rPr>
          <w:sz w:val="24"/>
          <w:szCs w:val="24"/>
        </w:rPr>
      </w:r>
    </w:p>
    <w:p>
      <w:pPr>
        <w:pStyle w:val="Normal"/>
        <w:ind w:right="237" w:hanging="0"/>
        <w:rPr>
          <w:sz w:val="24"/>
          <w:szCs w:val="24"/>
        </w:rPr>
      </w:pPr>
      <w:r>
        <w:rPr>
          <w:sz w:val="24"/>
          <w:szCs w:val="24"/>
        </w:rPr>
      </w:r>
    </w:p>
    <w:p>
      <w:pPr>
        <w:pStyle w:val="Normal"/>
        <w:ind w:right="237" w:hanging="0"/>
        <w:rPr>
          <w:b/>
          <w:b/>
          <w:sz w:val="36"/>
          <w:szCs w:val="40"/>
        </w:rPr>
      </w:pPr>
      <w:r>
        <w:rPr>
          <w:b/>
          <w:sz w:val="36"/>
          <w:szCs w:val="40"/>
        </w:rPr>
        <w:t xml:space="preserve">Graduate Diploma Professional Police Practice </w:t>
      </w:r>
    </w:p>
    <w:p>
      <w:pPr>
        <w:pStyle w:val="Normal"/>
        <w:overflowPunct w:val="false"/>
        <w:ind w:right="237" w:hanging="0"/>
        <w:textAlignment w:val="auto"/>
        <w:rPr>
          <w:b/>
          <w:b/>
          <w:color w:val="auto"/>
          <w:sz w:val="44"/>
        </w:rPr>
      </w:pPr>
      <w:r>
        <w:rPr>
          <w:b/>
          <w:color w:val="auto"/>
          <w:sz w:val="44"/>
        </w:rPr>
      </w:r>
    </w:p>
    <w:p>
      <w:pPr>
        <w:pStyle w:val="Normal"/>
        <w:overflowPunct w:val="false"/>
        <w:ind w:right="237" w:hanging="0"/>
        <w:textAlignment w:val="auto"/>
        <w:rPr>
          <w:b/>
          <w:b/>
          <w:color w:val="auto"/>
          <w:sz w:val="44"/>
        </w:rPr>
      </w:pPr>
      <w:r>
        <w:rPr>
          <w:b/>
          <w:color w:val="auto"/>
          <w:sz w:val="44"/>
        </w:rPr>
        <w:t>LEVEL 6 - 40 Credits</w:t>
      </w:r>
    </w:p>
    <w:p>
      <w:pPr>
        <w:pStyle w:val="Normal"/>
        <w:overflowPunct w:val="false"/>
        <w:ind w:right="237" w:hanging="0"/>
        <w:textAlignment w:val="auto"/>
        <w:rPr>
          <w:b/>
          <w:b/>
          <w:color w:val="auto"/>
          <w:sz w:val="44"/>
        </w:rPr>
      </w:pPr>
      <w:r>
        <w:rPr>
          <w:b/>
          <w:color w:val="auto"/>
          <w:sz w:val="44"/>
        </w:rPr>
      </w:r>
    </w:p>
    <w:p>
      <w:pPr>
        <w:pStyle w:val="Normal"/>
        <w:overflowPunct w:val="false"/>
        <w:ind w:right="237" w:hanging="0"/>
        <w:textAlignment w:val="auto"/>
        <w:rPr>
          <w:b/>
          <w:b/>
          <w:color w:val="auto"/>
          <w:sz w:val="44"/>
        </w:rPr>
      </w:pPr>
      <w:r>
        <w:rPr>
          <w:b/>
          <w:color w:val="auto"/>
          <w:sz w:val="44"/>
        </w:rPr>
      </w:r>
    </w:p>
    <w:p>
      <w:pPr>
        <w:pStyle w:val="Normal"/>
        <w:overflowPunct w:val="false"/>
        <w:ind w:right="237" w:hanging="0"/>
        <w:textAlignment w:val="auto"/>
        <w:rPr>
          <w:b/>
          <w:b/>
          <w:color w:val="auto"/>
          <w:sz w:val="40"/>
        </w:rPr>
      </w:pPr>
      <w:r>
        <w:rPr>
          <w:b/>
          <w:color w:val="auto"/>
          <w:sz w:val="40"/>
        </w:rPr>
        <w:t>Workbook title: Competency Based Workbook 2 (DHEP)</w:t>
      </w:r>
    </w:p>
    <w:p>
      <w:pPr>
        <w:pStyle w:val="Normal"/>
        <w:overflowPunct w:val="false"/>
        <w:ind w:right="237" w:hanging="0"/>
        <w:textAlignment w:val="auto"/>
        <w:rPr>
          <w:b/>
          <w:b/>
          <w:color w:val="auto"/>
          <w:sz w:val="36"/>
        </w:rPr>
      </w:pPr>
      <w:r>
        <w:rPr>
          <w:b/>
          <w:color w:val="auto"/>
          <w:sz w:val="36"/>
        </w:rPr>
      </w:r>
    </w:p>
    <w:p>
      <w:pPr>
        <w:pStyle w:val="Normal"/>
        <w:overflowPunct w:val="false"/>
        <w:ind w:right="237" w:hanging="0"/>
        <w:textAlignment w:val="auto"/>
        <w:rPr>
          <w:b/>
          <w:b/>
          <w:color w:val="auto"/>
          <w:sz w:val="36"/>
        </w:rPr>
      </w:pPr>
      <w:r>
        <w:rPr>
          <w:b/>
          <w:color w:val="auto"/>
          <w:sz w:val="36"/>
        </w:rPr>
        <w:t>(SOUTH WALES POLICE, GWENT POLICE AND UWTSD)</w:t>
      </w:r>
    </w:p>
    <w:p>
      <w:pPr>
        <w:pStyle w:val="Normal"/>
        <w:overflowPunct w:val="false"/>
        <w:ind w:right="237" w:hanging="0"/>
        <w:textAlignment w:val="auto"/>
        <w:rPr>
          <w:b/>
          <w:b/>
          <w:color w:val="auto"/>
          <w:sz w:val="44"/>
        </w:rPr>
      </w:pPr>
      <w:r>
        <w:rPr>
          <w:b/>
          <w:color w:val="auto"/>
          <w:sz w:val="44"/>
        </w:rPr>
      </w:r>
    </w:p>
    <w:p>
      <w:pPr>
        <w:pStyle w:val="Normal"/>
        <w:overflowPunct w:val="false"/>
        <w:ind w:right="237" w:hanging="0"/>
        <w:textAlignment w:val="auto"/>
        <w:rPr>
          <w:b/>
          <w:b/>
          <w:color w:val="auto"/>
          <w:sz w:val="44"/>
        </w:rPr>
      </w:pPr>
      <w:r>
        <w:rPr>
          <w:b/>
          <w:color w:val="auto"/>
          <w:sz w:val="44"/>
        </w:rPr>
      </w:r>
    </w:p>
    <w:p>
      <w:pPr>
        <w:pStyle w:val="Normal"/>
        <w:overflowPunct w:val="false"/>
        <w:textAlignment w:val="auto"/>
        <w:rPr/>
      </w:pPr>
      <w:r>
        <w:rPr/>
      </w:r>
    </w:p>
    <w:tbl>
      <w:tblPr>
        <w:tblStyle w:val="TableGrid"/>
        <w:tblW w:w="9015" w:type="dxa"/>
        <w:jc w:val="left"/>
        <w:tblInd w:w="0" w:type="dxa"/>
        <w:tblCellMar>
          <w:top w:w="0" w:type="dxa"/>
          <w:left w:w="108" w:type="dxa"/>
          <w:bottom w:w="0" w:type="dxa"/>
          <w:right w:w="108" w:type="dxa"/>
        </w:tblCellMar>
        <w:tblLook w:val="06a0"/>
      </w:tblPr>
      <w:tblGrid>
        <w:gridCol w:w="9015"/>
      </w:tblGrid>
      <w:tr>
        <w:trPr/>
        <w:tc>
          <w:tcPr>
            <w:tcW w:w="9015" w:type="dxa"/>
            <w:tcBorders/>
            <w:shd w:fill="auto" w:val="clear"/>
          </w:tcPr>
          <w:p>
            <w:pPr>
              <w:pStyle w:val="Normal"/>
              <w:ind w:right="237" w:hanging="0"/>
              <w:rPr>
                <w:b/>
                <w:b/>
                <w:bCs/>
                <w:color w:val="auto"/>
                <w:sz w:val="32"/>
                <w:szCs w:val="32"/>
              </w:rPr>
            </w:pPr>
            <w:r>
              <w:rPr>
                <w:b/>
                <w:bCs/>
                <w:color w:val="auto"/>
                <w:sz w:val="32"/>
                <w:szCs w:val="32"/>
              </w:rPr>
              <w:t>Learner name: Jamie Skipper</w:t>
            </w:r>
          </w:p>
          <w:p>
            <w:pPr>
              <w:pStyle w:val="Normal"/>
              <w:ind w:right="237" w:hanging="0"/>
              <w:rPr>
                <w:b/>
                <w:b/>
                <w:bCs/>
                <w:color w:val="auto"/>
                <w:sz w:val="32"/>
                <w:szCs w:val="32"/>
              </w:rPr>
            </w:pPr>
            <w:r>
              <w:rPr>
                <w:b/>
                <w:bCs/>
                <w:color w:val="auto"/>
                <w:sz w:val="32"/>
                <w:szCs w:val="32"/>
              </w:rPr>
            </w:r>
          </w:p>
          <w:p>
            <w:pPr>
              <w:pStyle w:val="Normal"/>
              <w:ind w:right="237" w:hanging="0"/>
              <w:rPr>
                <w:b/>
                <w:b/>
                <w:bCs/>
                <w:color w:val="auto"/>
                <w:sz w:val="32"/>
                <w:szCs w:val="32"/>
              </w:rPr>
            </w:pPr>
            <w:r>
              <w:rPr>
                <w:b/>
                <w:bCs/>
                <w:color w:val="auto"/>
                <w:sz w:val="32"/>
                <w:szCs w:val="32"/>
              </w:rPr>
              <w:t>Learner’s University Registration Number:</w:t>
            </w:r>
          </w:p>
          <w:p>
            <w:pPr>
              <w:pStyle w:val="Normal"/>
              <w:ind w:right="237" w:hanging="0"/>
              <w:rPr>
                <w:b/>
                <w:b/>
                <w:bCs/>
                <w:color w:val="auto"/>
                <w:sz w:val="32"/>
                <w:szCs w:val="32"/>
              </w:rPr>
            </w:pPr>
            <w:r>
              <w:rPr>
                <w:b/>
                <w:bCs/>
                <w:color w:val="auto"/>
                <w:sz w:val="32"/>
                <w:szCs w:val="32"/>
              </w:rPr>
              <w:t>_______________________________</w:t>
            </w:r>
          </w:p>
          <w:p>
            <w:pPr>
              <w:pStyle w:val="Normal"/>
              <w:ind w:right="237" w:hanging="0"/>
              <w:rPr>
                <w:b/>
                <w:b/>
                <w:bCs/>
                <w:color w:val="auto"/>
                <w:sz w:val="32"/>
                <w:szCs w:val="32"/>
              </w:rPr>
            </w:pPr>
            <w:r>
              <w:rPr>
                <w:b/>
                <w:bCs/>
                <w:color w:val="auto"/>
                <w:sz w:val="32"/>
                <w:szCs w:val="32"/>
              </w:rPr>
            </w:r>
          </w:p>
          <w:p>
            <w:pPr>
              <w:pStyle w:val="Normal"/>
              <w:ind w:right="237" w:hanging="0"/>
              <w:rPr>
                <w:b/>
                <w:b/>
                <w:bCs/>
                <w:color w:val="auto"/>
                <w:sz w:val="32"/>
                <w:szCs w:val="32"/>
              </w:rPr>
            </w:pPr>
            <w:r>
              <w:rPr>
                <w:b/>
                <w:bCs/>
                <w:color w:val="auto"/>
                <w:sz w:val="32"/>
                <w:szCs w:val="32"/>
              </w:rPr>
            </w:r>
          </w:p>
          <w:p>
            <w:pPr>
              <w:pStyle w:val="Normal"/>
              <w:rPr>
                <w:b/>
                <w:b/>
                <w:bCs/>
                <w:color w:val="000000" w:themeColor="text1"/>
                <w:sz w:val="32"/>
                <w:szCs w:val="32"/>
              </w:rPr>
            </w:pPr>
            <w:r>
              <w:rPr>
                <w:b/>
                <w:bCs/>
                <w:color w:val="000000" w:themeColor="text1"/>
                <w:sz w:val="32"/>
                <w:szCs w:val="32"/>
              </w:rPr>
            </w:r>
          </w:p>
        </w:tc>
      </w:tr>
    </w:tbl>
    <w:p>
      <w:pPr>
        <w:pStyle w:val="Normal"/>
        <w:overflowPunct w:val="false"/>
        <w:ind w:right="237" w:hanging="0"/>
        <w:textAlignment w:val="auto"/>
        <w:rPr>
          <w:b/>
          <w:b/>
          <w:bCs/>
          <w:color w:val="auto"/>
          <w:sz w:val="32"/>
          <w:szCs w:val="32"/>
        </w:rPr>
      </w:pPr>
      <w:r>
        <w:rPr>
          <w:b/>
          <w:bCs/>
          <w:color w:val="auto"/>
          <w:sz w:val="32"/>
          <w:szCs w:val="32"/>
        </w:rPr>
      </w:r>
    </w:p>
    <w:p>
      <w:pPr>
        <w:pStyle w:val="Normal"/>
        <w:overflowPunct w:val="false"/>
        <w:ind w:right="237" w:hanging="0"/>
        <w:textAlignment w:val="auto"/>
        <w:rPr>
          <w:b/>
          <w:b/>
          <w:bCs/>
          <w:color w:val="000000" w:themeColor="text1"/>
          <w:sz w:val="36"/>
          <w:szCs w:val="36"/>
        </w:rPr>
      </w:pPr>
      <w:r>
        <w:rPr>
          <w:b/>
          <w:bCs/>
          <w:color w:val="000000" w:themeColor="text1"/>
          <w:sz w:val="36"/>
          <w:szCs w:val="36"/>
        </w:rPr>
      </w:r>
    </w:p>
    <w:p>
      <w:pPr>
        <w:pStyle w:val="Normal"/>
        <w:overflowPunct w:val="false"/>
        <w:ind w:right="237" w:hanging="0"/>
        <w:textAlignment w:val="auto"/>
        <w:rPr>
          <w:b/>
          <w:b/>
          <w:color w:val="auto"/>
          <w:sz w:val="36"/>
        </w:rPr>
      </w:pPr>
      <w:r>
        <w:rPr>
          <w:b/>
          <w:color w:val="auto"/>
          <w:sz w:val="36"/>
        </w:rPr>
      </w:r>
    </w:p>
    <w:p>
      <w:pPr>
        <w:pStyle w:val="Normal"/>
        <w:overflowPunct w:val="false"/>
        <w:ind w:right="237" w:hanging="0"/>
        <w:textAlignment w:val="auto"/>
        <w:rPr>
          <w:b/>
          <w:b/>
          <w:bCs/>
          <w:color w:val="auto"/>
          <w:sz w:val="40"/>
          <w:szCs w:val="40"/>
        </w:rPr>
      </w:pPr>
      <w:r>
        <w:rPr>
          <w:b/>
          <w:bCs/>
          <w:color w:val="auto"/>
          <w:sz w:val="40"/>
          <w:szCs w:val="40"/>
        </w:rPr>
        <w:t>FACULTY OF BUSINESS AND MANAGEMENT</w:t>
      </w:r>
    </w:p>
    <w:p>
      <w:pPr>
        <w:pStyle w:val="Normal"/>
        <w:overflowPunct w:val="false"/>
        <w:ind w:right="237" w:hanging="0"/>
        <w:textAlignment w:val="auto"/>
        <w:rPr>
          <w:b/>
          <w:b/>
          <w:color w:val="auto"/>
          <w:sz w:val="40"/>
          <w:szCs w:val="56"/>
        </w:rPr>
      </w:pPr>
      <w:r>
        <w:rPr>
          <w:b/>
          <w:color w:val="auto"/>
          <w:sz w:val="40"/>
          <w:szCs w:val="56"/>
        </w:rPr>
        <w:t>PUBLIC SERVICE PROGRAMME</w:t>
      </w:r>
    </w:p>
    <w:p>
      <w:pPr>
        <w:pStyle w:val="Normal"/>
        <w:overflowPunct w:val="false"/>
        <w:ind w:right="237" w:hanging="0"/>
        <w:textAlignment w:val="auto"/>
        <w:rPr>
          <w:b/>
          <w:b/>
          <w:i/>
          <w:i/>
          <w:color w:val="auto"/>
          <w:sz w:val="24"/>
        </w:rPr>
      </w:pPr>
      <w:r>
        <w:rPr>
          <w:b/>
          <w:i/>
          <w:color w:val="auto"/>
          <w:sz w:val="24"/>
        </w:rPr>
      </w:r>
    </w:p>
    <w:p>
      <w:pPr>
        <w:pStyle w:val="Normal"/>
        <w:overflowPunct w:val="false"/>
        <w:ind w:right="237" w:hanging="0"/>
        <w:textAlignment w:val="auto"/>
        <w:rPr>
          <w:b/>
          <w:b/>
          <w:bCs/>
          <w:i/>
          <w:i/>
          <w:iCs/>
          <w:color w:val="auto"/>
          <w:sz w:val="24"/>
          <w:szCs w:val="24"/>
        </w:rPr>
      </w:pPr>
      <w:r>
        <w:rPr>
          <w:b/>
          <w:bCs/>
          <w:i/>
          <w:iCs/>
          <w:color w:val="auto"/>
          <w:sz w:val="24"/>
          <w:szCs w:val="24"/>
        </w:rPr>
        <w:t xml:space="preserve">Module title: Policing in the Workplace 3 (DHEP) - BMPP6001D </w:t>
      </w:r>
    </w:p>
    <w:p>
      <w:pPr>
        <w:pStyle w:val="Normal"/>
        <w:overflowPunct w:val="false"/>
        <w:ind w:right="237" w:hanging="0"/>
        <w:textAlignment w:val="auto"/>
        <w:rPr>
          <w:b/>
          <w:b/>
          <w:color w:val="auto"/>
          <w:sz w:val="36"/>
          <w:szCs w:val="56"/>
        </w:rPr>
      </w:pPr>
      <w:r>
        <w:rPr>
          <w:b/>
          <w:color w:val="auto"/>
          <w:sz w:val="36"/>
          <w:szCs w:val="56"/>
        </w:rPr>
      </w:r>
      <w:r>
        <w:br w:type="page"/>
      </w:r>
    </w:p>
    <w:p>
      <w:pPr>
        <w:pStyle w:val="Normal"/>
        <w:ind w:right="237" w:hanging="0"/>
        <w:rPr>
          <w:b/>
          <w:b/>
          <w:sz w:val="24"/>
          <w:szCs w:val="24"/>
        </w:rPr>
      </w:pPr>
      <w:r>
        <w:rPr>
          <w:b/>
          <w:sz w:val="24"/>
          <w:szCs w:val="24"/>
        </w:rPr>
        <w:t>Workbook Guidance</w:t>
      </w:r>
    </w:p>
    <w:p>
      <w:pPr>
        <w:pStyle w:val="Normal"/>
        <w:ind w:right="237" w:hanging="0"/>
        <w:rPr>
          <w:sz w:val="24"/>
          <w:szCs w:val="24"/>
        </w:rPr>
      </w:pPr>
      <w:r>
        <w:rPr>
          <w:sz w:val="24"/>
          <w:szCs w:val="24"/>
        </w:rPr>
      </w:r>
    </w:p>
    <w:p>
      <w:pPr>
        <w:pStyle w:val="Normal"/>
        <w:ind w:right="237" w:hanging="0"/>
        <w:jc w:val="both"/>
        <w:rPr>
          <w:sz w:val="24"/>
          <w:szCs w:val="24"/>
        </w:rPr>
      </w:pPr>
      <w:r>
        <w:rPr>
          <w:sz w:val="24"/>
          <w:szCs w:val="24"/>
        </w:rPr>
        <w:t>Please read these notes carefully. They provide essential information. The documents you will use in developing your workbook are on the following pages.</w:t>
      </w:r>
    </w:p>
    <w:p>
      <w:pPr>
        <w:pStyle w:val="Normal"/>
        <w:ind w:right="237" w:hanging="0"/>
        <w:rPr>
          <w:sz w:val="24"/>
          <w:szCs w:val="24"/>
        </w:rPr>
      </w:pPr>
      <w:r>
        <w:rPr>
          <w:sz w:val="24"/>
          <w:szCs w:val="24"/>
        </w:rPr>
      </w:r>
    </w:p>
    <w:p>
      <w:pPr>
        <w:pStyle w:val="Normal"/>
        <w:ind w:right="237" w:hanging="0"/>
        <w:jc w:val="both"/>
        <w:rPr>
          <w:sz w:val="24"/>
          <w:szCs w:val="24"/>
        </w:rPr>
      </w:pPr>
      <w:r>
        <w:rPr>
          <w:b/>
          <w:sz w:val="24"/>
          <w:szCs w:val="24"/>
        </w:rPr>
        <w:t>What is the workbook for?</w:t>
      </w:r>
    </w:p>
    <w:p>
      <w:pPr>
        <w:pStyle w:val="Normal"/>
        <w:ind w:right="237" w:hanging="0"/>
        <w:jc w:val="both"/>
        <w:rPr>
          <w:b/>
          <w:b/>
          <w:sz w:val="24"/>
          <w:szCs w:val="24"/>
        </w:rPr>
      </w:pPr>
      <w:r>
        <w:rPr>
          <w:b/>
          <w:sz w:val="24"/>
          <w:szCs w:val="24"/>
        </w:rPr>
      </w:r>
    </w:p>
    <w:p>
      <w:pPr>
        <w:pStyle w:val="Normal"/>
        <w:ind w:right="237" w:hanging="0"/>
        <w:jc w:val="both"/>
        <w:rPr>
          <w:sz w:val="24"/>
          <w:szCs w:val="24"/>
        </w:rPr>
      </w:pPr>
      <w:r>
        <w:rPr>
          <w:sz w:val="24"/>
          <w:szCs w:val="24"/>
        </w:rPr>
        <w:t xml:space="preserve">The purpose of this workbook is to enable learners to demonstrate and provide evidence of how they meet the learning outcomes set by the College of Policing, for the Graduate Diploma in Professional Policing Practice. You are being asked to outline your experiential learning based upon your theoretical understanding in a range of operational situations. </w:t>
      </w:r>
    </w:p>
    <w:p>
      <w:pPr>
        <w:pStyle w:val="Normal"/>
        <w:ind w:right="237" w:hanging="0"/>
        <w:jc w:val="both"/>
        <w:rPr>
          <w:sz w:val="24"/>
          <w:szCs w:val="24"/>
        </w:rPr>
      </w:pPr>
      <w:r>
        <w:rPr>
          <w:sz w:val="24"/>
          <w:szCs w:val="24"/>
        </w:rPr>
      </w:r>
    </w:p>
    <w:p>
      <w:pPr>
        <w:pStyle w:val="ListParagraph"/>
        <w:numPr>
          <w:ilvl w:val="0"/>
          <w:numId w:val="6"/>
        </w:numPr>
        <w:ind w:left="720" w:right="237" w:hanging="360"/>
        <w:jc w:val="both"/>
        <w:rPr>
          <w:sz w:val="24"/>
          <w:szCs w:val="24"/>
        </w:rPr>
      </w:pPr>
      <w:r>
        <w:rPr>
          <w:sz w:val="24"/>
          <w:szCs w:val="24"/>
        </w:rPr>
        <w:t>Wellbeing and Resilience</w:t>
      </w:r>
    </w:p>
    <w:p>
      <w:pPr>
        <w:pStyle w:val="ListParagraph"/>
        <w:numPr>
          <w:ilvl w:val="0"/>
          <w:numId w:val="6"/>
        </w:numPr>
        <w:ind w:left="720" w:right="237" w:hanging="360"/>
        <w:jc w:val="both"/>
        <w:rPr>
          <w:sz w:val="24"/>
          <w:szCs w:val="24"/>
        </w:rPr>
      </w:pPr>
      <w:r>
        <w:rPr>
          <w:sz w:val="24"/>
          <w:szCs w:val="24"/>
        </w:rPr>
        <w:t>Criminal Justice</w:t>
      </w:r>
    </w:p>
    <w:p>
      <w:pPr>
        <w:pStyle w:val="ListParagraph"/>
        <w:numPr>
          <w:ilvl w:val="0"/>
          <w:numId w:val="6"/>
        </w:numPr>
        <w:ind w:left="720" w:right="237" w:hanging="360"/>
        <w:jc w:val="both"/>
        <w:rPr>
          <w:sz w:val="24"/>
          <w:szCs w:val="24"/>
        </w:rPr>
      </w:pPr>
      <w:r>
        <w:rPr>
          <w:sz w:val="24"/>
          <w:szCs w:val="24"/>
        </w:rPr>
        <w:t>Conducting Investigations</w:t>
      </w:r>
    </w:p>
    <w:p>
      <w:pPr>
        <w:pStyle w:val="ListParagraph"/>
        <w:numPr>
          <w:ilvl w:val="0"/>
          <w:numId w:val="6"/>
        </w:numPr>
        <w:ind w:left="720" w:right="237" w:hanging="360"/>
        <w:jc w:val="both"/>
        <w:rPr>
          <w:sz w:val="24"/>
          <w:szCs w:val="24"/>
        </w:rPr>
      </w:pPr>
      <w:r>
        <w:rPr>
          <w:sz w:val="24"/>
          <w:szCs w:val="24"/>
        </w:rPr>
        <w:t>Decision making and discretion</w:t>
      </w:r>
    </w:p>
    <w:p>
      <w:pPr>
        <w:pStyle w:val="ListParagraph"/>
        <w:numPr>
          <w:ilvl w:val="0"/>
          <w:numId w:val="6"/>
        </w:numPr>
        <w:ind w:left="720" w:right="237" w:hanging="360"/>
        <w:jc w:val="both"/>
        <w:rPr>
          <w:sz w:val="24"/>
          <w:szCs w:val="24"/>
        </w:rPr>
      </w:pPr>
      <w:r>
        <w:rPr>
          <w:sz w:val="24"/>
          <w:szCs w:val="24"/>
        </w:rPr>
        <w:t>Maintaining Professional Standards</w:t>
      </w:r>
    </w:p>
    <w:p>
      <w:pPr>
        <w:pStyle w:val="ListParagraph"/>
        <w:numPr>
          <w:ilvl w:val="0"/>
          <w:numId w:val="6"/>
        </w:numPr>
        <w:ind w:left="720" w:right="237" w:hanging="360"/>
        <w:jc w:val="both"/>
        <w:rPr>
          <w:sz w:val="24"/>
          <w:szCs w:val="24"/>
        </w:rPr>
      </w:pPr>
      <w:r>
        <w:rPr>
          <w:sz w:val="24"/>
          <w:szCs w:val="24"/>
        </w:rPr>
        <w:t>Leadership and Team working</w:t>
      </w:r>
    </w:p>
    <w:p>
      <w:pPr>
        <w:pStyle w:val="ListParagraph"/>
        <w:numPr>
          <w:ilvl w:val="0"/>
          <w:numId w:val="6"/>
        </w:numPr>
        <w:ind w:left="720" w:right="237" w:hanging="360"/>
        <w:jc w:val="both"/>
        <w:rPr>
          <w:sz w:val="24"/>
          <w:szCs w:val="24"/>
        </w:rPr>
      </w:pPr>
      <w:r>
        <w:rPr>
          <w:sz w:val="24"/>
          <w:szCs w:val="24"/>
        </w:rPr>
        <w:t>Policing the roads</w:t>
      </w:r>
    </w:p>
    <w:p>
      <w:pPr>
        <w:pStyle w:val="ListParagraph"/>
        <w:numPr>
          <w:ilvl w:val="0"/>
          <w:numId w:val="6"/>
        </w:numPr>
        <w:ind w:left="720" w:right="237" w:hanging="360"/>
        <w:jc w:val="both"/>
        <w:rPr>
          <w:sz w:val="24"/>
          <w:szCs w:val="24"/>
        </w:rPr>
      </w:pPr>
      <w:r>
        <w:rPr>
          <w:sz w:val="24"/>
          <w:szCs w:val="24"/>
        </w:rPr>
        <w:t>Information and Intelligence</w:t>
      </w:r>
    </w:p>
    <w:p>
      <w:pPr>
        <w:pStyle w:val="Normal"/>
        <w:ind w:right="237" w:hanging="0"/>
        <w:jc w:val="both"/>
        <w:rPr>
          <w:sz w:val="24"/>
          <w:szCs w:val="24"/>
        </w:rPr>
      </w:pPr>
      <w:r>
        <w:rPr>
          <w:sz w:val="24"/>
          <w:szCs w:val="24"/>
        </w:rPr>
      </w:r>
    </w:p>
    <w:p>
      <w:pPr>
        <w:pStyle w:val="Normal"/>
        <w:jc w:val="both"/>
        <w:rPr/>
      </w:pPr>
      <w:r>
        <w:rPr>
          <w:rFonts w:eastAsia="Arial"/>
          <w:color w:val="000000" w:themeColor="text1"/>
          <w:sz w:val="24"/>
          <w:szCs w:val="24"/>
        </w:rPr>
        <w:t xml:space="preserve">You may wish to use the same incidents as you have outlined in the Occupational Competence Portfolio. </w:t>
      </w:r>
    </w:p>
    <w:p>
      <w:pPr>
        <w:pStyle w:val="Normal"/>
        <w:jc w:val="both"/>
        <w:rPr/>
      </w:pPr>
      <w:r>
        <w:rPr>
          <w:rFonts w:eastAsia="Arial"/>
          <w:color w:val="000000" w:themeColor="text1"/>
          <w:sz w:val="24"/>
          <w:szCs w:val="24"/>
        </w:rPr>
        <w:t xml:space="preserve"> </w:t>
      </w:r>
    </w:p>
    <w:p>
      <w:pPr>
        <w:pStyle w:val="Normal"/>
        <w:jc w:val="both"/>
        <w:rPr/>
      </w:pPr>
      <w:r>
        <w:rPr>
          <w:rFonts w:eastAsia="Arial"/>
          <w:b/>
          <w:bCs/>
          <w:color w:val="000000" w:themeColor="text1"/>
          <w:sz w:val="24"/>
          <w:szCs w:val="24"/>
        </w:rPr>
        <w:t>How should the workbook be presented?</w:t>
      </w:r>
    </w:p>
    <w:p>
      <w:pPr>
        <w:pStyle w:val="Normal"/>
        <w:jc w:val="both"/>
        <w:rPr/>
      </w:pPr>
      <w:r>
        <w:rPr>
          <w:rFonts w:eastAsia="Arial"/>
          <w:color w:val="000000" w:themeColor="text1"/>
          <w:sz w:val="24"/>
          <w:szCs w:val="24"/>
        </w:rPr>
        <w:t xml:space="preserve"> </w:t>
      </w:r>
    </w:p>
    <w:p>
      <w:pPr>
        <w:pStyle w:val="Normal"/>
        <w:jc w:val="both"/>
        <w:rPr/>
      </w:pPr>
      <w:r>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pPr>
        <w:pStyle w:val="Normal"/>
        <w:jc w:val="both"/>
        <w:rPr/>
      </w:pPr>
      <w:r>
        <w:rPr>
          <w:rFonts w:eastAsia="Arial"/>
          <w:color w:val="000000" w:themeColor="text1"/>
          <w:sz w:val="24"/>
          <w:szCs w:val="24"/>
        </w:rPr>
        <w:t xml:space="preserve"> </w:t>
      </w:r>
    </w:p>
    <w:p>
      <w:pPr>
        <w:pStyle w:val="Normal"/>
        <w:jc w:val="both"/>
        <w:rPr/>
      </w:pPr>
      <w:r>
        <w:rPr>
          <w:rFonts w:eastAsia="Arial"/>
          <w:b/>
          <w:bCs/>
          <w:color w:val="000000" w:themeColor="text1"/>
          <w:sz w:val="24"/>
          <w:szCs w:val="24"/>
        </w:rPr>
        <w:t>Word count policy</w:t>
      </w:r>
      <w:r>
        <w:rPr>
          <w:rFonts w:eastAsia="Arial"/>
          <w:color w:val="000000" w:themeColor="text1"/>
          <w:sz w:val="24"/>
          <w:szCs w:val="24"/>
        </w:rPr>
        <w:t xml:space="preserve"> can be found in chapter 7 of the Academic Quality under section 7.7 (this applies to presenting work above and under the specified word count).  </w:t>
      </w:r>
    </w:p>
    <w:p>
      <w:pPr>
        <w:pStyle w:val="Normal"/>
        <w:jc w:val="both"/>
        <w:rPr/>
      </w:pPr>
      <w:r>
        <w:rPr>
          <w:rFonts w:eastAsia="Arial"/>
          <w:color w:val="000000" w:themeColor="text1"/>
          <w:sz w:val="24"/>
          <w:szCs w:val="24"/>
        </w:rPr>
        <w:t>(</w:t>
      </w:r>
      <w:hyperlink r:id="rId3">
        <w:r>
          <w:rPr>
            <w:rStyle w:val="InternetLink"/>
            <w:rFonts w:eastAsia="Arial"/>
            <w:sz w:val="24"/>
            <w:szCs w:val="24"/>
          </w:rPr>
          <w:t>https://www.uwtsd.ac.uk/media/uwtsd-website/content-assets/documents/academic-office/aqh-chapters/chapters---en/Chapter_07_Assessment_Taught_Programmes_Pages_72-79-UPDATED-05-11-2019.pdf</w:t>
        </w:r>
      </w:hyperlink>
      <w:r>
        <w:rPr>
          <w:rFonts w:eastAsia="Arial"/>
          <w:color w:val="0000FF"/>
          <w:sz w:val="24"/>
          <w:szCs w:val="24"/>
          <w:u w:val="single"/>
        </w:rPr>
        <w:t xml:space="preserve">) </w:t>
      </w:r>
    </w:p>
    <w:p>
      <w:pPr>
        <w:pStyle w:val="Normal"/>
        <w:jc w:val="both"/>
        <w:rPr/>
      </w:pPr>
      <w:r>
        <w:rPr>
          <w:rFonts w:eastAsia="Arial"/>
          <w:color w:val="000000" w:themeColor="text1"/>
          <w:sz w:val="24"/>
          <w:szCs w:val="24"/>
        </w:rPr>
        <w:t xml:space="preserve"> </w:t>
      </w:r>
    </w:p>
    <w:p>
      <w:pPr>
        <w:pStyle w:val="Normal"/>
        <w:jc w:val="both"/>
        <w:rPr/>
      </w:pPr>
      <w:r>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pPr>
        <w:pStyle w:val="Normal"/>
        <w:jc w:val="both"/>
        <w:rPr/>
      </w:pPr>
      <w:hyperlink r:id="rId4">
        <w:r>
          <w:rPr>
            <w:rStyle w:val="InternetLink"/>
            <w:rFonts w:eastAsia="Arial"/>
            <w:sz w:val="24"/>
            <w:szCs w:val="24"/>
          </w:rPr>
          <w:t>https://moodle.uwtsd.ac.uk/pluginfile.php/298870/mod_resource/content/1/Reflective%20Practice%20for%20Policing%20Students%20-%20Selina%20Copley%20Chapter5.pdf</w:t>
        </w:r>
      </w:hyperlink>
    </w:p>
    <w:p>
      <w:pPr>
        <w:pStyle w:val="Normal"/>
        <w:jc w:val="both"/>
        <w:rPr/>
      </w:pPr>
      <w:r>
        <w:rPr>
          <w:rFonts w:eastAsia="Arial"/>
          <w:color w:val="000000" w:themeColor="text1"/>
          <w:sz w:val="24"/>
          <w:szCs w:val="24"/>
        </w:rPr>
        <w:t xml:space="preserve"> </w:t>
      </w:r>
    </w:p>
    <w:p>
      <w:pPr>
        <w:pStyle w:val="Normal"/>
        <w:jc w:val="both"/>
        <w:rPr/>
      </w:pPr>
      <w:r>
        <w:rPr>
          <w:rFonts w:eastAsia="Arial"/>
          <w:b/>
          <w:bCs/>
          <w:color w:val="000000" w:themeColor="text1"/>
          <w:sz w:val="24"/>
          <w:szCs w:val="24"/>
        </w:rPr>
        <w:t>How is the workbook assessed?</w:t>
      </w:r>
    </w:p>
    <w:p>
      <w:pPr>
        <w:pStyle w:val="Normal"/>
        <w:jc w:val="both"/>
        <w:rPr/>
      </w:pPr>
      <w:r>
        <w:rPr>
          <w:rFonts w:eastAsia="Arial"/>
          <w:color w:val="000000" w:themeColor="text1"/>
          <w:sz w:val="24"/>
          <w:szCs w:val="24"/>
        </w:rPr>
        <w:t xml:space="preserve"> </w:t>
      </w:r>
    </w:p>
    <w:p>
      <w:pPr>
        <w:pStyle w:val="Normal"/>
        <w:jc w:val="both"/>
        <w:rPr/>
      </w:pPr>
      <w:r>
        <w:rPr>
          <w:rFonts w:eastAsia="Arial"/>
          <w:color w:val="000000" w:themeColor="text1"/>
          <w:sz w:val="24"/>
          <w:szCs w:val="24"/>
        </w:rPr>
        <w:t xml:space="preserve">Advice and support about the completion of this workbook is available to you. Please contact Kelly Andrews direct using </w:t>
      </w:r>
      <w:hyperlink r:id="rId5">
        <w:r>
          <w:rPr>
            <w:rStyle w:val="InternetLink"/>
            <w:rFonts w:eastAsia="Arial"/>
            <w:sz w:val="24"/>
            <w:szCs w:val="24"/>
          </w:rPr>
          <w:t>k.andrews@uwtsd.ac.uk</w:t>
        </w:r>
      </w:hyperlink>
      <w:r>
        <w:rPr>
          <w:rFonts w:eastAsia="Arial"/>
          <w:color w:val="000000" w:themeColor="text1"/>
          <w:sz w:val="24"/>
          <w:szCs w:val="24"/>
        </w:rPr>
        <w:t xml:space="preserve"> with any questions or queries you may have. </w:t>
      </w:r>
    </w:p>
    <w:p>
      <w:pPr>
        <w:pStyle w:val="Normal"/>
        <w:jc w:val="both"/>
        <w:rPr/>
      </w:pPr>
      <w:r>
        <w:rPr>
          <w:rFonts w:eastAsia="Arial"/>
          <w:color w:val="000000" w:themeColor="text1"/>
          <w:sz w:val="24"/>
          <w:szCs w:val="24"/>
        </w:rPr>
        <w:t xml:space="preserve"> </w:t>
      </w:r>
    </w:p>
    <w:p>
      <w:pPr>
        <w:pStyle w:val="Normal"/>
        <w:jc w:val="both"/>
        <w:rPr>
          <w:rFonts w:eastAsia="Arial"/>
          <w:color w:val="000000" w:themeColor="text1"/>
          <w:sz w:val="24"/>
          <w:szCs w:val="24"/>
        </w:rPr>
      </w:pPr>
      <w:r>
        <w:rPr>
          <w:rFonts w:eastAsia="Arial"/>
          <w:color w:val="000000" w:themeColor="text1"/>
          <w:sz w:val="24"/>
          <w:szCs w:val="24"/>
        </w:rPr>
        <w:t>Dates of workbook submission can be located within the General information tile within Moodle.</w:t>
      </w:r>
    </w:p>
    <w:p>
      <w:pPr>
        <w:pStyle w:val="Normal"/>
        <w:jc w:val="both"/>
        <w:rPr/>
      </w:pPr>
      <w:r>
        <w:rPr>
          <w:rFonts w:eastAsia="Arial"/>
          <w:color w:val="000000" w:themeColor="text1"/>
          <w:sz w:val="24"/>
          <w:szCs w:val="24"/>
        </w:rPr>
        <w:t xml:space="preserve"> </w:t>
      </w:r>
    </w:p>
    <w:p>
      <w:pPr>
        <w:pStyle w:val="Normal"/>
        <w:jc w:val="both"/>
        <w:rPr/>
      </w:pPr>
      <w:r>
        <w:rPr>
          <w:rFonts w:eastAsia="Arial"/>
          <w:color w:val="000000" w:themeColor="text1"/>
          <w:sz w:val="24"/>
          <w:szCs w:val="24"/>
        </w:rPr>
        <w:t xml:space="preserve">Once submitted your workbook will be assessed and marked independently. You will be provided with individual feedback once the work has been marked. </w:t>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b/>
          <w:b/>
          <w:sz w:val="24"/>
          <w:szCs w:val="24"/>
        </w:rPr>
      </w:pPr>
      <w:r>
        <w:rPr>
          <w:b/>
          <w:sz w:val="24"/>
          <w:szCs w:val="24"/>
        </w:rPr>
      </w:r>
    </w:p>
    <w:p>
      <w:pPr>
        <w:pStyle w:val="Normal"/>
        <w:ind w:right="237" w:hanging="0"/>
        <w:jc w:val="both"/>
        <w:rPr>
          <w:b/>
          <w:b/>
          <w:sz w:val="24"/>
          <w:szCs w:val="24"/>
        </w:rPr>
      </w:pPr>
      <w:r>
        <w:rPr>
          <w:b/>
          <w:sz w:val="24"/>
          <w:szCs w:val="24"/>
        </w:rPr>
      </w:r>
    </w:p>
    <w:p>
      <w:pPr>
        <w:pStyle w:val="Normal"/>
        <w:overflowPunct w:val="false"/>
        <w:ind w:right="237" w:hanging="0"/>
        <w:textAlignment w:val="auto"/>
        <w:rPr>
          <w:b/>
          <w:b/>
          <w:sz w:val="24"/>
          <w:szCs w:val="24"/>
        </w:rPr>
      </w:pPr>
      <w:r>
        <w:rPr>
          <w:b/>
          <w:sz w:val="24"/>
          <w:szCs w:val="24"/>
        </w:rPr>
      </w:r>
      <w:r>
        <w:br w:type="page"/>
      </w:r>
    </w:p>
    <w:p>
      <w:pPr>
        <w:pStyle w:val="Normal"/>
        <w:ind w:right="237" w:hanging="0"/>
        <w:jc w:val="both"/>
        <w:rPr>
          <w:sz w:val="24"/>
          <w:szCs w:val="24"/>
        </w:rPr>
      </w:pPr>
      <w:r>
        <w:rPr>
          <w:b/>
          <w:sz w:val="24"/>
          <w:szCs w:val="24"/>
        </w:rPr>
        <w:t>Confidentiality</w:t>
      </w:r>
    </w:p>
    <w:p>
      <w:pPr>
        <w:pStyle w:val="Normal"/>
        <w:ind w:right="237" w:hanging="0"/>
        <w:jc w:val="both"/>
        <w:rPr>
          <w:b/>
          <w:b/>
          <w:sz w:val="24"/>
          <w:szCs w:val="24"/>
        </w:rPr>
      </w:pPr>
      <w:r>
        <w:rPr>
          <w:b/>
          <w:sz w:val="24"/>
          <w:szCs w:val="24"/>
        </w:rPr>
      </w:r>
    </w:p>
    <w:p>
      <w:pPr>
        <w:pStyle w:val="Normal"/>
        <w:ind w:right="237" w:hanging="0"/>
        <w:jc w:val="both"/>
        <w:rPr>
          <w:sz w:val="24"/>
          <w:szCs w:val="24"/>
        </w:rPr>
      </w:pPr>
      <w:r>
        <w:rPr>
          <w:sz w:val="24"/>
          <w:szCs w:val="24"/>
        </w:rPr>
        <w:t>It is important that no individual can be identified either directly or indirectly from the information in the workbook. However, you must:</w:t>
      </w:r>
    </w:p>
    <w:p>
      <w:pPr>
        <w:pStyle w:val="Normal"/>
        <w:ind w:right="237" w:hanging="0"/>
        <w:jc w:val="both"/>
        <w:rPr>
          <w:sz w:val="24"/>
          <w:szCs w:val="24"/>
        </w:rPr>
      </w:pPr>
      <w:r>
        <w:rPr>
          <w:sz w:val="24"/>
          <w:szCs w:val="24"/>
        </w:rPr>
      </w:r>
    </w:p>
    <w:p>
      <w:pPr>
        <w:pStyle w:val="Normal"/>
        <w:numPr>
          <w:ilvl w:val="0"/>
          <w:numId w:val="2"/>
        </w:numPr>
        <w:spacing w:lineRule="auto" w:line="259"/>
        <w:ind w:left="720" w:right="237" w:hanging="360"/>
        <w:jc w:val="both"/>
        <w:rPr>
          <w:color w:val="000000" w:themeColor="text1"/>
          <w:sz w:val="24"/>
          <w:szCs w:val="24"/>
        </w:rPr>
      </w:pPr>
      <w:r>
        <w:rPr>
          <w:sz w:val="24"/>
          <w:szCs w:val="24"/>
        </w:rPr>
        <w:t>adhere to guidance in the Candidate Handbook about confidentiality.</w:t>
      </w:r>
    </w:p>
    <w:p>
      <w:pPr>
        <w:pStyle w:val="Normal"/>
        <w:numPr>
          <w:ilvl w:val="0"/>
          <w:numId w:val="5"/>
        </w:numPr>
        <w:spacing w:lineRule="auto" w:line="259"/>
        <w:ind w:left="720" w:right="237" w:hanging="360"/>
        <w:jc w:val="both"/>
        <w:rPr>
          <w:color w:val="000000" w:themeColor="text1"/>
          <w:sz w:val="24"/>
          <w:szCs w:val="24"/>
        </w:rPr>
      </w:pPr>
      <w:r>
        <w:rPr>
          <w:sz w:val="24"/>
          <w:szCs w:val="24"/>
        </w:rPr>
        <w:t>not identify individuals including witnesses, victims, or offenders by name.</w:t>
      </w:r>
    </w:p>
    <w:p>
      <w:pPr>
        <w:pStyle w:val="Normal"/>
        <w:numPr>
          <w:ilvl w:val="0"/>
          <w:numId w:val="5"/>
        </w:numPr>
        <w:spacing w:lineRule="auto" w:line="259"/>
        <w:ind w:left="720" w:right="237" w:hanging="360"/>
        <w:jc w:val="both"/>
        <w:rPr>
          <w:color w:val="000000" w:themeColor="text1"/>
          <w:sz w:val="24"/>
          <w:szCs w:val="24"/>
        </w:rPr>
      </w:pPr>
      <w:r>
        <w:rPr>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pPr>
        <w:pStyle w:val="Normal"/>
        <w:numPr>
          <w:ilvl w:val="0"/>
          <w:numId w:val="4"/>
        </w:numPr>
        <w:spacing w:lineRule="auto" w:line="259"/>
        <w:ind w:left="720" w:right="237" w:hanging="360"/>
        <w:jc w:val="both"/>
        <w:rPr>
          <w:color w:val="000000" w:themeColor="text1"/>
          <w:sz w:val="24"/>
          <w:szCs w:val="24"/>
        </w:rPr>
      </w:pPr>
      <w:r>
        <w:rPr>
          <w:sz w:val="24"/>
          <w:szCs w:val="24"/>
        </w:rPr>
        <w:t xml:space="preserve">take personal responsibility for adhering to confidentiality rules. </w:t>
      </w:r>
    </w:p>
    <w:p>
      <w:pPr>
        <w:pStyle w:val="Normal"/>
        <w:numPr>
          <w:ilvl w:val="0"/>
          <w:numId w:val="4"/>
        </w:numPr>
        <w:spacing w:lineRule="auto" w:line="259"/>
        <w:ind w:left="720" w:right="237" w:hanging="360"/>
        <w:jc w:val="both"/>
        <w:rPr>
          <w:sz w:val="24"/>
          <w:szCs w:val="24"/>
        </w:rPr>
      </w:pPr>
      <w:r>
        <w:rPr>
          <w:sz w:val="24"/>
          <w:szCs w:val="24"/>
        </w:rPr>
        <w:t>not include any dates of any incidents or anything that specifically identifies an actual incident.</w:t>
      </w:r>
    </w:p>
    <w:p>
      <w:pPr>
        <w:pStyle w:val="Normal"/>
        <w:spacing w:lineRule="auto" w:line="259"/>
        <w:ind w:right="237" w:hanging="0"/>
        <w:jc w:val="both"/>
        <w:rPr>
          <w:sz w:val="24"/>
          <w:szCs w:val="24"/>
        </w:rPr>
      </w:pPr>
      <w:r>
        <w:rPr>
          <w:sz w:val="24"/>
          <w:szCs w:val="24"/>
        </w:rPr>
      </w:r>
    </w:p>
    <w:p>
      <w:pPr>
        <w:pStyle w:val="Normal"/>
        <w:spacing w:lineRule="auto" w:line="259"/>
        <w:ind w:right="237" w:hanging="0"/>
        <w:jc w:val="both"/>
        <w:rPr>
          <w:sz w:val="24"/>
          <w:szCs w:val="24"/>
        </w:rPr>
      </w:pPr>
      <w:r>
        <w:rPr>
          <w:sz w:val="24"/>
          <w:szCs w:val="24"/>
        </w:rPr>
      </w:r>
    </w:p>
    <w:p>
      <w:pPr>
        <w:pStyle w:val="Normal"/>
        <w:jc w:val="both"/>
        <w:rPr/>
      </w:pPr>
      <w:r>
        <w:rPr>
          <w:rFonts w:eastAsia="Calibri" w:cs="Calibri" w:ascii="Calibri" w:hAnsi="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Pr>
          <w:rFonts w:eastAsia="Calibri" w:cs="Calibri" w:ascii="Calibri" w:hAnsi="Calibri"/>
          <w:color w:val="000000" w:themeColor="text1"/>
          <w:sz w:val="24"/>
          <w:szCs w:val="24"/>
        </w:rPr>
        <w:t xml:space="preserve"> </w:t>
      </w:r>
    </w:p>
    <w:p>
      <w:pPr>
        <w:pStyle w:val="Normal"/>
        <w:jc w:val="both"/>
        <w:rPr>
          <w:rFonts w:ascii="Calibri" w:hAnsi="Calibri" w:eastAsia="Calibri" w:cs="Calibri"/>
          <w:color w:val="000000" w:themeColor="text1"/>
          <w:sz w:val="24"/>
          <w:szCs w:val="24"/>
        </w:rPr>
      </w:pPr>
      <w:r>
        <w:rPr>
          <w:rFonts w:eastAsia="Calibri" w:cs="Calibri" w:ascii="Calibri" w:hAnsi="Calibri"/>
          <w:color w:val="000000" w:themeColor="text1"/>
          <w:sz w:val="24"/>
          <w:szCs w:val="24"/>
        </w:rPr>
      </w:r>
    </w:p>
    <w:p>
      <w:pPr>
        <w:pStyle w:val="Normal"/>
        <w:jc w:val="both"/>
        <w:rPr/>
      </w:pPr>
      <w:r>
        <w:rPr>
          <w:rFonts w:eastAsia="Calibri" w:cs="Calibri" w:ascii="Calibri" w:hAnsi="Calibri"/>
          <w:b/>
          <w:bCs/>
          <w:color w:val="000000" w:themeColor="text1"/>
          <w:sz w:val="24"/>
          <w:szCs w:val="24"/>
        </w:rPr>
        <w:t xml:space="preserve">Should any health and wellbeing concerns be raised because of disclosures made by the student within this workbook, the employer of the student will be informed. </w:t>
      </w:r>
      <w:r>
        <w:rPr>
          <w:rFonts w:eastAsia="Calibri" w:cs="Calibri" w:ascii="Calibri" w:hAnsi="Calibri"/>
          <w:color w:val="000000" w:themeColor="text1"/>
          <w:sz w:val="24"/>
          <w:szCs w:val="24"/>
        </w:rPr>
        <w:t xml:space="preserve"> </w:t>
      </w:r>
    </w:p>
    <w:p>
      <w:pPr>
        <w:pStyle w:val="Normal"/>
        <w:spacing w:lineRule="auto" w:line="259"/>
        <w:ind w:right="237" w:hanging="0"/>
        <w:jc w:val="both"/>
        <w:rPr>
          <w:sz w:val="24"/>
          <w:szCs w:val="24"/>
        </w:rPr>
      </w:pPr>
      <w:r>
        <w:rPr>
          <w:sz w:val="24"/>
          <w:szCs w:val="24"/>
        </w:rPr>
      </w:r>
    </w:p>
    <w:p>
      <w:pPr>
        <w:pStyle w:val="Normal"/>
        <w:ind w:right="237" w:hanging="0"/>
        <w:jc w:val="both"/>
        <w:rPr>
          <w:color w:val="auto"/>
          <w:sz w:val="24"/>
          <w:szCs w:val="24"/>
        </w:rPr>
      </w:pPr>
      <w:r>
        <w:rPr>
          <w:color w:val="auto"/>
          <w:sz w:val="24"/>
          <w:szCs w:val="24"/>
        </w:rPr>
      </w:r>
    </w:p>
    <w:p>
      <w:pPr>
        <w:pStyle w:val="Normal"/>
        <w:ind w:right="237" w:hanging="0"/>
        <w:jc w:val="both"/>
        <w:rPr>
          <w:b/>
          <w:b/>
          <w:color w:val="auto"/>
          <w:sz w:val="24"/>
          <w:szCs w:val="24"/>
        </w:rPr>
      </w:pPr>
      <w:r>
        <w:rPr>
          <w:b/>
          <w:color w:val="auto"/>
          <w:sz w:val="24"/>
          <w:szCs w:val="24"/>
        </w:rPr>
        <w:t>NOTE</w:t>
      </w:r>
    </w:p>
    <w:p>
      <w:pPr>
        <w:pStyle w:val="Normal"/>
        <w:ind w:right="237" w:hanging="0"/>
        <w:jc w:val="both"/>
        <w:rPr>
          <w:color w:val="auto"/>
          <w:sz w:val="24"/>
          <w:szCs w:val="24"/>
        </w:rPr>
      </w:pPr>
      <w:r>
        <w:rPr>
          <w:color w:val="auto"/>
          <w:sz w:val="24"/>
          <w:szCs w:val="24"/>
        </w:rPr>
      </w:r>
    </w:p>
    <w:p>
      <w:pPr>
        <w:pStyle w:val="Normal"/>
        <w:ind w:right="237" w:hanging="0"/>
        <w:jc w:val="both"/>
        <w:rPr>
          <w:color w:val="auto"/>
          <w:sz w:val="24"/>
          <w:szCs w:val="24"/>
        </w:rPr>
      </w:pPr>
      <w:r>
        <w:rPr>
          <w:color w:val="auto"/>
          <w:sz w:val="24"/>
          <w:szCs w:val="24"/>
        </w:rPr>
        <w:t xml:space="preserve">Your workbook will be submitted electronically via Turnitin on Moodle. Guidance on this is in the Candidate Handbook. </w:t>
      </w:r>
    </w:p>
    <w:p>
      <w:pPr>
        <w:pStyle w:val="Normal"/>
        <w:ind w:left="360" w:right="237" w:hanging="0"/>
        <w:jc w:val="both"/>
        <w:rPr>
          <w:b/>
          <w:b/>
          <w:color w:val="auto"/>
          <w:sz w:val="24"/>
          <w:szCs w:val="24"/>
        </w:rPr>
      </w:pPr>
      <w:r>
        <w:rPr>
          <w:b/>
          <w:color w:val="auto"/>
          <w:sz w:val="24"/>
          <w:szCs w:val="24"/>
        </w:rPr>
      </w:r>
    </w:p>
    <w:p>
      <w:pPr>
        <w:pStyle w:val="Normal"/>
        <w:ind w:right="237" w:hanging="0"/>
        <w:jc w:val="both"/>
        <w:rPr>
          <w:b/>
          <w:b/>
          <w:bCs/>
          <w:i/>
          <w:i/>
          <w:iCs/>
          <w:sz w:val="24"/>
          <w:szCs w:val="24"/>
        </w:rPr>
      </w:pPr>
      <w:r>
        <w:rPr>
          <w:b/>
          <w:bCs/>
          <w:i/>
          <w:iCs/>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particularly important. </w:t>
      </w:r>
    </w:p>
    <w:p>
      <w:pPr>
        <w:pStyle w:val="Normal"/>
        <w:ind w:left="360" w:right="237" w:hanging="0"/>
        <w:jc w:val="both"/>
        <w:rPr>
          <w:b/>
          <w:b/>
          <w:bCs/>
          <w:sz w:val="24"/>
          <w:szCs w:val="24"/>
        </w:rPr>
      </w:pPr>
      <w:r>
        <w:rPr>
          <w:b/>
          <w:bCs/>
          <w:sz w:val="24"/>
          <w:szCs w:val="24"/>
        </w:rPr>
      </w:r>
    </w:p>
    <w:p>
      <w:pPr>
        <w:pStyle w:val="Normal"/>
        <w:ind w:right="237" w:hanging="0"/>
        <w:jc w:val="both"/>
        <w:rPr>
          <w:b/>
          <w:b/>
          <w:sz w:val="24"/>
          <w:szCs w:val="24"/>
        </w:rPr>
      </w:pPr>
      <w:r>
        <w:rPr>
          <w:b/>
          <w:sz w:val="24"/>
          <w:szCs w:val="24"/>
        </w:rPr>
      </w:r>
    </w:p>
    <w:p>
      <w:pPr>
        <w:pStyle w:val="Normal"/>
        <w:ind w:right="237" w:hanging="0"/>
        <w:jc w:val="both"/>
        <w:rPr>
          <w:b/>
          <w:b/>
          <w:sz w:val="24"/>
          <w:szCs w:val="24"/>
        </w:rPr>
      </w:pPr>
      <w:r>
        <w:rPr>
          <w:b/>
          <w:sz w:val="24"/>
          <w:szCs w:val="24"/>
        </w:rPr>
        <w:t>Dyslexia and other special circumstances</w:t>
      </w:r>
    </w:p>
    <w:p>
      <w:pPr>
        <w:pStyle w:val="Normal"/>
        <w:ind w:right="237" w:hanging="0"/>
        <w:jc w:val="both"/>
        <w:rPr>
          <w:b/>
          <w:b/>
          <w:sz w:val="24"/>
          <w:szCs w:val="24"/>
          <w:u w:val="single"/>
        </w:rPr>
      </w:pPr>
      <w:r>
        <w:rPr>
          <w:b/>
          <w:sz w:val="24"/>
          <w:szCs w:val="24"/>
          <w:u w:val="single"/>
        </w:rPr>
      </w:r>
    </w:p>
    <w:p>
      <w:pPr>
        <w:pStyle w:val="Normal"/>
        <w:ind w:right="237" w:hanging="0"/>
        <w:jc w:val="both"/>
        <w:rPr>
          <w:sz w:val="24"/>
          <w:szCs w:val="24"/>
        </w:rPr>
      </w:pPr>
      <w:r>
        <w:rPr>
          <w:sz w:val="24"/>
          <w:szCs w:val="24"/>
        </w:rPr>
        <w:t xml:space="preserve">If you have any condition that you feel may affect your ability to deal with any part of the programme, please see the </w:t>
      </w:r>
      <w:r>
        <w:rPr>
          <w:color w:val="auto"/>
          <w:sz w:val="24"/>
          <w:szCs w:val="24"/>
        </w:rPr>
        <w:t>Candidate Handbook for further guidance</w:t>
      </w:r>
      <w:r>
        <w:rPr>
          <w:sz w:val="24"/>
          <w:szCs w:val="24"/>
        </w:rPr>
        <w:t xml:space="preserve">. The University has a Student Services Unit that may be able to help but </w:t>
      </w:r>
      <w:r>
        <w:rPr>
          <w:b/>
          <w:i/>
          <w:sz w:val="24"/>
          <w:szCs w:val="24"/>
        </w:rPr>
        <w:t>it is the learner’s individual responsibility to contact them</w:t>
      </w:r>
      <w:r>
        <w:rPr>
          <w:sz w:val="24"/>
          <w:szCs w:val="24"/>
        </w:rPr>
        <w:t xml:space="preserve">. </w:t>
      </w:r>
    </w:p>
    <w:p>
      <w:pPr>
        <w:pStyle w:val="Normal"/>
        <w:ind w:right="237" w:hanging="0"/>
        <w:jc w:val="both"/>
        <w:rPr>
          <w:b/>
          <w:b/>
          <w:sz w:val="24"/>
          <w:szCs w:val="24"/>
        </w:rPr>
      </w:pPr>
      <w:r>
        <w:rPr>
          <w:b/>
          <w:sz w:val="24"/>
          <w:szCs w:val="24"/>
        </w:rPr>
      </w:r>
    </w:p>
    <w:p>
      <w:pPr>
        <w:pStyle w:val="Normal"/>
        <w:ind w:right="237" w:hanging="0"/>
        <w:jc w:val="both"/>
        <w:rPr>
          <w:b/>
          <w:b/>
          <w:sz w:val="24"/>
          <w:szCs w:val="24"/>
        </w:rPr>
      </w:pPr>
      <w:r>
        <w:rPr>
          <w:b/>
          <w:sz w:val="24"/>
          <w:szCs w:val="24"/>
        </w:rPr>
      </w:r>
    </w:p>
    <w:p>
      <w:pPr>
        <w:pStyle w:val="Normal"/>
        <w:ind w:right="237" w:hanging="0"/>
        <w:rPr>
          <w:b/>
          <w:b/>
          <w:sz w:val="24"/>
          <w:szCs w:val="24"/>
        </w:rPr>
      </w:pPr>
      <w:r>
        <w:rPr>
          <w:b/>
          <w:sz w:val="24"/>
          <w:szCs w:val="24"/>
        </w:rPr>
      </w:r>
      <w:r>
        <w:br w:type="page"/>
      </w:r>
    </w:p>
    <w:p>
      <w:pPr>
        <w:pStyle w:val="Normal"/>
        <w:ind w:right="237" w:hanging="0"/>
        <w:jc w:val="both"/>
        <w:rPr>
          <w:sz w:val="24"/>
          <w:szCs w:val="24"/>
          <w:u w:val="single"/>
        </w:rPr>
      </w:pPr>
      <w:r>
        <w:rPr>
          <w:sz w:val="24"/>
          <w:szCs w:val="24"/>
          <w:u w:val="single"/>
        </w:rPr>
      </w:r>
    </w:p>
    <w:p>
      <w:pPr>
        <w:pStyle w:val="Normal"/>
        <w:pBdr>
          <w:top w:val="single" w:sz="6" w:space="1" w:color="000000"/>
          <w:left w:val="single" w:sz="6" w:space="0" w:color="000000"/>
          <w:bottom w:val="single" w:sz="6" w:space="1" w:color="000000"/>
          <w:right w:val="single" w:sz="6" w:space="1" w:color="000000"/>
        </w:pBdr>
        <w:ind w:right="237" w:hanging="0"/>
        <w:jc w:val="both"/>
        <w:rPr>
          <w:b/>
          <w:b/>
          <w:sz w:val="24"/>
          <w:szCs w:val="24"/>
        </w:rPr>
      </w:pPr>
      <w:r>
        <w:rPr>
          <w:b/>
          <w:sz w:val="24"/>
          <w:szCs w:val="24"/>
        </w:rPr>
      </w:r>
    </w:p>
    <w:p>
      <w:pPr>
        <w:pStyle w:val="Normal"/>
        <w:pBdr>
          <w:top w:val="single" w:sz="6" w:space="1" w:color="000000"/>
          <w:left w:val="single" w:sz="6" w:space="0" w:color="000000"/>
          <w:bottom w:val="single" w:sz="6" w:space="1" w:color="000000"/>
          <w:right w:val="single" w:sz="6" w:space="1" w:color="000000"/>
        </w:pBdr>
        <w:ind w:right="237" w:hanging="0"/>
        <w:jc w:val="both"/>
        <w:rPr>
          <w:b/>
          <w:b/>
          <w:sz w:val="24"/>
          <w:szCs w:val="24"/>
        </w:rPr>
      </w:pPr>
      <w:r>
        <w:rPr>
          <w:b/>
          <w:sz w:val="24"/>
          <w:szCs w:val="24"/>
        </w:rPr>
        <w:t xml:space="preserve">Competency Based Workbook 2 - Learner Workbook </w:t>
      </w:r>
    </w:p>
    <w:p>
      <w:pPr>
        <w:pStyle w:val="Normal"/>
        <w:pBdr>
          <w:top w:val="single" w:sz="6" w:space="1" w:color="000000"/>
          <w:left w:val="single" w:sz="6" w:space="0" w:color="000000"/>
          <w:bottom w:val="single" w:sz="6" w:space="1" w:color="000000"/>
          <w:right w:val="single" w:sz="6" w:space="1" w:color="000000"/>
        </w:pBdr>
        <w:ind w:right="237" w:hanging="0"/>
        <w:jc w:val="both"/>
        <w:rPr>
          <w:b/>
          <w:b/>
          <w:sz w:val="24"/>
          <w:szCs w:val="24"/>
        </w:rPr>
      </w:pPr>
      <w:r>
        <w:rPr>
          <w:b/>
          <w:sz w:val="24"/>
          <w:szCs w:val="24"/>
        </w:rPr>
      </w:r>
    </w:p>
    <w:p>
      <w:pPr>
        <w:pStyle w:val="Normal"/>
        <w:ind w:right="237" w:hanging="0"/>
        <w:jc w:val="both"/>
        <w:rPr>
          <w:sz w:val="24"/>
          <w:szCs w:val="24"/>
        </w:rPr>
      </w:pPr>
      <w:r>
        <w:rPr>
          <w:sz w:val="24"/>
          <w:szCs w:val="24"/>
        </w:rPr>
      </w:r>
    </w:p>
    <w:p>
      <w:pPr>
        <w:pStyle w:val="Normal"/>
        <w:ind w:right="237" w:hanging="0"/>
        <w:jc w:val="both"/>
        <w:rPr>
          <w:i/>
          <w:i/>
          <w:sz w:val="24"/>
          <w:szCs w:val="24"/>
        </w:rPr>
      </w:pPr>
      <w:r>
        <w:rPr>
          <w:i/>
          <w:sz w:val="24"/>
          <w:szCs w:val="24"/>
        </w:rPr>
        <w:t xml:space="preserve">Guidance: </w:t>
      </w:r>
    </w:p>
    <w:p>
      <w:pPr>
        <w:pStyle w:val="Normal"/>
        <w:ind w:right="237" w:hanging="0"/>
        <w:jc w:val="both"/>
        <w:rPr>
          <w:i/>
          <w:i/>
          <w:sz w:val="24"/>
          <w:szCs w:val="24"/>
        </w:rPr>
      </w:pPr>
      <w:r>
        <w:rPr>
          <w:i/>
          <w:sz w:val="24"/>
          <w:szCs w:val="24"/>
        </w:rPr>
      </w:r>
    </w:p>
    <w:p>
      <w:pPr>
        <w:pStyle w:val="Normal"/>
        <w:numPr>
          <w:ilvl w:val="0"/>
          <w:numId w:val="3"/>
        </w:numPr>
        <w:ind w:left="720" w:right="237" w:hanging="360"/>
        <w:jc w:val="both"/>
        <w:rPr>
          <w:i/>
          <w:i/>
          <w:iCs/>
          <w:sz w:val="24"/>
          <w:szCs w:val="24"/>
        </w:rPr>
      </w:pPr>
      <w:r>
        <w:rPr>
          <w:i/>
          <w:iCs/>
          <w:sz w:val="24"/>
          <w:szCs w:val="24"/>
        </w:rPr>
        <w:t xml:space="preserve">Your workbook must contain items 1 - </w:t>
      </w:r>
      <w:r>
        <w:rPr>
          <w:i/>
          <w:iCs/>
          <w:color w:val="auto"/>
          <w:sz w:val="24"/>
          <w:szCs w:val="24"/>
        </w:rPr>
        <w:t>5</w:t>
      </w:r>
      <w:r>
        <w:rPr>
          <w:i/>
          <w:iCs/>
          <w:sz w:val="24"/>
          <w:szCs w:val="24"/>
        </w:rPr>
        <w:t xml:space="preserve"> below (in the order given).</w:t>
      </w:r>
    </w:p>
    <w:p>
      <w:pPr>
        <w:pStyle w:val="Normal"/>
        <w:numPr>
          <w:ilvl w:val="0"/>
          <w:numId w:val="3"/>
        </w:numPr>
        <w:ind w:left="720" w:right="237" w:hanging="360"/>
        <w:jc w:val="both"/>
        <w:rPr>
          <w:i/>
          <w:i/>
          <w:iCs/>
          <w:sz w:val="24"/>
          <w:szCs w:val="24"/>
        </w:rPr>
      </w:pPr>
      <w:r>
        <w:rPr>
          <w:i/>
          <w:iCs/>
          <w:sz w:val="24"/>
          <w:szCs w:val="24"/>
        </w:rPr>
        <w:t xml:space="preserve">You should use the pro-forma to insert your text within each section. </w:t>
      </w:r>
    </w:p>
    <w:p>
      <w:pPr>
        <w:pStyle w:val="Normal"/>
        <w:numPr>
          <w:ilvl w:val="0"/>
          <w:numId w:val="3"/>
        </w:numPr>
        <w:ind w:left="720" w:right="237" w:hanging="360"/>
        <w:jc w:val="both"/>
        <w:rPr>
          <w:i/>
          <w:i/>
          <w:iCs/>
          <w:sz w:val="24"/>
          <w:szCs w:val="24"/>
        </w:rPr>
      </w:pPr>
      <w:r>
        <w:rPr>
          <w:i/>
          <w:iCs/>
          <w:sz w:val="24"/>
          <w:szCs w:val="24"/>
        </w:rPr>
        <w:t>Note that this module has 2 components with each weighted at 50% of the overall 100% marks total.</w:t>
      </w:r>
    </w:p>
    <w:p>
      <w:pPr>
        <w:pStyle w:val="Normal"/>
        <w:numPr>
          <w:ilvl w:val="0"/>
          <w:numId w:val="3"/>
        </w:numPr>
        <w:ind w:left="720" w:right="237" w:hanging="360"/>
        <w:jc w:val="both"/>
        <w:rPr>
          <w:i/>
          <w:i/>
          <w:iCs/>
          <w:sz w:val="24"/>
          <w:szCs w:val="24"/>
        </w:rPr>
      </w:pPr>
      <w:r>
        <w:rPr>
          <w:i/>
          <w:iCs/>
          <w:sz w:val="24"/>
          <w:szCs w:val="24"/>
        </w:rPr>
        <w:t>You should upload your completed document as a saved pdf file of this workbook; if this is not possible then a Word Doc file is acceptable. Do not send a scanned file from a photocopier, an apple.dot file, or a Microsoft publisher file as Turnitin will not be able to assess them, despite you being able to upload them.</w:t>
      </w:r>
    </w:p>
    <w:p>
      <w:pPr>
        <w:pStyle w:val="Normal"/>
        <w:ind w:right="237" w:hanging="0"/>
        <w:jc w:val="both"/>
        <w:rPr>
          <w:b/>
          <w:b/>
          <w:bCs/>
          <w:sz w:val="24"/>
          <w:szCs w:val="24"/>
        </w:rPr>
      </w:pPr>
      <w:r>
        <w:rPr>
          <w:b/>
          <w:bCs/>
          <w:sz w:val="24"/>
          <w:szCs w:val="24"/>
        </w:rPr>
      </w:r>
    </w:p>
    <w:p>
      <w:pPr>
        <w:pStyle w:val="Normal"/>
        <w:ind w:right="237" w:hanging="0"/>
        <w:jc w:val="both"/>
        <w:rPr>
          <w:b/>
          <w:b/>
          <w:bCs/>
          <w:sz w:val="24"/>
          <w:szCs w:val="24"/>
        </w:rPr>
      </w:pPr>
      <w:r>
        <w:rPr>
          <w:b/>
          <w:bCs/>
          <w:sz w:val="24"/>
          <w:szCs w:val="24"/>
        </w:rPr>
        <w:t xml:space="preserve">Contents </w:t>
      </w:r>
    </w:p>
    <w:p>
      <w:pPr>
        <w:pStyle w:val="Normal"/>
        <w:ind w:right="237" w:hanging="0"/>
        <w:jc w:val="both"/>
        <w:rPr>
          <w:b/>
          <w:b/>
          <w:bCs/>
          <w:sz w:val="24"/>
          <w:szCs w:val="24"/>
        </w:rPr>
      </w:pPr>
      <w:r>
        <w:rPr>
          <w:b/>
          <w:bCs/>
          <w:sz w:val="24"/>
          <w:szCs w:val="24"/>
        </w:rPr>
      </w:r>
    </w:p>
    <w:tbl>
      <w:tblPr>
        <w:tblW w:w="8897" w:type="dxa"/>
        <w:jc w:val="left"/>
        <w:tblInd w:w="-113" w:type="dxa"/>
        <w:tblCellMar>
          <w:top w:w="0" w:type="dxa"/>
          <w:left w:w="108" w:type="dxa"/>
          <w:bottom w:w="0" w:type="dxa"/>
          <w:right w:w="108" w:type="dxa"/>
        </w:tblCellMar>
        <w:tblLook w:val="04a0"/>
      </w:tblPr>
      <w:tblGrid>
        <w:gridCol w:w="2145"/>
        <w:gridCol w:w="4514"/>
        <w:gridCol w:w="2238"/>
      </w:tblGrid>
      <w:tr>
        <w:trPr/>
        <w:tc>
          <w:tcPr>
            <w:tcW w:w="2145"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tcPr>
          <w:p>
            <w:pPr>
              <w:pStyle w:val="Normal"/>
              <w:ind w:right="237" w:hanging="0"/>
              <w:jc w:val="both"/>
              <w:rPr>
                <w:b/>
                <w:b/>
                <w:bCs/>
                <w:color w:val="auto"/>
                <w:sz w:val="24"/>
                <w:szCs w:val="24"/>
              </w:rPr>
            </w:pPr>
            <w:r>
              <w:rPr>
                <w:b/>
                <w:bCs/>
                <w:color w:val="auto"/>
                <w:sz w:val="24"/>
                <w:szCs w:val="24"/>
              </w:rPr>
              <w:t>Component 1</w:t>
            </w:r>
          </w:p>
          <w:p>
            <w:pPr>
              <w:pStyle w:val="Normal"/>
              <w:ind w:right="237" w:hanging="0"/>
              <w:jc w:val="both"/>
              <w:rPr>
                <w:b/>
                <w:b/>
                <w:bCs/>
                <w:color w:val="auto"/>
                <w:sz w:val="24"/>
                <w:szCs w:val="24"/>
              </w:rPr>
            </w:pPr>
            <w:r>
              <w:rPr>
                <w:b/>
                <w:bCs/>
                <w:color w:val="auto"/>
                <w:sz w:val="24"/>
                <w:szCs w:val="24"/>
              </w:rPr>
              <w:t>50%</w:t>
            </w:r>
          </w:p>
        </w:tc>
        <w:tc>
          <w:tcPr>
            <w:tcW w:w="4514"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tcPr>
          <w:p>
            <w:pPr>
              <w:pStyle w:val="Normal"/>
              <w:ind w:right="237" w:hanging="0"/>
              <w:jc w:val="both"/>
              <w:rPr>
                <w:b/>
                <w:b/>
                <w:bCs/>
                <w:color w:val="auto"/>
                <w:sz w:val="24"/>
                <w:szCs w:val="24"/>
              </w:rPr>
            </w:pPr>
            <w:r>
              <w:rPr>
                <w:b/>
                <w:bCs/>
                <w:color w:val="auto"/>
                <w:sz w:val="24"/>
                <w:szCs w:val="24"/>
              </w:rPr>
              <w:t xml:space="preserve">Area of Professional Practice </w:t>
            </w:r>
          </w:p>
          <w:p>
            <w:pPr>
              <w:pStyle w:val="Normal"/>
              <w:ind w:right="237" w:hanging="0"/>
              <w:jc w:val="both"/>
              <w:rPr>
                <w:b/>
                <w:b/>
                <w:bCs/>
                <w:color w:val="auto"/>
                <w:sz w:val="24"/>
                <w:szCs w:val="24"/>
              </w:rPr>
            </w:pPr>
            <w:r>
              <w:rPr>
                <w:b/>
                <w:bCs/>
                <w:color w:val="auto"/>
                <w:sz w:val="24"/>
                <w:szCs w:val="24"/>
              </w:rPr>
            </w:r>
          </w:p>
        </w:tc>
        <w:tc>
          <w:tcPr>
            <w:tcW w:w="2238"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tcPr>
          <w:p>
            <w:pPr>
              <w:pStyle w:val="Normal"/>
              <w:ind w:right="237" w:hanging="0"/>
              <w:jc w:val="both"/>
              <w:rPr>
                <w:b/>
                <w:b/>
                <w:bCs/>
                <w:color w:val="auto"/>
                <w:sz w:val="24"/>
                <w:szCs w:val="24"/>
              </w:rPr>
            </w:pPr>
            <w:r>
              <w:rPr>
                <w:b/>
                <w:bCs/>
                <w:color w:val="auto"/>
                <w:sz w:val="24"/>
                <w:szCs w:val="24"/>
              </w:rPr>
              <w:t>Word count</w:t>
            </w:r>
          </w:p>
        </w:tc>
      </w:tr>
      <w:tr>
        <w:trPr/>
        <w:tc>
          <w:tcPr>
            <w:tcW w:w="2145" w:type="dxa"/>
            <w:tcBorders>
              <w:top w:val="single" w:sz="4" w:space="0" w:color="000000"/>
              <w:left w:val="single" w:sz="4" w:space="0" w:color="000000"/>
              <w:bottom w:val="single" w:sz="4" w:space="0" w:color="000000"/>
              <w:right w:val="single" w:sz="4" w:space="0" w:color="000000"/>
            </w:tcBorders>
            <w:shd w:color="auto" w:fill="auto" w:val="clear"/>
          </w:tcPr>
          <w:p>
            <w:pPr>
              <w:pStyle w:val="Normal"/>
              <w:ind w:right="237" w:hanging="0"/>
              <w:jc w:val="both"/>
              <w:rPr>
                <w:color w:val="auto"/>
                <w:sz w:val="24"/>
                <w:szCs w:val="24"/>
              </w:rPr>
            </w:pPr>
            <w:r>
              <w:rPr>
                <w:color w:val="auto"/>
                <w:sz w:val="24"/>
                <w:szCs w:val="24"/>
              </w:rPr>
              <w:t>Task 1</w:t>
            </w:r>
          </w:p>
        </w:tc>
        <w:tc>
          <w:tcPr>
            <w:tcW w:w="4514" w:type="dxa"/>
            <w:tcBorders>
              <w:top w:val="single" w:sz="4" w:space="0" w:color="000000"/>
              <w:left w:val="single" w:sz="4" w:space="0" w:color="000000"/>
              <w:bottom w:val="single" w:sz="4" w:space="0" w:color="000000"/>
              <w:right w:val="single" w:sz="4" w:space="0" w:color="000000"/>
            </w:tcBorders>
            <w:shd w:color="auto" w:fill="auto" w:val="clear"/>
          </w:tcPr>
          <w:p>
            <w:pPr>
              <w:pStyle w:val="Normal"/>
              <w:ind w:right="237" w:hanging="0"/>
              <w:jc w:val="both"/>
              <w:rPr>
                <w:rFonts w:eastAsia="Arial"/>
                <w:color w:val="000000" w:themeColor="text1"/>
                <w:sz w:val="24"/>
                <w:szCs w:val="24"/>
              </w:rPr>
            </w:pPr>
            <w:r>
              <w:rPr>
                <w:rFonts w:eastAsia="Arial"/>
                <w:b/>
                <w:bCs/>
                <w:color w:val="000000" w:themeColor="text1"/>
                <w:sz w:val="24"/>
                <w:szCs w:val="24"/>
              </w:rPr>
              <w:t>Vulnerability and Risk</w:t>
            </w:r>
          </w:p>
          <w:p>
            <w:pPr>
              <w:pStyle w:val="Normal"/>
              <w:ind w:right="237" w:hanging="0"/>
              <w:jc w:val="both"/>
              <w:rPr>
                <w:b/>
                <w:b/>
                <w:bCs/>
                <w:color w:val="000000" w:themeColor="text1"/>
                <w:sz w:val="24"/>
                <w:szCs w:val="24"/>
              </w:rPr>
            </w:pPr>
            <w:r>
              <w:rPr>
                <w:rFonts w:eastAsia="Arial"/>
                <w:b/>
                <w:bCs/>
                <w:color w:val="000000" w:themeColor="text1"/>
                <w:sz w:val="24"/>
                <w:szCs w:val="24"/>
              </w:rPr>
              <w:t>Evidence-based policing</w:t>
            </w:r>
          </w:p>
          <w:p>
            <w:pPr>
              <w:pStyle w:val="Normal"/>
              <w:ind w:right="237" w:hanging="0"/>
              <w:jc w:val="both"/>
              <w:rPr>
                <w:b/>
                <w:b/>
                <w:bCs/>
                <w:color w:val="auto"/>
                <w:sz w:val="24"/>
                <w:szCs w:val="24"/>
              </w:rPr>
            </w:pPr>
            <w:r>
              <w:rPr>
                <w:b/>
                <w:bCs/>
                <w:color w:val="auto"/>
                <w:sz w:val="24"/>
                <w:szCs w:val="24"/>
              </w:rPr>
            </w:r>
          </w:p>
        </w:tc>
        <w:tc>
          <w:tcPr>
            <w:tcW w:w="2238" w:type="dxa"/>
            <w:tcBorders>
              <w:top w:val="single" w:sz="4" w:space="0" w:color="000000"/>
              <w:left w:val="single" w:sz="4" w:space="0" w:color="000000"/>
              <w:bottom w:val="single" w:sz="4" w:space="0" w:color="000000"/>
              <w:right w:val="single" w:sz="4" w:space="0" w:color="000000"/>
            </w:tcBorders>
            <w:shd w:fill="auto" w:val="clear"/>
          </w:tcPr>
          <w:p>
            <w:pPr>
              <w:pStyle w:val="Normal"/>
              <w:ind w:right="237" w:hanging="0"/>
              <w:jc w:val="both"/>
              <w:rPr>
                <w:b/>
                <w:b/>
                <w:bCs/>
                <w:sz w:val="24"/>
                <w:szCs w:val="24"/>
              </w:rPr>
            </w:pPr>
            <w:r>
              <w:rPr>
                <w:b/>
                <w:bCs/>
                <w:sz w:val="24"/>
                <w:szCs w:val="24"/>
              </w:rPr>
              <w:t>2000</w:t>
            </w:r>
          </w:p>
        </w:tc>
      </w:tr>
      <w:tr>
        <w:trPr/>
        <w:tc>
          <w:tcPr>
            <w:tcW w:w="2145"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tcPr>
          <w:p>
            <w:pPr>
              <w:pStyle w:val="Normal"/>
              <w:jc w:val="both"/>
              <w:rPr>
                <w:rFonts w:eastAsia="Arial"/>
                <w:b/>
                <w:b/>
                <w:bCs/>
                <w:sz w:val="24"/>
                <w:szCs w:val="24"/>
              </w:rPr>
            </w:pPr>
            <w:r>
              <w:rPr>
                <w:rFonts w:eastAsia="Arial"/>
                <w:b/>
                <w:bCs/>
                <w:sz w:val="24"/>
                <w:szCs w:val="24"/>
              </w:rPr>
              <w:t>Task 2</w:t>
            </w:r>
          </w:p>
        </w:tc>
        <w:tc>
          <w:tcPr>
            <w:tcW w:w="4514"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tcPr>
          <w:p>
            <w:pPr>
              <w:pStyle w:val="Normal"/>
              <w:rPr>
                <w:rFonts w:eastAsia="Arial"/>
                <w:color w:val="000000" w:themeColor="text1"/>
                <w:sz w:val="24"/>
                <w:szCs w:val="24"/>
              </w:rPr>
            </w:pPr>
            <w:r>
              <w:rPr>
                <w:rFonts w:eastAsia="Arial"/>
                <w:b/>
                <w:bCs/>
                <w:color w:val="000000" w:themeColor="text1"/>
                <w:sz w:val="24"/>
                <w:szCs w:val="24"/>
              </w:rPr>
              <w:t xml:space="preserve">CHOOSE ONLY 1 OF THESE     'ADVANCED LEARNING AREA’ OPTIONS. IT SHOULD BE ONE THAT HAS BEEN AGREED WITH THE FORCE TO STUDY IN YEAR 2. </w:t>
            </w:r>
          </w:p>
          <w:p>
            <w:pPr>
              <w:pStyle w:val="Normal"/>
              <w:jc w:val="both"/>
              <w:rPr>
                <w:b/>
                <w:b/>
                <w:bCs/>
                <w:color w:val="000000" w:themeColor="text1"/>
                <w:sz w:val="24"/>
                <w:szCs w:val="24"/>
              </w:rPr>
            </w:pPr>
            <w:r>
              <w:rPr>
                <w:b/>
                <w:bCs/>
                <w:color w:val="000000" w:themeColor="text1"/>
                <w:sz w:val="24"/>
                <w:szCs w:val="24"/>
              </w:rPr>
            </w:r>
          </w:p>
        </w:tc>
        <w:tc>
          <w:tcPr>
            <w:tcW w:w="2238" w:type="dxa"/>
            <w:tcBorders>
              <w:top w:val="single" w:sz="4" w:space="0" w:color="000000"/>
              <w:left w:val="single" w:sz="4" w:space="0" w:color="000000"/>
              <w:bottom w:val="single" w:sz="4" w:space="0" w:color="000000"/>
              <w:right w:val="single" w:sz="4" w:space="0" w:color="000000"/>
            </w:tcBorders>
            <w:shd w:color="auto" w:fill="D9D9D9" w:themeFill="background1" w:themeFillShade="d9" w:val="clear"/>
          </w:tcPr>
          <w:p>
            <w:pPr>
              <w:pStyle w:val="Normal"/>
              <w:jc w:val="both"/>
              <w:rPr>
                <w:b/>
                <w:b/>
                <w:bCs/>
                <w:sz w:val="24"/>
                <w:szCs w:val="24"/>
              </w:rPr>
            </w:pPr>
            <w:r>
              <w:rPr>
                <w:b/>
                <w:bCs/>
                <w:sz w:val="24"/>
                <w:szCs w:val="24"/>
              </w:rPr>
              <w:t>All options are 2000 words</w:t>
            </w:r>
          </w:p>
        </w:tc>
      </w:tr>
      <w:tr>
        <w:trPr/>
        <w:tc>
          <w:tcPr>
            <w:tcW w:w="2145" w:type="dxa"/>
            <w:tcBorders>
              <w:top w:val="single" w:sz="4" w:space="0" w:color="000000"/>
              <w:left w:val="single" w:sz="4" w:space="0" w:color="000000"/>
              <w:bottom w:val="single" w:sz="4" w:space="0" w:color="000000"/>
              <w:right w:val="single" w:sz="4" w:space="0" w:color="000000"/>
            </w:tcBorders>
            <w:shd w:color="auto" w:fill="auto" w:val="clear"/>
          </w:tcPr>
          <w:p>
            <w:pPr>
              <w:pStyle w:val="Normal"/>
              <w:ind w:right="237" w:hanging="0"/>
              <w:jc w:val="both"/>
              <w:rPr>
                <w:color w:val="auto"/>
                <w:sz w:val="24"/>
                <w:szCs w:val="24"/>
              </w:rPr>
            </w:pPr>
            <w:r>
              <w:rPr>
                <w:color w:val="auto"/>
                <w:sz w:val="24"/>
                <w:szCs w:val="24"/>
              </w:rPr>
              <w:t>Task 2</w:t>
            </w:r>
          </w:p>
          <w:p>
            <w:pPr>
              <w:pStyle w:val="Normal"/>
              <w:ind w:right="237" w:hanging="0"/>
              <w:jc w:val="both"/>
              <w:rPr>
                <w:color w:val="auto"/>
                <w:sz w:val="24"/>
                <w:szCs w:val="24"/>
              </w:rPr>
            </w:pPr>
            <w:r>
              <w:rPr>
                <w:color w:val="auto"/>
                <w:sz w:val="24"/>
                <w:szCs w:val="24"/>
              </w:rPr>
            </w:r>
          </w:p>
          <w:p>
            <w:pPr>
              <w:pStyle w:val="Normal"/>
              <w:ind w:right="237" w:hanging="0"/>
              <w:jc w:val="both"/>
              <w:rPr>
                <w:rFonts w:eastAsia="Arial"/>
                <w:color w:val="000000" w:themeColor="text1"/>
                <w:sz w:val="24"/>
                <w:szCs w:val="24"/>
              </w:rPr>
            </w:pPr>
            <w:r>
              <w:rPr>
                <w:rFonts w:eastAsia="Arial"/>
                <w:color w:val="000000" w:themeColor="text1"/>
                <w:sz w:val="24"/>
                <w:szCs w:val="24"/>
              </w:rPr>
              <w:t xml:space="preserve">Option 1 </w:t>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rPr>
            </w:pPr>
            <w:r>
              <w:rPr>
                <w:rFonts w:eastAsia="Arial"/>
                <w:color w:val="000000" w:themeColor="text1"/>
                <w:sz w:val="24"/>
                <w:szCs w:val="24"/>
              </w:rPr>
              <w:t>Option 2</w:t>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rPr>
            </w:pPr>
            <w:r>
              <w:rPr>
                <w:rFonts w:eastAsia="Arial"/>
                <w:color w:val="000000" w:themeColor="text1"/>
                <w:sz w:val="24"/>
                <w:szCs w:val="24"/>
              </w:rPr>
              <w:t>Option 3</w:t>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rPr>
            </w:pPr>
            <w:r>
              <w:rPr>
                <w:rFonts w:eastAsia="Arial"/>
                <w:color w:val="000000" w:themeColor="text1"/>
                <w:sz w:val="24"/>
                <w:szCs w:val="24"/>
              </w:rPr>
              <w:t>Option 4</w:t>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rPr>
            </w:pPr>
            <w:r>
              <w:rPr>
                <w:rFonts w:eastAsia="Arial"/>
                <w:color w:val="000000" w:themeColor="text1"/>
                <w:sz w:val="24"/>
                <w:szCs w:val="24"/>
              </w:rPr>
              <w:t>Option 5</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auto"/>
                <w:sz w:val="24"/>
                <w:szCs w:val="24"/>
              </w:rPr>
            </w:pPr>
            <w:r>
              <w:rPr>
                <w:color w:val="auto"/>
                <w:sz w:val="24"/>
                <w:szCs w:val="24"/>
              </w:rPr>
            </w:r>
          </w:p>
        </w:tc>
        <w:tc>
          <w:tcPr>
            <w:tcW w:w="4514" w:type="dxa"/>
            <w:tcBorders>
              <w:top w:val="single" w:sz="4" w:space="0" w:color="000000"/>
              <w:left w:val="single" w:sz="4" w:space="0" w:color="000000"/>
              <w:bottom w:val="single" w:sz="4" w:space="0" w:color="000000"/>
              <w:right w:val="single" w:sz="4" w:space="0" w:color="000000"/>
            </w:tcBorders>
            <w:shd w:color="auto" w:fill="auto" w:val="clear"/>
          </w:tcPr>
          <w:p>
            <w:pPr>
              <w:pStyle w:val="Normal"/>
              <w:ind w:right="237" w:hanging="0"/>
              <w:jc w:val="both"/>
              <w:rPr>
                <w:b/>
                <w:b/>
                <w:bCs/>
                <w:sz w:val="24"/>
                <w:szCs w:val="24"/>
              </w:rPr>
            </w:pPr>
            <w:r>
              <w:rPr>
                <w:b/>
                <w:bCs/>
                <w:sz w:val="24"/>
                <w:szCs w:val="24"/>
              </w:rPr>
            </w:r>
          </w:p>
          <w:p>
            <w:pPr>
              <w:pStyle w:val="Normal"/>
              <w:ind w:right="237" w:hanging="0"/>
              <w:jc w:val="both"/>
              <w:rPr>
                <w:rFonts w:eastAsia="Arial"/>
                <w:b/>
                <w:b/>
                <w:bCs/>
                <w:color w:val="000000" w:themeColor="text1"/>
                <w:sz w:val="24"/>
                <w:szCs w:val="24"/>
              </w:rPr>
            </w:pPr>
            <w:r>
              <w:rPr>
                <w:rFonts w:eastAsia="Arial"/>
                <w:b/>
                <w:bCs/>
                <w:color w:val="000000" w:themeColor="text1"/>
                <w:sz w:val="24"/>
                <w:szCs w:val="24"/>
              </w:rPr>
            </w:r>
          </w:p>
          <w:p>
            <w:pPr>
              <w:pStyle w:val="Normal"/>
              <w:ind w:right="237" w:hanging="0"/>
              <w:jc w:val="both"/>
              <w:rPr>
                <w:rFonts w:eastAsia="Arial"/>
                <w:color w:val="000000" w:themeColor="text1"/>
                <w:sz w:val="24"/>
                <w:szCs w:val="24"/>
              </w:rPr>
            </w:pPr>
            <w:r>
              <w:rPr>
                <w:rFonts w:eastAsia="Arial"/>
                <w:b/>
                <w:bCs/>
                <w:color w:val="000000" w:themeColor="text1"/>
                <w:sz w:val="24"/>
                <w:szCs w:val="24"/>
              </w:rPr>
              <w:t>Response Policing</w:t>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rPr>
            </w:pPr>
            <w:r>
              <w:rPr>
                <w:rFonts w:eastAsia="Arial"/>
                <w:b/>
                <w:bCs/>
                <w:color w:val="000000" w:themeColor="text1"/>
                <w:sz w:val="24"/>
                <w:szCs w:val="24"/>
              </w:rPr>
              <w:t>Policing Communities</w:t>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rPr>
            </w:pPr>
            <w:r>
              <w:rPr>
                <w:rFonts w:eastAsia="Arial"/>
                <w:b/>
                <w:bCs/>
                <w:color w:val="000000" w:themeColor="text1"/>
                <w:sz w:val="24"/>
                <w:szCs w:val="24"/>
              </w:rPr>
              <w:t xml:space="preserve">Road Policing </w:t>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rPr>
            </w:pPr>
            <w:r>
              <w:rPr>
                <w:rFonts w:eastAsia="Arial"/>
                <w:b/>
                <w:bCs/>
                <w:color w:val="000000" w:themeColor="text1"/>
                <w:sz w:val="24"/>
                <w:szCs w:val="24"/>
              </w:rPr>
              <w:t>Information and Intelligence</w:t>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rPr>
            </w:pPr>
            <w:r>
              <w:rPr>
                <w:rFonts w:eastAsia="Arial"/>
                <w:b/>
                <w:bCs/>
                <w:color w:val="000000" w:themeColor="text1"/>
                <w:sz w:val="24"/>
                <w:szCs w:val="24"/>
              </w:rPr>
              <w:t>Conducting Investigations</w:t>
            </w:r>
          </w:p>
          <w:p>
            <w:pPr>
              <w:pStyle w:val="Normal"/>
              <w:ind w:right="237" w:hanging="0"/>
              <w:jc w:val="both"/>
              <w:rPr>
                <w:b/>
                <w:b/>
                <w:bCs/>
                <w:color w:val="000000" w:themeColor="text1"/>
                <w:sz w:val="24"/>
                <w:szCs w:val="24"/>
              </w:rPr>
            </w:pPr>
            <w:r>
              <w:rPr>
                <w:b/>
                <w:bCs/>
                <w:color w:val="000000" w:themeColor="text1"/>
                <w:sz w:val="24"/>
                <w:szCs w:val="24"/>
              </w:rPr>
            </w:r>
          </w:p>
        </w:tc>
        <w:tc>
          <w:tcPr>
            <w:tcW w:w="2238" w:type="dxa"/>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59"/>
              <w:ind w:right="237" w:hanging="0"/>
              <w:jc w:val="both"/>
              <w:rPr>
                <w:b/>
                <w:b/>
                <w:bCs/>
                <w:sz w:val="24"/>
                <w:szCs w:val="24"/>
              </w:rPr>
            </w:pPr>
            <w:r>
              <w:rPr>
                <w:b/>
                <w:bCs/>
                <w:sz w:val="24"/>
                <w:szCs w:val="24"/>
              </w:rPr>
              <w:t>2000</w:t>
            </w:r>
          </w:p>
          <w:p>
            <w:pPr>
              <w:pStyle w:val="Normal"/>
              <w:spacing w:lineRule="auto" w:line="259"/>
              <w:ind w:right="237" w:hanging="0"/>
              <w:jc w:val="both"/>
              <w:rPr>
                <w:b/>
                <w:b/>
                <w:bCs/>
                <w:sz w:val="24"/>
                <w:szCs w:val="24"/>
              </w:rPr>
            </w:pPr>
            <w:r>
              <w:rPr>
                <w:b/>
                <w:bCs/>
                <w:sz w:val="24"/>
                <w:szCs w:val="24"/>
              </w:rPr>
            </w:r>
          </w:p>
          <w:p>
            <w:pPr>
              <w:pStyle w:val="Normal"/>
              <w:spacing w:lineRule="auto" w:line="259"/>
              <w:ind w:right="237" w:hanging="0"/>
              <w:jc w:val="both"/>
              <w:rPr>
                <w:b/>
                <w:b/>
                <w:bCs/>
                <w:sz w:val="24"/>
                <w:szCs w:val="24"/>
              </w:rPr>
            </w:pPr>
            <w:r>
              <w:rPr>
                <w:b/>
                <w:bCs/>
                <w:sz w:val="24"/>
                <w:szCs w:val="24"/>
              </w:rPr>
            </w:r>
          </w:p>
          <w:p>
            <w:pPr>
              <w:pStyle w:val="Normal"/>
              <w:spacing w:lineRule="auto" w:line="259"/>
              <w:ind w:right="237" w:hanging="0"/>
              <w:jc w:val="both"/>
              <w:rPr>
                <w:b/>
                <w:b/>
                <w:bCs/>
                <w:sz w:val="24"/>
                <w:szCs w:val="24"/>
              </w:rPr>
            </w:pPr>
            <w:r>
              <w:rPr>
                <w:b/>
                <w:bCs/>
                <w:sz w:val="24"/>
                <w:szCs w:val="24"/>
              </w:rPr>
            </w:r>
          </w:p>
        </w:tc>
      </w:tr>
      <w:tr>
        <w:trPr>
          <w:trHeight w:val="81" w:hRule="atLeast"/>
        </w:trPr>
        <w:tc>
          <w:tcPr>
            <w:tcW w:w="2145" w:type="dxa"/>
            <w:tcBorders>
              <w:top w:val="single" w:sz="4" w:space="0" w:color="000000"/>
              <w:left w:val="single" w:sz="4" w:space="0" w:color="000000"/>
              <w:bottom w:val="single" w:sz="4" w:space="0" w:color="000000"/>
              <w:right w:val="single" w:sz="4" w:space="0" w:color="000000"/>
            </w:tcBorders>
            <w:shd w:color="auto" w:fill="auto" w:val="clear"/>
          </w:tcPr>
          <w:p>
            <w:pPr>
              <w:pStyle w:val="Normal"/>
              <w:ind w:right="237" w:hanging="0"/>
              <w:jc w:val="both"/>
              <w:rPr>
                <w:color w:val="auto"/>
                <w:sz w:val="24"/>
                <w:szCs w:val="24"/>
              </w:rPr>
            </w:pPr>
            <w:r>
              <w:rPr>
                <w:color w:val="auto"/>
                <w:sz w:val="24"/>
                <w:szCs w:val="24"/>
              </w:rPr>
            </w:r>
          </w:p>
        </w:tc>
        <w:tc>
          <w:tcPr>
            <w:tcW w:w="4514" w:type="dxa"/>
            <w:tcBorders>
              <w:top w:val="single" w:sz="4" w:space="0" w:color="000000"/>
              <w:left w:val="single" w:sz="4" w:space="0" w:color="000000"/>
              <w:bottom w:val="single" w:sz="4" w:space="0" w:color="000000"/>
              <w:right w:val="single" w:sz="4" w:space="0" w:color="000000"/>
            </w:tcBorders>
            <w:shd w:color="auto" w:fill="auto" w:val="clear"/>
          </w:tcPr>
          <w:p>
            <w:pPr>
              <w:pStyle w:val="Normal"/>
              <w:spacing w:lineRule="auto" w:line="360"/>
              <w:ind w:right="237" w:hanging="0"/>
              <w:jc w:val="both"/>
              <w:rPr>
                <w:b/>
                <w:b/>
                <w:bCs/>
                <w:color w:val="auto"/>
                <w:sz w:val="24"/>
                <w:szCs w:val="24"/>
              </w:rPr>
            </w:pPr>
            <w:r>
              <w:rPr>
                <w:b/>
                <w:bCs/>
                <w:color w:val="auto"/>
                <w:sz w:val="24"/>
                <w:szCs w:val="24"/>
              </w:rPr>
              <w:t>Bibliography</w:t>
            </w:r>
          </w:p>
        </w:tc>
        <w:tc>
          <w:tcPr>
            <w:tcW w:w="2238" w:type="dxa"/>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360"/>
              <w:ind w:right="237" w:hanging="0"/>
              <w:jc w:val="both"/>
              <w:rPr>
                <w:b/>
                <w:b/>
                <w:bCs/>
                <w:color w:val="auto"/>
                <w:sz w:val="24"/>
                <w:szCs w:val="24"/>
              </w:rPr>
            </w:pPr>
            <w:r>
              <w:rPr>
                <w:b/>
                <w:bCs/>
                <w:color w:val="auto"/>
                <w:sz w:val="24"/>
                <w:szCs w:val="24"/>
              </w:rPr>
            </w:r>
          </w:p>
        </w:tc>
      </w:tr>
    </w:tbl>
    <w:p>
      <w:pPr>
        <w:pStyle w:val="Normal"/>
        <w:ind w:right="237" w:hanging="0"/>
        <w:jc w:val="center"/>
        <w:rPr>
          <w:b/>
          <w:b/>
          <w:bCs/>
          <w:sz w:val="24"/>
          <w:szCs w:val="24"/>
        </w:rPr>
      </w:pPr>
      <w:r>
        <w:rPr>
          <w:b/>
          <w:bCs/>
          <w:sz w:val="24"/>
          <w:szCs w:val="24"/>
        </w:rPr>
      </w:r>
    </w:p>
    <w:p>
      <w:pPr>
        <w:pStyle w:val="Normal"/>
        <w:ind w:right="237" w:hanging="0"/>
        <w:jc w:val="center"/>
        <w:rPr>
          <w:b/>
          <w:b/>
          <w:bCs/>
          <w:sz w:val="24"/>
          <w:szCs w:val="24"/>
        </w:rPr>
      </w:pPr>
      <w:r>
        <w:rPr>
          <w:b/>
          <w:bCs/>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sz w:val="24"/>
          <w:szCs w:val="24"/>
        </w:rPr>
      </w:pPr>
      <w:r>
        <w:rPr>
          <w:sz w:val="24"/>
          <w:szCs w:val="24"/>
        </w:rPr>
      </w:r>
    </w:p>
    <w:p>
      <w:pPr>
        <w:pStyle w:val="Normal"/>
        <w:ind w:right="237" w:hanging="0"/>
        <w:jc w:val="both"/>
        <w:rPr>
          <w:b/>
          <w:b/>
          <w:bCs/>
          <w:sz w:val="24"/>
          <w:szCs w:val="24"/>
        </w:rPr>
      </w:pPr>
      <w:r>
        <w:rPr>
          <w:b/>
          <w:bCs/>
          <w:sz w:val="24"/>
          <w:szCs w:val="24"/>
        </w:rPr>
      </w:r>
    </w:p>
    <w:p>
      <w:pPr>
        <w:pStyle w:val="Normal"/>
        <w:ind w:right="237" w:hanging="0"/>
        <w:rPr/>
      </w:pPr>
      <w:r>
        <w:rPr/>
      </w:r>
      <w:r>
        <w:br w:type="page"/>
      </w:r>
    </w:p>
    <w:p>
      <w:pPr>
        <w:pStyle w:val="Normal"/>
        <w:ind w:right="237" w:hanging="0"/>
        <w:jc w:val="both"/>
        <w:rPr>
          <w:sz w:val="24"/>
          <w:szCs w:val="24"/>
        </w:rPr>
      </w:pPr>
      <w:r>
        <w:rPr>
          <w:sz w:val="24"/>
          <w:szCs w:val="24"/>
        </w:rPr>
      </w:r>
    </w:p>
    <w:p>
      <w:pPr>
        <w:pStyle w:val="Normal"/>
        <w:ind w:right="237" w:hanging="0"/>
        <w:jc w:val="center"/>
        <w:rPr>
          <w:rFonts w:eastAsia="Arial"/>
          <w:color w:val="000000" w:themeColor="text1"/>
          <w:sz w:val="24"/>
          <w:szCs w:val="24"/>
        </w:rPr>
      </w:pPr>
      <w:r>
        <w:rPr>
          <w:rFonts w:eastAsia="Arial"/>
          <w:b/>
          <w:bCs/>
          <w:color w:val="000000" w:themeColor="text1"/>
          <w:sz w:val="24"/>
          <w:szCs w:val="24"/>
        </w:rPr>
        <w:t>Task 1</w:t>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rPr>
      </w:pPr>
      <w:r>
        <w:rPr>
          <w:rFonts w:eastAsia="Arial"/>
          <w:b/>
          <w:bCs/>
          <w:color w:val="000000" w:themeColor="text1"/>
          <w:sz w:val="24"/>
          <w:szCs w:val="24"/>
        </w:rPr>
        <w:t xml:space="preserve">Relevant areas of the National Policing Curriculum: </w:t>
      </w:r>
    </w:p>
    <w:p>
      <w:pPr>
        <w:pStyle w:val="Normal"/>
        <w:ind w:right="237" w:hanging="0"/>
        <w:jc w:val="both"/>
        <w:rPr>
          <w:rFonts w:eastAsia="Arial"/>
          <w:color w:val="000000" w:themeColor="text1"/>
          <w:sz w:val="24"/>
          <w:szCs w:val="24"/>
        </w:rPr>
      </w:pPr>
      <w:r>
        <w:rPr>
          <w:rFonts w:eastAsia="Arial"/>
          <w:b/>
          <w:bCs/>
          <w:color w:val="000000" w:themeColor="text1"/>
          <w:sz w:val="24"/>
          <w:szCs w:val="24"/>
        </w:rPr>
        <w:t>Vulnerability and Risk, Evidence-based policing</w:t>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rPr>
      </w:pPr>
      <w:r>
        <w:rPr>
          <w:rFonts w:eastAsia="Arial"/>
          <w:color w:val="000000" w:themeColor="text1"/>
          <w:sz w:val="24"/>
          <w:szCs w:val="24"/>
        </w:rPr>
        <w:t xml:space="preserve">You must choose </w:t>
      </w:r>
      <w:r>
        <w:rPr>
          <w:rFonts w:eastAsia="Arial"/>
          <w:b/>
          <w:bCs/>
          <w:color w:val="000000" w:themeColor="text1"/>
          <w:sz w:val="24"/>
          <w:szCs w:val="24"/>
          <w:u w:val="single"/>
        </w:rPr>
        <w:t>a policing incident</w:t>
      </w:r>
      <w:r>
        <w:rPr>
          <w:rFonts w:eastAsia="Arial"/>
          <w:b/>
          <w:bCs/>
          <w:color w:val="000000" w:themeColor="text1"/>
          <w:sz w:val="24"/>
          <w:szCs w:val="24"/>
        </w:rPr>
        <w:t xml:space="preserve"> </w:t>
      </w:r>
      <w:r>
        <w:rPr>
          <w:rFonts w:eastAsia="Arial"/>
          <w:color w:val="000000" w:themeColor="text1"/>
          <w:sz w:val="24"/>
          <w:szCs w:val="24"/>
        </w:rPr>
        <w:t xml:space="preserve">in which you played a significant role with a victim of crime or anti-social behaviour and reflect on what happened. </w:t>
      </w:r>
    </w:p>
    <w:p>
      <w:pPr>
        <w:pStyle w:val="Normal"/>
        <w:ind w:right="237" w:hanging="0"/>
        <w:jc w:val="both"/>
        <w:rPr>
          <w:b/>
          <w:b/>
          <w:bCs/>
          <w:sz w:val="24"/>
          <w:szCs w:val="24"/>
        </w:rPr>
      </w:pPr>
      <w:r>
        <w:rPr>
          <w:b/>
          <w:bCs/>
          <w:sz w:val="24"/>
          <w:szCs w:val="24"/>
        </w:rPr>
      </w:r>
    </w:p>
    <w:tbl>
      <w:tblPr>
        <w:tblW w:w="9016" w:type="dxa"/>
        <w:jc w:val="left"/>
        <w:tblInd w:w="0" w:type="dxa"/>
        <w:tblCellMar>
          <w:top w:w="0" w:type="dxa"/>
          <w:left w:w="108" w:type="dxa"/>
          <w:bottom w:w="0" w:type="dxa"/>
          <w:right w:w="108" w:type="dxa"/>
        </w:tblCellMar>
        <w:tblLook w:val="01e0"/>
      </w:tblPr>
      <w:tblGrid>
        <w:gridCol w:w="9016"/>
      </w:tblGrid>
      <w:tr>
        <w:trPr/>
        <w:tc>
          <w:tcPr>
            <w:tcW w:w="9016" w:type="dxa"/>
            <w:tcBorders>
              <w:top w:val="single" w:sz="4" w:space="0" w:color="000000"/>
              <w:left w:val="single" w:sz="4" w:space="0" w:color="000000"/>
              <w:bottom w:val="single" w:sz="4" w:space="0" w:color="000000"/>
              <w:right w:val="single" w:sz="4" w:space="0" w:color="000000"/>
            </w:tcBorders>
            <w:shd w:color="auto" w:fill="auto" w:val="clear"/>
          </w:tcPr>
          <w:p>
            <w:pPr>
              <w:pStyle w:val="Normal"/>
              <w:ind w:right="237" w:hanging="0"/>
              <w:rPr>
                <w:sz w:val="24"/>
                <w:szCs w:val="24"/>
              </w:rPr>
            </w:pPr>
            <w:r>
              <w:rPr>
                <w:sz w:val="24"/>
                <w:szCs w:val="24"/>
              </w:rPr>
            </w:r>
          </w:p>
          <w:p>
            <w:pPr>
              <w:pStyle w:val="Normal"/>
              <w:ind w:right="237" w:hanging="0"/>
              <w:jc w:val="both"/>
              <w:rPr>
                <w:rFonts w:eastAsia="Arial"/>
                <w:color w:val="000000" w:themeColor="text1"/>
                <w:sz w:val="24"/>
                <w:szCs w:val="24"/>
              </w:rPr>
            </w:pPr>
            <w:r>
              <w:rPr>
                <w:rFonts w:eastAsia="Arial"/>
                <w:b/>
                <w:bCs/>
                <w:color w:val="000000" w:themeColor="text1"/>
                <w:sz w:val="24"/>
                <w:szCs w:val="24"/>
              </w:rPr>
              <w:t>Give a brief description</w:t>
            </w:r>
            <w:r>
              <w:rPr>
                <w:rFonts w:eastAsia="Arial"/>
                <w:color w:val="000000" w:themeColor="text1"/>
                <w:sz w:val="24"/>
                <w:szCs w:val="24"/>
              </w:rPr>
              <w:t xml:space="preserve"> of the incident including social and legislative contexts and any relevant cultural, ethnicity and language issues. </w:t>
            </w:r>
          </w:p>
          <w:p>
            <w:pPr>
              <w:pStyle w:val="Normal"/>
              <w:rPr>
                <w:rFonts w:eastAsia="Arial"/>
                <w:color w:val="000000" w:themeColor="text1"/>
                <w:sz w:val="24"/>
                <w:szCs w:val="24"/>
              </w:rPr>
            </w:pPr>
            <w:r>
              <w:rPr>
                <w:rFonts w:eastAsia="Arial"/>
                <w:color w:val="000000" w:themeColor="text1"/>
                <w:sz w:val="24"/>
                <w:szCs w:val="24"/>
              </w:rPr>
            </w:r>
          </w:p>
          <w:p>
            <w:pPr>
              <w:pStyle w:val="Normal"/>
              <w:rPr>
                <w:rFonts w:eastAsia="Arial"/>
                <w:color w:val="000000" w:themeColor="text1"/>
                <w:sz w:val="24"/>
                <w:szCs w:val="24"/>
              </w:rPr>
            </w:pPr>
            <w:r>
              <w:rPr>
                <w:rFonts w:eastAsia="Arial"/>
                <w:b/>
                <w:bCs/>
                <w:color w:val="000000" w:themeColor="text1"/>
                <w:sz w:val="24"/>
                <w:szCs w:val="24"/>
                <w:lang w:val="en-US"/>
              </w:rPr>
              <w:t xml:space="preserve">Critically evaluate </w:t>
            </w:r>
            <w:r>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pPr>
              <w:pStyle w:val="Normal"/>
              <w:rPr>
                <w:rFonts w:eastAsia="Arial"/>
                <w:color w:val="000000" w:themeColor="text1"/>
                <w:sz w:val="24"/>
                <w:szCs w:val="24"/>
              </w:rPr>
            </w:pPr>
            <w:r>
              <w:rPr>
                <w:rFonts w:eastAsia="Arial"/>
                <w:color w:val="000000" w:themeColor="text1"/>
                <w:sz w:val="24"/>
                <w:szCs w:val="24"/>
              </w:rPr>
            </w:r>
          </w:p>
          <w:p>
            <w:pPr>
              <w:pStyle w:val="Normal"/>
              <w:rPr>
                <w:rFonts w:eastAsia="Arial"/>
                <w:color w:val="000000" w:themeColor="text1"/>
                <w:sz w:val="24"/>
                <w:szCs w:val="24"/>
              </w:rPr>
            </w:pPr>
            <w:r>
              <w:rPr>
                <w:rFonts w:eastAsia="Arial"/>
                <w:b/>
                <w:bCs/>
                <w:color w:val="000000" w:themeColor="text1"/>
                <w:sz w:val="24"/>
                <w:szCs w:val="24"/>
                <w:lang w:val="en-US"/>
              </w:rPr>
              <w:t>Explore</w:t>
            </w:r>
            <w:r>
              <w:rPr>
                <w:rFonts w:eastAsia="Arial"/>
                <w:b/>
                <w:bCs/>
                <w:color w:val="000000" w:themeColor="text1"/>
                <w:sz w:val="24"/>
                <w:szCs w:val="24"/>
              </w:rPr>
              <w:t xml:space="preserve"> </w:t>
            </w:r>
            <w:r>
              <w:rPr>
                <w:rFonts w:eastAsia="Arial"/>
                <w:color w:val="000000" w:themeColor="text1"/>
                <w:sz w:val="24"/>
                <w:szCs w:val="24"/>
              </w:rPr>
              <w:t xml:space="preserve">what works in relation to tackling repeat victimisation and repeat offending. Consider the use of evidence-based policing. </w:t>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rPr>
            </w:pPr>
            <w:r>
              <w:rPr>
                <w:rFonts w:eastAsia="Arial"/>
                <w:color w:val="000000" w:themeColor="text1"/>
                <w:sz w:val="24"/>
                <w:szCs w:val="24"/>
              </w:rPr>
              <w:t xml:space="preserve">2000 words </w:t>
            </w:r>
            <w:r>
              <w:rPr>
                <w:rFonts w:eastAsia="Arial"/>
                <w:i/>
                <w:iCs/>
                <w:color w:val="000000" w:themeColor="text1"/>
                <w:sz w:val="24"/>
                <w:szCs w:val="24"/>
              </w:rPr>
              <w:t>(+/- 10%: include your actual word count at the end of each section)</w:t>
            </w:r>
          </w:p>
          <w:p>
            <w:pPr>
              <w:pStyle w:val="Normal"/>
              <w:ind w:right="237" w:hanging="0"/>
              <w:jc w:val="both"/>
              <w:rPr>
                <w:sz w:val="24"/>
                <w:szCs w:val="24"/>
              </w:rPr>
            </w:pPr>
            <w:r>
              <w:rPr>
                <w:sz w:val="24"/>
                <w:szCs w:val="24"/>
              </w:rPr>
            </w:r>
          </w:p>
        </w:tc>
      </w:tr>
    </w:tbl>
    <w:p>
      <w:pPr>
        <w:pStyle w:val="Normal"/>
        <w:ind w:right="237" w:hanging="0"/>
        <w:jc w:val="both"/>
        <w:rPr>
          <w:sz w:val="24"/>
          <w:szCs w:val="24"/>
        </w:rPr>
      </w:pPr>
      <w:r>
        <w:rPr>
          <w:sz w:val="24"/>
          <w:szCs w:val="24"/>
        </w:rPr>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rPr>
      </w:pPr>
      <w:r>
        <w:rPr>
          <w:rFonts w:eastAsia="Arial"/>
          <w:b/>
          <w:bCs/>
          <w:color w:val="000000" w:themeColor="text1"/>
          <w:sz w:val="24"/>
          <w:szCs w:val="24"/>
        </w:rPr>
        <w:t>ANSWER:</w:t>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rPr>
      </w:pPr>
      <w:r>
        <w:rPr>
          <w:rFonts w:eastAsia="Arial"/>
          <w:color w:val="000000" w:themeColor="text1"/>
          <w:sz w:val="24"/>
          <w:szCs w:val="24"/>
        </w:rPr>
        <w:t>Throughout this task, I will be using Borton's model of reflection to break down the incident and analyse what went well, what could have been better and what the outcome of this incident was.</w:t>
      </w:r>
    </w:p>
    <w:p>
      <w:pPr>
        <w:pStyle w:val="Normal"/>
        <w:ind w:right="237" w:hanging="0"/>
        <w:rPr>
          <w:b/>
          <w:b/>
          <w:bCs/>
          <w:sz w:val="24"/>
          <w:szCs w:val="24"/>
        </w:rPr>
      </w:pPr>
      <w:r>
        <w:rPr>
          <w:b/>
          <w:bCs/>
          <w:sz w:val="24"/>
          <w:szCs w:val="24"/>
        </w:rPr>
      </w:r>
    </w:p>
    <w:p>
      <w:pPr>
        <w:pStyle w:val="Normal"/>
        <w:ind w:right="237" w:hanging="0"/>
        <w:rPr>
          <w:sz w:val="24"/>
          <w:szCs w:val="24"/>
          <w:u w:val="single"/>
        </w:rPr>
      </w:pPr>
      <w:r>
        <w:rPr>
          <w:b/>
          <w:bCs/>
          <w:sz w:val="24"/>
          <w:szCs w:val="24"/>
        </w:rPr>
        <w:t>What?</w:t>
      </w:r>
    </w:p>
    <w:p>
      <w:pPr>
        <w:pStyle w:val="Normal"/>
        <w:ind w:right="237" w:hanging="0"/>
        <w:rPr>
          <w:sz w:val="24"/>
          <w:szCs w:val="24"/>
          <w:u w:val="single"/>
        </w:rPr>
      </w:pPr>
      <w:r>
        <w:rPr>
          <w:sz w:val="24"/>
          <w:szCs w:val="24"/>
          <w:u w:val="single"/>
        </w:rPr>
      </w:r>
    </w:p>
    <w:p>
      <w:pPr>
        <w:pStyle w:val="Normal"/>
        <w:ind w:right="237" w:hanging="0"/>
        <w:rPr>
          <w:sz w:val="24"/>
          <w:szCs w:val="24"/>
        </w:rPr>
      </w:pPr>
      <w:r>
        <w:rPr>
          <w:sz w:val="24"/>
          <w:szCs w:val="24"/>
        </w:rPr>
        <w:t>The incident being reported initially was that a drunk female sat in the middle of the road and was then removed by the owner of a local pub. The call then changed stating that she had now picked up a small shard of glass and was attempting to self-harm, the caller then also raised potential domestic abuse happening within the victim’s home life from what they have seen and what she has spoken about with her over the past few months. The caller stated that the victim was vulnerable and also deaf and could not read, or write English too well and only knew sign.</w:t>
      </w:r>
    </w:p>
    <w:p>
      <w:pPr>
        <w:pStyle w:val="Normal"/>
        <w:ind w:right="237" w:hanging="0"/>
        <w:rPr>
          <w:sz w:val="24"/>
          <w:szCs w:val="24"/>
        </w:rPr>
      </w:pPr>
      <w:r>
        <w:rPr>
          <w:sz w:val="24"/>
          <w:szCs w:val="24"/>
        </w:rPr>
      </w:r>
    </w:p>
    <w:p>
      <w:pPr>
        <w:pStyle w:val="Normal"/>
        <w:ind w:right="237" w:hanging="0"/>
        <w:rPr>
          <w:sz w:val="24"/>
          <w:szCs w:val="24"/>
        </w:rPr>
      </w:pPr>
      <w:r>
        <w:rPr>
          <w:sz w:val="24"/>
          <w:szCs w:val="24"/>
        </w:rPr>
        <w:t>On officers’ attendance, the victim of this incident ran from police as they only associated the police with people being in trouble rather than being able to help which took a long time to explain via the 999-sign language team that the victim phoned to facilitate communication. After some time and speaking with other members of the public at the pub that the victim was in, she was happy to come to the police station to talk to us as her partner did not want her home as she was intoxicated and he stated he was fed up of her always being drunk and waking him up late before he goes to work.</w:t>
      </w:r>
    </w:p>
    <w:p>
      <w:pPr>
        <w:pStyle w:val="Normal"/>
        <w:ind w:right="237" w:hanging="0"/>
        <w:rPr>
          <w:sz w:val="24"/>
          <w:szCs w:val="24"/>
        </w:rPr>
      </w:pPr>
      <w:r>
        <w:rPr>
          <w:sz w:val="24"/>
          <w:szCs w:val="24"/>
        </w:rPr>
      </w:r>
    </w:p>
    <w:p>
      <w:pPr>
        <w:pStyle w:val="Normal"/>
        <w:ind w:right="237" w:hanging="0"/>
        <w:rPr>
          <w:sz w:val="24"/>
          <w:szCs w:val="24"/>
        </w:rPr>
      </w:pPr>
      <w:r>
        <w:rPr>
          <w:sz w:val="24"/>
          <w:szCs w:val="24"/>
        </w:rPr>
        <w:t>Whilst at the police station attempts were made to contact a British sign language negotiator and there were none available at this time, due to this we continued to use 999/101 interpreters to facilitate communication between us and enter the evidence gathering stage regarding both her mental health and the potential for domestic incidents occurring within the home. Whilst using these services no disclosures were made however the behaviour shown by the victim was out of the ordinary and she had only caused very superficial scratches to her arm but kept referring to them along with every time her watch went off she would point to it when it made a noise and groan no matter what the notification was. The Interpreter also stated the conversation was going around in circles and the victim was not taking in what me or the interpreter was saying.</w:t>
      </w:r>
    </w:p>
    <w:p>
      <w:pPr>
        <w:pStyle w:val="Normal"/>
        <w:ind w:right="237" w:hanging="0"/>
        <w:rPr>
          <w:sz w:val="24"/>
          <w:szCs w:val="24"/>
        </w:rPr>
      </w:pPr>
      <w:r>
        <w:rPr>
          <w:sz w:val="24"/>
          <w:szCs w:val="24"/>
        </w:rPr>
      </w:r>
    </w:p>
    <w:p>
      <w:pPr>
        <w:pStyle w:val="Normal"/>
        <w:ind w:right="237" w:hanging="0"/>
        <w:rPr>
          <w:sz w:val="24"/>
          <w:szCs w:val="24"/>
        </w:rPr>
      </w:pPr>
      <w:r>
        <w:rPr>
          <w:sz w:val="24"/>
          <w:szCs w:val="24"/>
        </w:rPr>
        <w:t>I was unsure due to this being an extremely rare incident to assess intoxication or vulnerabilities from what I was presented with at this time. The behaviour shown could have been due to either and the interpreter refused to give any opinion from the conversation they had. Due to this after approximately 1 hour of speaking with officers, she stated that she wanted to attend the hospital and was taken there by officers as the superficial cuts she had done were giving her palpitations despite us stating they were not life-threatening she wanted to be seen to at the hospital and was feeling faint due to the stress and alcohol.</w:t>
      </w:r>
    </w:p>
    <w:p>
      <w:pPr>
        <w:pStyle w:val="Normal"/>
        <w:ind w:right="237" w:hanging="0"/>
        <w:rPr>
          <w:sz w:val="24"/>
          <w:szCs w:val="24"/>
        </w:rPr>
      </w:pPr>
      <w:r>
        <w:rPr>
          <w:sz w:val="24"/>
          <w:szCs w:val="24"/>
        </w:rPr>
      </w:r>
    </w:p>
    <w:p>
      <w:pPr>
        <w:pStyle w:val="Normal"/>
        <w:ind w:right="237" w:hanging="0"/>
        <w:rPr>
          <w:sz w:val="24"/>
          <w:szCs w:val="24"/>
        </w:rPr>
      </w:pPr>
      <w:r>
        <w:rPr>
          <w:b/>
          <w:bCs/>
          <w:sz w:val="24"/>
          <w:szCs w:val="24"/>
          <w:u w:val="single"/>
        </w:rPr>
        <w:t>So What?</w:t>
      </w:r>
    </w:p>
    <w:p>
      <w:pPr>
        <w:pStyle w:val="Normal"/>
        <w:ind w:right="237" w:hanging="0"/>
        <w:rPr>
          <w:sz w:val="24"/>
          <w:szCs w:val="24"/>
        </w:rPr>
      </w:pPr>
      <w:r>
        <w:rPr>
          <w:sz w:val="24"/>
          <w:szCs w:val="24"/>
        </w:rPr>
      </w:r>
    </w:p>
    <w:p>
      <w:pPr>
        <w:pStyle w:val="Normal"/>
        <w:ind w:right="237" w:hanging="0"/>
        <w:rPr>
          <w:sz w:val="24"/>
          <w:szCs w:val="24"/>
        </w:rPr>
      </w:pPr>
      <w:r>
        <w:rPr>
          <w:sz w:val="24"/>
          <w:szCs w:val="24"/>
        </w:rPr>
        <w:t>The interpreters here provided a vital service and thanks to acts like the British Sign Language Act of 2022 (legislation,2022)</w:t>
      </w:r>
      <w:r>
        <w:rPr/>
        <w:t xml:space="preserve">, </w:t>
      </w:r>
      <w:r>
        <w:rPr>
          <w:sz w:val="24"/>
          <w:szCs w:val="24"/>
        </w:rPr>
        <w:t>it is protected and a requirement to officer this language to service users. In this case, the victim was unable to read or write English and only knew British sign language. Without the aid of an interpreter, I would have no hope in assessing the risk in the relationship or if any offences had been committed as we could only write a few words that were understood by the victim and at best a basic understanding could have been made but no details. It was difficult to judge someone’s intoxication since we knew she had been in the pub all day due to not being able to hear speech especially when there were other vulnerabilities present, Our only previous calls since are from the same victim of this call regarding her Wi-Fi not working correctly and other household issues that are not a matter for police apart from appropriate safeguarding and referrals to help support potential adults at risk by putting them in touch with third party agencies such as social services who can offer more everyday support (College of policing, 2020)</w:t>
      </w:r>
      <w:r>
        <w:rPr/>
        <w:t xml:space="preserve">. </w:t>
      </w:r>
      <w:r>
        <w:rPr>
          <w:sz w:val="24"/>
          <w:szCs w:val="24"/>
        </w:rPr>
        <w:t>Not all referrals are actioned however if there are any concerns or extra support officers believe the reporting person is lacking or struggling with daily activities or their Mental health/drug/alcohol use we can submit referrals where social services and partner agencies can reach out and offer support. This can also be seen by the caller’s doctors and shared with them if their needs could be addressed by their GP.</w:t>
      </w:r>
    </w:p>
    <w:p>
      <w:pPr>
        <w:pStyle w:val="Normal"/>
        <w:ind w:right="237" w:hanging="0"/>
        <w:rPr>
          <w:sz w:val="24"/>
          <w:szCs w:val="24"/>
        </w:rPr>
      </w:pPr>
      <w:r>
        <w:rPr>
          <w:sz w:val="24"/>
          <w:szCs w:val="24"/>
        </w:rPr>
      </w:r>
    </w:p>
    <w:p>
      <w:pPr>
        <w:pStyle w:val="Normal"/>
        <w:ind w:right="237" w:hanging="0"/>
        <w:rPr>
          <w:sz w:val="24"/>
          <w:szCs w:val="24"/>
        </w:rPr>
      </w:pPr>
      <w:r>
        <w:rPr>
          <w:sz w:val="24"/>
          <w:szCs w:val="24"/>
        </w:rPr>
        <w:t>Members of staff at the pub had said they felt like she was vulnerable and that there were some domestic abuse elements regarding the relationship but they could not say how they knew this just that they thought there was and could provide no further information to police regarding any concerns for the relationship. The staff had also been drinking at the pub so they were being quite erratic and not helping the situation when the victim was already incredibly nervous around police and in an emotional state. Once back at the police station, we got a lot more from the victim of this log and her vulnerabilities became more apparent once things were able to be discussed more clearly with a British sign language interpreter away from the hectic environment where the incident took place. The victim then disclosed that her partner also had additional needs and there were frustrations between them sometimes in communicating and they would both shout at each other due to the difficulties in expressing themselves and over everyday issues due to their daily struggles doing routine tasks and the extra stresses and pressures this put into the relationship.</w:t>
      </w:r>
    </w:p>
    <w:p>
      <w:pPr>
        <w:pStyle w:val="Normal"/>
        <w:ind w:right="237" w:hanging="0"/>
        <w:rPr>
          <w:sz w:val="24"/>
          <w:szCs w:val="24"/>
        </w:rPr>
      </w:pPr>
      <w:r>
        <w:rPr>
          <w:sz w:val="24"/>
          <w:szCs w:val="24"/>
        </w:rPr>
      </w:r>
    </w:p>
    <w:p>
      <w:pPr>
        <w:pStyle w:val="Normal"/>
        <w:ind w:right="237" w:hanging="0"/>
        <w:rPr>
          <w:sz w:val="24"/>
          <w:szCs w:val="24"/>
        </w:rPr>
      </w:pPr>
      <w:r>
        <w:rPr>
          <w:sz w:val="24"/>
          <w:szCs w:val="24"/>
        </w:rPr>
        <w:t xml:space="preserve">The communication difficulties cannot be stated enough as it took over an hour to establish that offences were not committed due to the victim being highly emotional, getting distracted by the cuts to her arm which were essentially scratches and her vulnerabilities the conversation was very difficult to the point where the interpreter stated they were unsure what more can they get from her as the conversation went around in circles, of course again unsure on the level of intoxication regarding this incident. </w:t>
      </w:r>
    </w:p>
    <w:p>
      <w:pPr>
        <w:pStyle w:val="Normal"/>
        <w:ind w:right="237" w:hanging="0"/>
        <w:rPr>
          <w:sz w:val="24"/>
          <w:szCs w:val="24"/>
        </w:rPr>
      </w:pPr>
      <w:r>
        <w:rPr>
          <w:sz w:val="24"/>
          <w:szCs w:val="24"/>
        </w:rPr>
      </w:r>
    </w:p>
    <w:p>
      <w:pPr>
        <w:pStyle w:val="Normal"/>
        <w:ind w:right="237" w:hanging="0"/>
        <w:rPr>
          <w:sz w:val="24"/>
          <w:szCs w:val="24"/>
        </w:rPr>
      </w:pPr>
      <w:r>
        <w:rPr>
          <w:sz w:val="24"/>
          <w:szCs w:val="24"/>
        </w:rPr>
        <w:t>With any incident whether it is a crime or not if it is domestic in nature a domestic abuse stalking and harassment set of questions are asked and this helps grade risk within the relationship and helps us identify any extra support or abuse that happens within the relationship that could have potentially been normalised and due to this may not be mentioned as an issue by a potential victim of domestic abuse. This checklist is sent to social services and third-party agencies to support the victim and any children linked if there is domestic abuse and or violence occurring within the home whilst there is police action ongoing. The DASH form is done before a statement is taken at any domestic crime due to the potential to highlight any issues within the relationship that may be relevant and often reveals elements of control within the relationship that could have potentially been overlooked if the DASH is conducted after the statement for the incident officers are dealing with. Not only is this a useful tool for assessing risk but it also opens up dialogue around identifying further offences within the relationship due to the direct and probing questions of the DASH. Some questions hold more weight than others such as "Have they ever tried to suffocate, choke, strangle or drown you?" this is an important question as that in itself would suggest the relationship leans more towards high risk.</w:t>
      </w:r>
    </w:p>
    <w:p>
      <w:pPr>
        <w:pStyle w:val="Normal"/>
        <w:ind w:right="237" w:hanging="0"/>
        <w:rPr>
          <w:sz w:val="24"/>
          <w:szCs w:val="24"/>
        </w:rPr>
      </w:pPr>
      <w:r>
        <w:rPr>
          <w:sz w:val="24"/>
          <w:szCs w:val="24"/>
        </w:rPr>
      </w:r>
    </w:p>
    <w:p>
      <w:pPr>
        <w:pStyle w:val="Normal"/>
        <w:ind w:right="237" w:hanging="0"/>
        <w:rPr/>
      </w:pPr>
      <w:r>
        <w:rPr/>
        <w:drawing>
          <wp:inline distT="0" distB="0" distL="0" distR="0">
            <wp:extent cx="4305300" cy="1082675"/>
            <wp:effectExtent l="0" t="0" r="0" b="0"/>
            <wp:docPr id="2" name="Picture 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
                    <pic:cNvPicPr>
                      <a:picLocks noChangeAspect="1" noChangeArrowheads="1"/>
                    </pic:cNvPicPr>
                  </pic:nvPicPr>
                  <pic:blipFill>
                    <a:blip r:embed="rId6"/>
                    <a:stretch>
                      <a:fillRect/>
                    </a:stretch>
                  </pic:blipFill>
                  <pic:spPr bwMode="auto">
                    <a:xfrm>
                      <a:off x="0" y="0"/>
                      <a:ext cx="4305300" cy="1082675"/>
                    </a:xfrm>
                    <a:prstGeom prst="rect">
                      <a:avLst/>
                    </a:prstGeom>
                  </pic:spPr>
                </pic:pic>
              </a:graphicData>
            </a:graphic>
          </wp:inline>
        </w:drawing>
      </w:r>
    </w:p>
    <w:p>
      <w:pPr>
        <w:pStyle w:val="Normal"/>
        <w:ind w:right="237" w:hanging="0"/>
        <w:rPr/>
      </w:pPr>
      <w:r>
        <w:rPr/>
        <w:t xml:space="preserve">A Snippet of the higher-risk questions from the DASH form (Safelives,2024) </w:t>
      </w:r>
    </w:p>
    <w:p>
      <w:pPr>
        <w:pStyle w:val="Normal"/>
        <w:ind w:right="237" w:hanging="0"/>
        <w:rPr/>
      </w:pPr>
      <w:r>
        <w:rPr/>
      </w:r>
    </w:p>
    <w:p>
      <w:pPr>
        <w:pStyle w:val="Normal"/>
        <w:overflowPunct w:val="false"/>
        <w:textAlignment w:val="auto"/>
        <w:rPr>
          <w:b/>
          <w:b/>
          <w:bCs/>
          <w:sz w:val="24"/>
          <w:szCs w:val="24"/>
        </w:rPr>
      </w:pPr>
      <w:r>
        <w:rPr>
          <w:b/>
          <w:bCs/>
          <w:sz w:val="24"/>
          <w:szCs w:val="24"/>
        </w:rPr>
      </w:r>
    </w:p>
    <w:p>
      <w:pPr>
        <w:pStyle w:val="Normal"/>
        <w:overflowPunct w:val="false"/>
        <w:textAlignment w:val="auto"/>
        <w:rPr>
          <w:sz w:val="24"/>
          <w:szCs w:val="24"/>
        </w:rPr>
      </w:pPr>
      <w:r>
        <w:rPr>
          <w:sz w:val="24"/>
          <w:szCs w:val="24"/>
        </w:rPr>
        <w:t>For this incident, the victim refused and due to this a risk assessment had to be made from the officer’s observations and any disclosures from the incident to try and gain some insight for partner agencies and an accurate risk assessment where possible. The Risk assessment can be guided by both the severity of the answers and by the amount of yes’s to this form, officers’ judgement and the incident they are responding to are taken into account. A Standard risk assessment would be no violence used/little to no causes for concern and usually indicative of a verbal argument only. Medium would be if violence is/has been used within the relationship however not life-threatening or risk of permanent injury and high would be indicative of a potential for serious harm or death.</w:t>
      </w:r>
    </w:p>
    <w:p>
      <w:pPr>
        <w:pStyle w:val="Normal"/>
        <w:overflowPunct w:val="false"/>
        <w:textAlignment w:val="auto"/>
        <w:rPr>
          <w:sz w:val="24"/>
          <w:szCs w:val="24"/>
        </w:rPr>
      </w:pPr>
      <w:r>
        <w:rPr>
          <w:sz w:val="24"/>
          <w:szCs w:val="24"/>
        </w:rPr>
      </w:r>
    </w:p>
    <w:p>
      <w:pPr>
        <w:pStyle w:val="Normal"/>
        <w:overflowPunct w:val="false"/>
        <w:textAlignment w:val="auto"/>
        <w:rPr>
          <w:sz w:val="24"/>
          <w:szCs w:val="24"/>
        </w:rPr>
      </w:pPr>
      <w:r>
        <w:rPr>
          <w:sz w:val="24"/>
          <w:szCs w:val="24"/>
        </w:rPr>
        <w:t>Any serious risk factors being identified would have led to me submitting a MARAC referral form which stands for Multi-Agency Risk Assessment Conference where social services, health care professionals, potentially schools and police all gather and discuss a relationship to help get a bigger picture from all the agencies involved. For example, if the information is passed that there were historical assaults and NHS have information on their systems corroborating this urgent safeguarding is required and any internal information they have is also shared. Same with schools if there are children in the household and their home life is damaging their abilities in school, or if there have been unexplained issues such as uniforms not being clean/children going to school hungry or without packed lunches due to issues or police involvement at home.</w:t>
      </w:r>
    </w:p>
    <w:p>
      <w:pPr>
        <w:pStyle w:val="Normal"/>
        <w:overflowPunct w:val="false"/>
        <w:textAlignment w:val="auto"/>
        <w:rPr>
          <w:sz w:val="24"/>
          <w:szCs w:val="24"/>
        </w:rPr>
      </w:pPr>
      <w:r>
        <w:rPr>
          <w:sz w:val="24"/>
          <w:szCs w:val="24"/>
        </w:rPr>
      </w:r>
    </w:p>
    <w:p>
      <w:pPr>
        <w:pStyle w:val="Normal"/>
        <w:overflowPunct w:val="false"/>
        <w:textAlignment w:val="auto"/>
        <w:rPr>
          <w:sz w:val="24"/>
          <w:szCs w:val="24"/>
        </w:rPr>
      </w:pPr>
      <w:r>
        <w:rPr>
          <w:sz w:val="24"/>
          <w:szCs w:val="24"/>
        </w:rPr>
        <w:t>In this incident however, no risks were identified and the caller was appropriately safeguarded and given a lift to the hospital to have their injuries seen to and to also speak with a Mental health professional if required.</w:t>
      </w:r>
    </w:p>
    <w:p>
      <w:pPr>
        <w:pStyle w:val="Normal"/>
        <w:overflowPunct w:val="false"/>
        <w:textAlignment w:val="auto"/>
        <w:rPr>
          <w:sz w:val="24"/>
          <w:szCs w:val="24"/>
        </w:rPr>
      </w:pPr>
      <w:r>
        <w:rPr>
          <w:sz w:val="24"/>
          <w:szCs w:val="24"/>
        </w:rPr>
      </w:r>
    </w:p>
    <w:p>
      <w:pPr>
        <w:pStyle w:val="Normal"/>
        <w:overflowPunct w:val="false"/>
        <w:textAlignment w:val="auto"/>
        <w:rPr>
          <w:sz w:val="24"/>
          <w:szCs w:val="24"/>
        </w:rPr>
      </w:pPr>
      <w:r>
        <w:rPr>
          <w:b/>
          <w:bCs/>
          <w:sz w:val="24"/>
          <w:szCs w:val="24"/>
          <w:u w:val="single"/>
        </w:rPr>
        <w:t>Now What?</w:t>
      </w:r>
    </w:p>
    <w:p>
      <w:pPr>
        <w:pStyle w:val="Normal"/>
        <w:overflowPunct w:val="false"/>
        <w:textAlignment w:val="auto"/>
        <w:rPr>
          <w:sz w:val="24"/>
          <w:szCs w:val="24"/>
        </w:rPr>
      </w:pPr>
      <w:r>
        <w:rPr>
          <w:sz w:val="24"/>
          <w:szCs w:val="24"/>
        </w:rPr>
      </w:r>
    </w:p>
    <w:p>
      <w:pPr>
        <w:pStyle w:val="Normal"/>
        <w:overflowPunct w:val="false"/>
        <w:textAlignment w:val="auto"/>
        <w:rPr>
          <w:sz w:val="24"/>
          <w:szCs w:val="24"/>
        </w:rPr>
      </w:pPr>
      <w:r>
        <w:rPr>
          <w:sz w:val="24"/>
          <w:szCs w:val="24"/>
        </w:rPr>
        <w:t>From this incident, I have learnt the process involved in accessing an interpreter or sign language numbers and how vital effective communication is when dealing with someone with disabilities and other vulnerabilities such as alcohol use/misuse. Due to some form of domestic incident being dealt with the finer details would have been impossible to get without the assistance of British Sign Language interpreters and the potential risks within the relationship would not have been identified. Luckily the relationship was fine it was two vulnerable adults just struggling to live with each other and no offences were committed however this had to be established. Without the interpreter lines these language issues could have led to the victim losing faith in the police if they cannot even communicate with us and cause frustration with us rather than a positive interaction to gain the trust of a vulnerable victim the impact would have been the complete opposite and they could well have refused to engage with officers and potentially not phoned the police again leaving them very isolated even from emergency services. If the relationship was anything other than standard risk this could leave them open to abuse that would have had no end in sight as it would have been unreported and potentially escalating over time.</w:t>
      </w:r>
    </w:p>
    <w:p>
      <w:pPr>
        <w:pStyle w:val="Normal"/>
        <w:overflowPunct w:val="false"/>
        <w:textAlignment w:val="auto"/>
        <w:rPr>
          <w:sz w:val="24"/>
          <w:szCs w:val="24"/>
        </w:rPr>
      </w:pPr>
      <w:r>
        <w:rPr>
          <w:sz w:val="24"/>
          <w:szCs w:val="24"/>
        </w:rPr>
      </w:r>
    </w:p>
    <w:p>
      <w:pPr>
        <w:pStyle w:val="Normal"/>
        <w:overflowPunct w:val="false"/>
        <w:textAlignment w:val="auto"/>
        <w:rPr>
          <w:sz w:val="24"/>
          <w:szCs w:val="24"/>
        </w:rPr>
      </w:pPr>
      <w:r>
        <w:rPr>
          <w:sz w:val="24"/>
          <w:szCs w:val="24"/>
        </w:rPr>
        <w:t>I am curious however if offences had been committed how the practicalities of the statement taken would have been with the use of a translator when taking statements and if this would automatically be an achieving best evidence interview based on the language barrier and the vulnerabilities present. An achieving best evidence interview is an interview conducted with a vulnerable victim or witness and also covers children which are done in an informal setting by specialist officers who can get the best out of vulnerable adults and children by other mediums such as drawings and appropriate language rather than the formality of a statement and this considers changes in body language and noticing the emotions displayed by the person. This interview statement is then played in court which often prevents the vulnerable person from the stress and worry of attending court as it can be a terrifying prospect. (Government, 2022)</w:t>
      </w:r>
    </w:p>
    <w:p>
      <w:pPr>
        <w:pStyle w:val="Paragraph"/>
        <w:spacing w:beforeAutospacing="0" w:before="0" w:afterAutospacing="0" w:after="0"/>
        <w:ind w:left="3600" w:right="225" w:hanging="0"/>
        <w:rPr>
          <w:rStyle w:val="Normaltextrun"/>
          <w:rFonts w:ascii="Arial" w:hAnsi="Arial" w:cs="Arial"/>
          <w:b/>
          <w:b/>
          <w:bCs/>
          <w:color w:val="000000" w:themeColor="text1"/>
        </w:rPr>
      </w:pPr>
      <w:r>
        <w:rPr>
          <w:rFonts w:cs="Arial" w:ascii="Arial" w:hAnsi="Arial"/>
          <w:b/>
          <w:bCs/>
          <w:color w:val="000000" w:themeColor="text1"/>
        </w:rPr>
      </w:r>
    </w:p>
    <w:p>
      <w:pPr>
        <w:pStyle w:val="Paragraph"/>
        <w:spacing w:beforeAutospacing="0" w:before="0" w:afterAutospacing="0" w:after="0"/>
        <w:ind w:left="3600" w:right="225" w:hanging="0"/>
        <w:rPr>
          <w:rStyle w:val="Normaltextrun"/>
          <w:rFonts w:ascii="Arial" w:hAnsi="Arial" w:cs="Arial"/>
          <w:b/>
          <w:b/>
          <w:bCs/>
          <w:color w:val="000000" w:themeColor="text1"/>
        </w:rPr>
      </w:pPr>
      <w:r>
        <w:rPr>
          <w:rFonts w:cs="Arial" w:ascii="Arial" w:hAnsi="Arial"/>
          <w:b/>
          <w:bCs/>
          <w:color w:val="000000" w:themeColor="text1"/>
        </w:rPr>
      </w:r>
    </w:p>
    <w:p>
      <w:pPr>
        <w:pStyle w:val="Paragraph"/>
        <w:spacing w:beforeAutospacing="0" w:before="0" w:afterAutospacing="0" w:after="0"/>
        <w:textAlignment w:val="baseline"/>
        <w:rPr>
          <w:rFonts w:ascii="Segoe UI" w:hAnsi="Segoe UI" w:cs="Segoe UI"/>
          <w:color w:val="000000"/>
          <w:sz w:val="18"/>
          <w:szCs w:val="18"/>
        </w:rPr>
      </w:pPr>
      <w:r>
        <w:rPr>
          <w:rStyle w:val="Eop"/>
          <w:rFonts w:cs="Arial" w:ascii="Arial" w:hAnsi="Arial"/>
          <w:color w:val="000000" w:themeColor="text1"/>
        </w:rPr>
        <w:t> </w:t>
      </w:r>
      <w:r>
        <w:rPr>
          <w:rStyle w:val="Eop"/>
          <w:rFonts w:cs="Arial" w:ascii="Arial" w:hAnsi="Arial"/>
          <w:color w:val="000000" w:themeColor="text1"/>
        </w:rPr>
        <w:t>I believe that dealing with this incident so early in my service has given me a good insight into translator availability and the systems in place to ease communication which is a vital tool in getting the correct information for police action and to protect vulnerable victims.</w:t>
      </w:r>
    </w:p>
    <w:p>
      <w:pPr>
        <w:pStyle w:val="Normal"/>
        <w:ind w:right="237" w:hanging="0"/>
        <w:jc w:val="center"/>
        <w:rPr>
          <w:b/>
          <w:b/>
          <w:bCs/>
          <w:sz w:val="24"/>
          <w:szCs w:val="24"/>
        </w:rPr>
      </w:pPr>
      <w:r>
        <w:rPr>
          <w:b/>
          <w:bCs/>
          <w:sz w:val="24"/>
          <w:szCs w:val="24"/>
        </w:rPr>
      </w:r>
    </w:p>
    <w:p>
      <w:pPr>
        <w:pStyle w:val="Normal"/>
        <w:ind w:right="237" w:hanging="0"/>
        <w:jc w:val="center"/>
        <w:rPr>
          <w:b/>
          <w:b/>
          <w:bCs/>
          <w:sz w:val="24"/>
          <w:szCs w:val="24"/>
        </w:rPr>
      </w:pPr>
      <w:r>
        <w:rPr>
          <w:b/>
          <w:bCs/>
          <w:sz w:val="24"/>
          <w:szCs w:val="24"/>
        </w:rPr>
      </w:r>
    </w:p>
    <w:p>
      <w:pPr>
        <w:pStyle w:val="Normal"/>
        <w:ind w:right="237" w:hanging="0"/>
        <w:jc w:val="center"/>
        <w:rPr>
          <w:b/>
          <w:b/>
          <w:bCs/>
          <w:sz w:val="24"/>
          <w:szCs w:val="24"/>
        </w:rPr>
      </w:pPr>
      <w:r>
        <w:rPr>
          <w:b/>
          <w:bCs/>
          <w:sz w:val="24"/>
          <w:szCs w:val="24"/>
        </w:rPr>
      </w:r>
    </w:p>
    <w:p>
      <w:pPr>
        <w:pStyle w:val="Normal"/>
        <w:ind w:right="237" w:hanging="0"/>
        <w:jc w:val="center"/>
        <w:rPr>
          <w:b/>
          <w:b/>
          <w:bCs/>
          <w:sz w:val="24"/>
          <w:szCs w:val="24"/>
        </w:rPr>
      </w:pPr>
      <w:r>
        <w:rPr>
          <w:b/>
          <w:bCs/>
          <w:sz w:val="24"/>
          <w:szCs w:val="24"/>
        </w:rPr>
      </w:r>
    </w:p>
    <w:p>
      <w:pPr>
        <w:pStyle w:val="Normal"/>
        <w:ind w:right="237" w:hanging="0"/>
        <w:jc w:val="center"/>
        <w:rPr>
          <w:b/>
          <w:b/>
          <w:bCs/>
          <w:sz w:val="24"/>
          <w:szCs w:val="24"/>
        </w:rPr>
      </w:pPr>
      <w:r>
        <w:rPr>
          <w:b/>
          <w:bCs/>
          <w:sz w:val="24"/>
          <w:szCs w:val="24"/>
        </w:rPr>
        <w:t>Task 2</w:t>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rFonts w:eastAsia="Arial"/>
          <w:b/>
          <w:bCs/>
          <w:color w:val="000000" w:themeColor="text1"/>
          <w:sz w:val="24"/>
          <w:szCs w:val="24"/>
        </w:rPr>
        <w:t xml:space="preserve">Choose 1 of these 5 options to answer </w:t>
      </w:r>
    </w:p>
    <w:p>
      <w:pPr>
        <w:pStyle w:val="Normal"/>
        <w:ind w:right="237" w:hanging="0"/>
        <w:jc w:val="both"/>
        <w:rPr>
          <w:rFonts w:eastAsia="Arial"/>
          <w:b/>
          <w:b/>
          <w:bCs/>
          <w:color w:val="000000" w:themeColor="text1"/>
          <w:sz w:val="24"/>
          <w:szCs w:val="24"/>
        </w:rPr>
      </w:pPr>
      <w:r>
        <w:rPr>
          <w:rFonts w:eastAsia="Arial"/>
          <w:b/>
          <w:bCs/>
          <w:color w:val="000000" w:themeColor="text1"/>
          <w:sz w:val="24"/>
          <w:szCs w:val="24"/>
        </w:rPr>
      </w:r>
    </w:p>
    <w:p>
      <w:pPr>
        <w:pStyle w:val="Normal"/>
        <w:ind w:right="237" w:hanging="0"/>
        <w:jc w:val="both"/>
        <w:rPr>
          <w:rFonts w:eastAsia="Arial"/>
          <w:b/>
          <w:b/>
          <w:bCs/>
          <w:color w:val="000000" w:themeColor="text1"/>
          <w:sz w:val="24"/>
          <w:szCs w:val="24"/>
        </w:rPr>
      </w:pPr>
      <w:r>
        <w:rPr>
          <w:rFonts w:eastAsia="Arial"/>
          <w:b/>
          <w:bCs/>
          <w:color w:val="000000" w:themeColor="text1"/>
          <w:sz w:val="24"/>
          <w:szCs w:val="24"/>
        </w:rPr>
        <w:t xml:space="preserve">(Note for officers who have an interest in becoming a detective and wish to specialise in this role, you </w:t>
      </w:r>
      <w:r>
        <w:rPr>
          <w:rFonts w:eastAsia="Arial"/>
          <w:b/>
          <w:bCs/>
          <w:color w:val="000000" w:themeColor="text1"/>
          <w:sz w:val="24"/>
          <w:szCs w:val="24"/>
          <w:u w:val="single"/>
        </w:rPr>
        <w:t>MUST</w:t>
      </w:r>
      <w:r>
        <w:rPr>
          <w:rFonts w:eastAsia="Arial"/>
          <w:b/>
          <w:bCs/>
          <w:color w:val="000000" w:themeColor="text1"/>
          <w:sz w:val="24"/>
          <w:szCs w:val="24"/>
        </w:rPr>
        <w:t xml:space="preserve"> choose option 5)</w:t>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ListParagraph"/>
        <w:numPr>
          <w:ilvl w:val="1"/>
          <w:numId w:val="1"/>
        </w:numPr>
        <w:ind w:left="1440" w:right="237" w:hanging="360"/>
        <w:jc w:val="both"/>
        <w:rPr>
          <w:rFonts w:eastAsia="Arial"/>
          <w:b/>
          <w:b/>
          <w:bCs/>
          <w:color w:val="000000" w:themeColor="text1"/>
          <w:sz w:val="24"/>
          <w:szCs w:val="24"/>
        </w:rPr>
      </w:pPr>
      <w:r>
        <w:rPr>
          <w:rFonts w:eastAsia="Arial"/>
          <w:b/>
          <w:bCs/>
          <w:color w:val="000000" w:themeColor="text1"/>
          <w:sz w:val="24"/>
          <w:szCs w:val="24"/>
        </w:rPr>
        <w:t>Response Policing.</w:t>
      </w:r>
    </w:p>
    <w:p>
      <w:pPr>
        <w:pStyle w:val="ListParagraph"/>
        <w:numPr>
          <w:ilvl w:val="1"/>
          <w:numId w:val="1"/>
        </w:numPr>
        <w:ind w:left="1440" w:right="237" w:hanging="360"/>
        <w:jc w:val="both"/>
        <w:rPr>
          <w:rFonts w:eastAsia="Arial"/>
          <w:b/>
          <w:b/>
          <w:bCs/>
          <w:color w:val="000000" w:themeColor="text1"/>
          <w:sz w:val="24"/>
          <w:szCs w:val="24"/>
        </w:rPr>
      </w:pPr>
      <w:r>
        <w:rPr>
          <w:rFonts w:eastAsia="Arial"/>
          <w:b/>
          <w:bCs/>
          <w:color w:val="000000" w:themeColor="text1"/>
          <w:sz w:val="24"/>
          <w:szCs w:val="24"/>
        </w:rPr>
        <w:t>Policing Communities.</w:t>
      </w:r>
    </w:p>
    <w:p>
      <w:pPr>
        <w:pStyle w:val="ListParagraph"/>
        <w:numPr>
          <w:ilvl w:val="1"/>
          <w:numId w:val="1"/>
        </w:numPr>
        <w:ind w:left="1440" w:right="237" w:hanging="360"/>
        <w:jc w:val="both"/>
        <w:rPr>
          <w:rFonts w:eastAsia="Arial"/>
          <w:b/>
          <w:b/>
          <w:bCs/>
          <w:color w:val="000000" w:themeColor="text1"/>
          <w:sz w:val="24"/>
          <w:szCs w:val="24"/>
        </w:rPr>
      </w:pPr>
      <w:r>
        <w:rPr>
          <w:rFonts w:eastAsia="Arial"/>
          <w:b/>
          <w:bCs/>
          <w:color w:val="000000" w:themeColor="text1"/>
          <w:sz w:val="24"/>
          <w:szCs w:val="24"/>
        </w:rPr>
        <w:t>Road Policing.</w:t>
      </w:r>
    </w:p>
    <w:p>
      <w:pPr>
        <w:pStyle w:val="ListParagraph"/>
        <w:numPr>
          <w:ilvl w:val="1"/>
          <w:numId w:val="1"/>
        </w:numPr>
        <w:ind w:left="1440" w:right="237" w:hanging="360"/>
        <w:jc w:val="both"/>
        <w:rPr>
          <w:rFonts w:eastAsia="Arial"/>
          <w:b/>
          <w:b/>
          <w:bCs/>
          <w:color w:val="000000" w:themeColor="text1"/>
          <w:sz w:val="24"/>
          <w:szCs w:val="24"/>
        </w:rPr>
      </w:pPr>
      <w:r>
        <w:rPr>
          <w:rFonts w:eastAsia="Arial"/>
          <w:b/>
          <w:bCs/>
          <w:color w:val="000000" w:themeColor="text1"/>
          <w:sz w:val="24"/>
          <w:szCs w:val="24"/>
        </w:rPr>
        <w:t>Information and Intelligence.</w:t>
      </w:r>
    </w:p>
    <w:p>
      <w:pPr>
        <w:pStyle w:val="ListParagraph"/>
        <w:numPr>
          <w:ilvl w:val="1"/>
          <w:numId w:val="1"/>
        </w:numPr>
        <w:ind w:left="1440" w:right="237" w:hanging="360"/>
        <w:jc w:val="both"/>
        <w:rPr>
          <w:rFonts w:eastAsia="Arial"/>
          <w:b/>
          <w:b/>
          <w:bCs/>
          <w:color w:val="000000" w:themeColor="text1"/>
          <w:sz w:val="24"/>
          <w:szCs w:val="24"/>
        </w:rPr>
      </w:pPr>
      <w:r>
        <w:rPr>
          <w:rFonts w:eastAsia="Arial"/>
          <w:b/>
          <w:bCs/>
          <w:color w:val="000000" w:themeColor="text1"/>
          <w:sz w:val="24"/>
          <w:szCs w:val="24"/>
        </w:rPr>
        <w:t xml:space="preserve">Conducting Investigations. </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center"/>
        <w:rPr>
          <w:b/>
          <w:b/>
          <w:bCs/>
          <w:color w:val="000000" w:themeColor="text1"/>
          <w:sz w:val="28"/>
          <w:szCs w:val="28"/>
          <w:u w:val="single"/>
        </w:rPr>
      </w:pPr>
      <w:r>
        <w:rPr>
          <w:b/>
          <w:bCs/>
          <w:color w:val="000000" w:themeColor="text1"/>
          <w:sz w:val="28"/>
          <w:szCs w:val="28"/>
          <w:u w:val="single"/>
        </w:rPr>
        <w:t>Task 2 Option 1:</w:t>
      </w:r>
      <w:r>
        <w:rPr>
          <w:b/>
          <w:bCs/>
          <w:color w:val="000000" w:themeColor="text1"/>
          <w:sz w:val="28"/>
          <w:szCs w:val="28"/>
        </w:rPr>
        <w:t xml:space="preserve"> </w:t>
      </w:r>
    </w:p>
    <w:p>
      <w:pPr>
        <w:pStyle w:val="Normal"/>
        <w:ind w:right="237" w:hanging="0"/>
        <w:jc w:val="both"/>
        <w:rPr>
          <w:b/>
          <w:b/>
          <w:bCs/>
          <w:color w:val="000000" w:themeColor="text1"/>
          <w:sz w:val="28"/>
          <w:szCs w:val="28"/>
        </w:rPr>
      </w:pPr>
      <w:r>
        <w:rPr>
          <w:b/>
          <w:bCs/>
          <w:color w:val="000000" w:themeColor="text1"/>
          <w:sz w:val="28"/>
          <w:szCs w:val="28"/>
        </w:rPr>
      </w:r>
    </w:p>
    <w:p>
      <w:pPr>
        <w:pStyle w:val="Normal"/>
        <w:ind w:right="237" w:hanging="0"/>
        <w:jc w:val="both"/>
        <w:rPr>
          <w:rFonts w:eastAsia="Arial"/>
          <w:b/>
          <w:b/>
          <w:bCs/>
          <w:color w:val="000000" w:themeColor="text1"/>
          <w:sz w:val="24"/>
          <w:szCs w:val="24"/>
        </w:rPr>
      </w:pPr>
      <w:r>
        <w:rPr>
          <w:rFonts w:eastAsia="Arial"/>
          <w:b/>
          <w:bCs/>
          <w:color w:val="000000" w:themeColor="text1"/>
          <w:sz w:val="24"/>
          <w:szCs w:val="24"/>
          <w:u w:val="single"/>
        </w:rPr>
        <w:t>Relevant areas of the National Policing Curriculum:</w:t>
      </w:r>
    </w:p>
    <w:p>
      <w:pPr>
        <w:pStyle w:val="Normal"/>
        <w:ind w:right="237" w:hanging="0"/>
        <w:jc w:val="both"/>
        <w:rPr>
          <w:b/>
          <w:b/>
          <w:bCs/>
          <w:color w:val="000000" w:themeColor="text1"/>
          <w:sz w:val="28"/>
          <w:szCs w:val="28"/>
        </w:rPr>
      </w:pPr>
      <w:r>
        <w:rPr>
          <w:b/>
          <w:bCs/>
          <w:color w:val="000000" w:themeColor="text1"/>
          <w:sz w:val="28"/>
          <w:szCs w:val="28"/>
        </w:rPr>
      </w:r>
    </w:p>
    <w:p>
      <w:pPr>
        <w:pStyle w:val="Normal"/>
        <w:ind w:right="237" w:hanging="0"/>
        <w:jc w:val="both"/>
        <w:rPr>
          <w:b/>
          <w:b/>
          <w:bCs/>
          <w:color w:val="000000" w:themeColor="text1"/>
          <w:sz w:val="24"/>
          <w:szCs w:val="24"/>
          <w:u w:val="single"/>
        </w:rPr>
      </w:pPr>
      <w:r>
        <w:rPr>
          <w:b/>
          <w:bCs/>
          <w:color w:val="000000" w:themeColor="text1"/>
          <w:sz w:val="24"/>
          <w:szCs w:val="24"/>
          <w:u w:val="single"/>
        </w:rPr>
      </w:r>
    </w:p>
    <w:p>
      <w:pPr>
        <w:pStyle w:val="Normal"/>
        <w:ind w:right="237" w:hanging="0"/>
        <w:jc w:val="both"/>
        <w:rPr>
          <w:rFonts w:eastAsia="Arial"/>
          <w:color w:val="000000" w:themeColor="text1"/>
          <w:sz w:val="24"/>
          <w:szCs w:val="24"/>
          <w:u w:val="single"/>
        </w:rPr>
      </w:pPr>
      <w:r>
        <w:rPr>
          <w:rFonts w:eastAsia="Arial"/>
          <w:b/>
          <w:bCs/>
          <w:color w:val="000000" w:themeColor="text1"/>
          <w:sz w:val="24"/>
          <w:szCs w:val="24"/>
          <w:u w:val="single"/>
        </w:rPr>
        <w:t>Response Policing</w:t>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rPr>
      </w:pPr>
      <w:r>
        <w:rPr>
          <w:rFonts w:eastAsia="Arial"/>
          <w:color w:val="000000" w:themeColor="text1"/>
          <w:sz w:val="24"/>
          <w:szCs w:val="24"/>
        </w:rPr>
        <w:t>A core part of the policing mission is to prevent crime and disorder. Domestic abuse causes both serious harm and constitutes a considerable proportion of overall crime</w:t>
      </w:r>
    </w:p>
    <w:p>
      <w:pPr>
        <w:pStyle w:val="Normal"/>
        <w:ind w:right="237" w:hanging="0"/>
        <w:jc w:val="both"/>
        <w:rPr>
          <w:b/>
          <w:b/>
          <w:bCs/>
          <w:color w:val="000000" w:themeColor="text1"/>
          <w:sz w:val="24"/>
          <w:szCs w:val="24"/>
        </w:rPr>
      </w:pPr>
      <w:r>
        <w:rPr>
          <w:b/>
          <w:bCs/>
          <w:color w:val="000000" w:themeColor="text1"/>
          <w:sz w:val="24"/>
          <w:szCs w:val="24"/>
        </w:rPr>
      </w:r>
    </w:p>
    <w:p>
      <w:pPr>
        <w:pStyle w:val="Normal"/>
        <w:jc w:val="both"/>
        <w:rPr>
          <w:rFonts w:eastAsia="Arial"/>
          <w:color w:val="000000" w:themeColor="text1"/>
          <w:sz w:val="24"/>
          <w:szCs w:val="24"/>
        </w:rPr>
      </w:pPr>
      <w:r>
        <w:rPr>
          <w:rFonts w:eastAsia="Arial"/>
          <w:color w:val="000000" w:themeColor="text1"/>
          <w:sz w:val="24"/>
          <w:szCs w:val="24"/>
        </w:rPr>
        <w:t xml:space="preserve">You should choose </w:t>
      </w:r>
      <w:r>
        <w:rPr>
          <w:rFonts w:eastAsia="Arial"/>
          <w:b/>
          <w:bCs/>
          <w:color w:val="000000" w:themeColor="text1"/>
          <w:sz w:val="24"/>
          <w:szCs w:val="24"/>
          <w:u w:val="single"/>
        </w:rPr>
        <w:t xml:space="preserve">a domestic abuse incident </w:t>
      </w:r>
      <w:r>
        <w:rPr>
          <w:rFonts w:eastAsia="Arial"/>
          <w:b/>
          <w:bCs/>
          <w:color w:val="000000" w:themeColor="text1"/>
          <w:sz w:val="24"/>
          <w:szCs w:val="24"/>
        </w:rPr>
        <w:t xml:space="preserve">that was of a complex nature, </w:t>
      </w:r>
      <w:r>
        <w:rPr>
          <w:rFonts w:eastAsia="Arial"/>
          <w:color w:val="000000" w:themeColor="text1"/>
          <w:sz w:val="24"/>
          <w:szCs w:val="24"/>
        </w:rPr>
        <w:t>in which you played a significant role in providing a response.</w:t>
      </w:r>
    </w:p>
    <w:p>
      <w:pPr>
        <w:pStyle w:val="Normal"/>
        <w:jc w:val="both"/>
        <w:rPr/>
      </w:pPr>
      <w:r>
        <w:rPr/>
      </w:r>
    </w:p>
    <w:p>
      <w:pPr>
        <w:pStyle w:val="Normal"/>
        <w:jc w:val="both"/>
        <w:rPr/>
      </w:pPr>
      <w:r>
        <w:rPr/>
      </w:r>
    </w:p>
    <w:p>
      <w:pPr>
        <w:pStyle w:val="Normal"/>
        <w:ind w:right="237" w:hanging="0"/>
        <w:jc w:val="both"/>
        <w:rPr>
          <w:b/>
          <w:b/>
          <w:bCs/>
          <w:color w:val="000000" w:themeColor="text1"/>
          <w:sz w:val="24"/>
          <w:szCs w:val="24"/>
        </w:rPr>
      </w:pPr>
      <w:r>
        <w:rPr>
          <w:b/>
          <w:bCs/>
          <w:color w:val="000000" w:themeColor="text1"/>
          <w:sz w:val="24"/>
          <w:szCs w:val="24"/>
        </w:rPr>
      </w:r>
    </w:p>
    <w:tbl>
      <w:tblPr>
        <w:tblW w:w="9016" w:type="dxa"/>
        <w:jc w:val="left"/>
        <w:tblInd w:w="0" w:type="dxa"/>
        <w:tblCellMar>
          <w:top w:w="0" w:type="dxa"/>
          <w:left w:w="108" w:type="dxa"/>
          <w:bottom w:w="0" w:type="dxa"/>
          <w:right w:w="108" w:type="dxa"/>
        </w:tblCellMar>
        <w:tblLook w:val="01e0"/>
      </w:tblPr>
      <w:tblGrid>
        <w:gridCol w:w="9016"/>
      </w:tblGrid>
      <w:tr>
        <w:trPr/>
        <w:tc>
          <w:tcPr>
            <w:tcW w:w="9016" w:type="dxa"/>
            <w:tcBorders>
              <w:top w:val="single" w:sz="4" w:space="0" w:color="000000"/>
              <w:left w:val="single" w:sz="4" w:space="0" w:color="000000"/>
              <w:bottom w:val="single" w:sz="4" w:space="0" w:color="000000"/>
              <w:right w:val="single" w:sz="4" w:space="0" w:color="000000"/>
            </w:tcBorders>
            <w:shd w:color="auto" w:fill="auto" w:val="clear"/>
          </w:tcPr>
          <w:p>
            <w:pPr>
              <w:pStyle w:val="Normal"/>
              <w:ind w:right="237" w:hanging="0"/>
              <w:jc w:val="both"/>
              <w:rPr>
                <w:color w:val="000000" w:themeColor="text1"/>
                <w:sz w:val="24"/>
                <w:szCs w:val="24"/>
              </w:rPr>
            </w:pPr>
            <w:r>
              <w:rPr>
                <w:color w:val="000000" w:themeColor="text1"/>
                <w:sz w:val="24"/>
                <w:szCs w:val="24"/>
              </w:rPr>
              <w:t xml:space="preserve"> </w:t>
            </w:r>
          </w:p>
          <w:p>
            <w:pPr>
              <w:pStyle w:val="Normal"/>
              <w:rPr>
                <w:color w:val="000000" w:themeColor="text1"/>
                <w:sz w:val="28"/>
                <w:szCs w:val="28"/>
              </w:rPr>
            </w:pPr>
            <w:r>
              <w:rPr>
                <w:color w:val="000000" w:themeColor="text1"/>
                <w:sz w:val="28"/>
                <w:szCs w:val="28"/>
              </w:rPr>
            </w:r>
          </w:p>
          <w:p>
            <w:pPr>
              <w:pStyle w:val="Normal"/>
              <w:rPr>
                <w:rFonts w:ascii="Calibri" w:hAnsi="Calibri" w:eastAsia="新細明體" w:cs="" w:asciiTheme="minorHAnsi" w:cstheme="minorBidi" w:eastAsiaTheme="minorEastAsia" w:hAnsiTheme="minorHAnsi"/>
                <w:color w:val="000000" w:themeColor="text1"/>
                <w:sz w:val="24"/>
                <w:szCs w:val="24"/>
              </w:rPr>
            </w:pPr>
            <w:r>
              <w:rPr>
                <w:rFonts w:eastAsia="Calibri" w:cs="Calibri" w:ascii="Calibri" w:hAnsi="Calibri"/>
                <w:color w:val="000000" w:themeColor="text1"/>
                <w:sz w:val="28"/>
                <w:szCs w:val="28"/>
              </w:rPr>
              <w:t xml:space="preserve"> </w:t>
            </w:r>
            <w:r>
              <w:rPr>
                <w:rFonts w:eastAsia="Calibri" w:cs="Calibri" w:ascii="Calibri" w:hAnsi="Calibri"/>
                <w:color w:val="000000" w:themeColor="text1"/>
                <w:sz w:val="28"/>
                <w:szCs w:val="28"/>
              </w:rPr>
              <w:t xml:space="preserve">Critically assess the challenges associated with a domestic abuse incident that you have attended, and the strategies developed for effective policing in such challenging situations. </w:t>
            </w:r>
          </w:p>
          <w:p>
            <w:pPr>
              <w:pStyle w:val="Normal"/>
              <w:rPr>
                <w:rFonts w:ascii="Calibri" w:hAnsi="Calibri" w:eastAsia="新細明體" w:cs="" w:asciiTheme="minorHAnsi" w:cstheme="minorBidi" w:eastAsiaTheme="minorEastAsia" w:hAnsiTheme="minorHAnsi"/>
                <w:color w:val="000000" w:themeColor="text1"/>
                <w:sz w:val="24"/>
                <w:szCs w:val="24"/>
              </w:rPr>
            </w:pPr>
            <w:r>
              <w:rPr>
                <w:rFonts w:eastAsia="新細明體" w:cs="" w:cstheme="minorBidi" w:eastAsiaTheme="minorEastAsia" w:ascii="Calibri" w:hAnsi="Calibri"/>
                <w:color w:val="000000" w:themeColor="text1"/>
                <w:sz w:val="24"/>
                <w:szCs w:val="24"/>
              </w:rPr>
            </w:r>
          </w:p>
          <w:p>
            <w:pPr>
              <w:pStyle w:val="Normal"/>
              <w:ind w:right="237" w:hanging="0"/>
              <w:rPr>
                <w:color w:val="000000" w:themeColor="text1"/>
                <w:sz w:val="24"/>
                <w:szCs w:val="24"/>
              </w:rPr>
            </w:pPr>
            <w:r>
              <w:rPr>
                <w:color w:val="000000" w:themeColor="text1"/>
                <w:sz w:val="24"/>
                <w:szCs w:val="24"/>
              </w:rPr>
            </w:r>
          </w:p>
          <w:p>
            <w:pPr>
              <w:pStyle w:val="Normal"/>
              <w:ind w:right="237" w:hanging="0"/>
              <w:jc w:val="both"/>
              <w:rPr>
                <w:sz w:val="24"/>
                <w:szCs w:val="24"/>
              </w:rPr>
            </w:pPr>
            <w:r>
              <w:rPr>
                <w:sz w:val="24"/>
                <w:szCs w:val="24"/>
              </w:rPr>
            </w:r>
          </w:p>
          <w:p>
            <w:pPr>
              <w:pStyle w:val="Normal"/>
              <w:ind w:right="237" w:hanging="0"/>
              <w:jc w:val="both"/>
              <w:rPr>
                <w:i/>
                <w:i/>
                <w:iCs/>
                <w:sz w:val="24"/>
                <w:szCs w:val="24"/>
              </w:rPr>
            </w:pPr>
            <w:r>
              <w:rPr>
                <w:sz w:val="24"/>
                <w:szCs w:val="24"/>
              </w:rPr>
              <w:t xml:space="preserve">2000 words </w:t>
            </w:r>
            <w:r>
              <w:rPr>
                <w:i/>
                <w:iCs/>
                <w:sz w:val="24"/>
                <w:szCs w:val="24"/>
              </w:rPr>
              <w:t>(+/- 10%: include your actual word count at the end of each section)</w:t>
            </w:r>
          </w:p>
          <w:p>
            <w:pPr>
              <w:pStyle w:val="Normal"/>
              <w:ind w:right="237" w:hanging="0"/>
              <w:jc w:val="both"/>
              <w:rPr>
                <w:sz w:val="24"/>
                <w:szCs w:val="24"/>
              </w:rPr>
            </w:pPr>
            <w:r>
              <w:rPr>
                <w:sz w:val="24"/>
                <w:szCs w:val="24"/>
              </w:rPr>
            </w:r>
          </w:p>
        </w:tc>
      </w:tr>
    </w:tbl>
    <w:p>
      <w:pPr>
        <w:pStyle w:val="Normal"/>
        <w:ind w:right="237" w:hanging="0"/>
        <w:jc w:val="both"/>
        <w:rPr>
          <w:sz w:val="24"/>
          <w:szCs w:val="24"/>
        </w:rPr>
      </w:pPr>
      <w:r>
        <w:rPr>
          <w:sz w:val="24"/>
          <w:szCs w:val="24"/>
        </w:rPr>
      </w:r>
    </w:p>
    <w:p>
      <w:pPr>
        <w:pStyle w:val="Normal"/>
        <w:ind w:right="237" w:hanging="0"/>
        <w:jc w:val="both"/>
        <w:rPr>
          <w:b/>
          <w:b/>
          <w:bCs/>
          <w:sz w:val="24"/>
          <w:szCs w:val="24"/>
        </w:rPr>
      </w:pPr>
      <w:r>
        <w:rPr>
          <w:b/>
          <w:bCs/>
          <w:sz w:val="24"/>
          <w:szCs w:val="24"/>
        </w:rPr>
        <w:t>ANSWER:</w:t>
      </w:r>
    </w:p>
    <w:p>
      <w:pPr>
        <w:pStyle w:val="Normal"/>
        <w:ind w:right="237" w:hanging="0"/>
        <w:jc w:val="both"/>
        <w:rPr>
          <w:sz w:val="24"/>
          <w:szCs w:val="24"/>
        </w:rPr>
      </w:pPr>
      <w:r>
        <w:rPr>
          <w:sz w:val="24"/>
          <w:szCs w:val="24"/>
        </w:rPr>
      </w:r>
    </w:p>
    <w:p>
      <w:pPr>
        <w:pStyle w:val="Normal"/>
        <w:ind w:right="237" w:hanging="0"/>
        <w:jc w:val="both"/>
        <w:rPr>
          <w:color w:val="000000" w:themeColor="text1"/>
          <w:sz w:val="24"/>
          <w:szCs w:val="24"/>
        </w:rPr>
      </w:pPr>
      <w:r>
        <w:rPr>
          <w:color w:val="000000" w:themeColor="text1"/>
          <w:sz w:val="24"/>
          <w:szCs w:val="24"/>
        </w:rPr>
        <w:t>For this Task, I will be using Borton’s (Borton,1970) Reflective model to reflect on a challenging domestic violence incident that I have recently attended.</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t>The incident involved two different phone calls made to police regarding domestic violence taking place in their neighbour's front garden, they detailed seeing a male hitting a female for over 10 minutes from the front door, throwing her around the garden and constantly punching her. Due to these numerous officers attended along with a Van as the male was most likely being arrested from the early information, we already had from 2 independent callers. On officers' attendance, the female had injuries to her face which were mainly to her nose and cheek and refused to engage with officers entirely regarding any further injuries or the events that took place. The female kept stating she had epilepsy and must have had a seizure and hit her head on the trampoline and refused to say anything further. Due to the fresh visible injuries and the information given on the call, there was reason to suspect that this male had caused these injuries and he was then arrested for S47 Assault - Actual Bodily Harm (Legislation 1861). Following this the male became violent and a struggle ensued involving 5 officers and the male who had to be taken to the ground restrained and taken to police custody.</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b/>
          <w:bCs/>
          <w:color w:val="000000" w:themeColor="text1"/>
          <w:sz w:val="24"/>
          <w:szCs w:val="24"/>
          <w:u w:val="single"/>
        </w:rPr>
        <w:t>What?</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t xml:space="preserve">When I attended the scene, I saw injuries to the female and the male already riled up and agitated and showed some verbal resistance to officers when they were even speaking with either party. Shortly after the male stated "WHAT YOU THINK I'VE HIT HER DO YOU" as he was standing over with his hands out by his waist. Due to this, I separated them and other officers spoke with the male whilst I tried to engage with the female in the hopes of getting some explanation from her regarding what had happened due to the seriousness of what was given to us in the initial call. Building a rapport and trust with victims that we will act if offences are disclosed is key to public perception and looking after victims to the best of our abilities. This was a dynamic incident and due to the injuries and the disclosure from the callers the male was being arrested no matter what was said. Even from the initial stage a good rapport and trust can make all the difference in domestic abuse or violence incidents and breaking the cycle of abuse </w:t>
      </w:r>
      <w:r>
        <w:rPr/>
        <w:t>(Bottaro, 2022).</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t xml:space="preserve">Due to this, the male was arrested to help further safeguard and give respite for the victim which allowed us to revisit her in the morning to see how she was and if she wanted to tell us what happened knowing that police had already acted. At this stage, the male became aggressive towards officers and all 5 in attendance had to use force to pin him down and handcuff the male as he was trying to fight every officer in attendance. Once restrained I made numerous attempts to speak with the male in an attempt to explain why everything had happened to him but he continued to make attempts to fight everyone there and I could not de-escalate his behaviour at this stage despite numerous attempts to communicate with him he in fight or flight and needed time to come down (College of policing, 2023). Due to this, he was taken to the van to be transported to custody. </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t>From here the three callers were spoken to and they were all too afraid to provide a statement due to the male and his family despite me explaining special measures and bail to protect them. They were happy to tell us what had happened but not officially due to this we had no witnesses and no CCTV along with the victim not engaging with officers.</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t>I also took screenshots from my body-worn video of her injuries and exhibited them for the interview as the victim was reluctant to give a statement or engage with officers much during the event. This did not change in the morning and the injuries were covered with make up so when another shift attended, they stated she had no injuries from the incident.</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b/>
          <w:b/>
          <w:bCs/>
          <w:color w:val="000000" w:themeColor="text1"/>
          <w:sz w:val="24"/>
          <w:szCs w:val="24"/>
          <w:u w:val="single"/>
        </w:rPr>
      </w:pPr>
      <w:r>
        <w:rPr>
          <w:b/>
          <w:bCs/>
          <w:color w:val="000000" w:themeColor="text1"/>
          <w:sz w:val="24"/>
          <w:szCs w:val="24"/>
          <w:u w:val="single"/>
        </w:rPr>
        <w:t>So What?</w:t>
      </w:r>
    </w:p>
    <w:p>
      <w:pPr>
        <w:pStyle w:val="Normal"/>
        <w:ind w:right="237" w:hanging="0"/>
        <w:jc w:val="both"/>
        <w:rPr>
          <w:b/>
          <w:b/>
          <w:bCs/>
          <w:color w:val="000000" w:themeColor="text1"/>
          <w:sz w:val="24"/>
          <w:szCs w:val="24"/>
          <w:u w:val="single"/>
        </w:rPr>
      </w:pPr>
      <w:r>
        <w:rPr>
          <w:b/>
          <w:bCs/>
          <w:color w:val="000000" w:themeColor="text1"/>
          <w:sz w:val="24"/>
          <w:szCs w:val="24"/>
          <w:u w:val="single"/>
        </w:rPr>
      </w:r>
    </w:p>
    <w:p>
      <w:pPr>
        <w:pStyle w:val="Normal"/>
        <w:ind w:right="237" w:hanging="0"/>
        <w:jc w:val="both"/>
        <w:rPr>
          <w:color w:val="000000" w:themeColor="text1"/>
          <w:sz w:val="24"/>
          <w:szCs w:val="24"/>
        </w:rPr>
      </w:pPr>
      <w:r>
        <w:rPr>
          <w:color w:val="000000" w:themeColor="text1"/>
          <w:sz w:val="24"/>
          <w:szCs w:val="24"/>
        </w:rPr>
        <w:t>When I was on my way to the address from the information, we had from separate calls stating that he was repeatedly hitting the female in the front garden for over 10 minutes I was unsure what we were about to attend. The injuries could range from Actual Bodily Harm (Legislation, 1978) to Grievous bodily Harm (Legislation, 1978). I also did not know at this time as it was mentioned the male was going in and out of the address if there were any weapons available to him/on him and what might develop before attendance.</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t>On initial attendance the female was still on the floor under the trampoline with the male standing over and immediately became verbally resistant towards officers in attendance at this stage I was feeling as though the male was going to become physical eventually so I told him to speak with my colleague out of sight so I could have a chat with the female. At this stage I noticed injuries and I was certain he was coming in for the assault on her however I still felt as though more offences could have been committed so I was trying to get further disclosure from her to give the best possible outcome however she refused to engage and stated she was having a seizure.</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t>My feelings after this incident remain the same I wanted to do the best for the victim but my hands were tied if they were not ready to engage. Safeguarding was conducted and I made referrals to MARAC (Domestic Abuse Services,2023) for ongoing support and a DVPN/DVPO were both accepted. The issue is that the community and the victim never "usually" ring the police when this is happening from what I was told after the male was arrested and they all just live with it happening as they do not want any reprisals. Due to this despite the amount of safeguarding provided and other agencies being involved, I am unsure if she is now engaging with these services. I feel like I did all I could to support her and provide ongoing support via referrals however I am unsure if this made any difference to her as they both attended the DVPO hearing and were complaining about the incident and the DVPO however it was authorised. My positive taken from this incident would be that if the victim requires police she can be certain that we will attend and take positive action and if she becomes ready to leave the police will facilitate this to the best of their ability with court orders.</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b/>
          <w:bCs/>
          <w:color w:val="000000" w:themeColor="text1"/>
          <w:sz w:val="24"/>
          <w:szCs w:val="24"/>
          <w:u w:val="single"/>
        </w:rPr>
        <w:t>Now What?</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t>The implications of this incident for me would be a better understanding of the MARAC criteria along with the experience of an incident where no one wants to talk to police about what they saw officially but "off the record" they will happily tell you everything despite reassurances and protection in place, especially in this community where this incident took place no one will talk to the police on the street.</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t xml:space="preserve">The option to do nothing from this incident was not there as it was clear offences had been committed however proving them without any witnesses or victim support was going to be the struggle. There was no further action from police but other agencies have now taken over and are providing ongoing support. </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t>From this incident I have also learnt that victim confidence may take numerous incidents to gain and it is not a reflection on the service we provided on the day they just may not be ready, we can do everything perfectly but it does not mean they will engage with us.</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t>The safeguarding aspects of domestic incidents are the most crucial especially if they are not engaging with us. This often comes in the form of referrals to partner agencies rather than advice or packs from us for long-term engagement to get a better understanding and maybe even a disclosure regarding the relationship and an understanding that uniformed officers could get from attendance due to the barriers that people have with speaking with the police whether this is cultural or due to public trust being extremely low with the police at this time due to recent violent incidents perpetrated against women by serving or ex-serving officers.</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drawing>
          <wp:inline distT="0" distB="0" distL="0" distR="0">
            <wp:extent cx="4343400" cy="4206875"/>
            <wp:effectExtent l="0" t="0" r="0" b="0"/>
            <wp:docPr id="3" name="Picture 1" descr="Power &amp; Control Whe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Power &amp; Control Wheel"/>
                    <pic:cNvPicPr>
                      <a:picLocks noChangeAspect="1" noChangeArrowheads="1"/>
                    </pic:cNvPicPr>
                  </pic:nvPicPr>
                  <pic:blipFill>
                    <a:blip r:embed="rId7"/>
                    <a:stretch>
                      <a:fillRect/>
                    </a:stretch>
                  </pic:blipFill>
                  <pic:spPr bwMode="auto">
                    <a:xfrm>
                      <a:off x="0" y="0"/>
                      <a:ext cx="4343400" cy="4206875"/>
                    </a:xfrm>
                    <a:prstGeom prst="rect">
                      <a:avLst/>
                    </a:prstGeom>
                  </pic:spPr>
                </pic:pic>
              </a:graphicData>
            </a:graphic>
          </wp:inline>
        </w:drawing>
      </w:r>
    </w:p>
    <w:p>
      <w:pPr>
        <w:pStyle w:val="Normal"/>
        <w:ind w:right="237" w:hanging="0"/>
        <w:jc w:val="both"/>
        <w:rPr>
          <w:color w:val="000000" w:themeColor="text1"/>
          <w:sz w:val="24"/>
          <w:szCs w:val="24"/>
        </w:rPr>
      </w:pPr>
      <w:r>
        <w:rPr/>
        <w:t>(Crushedbutnotbroken,2024)</w:t>
      </w:r>
      <w:r>
        <w:rPr>
          <w:color w:val="000000" w:themeColor="text1"/>
          <w:sz w:val="24"/>
          <w:szCs w:val="24"/>
        </w:rPr>
        <w:t>Sections of the power and control wheel above cover domestic abuse incidents and the desire to control both their partners in the aspects shown on the wheel and the officers in attendance by trying to manipulate them. Throughout this incident the male tried numerous times to take charge of the situation and still control it in front of his partner, however once control was lost is when he became extremely violent to everyone at the scene.</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t>From doing further training in domestic abuse and coercive controlling behaviour (Legislation,2015) in particular and recent legislation changes such as the coercive controlling behaviour not having to be from within the same address I am now further aware of the potential control and influence due to all the factors shown in the power and control wheel and how they can even take place when the offender is out of the home or separated from the victim due to the presence of fear of breaking the “rules” set within the home. This could well have been the case in this incident due to the presence of fear that she would have viewed herself and not being allowed to talk to police due to the potential for further or more extreme violence. The identification of potential Coercive controlling behaviour from the offender, unfortunately, does not change the outcome of this incident due to the lack of information given due to the victim not being ready to engage with officers and step towards bringing the relationship to an end. Liz Kelly has well documented the 6 stages of a domestic abuse relationship and I believe from these stages the victim was in the "Managing the relationship stage" which involves her managing the risks within the relationship herself by adjusting her behaviour, which in a sense gives her a lot more control than the alternative of the unknown which would involve the offender being able to surprise the victim rather than them being able to anticipate the pattern of behaviour which can be the scariest part of leaving the relationship for most victims of severe coercive control and domestic abuse, especially when fear is present within the relationship.</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t>There are 7 recognised stages of a domestic abuse relationship which I will list and explain below –</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t>Grooming – Victim being charmed but isolated.</w:t>
      </w:r>
    </w:p>
    <w:p>
      <w:pPr>
        <w:pStyle w:val="Normal"/>
        <w:ind w:right="237" w:hanging="0"/>
        <w:jc w:val="both"/>
        <w:rPr>
          <w:color w:val="000000" w:themeColor="text1"/>
          <w:sz w:val="24"/>
          <w:szCs w:val="24"/>
        </w:rPr>
      </w:pPr>
      <w:r>
        <w:rPr>
          <w:color w:val="000000" w:themeColor="text1"/>
          <w:sz w:val="24"/>
          <w:szCs w:val="24"/>
        </w:rPr>
        <w:t>Manage the situation – Victim adapts their behaviour and can react and manage the abuse within the relationship.</w:t>
      </w:r>
    </w:p>
    <w:p>
      <w:pPr>
        <w:pStyle w:val="Normal"/>
        <w:ind w:right="237" w:hanging="0"/>
        <w:jc w:val="both"/>
        <w:rPr>
          <w:color w:val="000000" w:themeColor="text1"/>
          <w:sz w:val="24"/>
          <w:szCs w:val="24"/>
        </w:rPr>
      </w:pPr>
      <w:r>
        <w:rPr>
          <w:color w:val="000000" w:themeColor="text1"/>
          <w:sz w:val="24"/>
          <w:szCs w:val="24"/>
        </w:rPr>
        <w:t>Distortion of perspective/reality – Victim blames self for abuse.</w:t>
      </w:r>
    </w:p>
    <w:p>
      <w:pPr>
        <w:pStyle w:val="Normal"/>
        <w:ind w:right="237" w:hanging="0"/>
        <w:jc w:val="both"/>
        <w:rPr>
          <w:color w:val="000000" w:themeColor="text1"/>
          <w:sz w:val="24"/>
          <w:szCs w:val="24"/>
        </w:rPr>
      </w:pPr>
      <w:r>
        <w:rPr>
          <w:color w:val="000000" w:themeColor="text1"/>
          <w:sz w:val="24"/>
          <w:szCs w:val="24"/>
        </w:rPr>
        <w:t>Defining the abuse – Victim recognises abuse.</w:t>
      </w:r>
    </w:p>
    <w:p>
      <w:pPr>
        <w:pStyle w:val="Normal"/>
        <w:ind w:right="237" w:hanging="0"/>
        <w:jc w:val="both"/>
        <w:rPr>
          <w:color w:val="000000" w:themeColor="text1"/>
          <w:sz w:val="24"/>
          <w:szCs w:val="24"/>
        </w:rPr>
      </w:pPr>
      <w:r>
        <w:rPr>
          <w:color w:val="000000" w:themeColor="text1"/>
          <w:sz w:val="24"/>
          <w:szCs w:val="24"/>
        </w:rPr>
        <w:t>Re-evaluation of the relationship – The victim sees support as realistic.</w:t>
      </w:r>
    </w:p>
    <w:p>
      <w:pPr>
        <w:pStyle w:val="Normal"/>
        <w:ind w:right="237" w:hanging="0"/>
        <w:jc w:val="both"/>
        <w:rPr>
          <w:color w:val="000000" w:themeColor="text1"/>
          <w:sz w:val="24"/>
          <w:szCs w:val="24"/>
        </w:rPr>
      </w:pPr>
      <w:r>
        <w:rPr>
          <w:color w:val="000000" w:themeColor="text1"/>
          <w:sz w:val="24"/>
          <w:szCs w:val="24"/>
        </w:rPr>
        <w:t>Ending the relationship – The victim makes attempts to leave which increases the risk.</w:t>
      </w:r>
    </w:p>
    <w:p>
      <w:pPr>
        <w:pStyle w:val="Normal"/>
        <w:ind w:right="237" w:hanging="0"/>
        <w:jc w:val="both"/>
        <w:rPr>
          <w:color w:val="000000" w:themeColor="text1"/>
          <w:sz w:val="24"/>
          <w:szCs w:val="24"/>
        </w:rPr>
      </w:pPr>
      <w:r>
        <w:rPr>
          <w:color w:val="000000" w:themeColor="text1"/>
          <w:sz w:val="24"/>
          <w:szCs w:val="24"/>
        </w:rPr>
        <w:t>Ending the abuse – Recovery can begin.</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t xml:space="preserve">These stages can help identify why victims may not engage with officers as they are not ready, leaving the managing the situation stage and stepping into the unknown, being unable to assess and identify what is happening and any potential outcomes even if this is violence is in most cases better than the unknown once separated when the offender can turn up unannounced and be violent. (Women Against Abuse, 2024) </w:t>
      </w:r>
      <w:r>
        <w:rPr>
          <w:sz w:val="24"/>
          <w:szCs w:val="24"/>
        </w:rPr>
        <w:t>Details the potential risks that are even lethal for someone leaving a domestic abuse relationship.</w:t>
      </w:r>
    </w:p>
    <w:p>
      <w:pPr>
        <w:pStyle w:val="Normal"/>
        <w:ind w:right="237" w:hanging="0"/>
        <w:jc w:val="both"/>
        <w:rPr>
          <w:color w:val="000000" w:themeColor="text1"/>
          <w:sz w:val="24"/>
          <w:szCs w:val="24"/>
        </w:rPr>
      </w:pPr>
      <w:r>
        <w:rPr>
          <w:color w:val="000000" w:themeColor="text1"/>
          <w:sz w:val="24"/>
          <w:szCs w:val="24"/>
        </w:rPr>
        <w:t>From reviewing this incident and the potential abuse that could have taken place which at this stage we can only surmise from attendance and previous calls or calls that we have had since what has gone on within the relationship. My only hope going on from this incident is that with time and breathing space for the victim she will feel confident enough in the police or her third-party agencies that are offering her support that she will open up and firstly move on and heal from the trauma within the relationship but then also I hope we can then hold the offender to account for their actions within the relationship and action taken to prevent further harm where possible if not to this victim then to another. In domestic abuse situations similar to this best practice is to support as much as possible and leave the door open for the information to be given when the victim is ready to speak about the abuse, as they will need to be free of the perpetrator before they are willing to speak about what has happened within the relationship.</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u w:val="single"/>
        </w:rPr>
      </w:pPr>
      <w:r>
        <w:rPr>
          <w:color w:val="000000" w:themeColor="text1"/>
          <w:sz w:val="24"/>
          <w:szCs w:val="24"/>
          <w:u w:val="single"/>
        </w:rPr>
      </w:r>
    </w:p>
    <w:p>
      <w:pPr>
        <w:pStyle w:val="Normal"/>
        <w:ind w:right="237" w:hanging="0"/>
        <w:jc w:val="center"/>
        <w:rPr>
          <w:b/>
          <w:b/>
          <w:bCs/>
          <w:color w:val="000000" w:themeColor="text1"/>
          <w:sz w:val="28"/>
          <w:szCs w:val="28"/>
          <w:u w:val="single"/>
        </w:rPr>
      </w:pPr>
      <w:r>
        <w:rPr>
          <w:b/>
          <w:bCs/>
          <w:color w:val="000000" w:themeColor="text1"/>
          <w:sz w:val="28"/>
          <w:szCs w:val="28"/>
          <w:u w:val="single"/>
        </w:rPr>
        <w:t>Task 2 Option 2:</w:t>
      </w:r>
      <w:r>
        <w:rPr>
          <w:b/>
          <w:bCs/>
          <w:color w:val="000000" w:themeColor="text1"/>
          <w:sz w:val="28"/>
          <w:szCs w:val="28"/>
        </w:rPr>
        <w:t xml:space="preserve"> </w:t>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rFonts w:eastAsia="Arial"/>
          <w:b/>
          <w:b/>
          <w:bCs/>
          <w:color w:val="000000" w:themeColor="text1"/>
          <w:sz w:val="24"/>
          <w:szCs w:val="24"/>
          <w:u w:val="single"/>
        </w:rPr>
      </w:pPr>
      <w:r>
        <w:rPr>
          <w:rFonts w:eastAsia="Arial"/>
          <w:b/>
          <w:bCs/>
          <w:color w:val="000000" w:themeColor="text1"/>
          <w:sz w:val="24"/>
          <w:szCs w:val="24"/>
          <w:u w:val="single"/>
        </w:rPr>
        <w:t>Relevant areas of the National Policing Curriculum:</w:t>
      </w:r>
      <w:r>
        <w:rPr>
          <w:rFonts w:eastAsia="Arial"/>
          <w:b/>
          <w:bCs/>
          <w:color w:val="000000" w:themeColor="text1"/>
          <w:sz w:val="24"/>
          <w:szCs w:val="24"/>
        </w:rPr>
        <w:t xml:space="preserve"> </w:t>
      </w:r>
    </w:p>
    <w:p>
      <w:pPr>
        <w:pStyle w:val="Normal"/>
        <w:ind w:right="237" w:hanging="0"/>
        <w:jc w:val="both"/>
        <w:rPr>
          <w:rFonts w:eastAsia="Arial"/>
          <w:b/>
          <w:b/>
          <w:bCs/>
          <w:color w:val="000000" w:themeColor="text1"/>
          <w:sz w:val="24"/>
          <w:szCs w:val="24"/>
          <w:u w:val="single"/>
        </w:rPr>
      </w:pPr>
      <w:r>
        <w:rPr>
          <w:rFonts w:eastAsia="Arial"/>
          <w:b/>
          <w:bCs/>
          <w:color w:val="000000" w:themeColor="text1"/>
          <w:sz w:val="24"/>
          <w:szCs w:val="24"/>
          <w:u w:val="single"/>
        </w:rPr>
      </w:r>
    </w:p>
    <w:p>
      <w:pPr>
        <w:pStyle w:val="Normal"/>
        <w:ind w:right="237" w:hanging="0"/>
        <w:jc w:val="both"/>
        <w:rPr>
          <w:rFonts w:eastAsia="Arial"/>
          <w:b/>
          <w:b/>
          <w:bCs/>
          <w:color w:val="000000" w:themeColor="text1"/>
          <w:sz w:val="24"/>
          <w:szCs w:val="24"/>
          <w:u w:val="single"/>
        </w:rPr>
      </w:pPr>
      <w:r>
        <w:rPr>
          <w:rFonts w:eastAsia="Arial"/>
          <w:b/>
          <w:bCs/>
          <w:color w:val="000000" w:themeColor="text1"/>
          <w:sz w:val="24"/>
          <w:szCs w:val="24"/>
          <w:u w:val="single"/>
        </w:rPr>
        <w:t>Policing Communities</w:t>
      </w:r>
    </w:p>
    <w:p>
      <w:pPr>
        <w:pStyle w:val="Normal"/>
        <w:ind w:right="237" w:hanging="0"/>
        <w:jc w:val="both"/>
        <w:rPr>
          <w:rFonts w:eastAsia="Arial"/>
          <w:b/>
          <w:b/>
          <w:bCs/>
          <w:color w:val="000000" w:themeColor="text1"/>
          <w:sz w:val="24"/>
          <w:szCs w:val="24"/>
          <w:u w:val="single"/>
        </w:rPr>
      </w:pPr>
      <w:r>
        <w:rPr>
          <w:rFonts w:eastAsia="Arial"/>
          <w:b/>
          <w:bCs/>
          <w:color w:val="000000" w:themeColor="text1"/>
          <w:sz w:val="24"/>
          <w:szCs w:val="24"/>
          <w:u w:val="single"/>
        </w:rPr>
      </w:r>
    </w:p>
    <w:p>
      <w:pPr>
        <w:pStyle w:val="Normal"/>
        <w:ind w:right="237" w:hanging="0"/>
        <w:jc w:val="both"/>
        <w:rPr>
          <w:rFonts w:eastAsia="Arial"/>
          <w:color w:val="000000" w:themeColor="text1"/>
          <w:sz w:val="24"/>
          <w:szCs w:val="24"/>
        </w:rPr>
      </w:pPr>
      <w:r>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rPr>
      </w:pPr>
      <w:r>
        <w:rPr>
          <w:rFonts w:eastAsia="Arial"/>
          <w:color w:val="000000" w:themeColor="text1"/>
          <w:sz w:val="24"/>
          <w:szCs w:val="24"/>
        </w:rPr>
        <w:t>Regarding community policing chose an incident that you have attended that presented a complex issue for the community, and that you played a significant role in providing a response.</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sz w:val="24"/>
          <w:szCs w:val="24"/>
        </w:rPr>
      </w:pPr>
      <w:r>
        <w:rPr>
          <w:sz w:val="24"/>
          <w:szCs w:val="24"/>
        </w:rPr>
      </w:r>
    </w:p>
    <w:tbl>
      <w:tblPr>
        <w:tblStyle w:val="TableGrid"/>
        <w:tblW w:w="9015" w:type="dxa"/>
        <w:jc w:val="left"/>
        <w:tblInd w:w="0" w:type="dxa"/>
        <w:tblCellMar>
          <w:top w:w="0" w:type="dxa"/>
          <w:left w:w="108" w:type="dxa"/>
          <w:bottom w:w="0" w:type="dxa"/>
          <w:right w:w="108" w:type="dxa"/>
        </w:tblCellMar>
        <w:tblLook w:val="06a0"/>
      </w:tblPr>
      <w:tblGrid>
        <w:gridCol w:w="9015"/>
      </w:tblGrid>
      <w:tr>
        <w:trPr>
          <w:trHeight w:val="3750" w:hRule="atLeast"/>
        </w:trPr>
        <w:tc>
          <w:tcPr>
            <w:tcW w:w="9015" w:type="dxa"/>
            <w:tcBorders/>
            <w:shd w:fill="auto" w:val="clear"/>
          </w:tcPr>
          <w:p>
            <w:pPr>
              <w:pStyle w:val="Normal"/>
              <w:spacing w:lineRule="auto" w:line="259" w:before="0" w:after="160"/>
              <w:rPr>
                <w:rFonts w:ascii="Calibri" w:hAnsi="Calibri" w:eastAsia="新細明體" w:cs="" w:asciiTheme="minorHAnsi" w:cstheme="minorBidi" w:eastAsiaTheme="minorEastAsia" w:hAnsiTheme="minorHAnsi"/>
                <w:color w:val="000000" w:themeColor="text1"/>
                <w:sz w:val="28"/>
                <w:szCs w:val="28"/>
                <w:u w:val="single"/>
              </w:rPr>
            </w:pPr>
            <w:r>
              <w:rPr>
                <w:rFonts w:eastAsia="新細明體" w:cs="" w:cstheme="minorBidi" w:eastAsiaTheme="minorEastAsia" w:ascii="Calibri" w:hAnsi="Calibri"/>
                <w:color w:val="000000" w:themeColor="text1"/>
                <w:sz w:val="28"/>
                <w:szCs w:val="28"/>
                <w:u w:val="single"/>
              </w:rPr>
            </w:r>
          </w:p>
          <w:p>
            <w:pPr>
              <w:pStyle w:val="Normal"/>
              <w:rPr>
                <w:rFonts w:ascii="Calibri" w:hAnsi="Calibri" w:eastAsia="新細明體" w:cs="" w:asciiTheme="minorHAnsi" w:cstheme="minorBidi" w:eastAsiaTheme="minorEastAsia" w:hAnsiTheme="minorHAnsi"/>
                <w:color w:val="000000" w:themeColor="text1"/>
                <w:sz w:val="28"/>
                <w:szCs w:val="28"/>
              </w:rPr>
            </w:pPr>
            <w:r>
              <w:rPr>
                <w:rFonts w:eastAsia="新細明體" w:cs="" w:ascii="Calibri" w:hAnsi="Calibri" w:asciiTheme="minorHAnsi" w:cstheme="minorBidi" w:eastAsiaTheme="minorEastAsia" w:hAnsiTheme="minorHAnsi"/>
                <w:b/>
                <w:bCs/>
                <w:color w:val="000000" w:themeColor="text1"/>
                <w:sz w:val="28"/>
                <w:szCs w:val="28"/>
              </w:rPr>
              <w:t xml:space="preserve"> </w:t>
            </w:r>
            <w:r>
              <w:rPr>
                <w:rFonts w:eastAsia="新細明體" w:cs="" w:ascii="Calibri" w:hAnsi="Calibri" w:asciiTheme="minorHAnsi" w:cstheme="minorBidi" w:eastAsiaTheme="minorEastAsia" w:hAnsiTheme="minorHAnsi"/>
                <w:b/>
                <w:bCs/>
                <w:color w:val="000000" w:themeColor="text1"/>
                <w:sz w:val="28"/>
                <w:szCs w:val="28"/>
              </w:rPr>
              <w:t>Critically evaluate</w:t>
            </w:r>
            <w:r>
              <w:rPr>
                <w:rFonts w:eastAsia="新細明體" w:cs="" w:ascii="Calibri" w:hAnsi="Calibri" w:asciiTheme="minorHAnsi" w:cstheme="minorBidi" w:eastAsiaTheme="minorEastAsia" w:hAnsiTheme="minorHAnsi"/>
                <w:color w:val="000000" w:themeColor="text1"/>
                <w:sz w:val="28"/>
                <w:szCs w:val="28"/>
              </w:rPr>
              <w:t xml:space="preserve"> a range of interventions that you have employed to promote community engagement that assisted in resolving the issue. </w:t>
            </w:r>
          </w:p>
          <w:p>
            <w:pPr>
              <w:pStyle w:val="Normal"/>
              <w:rPr>
                <w:color w:val="000000" w:themeColor="text1"/>
                <w:sz w:val="28"/>
                <w:szCs w:val="28"/>
              </w:rPr>
            </w:pPr>
            <w:r>
              <w:rPr>
                <w:color w:val="000000" w:themeColor="text1"/>
                <w:sz w:val="28"/>
                <w:szCs w:val="28"/>
              </w:rPr>
            </w:r>
          </w:p>
          <w:p>
            <w:pPr>
              <w:pStyle w:val="Normal"/>
              <w:ind w:right="237" w:hanging="0"/>
              <w:jc w:val="both"/>
              <w:rPr>
                <w:i/>
                <w:i/>
                <w:iCs/>
                <w:sz w:val="24"/>
                <w:szCs w:val="24"/>
              </w:rPr>
            </w:pPr>
            <w:r>
              <w:rPr>
                <w:sz w:val="24"/>
                <w:szCs w:val="24"/>
              </w:rPr>
              <w:t xml:space="preserve">2000 words </w:t>
            </w:r>
            <w:r>
              <w:rPr>
                <w:i/>
                <w:iCs/>
                <w:sz w:val="24"/>
                <w:szCs w:val="24"/>
              </w:rPr>
              <w:t>(+/- 10%: include your actual word count at the end of each section)</w:t>
            </w:r>
          </w:p>
          <w:p>
            <w:pPr>
              <w:pStyle w:val="Normal"/>
              <w:rPr>
                <w:color w:val="000000" w:themeColor="text1"/>
                <w:sz w:val="28"/>
                <w:szCs w:val="28"/>
              </w:rPr>
            </w:pPr>
            <w:r>
              <w:rPr>
                <w:color w:val="000000" w:themeColor="text1"/>
                <w:sz w:val="28"/>
                <w:szCs w:val="28"/>
              </w:rPr>
            </w:r>
          </w:p>
        </w:tc>
      </w:tr>
    </w:tbl>
    <w:p>
      <w:pPr>
        <w:pStyle w:val="Normal"/>
        <w:ind w:right="237" w:hanging="0"/>
        <w:jc w:val="both"/>
        <w:rPr>
          <w:sz w:val="24"/>
          <w:szCs w:val="24"/>
        </w:rPr>
      </w:pPr>
      <w:r>
        <w:rPr>
          <w:sz w:val="24"/>
          <w:szCs w:val="24"/>
        </w:rPr>
      </w:r>
    </w:p>
    <w:p>
      <w:pPr>
        <w:pStyle w:val="Normal"/>
        <w:ind w:right="237" w:hanging="0"/>
        <w:jc w:val="both"/>
        <w:rPr>
          <w:b/>
          <w:b/>
          <w:bCs/>
          <w:sz w:val="24"/>
          <w:szCs w:val="24"/>
        </w:rPr>
      </w:pPr>
      <w:r>
        <w:rPr>
          <w:b/>
          <w:bCs/>
          <w:sz w:val="24"/>
          <w:szCs w:val="24"/>
        </w:rPr>
        <w:t xml:space="preserve">Answer: </w:t>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center"/>
        <w:rPr>
          <w:rFonts w:eastAsia="Arial"/>
          <w:color w:val="000000" w:themeColor="text1"/>
          <w:sz w:val="24"/>
          <w:szCs w:val="24"/>
        </w:rPr>
      </w:pPr>
      <w:r>
        <w:rPr>
          <w:rFonts w:eastAsia="Arial"/>
          <w:color w:val="000000" w:themeColor="text1"/>
          <w:sz w:val="24"/>
          <w:szCs w:val="24"/>
        </w:rPr>
      </w:r>
    </w:p>
    <w:p>
      <w:pPr>
        <w:pStyle w:val="Normal"/>
        <w:ind w:right="237" w:hanging="0"/>
        <w:jc w:val="center"/>
        <w:rPr>
          <w:rFonts w:eastAsia="Arial"/>
          <w:color w:val="000000" w:themeColor="text1"/>
          <w:sz w:val="28"/>
          <w:szCs w:val="28"/>
        </w:rPr>
      </w:pPr>
      <w:r>
        <w:rPr>
          <w:rFonts w:eastAsia="Arial"/>
          <w:color w:val="000000" w:themeColor="text1"/>
          <w:sz w:val="28"/>
          <w:szCs w:val="28"/>
        </w:rPr>
      </w:r>
    </w:p>
    <w:p>
      <w:pPr>
        <w:pStyle w:val="Normal"/>
        <w:ind w:left="2880" w:right="237" w:hanging="0"/>
        <w:rPr>
          <w:rFonts w:eastAsia="Arial"/>
          <w:color w:val="000000" w:themeColor="text1"/>
          <w:sz w:val="28"/>
          <w:szCs w:val="28"/>
        </w:rPr>
      </w:pPr>
      <w:r>
        <w:rPr>
          <w:rFonts w:eastAsia="Arial"/>
          <w:b/>
          <w:bCs/>
          <w:color w:val="000000" w:themeColor="text1"/>
          <w:sz w:val="28"/>
          <w:szCs w:val="28"/>
          <w:u w:val="single"/>
        </w:rPr>
        <w:t>Task 2 Option 3</w:t>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u w:val="single"/>
        </w:rPr>
      </w:pPr>
      <w:r>
        <w:rPr>
          <w:rFonts w:eastAsia="Arial"/>
          <w:b/>
          <w:bCs/>
          <w:color w:val="000000" w:themeColor="text1"/>
          <w:sz w:val="24"/>
          <w:szCs w:val="24"/>
          <w:u w:val="single"/>
        </w:rPr>
        <w:t>Relevant areas of the National Policing Curriculum:</w:t>
      </w:r>
      <w:r>
        <w:rPr>
          <w:rFonts w:eastAsia="Arial"/>
          <w:b/>
          <w:bCs/>
          <w:color w:val="000000" w:themeColor="text1"/>
          <w:sz w:val="24"/>
          <w:szCs w:val="24"/>
        </w:rPr>
        <w:t xml:space="preserve"> </w:t>
      </w:r>
    </w:p>
    <w:p>
      <w:pPr>
        <w:pStyle w:val="Normal"/>
        <w:ind w:right="237" w:hanging="0"/>
        <w:jc w:val="both"/>
        <w:rPr>
          <w:rFonts w:eastAsia="Arial"/>
          <w:color w:val="000000" w:themeColor="text1"/>
          <w:sz w:val="24"/>
          <w:szCs w:val="24"/>
          <w:u w:val="single"/>
        </w:rPr>
      </w:pPr>
      <w:r>
        <w:rPr>
          <w:rFonts w:eastAsia="Arial"/>
          <w:color w:val="000000" w:themeColor="text1"/>
          <w:sz w:val="24"/>
          <w:szCs w:val="24"/>
          <w:u w:val="single"/>
        </w:rPr>
      </w:r>
    </w:p>
    <w:p>
      <w:pPr>
        <w:pStyle w:val="Normal"/>
        <w:ind w:right="237" w:hanging="0"/>
        <w:jc w:val="both"/>
        <w:rPr>
          <w:rFonts w:eastAsia="Arial"/>
          <w:b/>
          <w:b/>
          <w:bCs/>
          <w:color w:val="000000" w:themeColor="text1"/>
          <w:sz w:val="24"/>
          <w:szCs w:val="24"/>
          <w:u w:val="single"/>
        </w:rPr>
      </w:pPr>
      <w:r>
        <w:rPr>
          <w:rFonts w:eastAsia="Arial"/>
          <w:b/>
          <w:bCs/>
          <w:color w:val="000000" w:themeColor="text1"/>
          <w:sz w:val="24"/>
          <w:szCs w:val="24"/>
          <w:u w:val="single"/>
        </w:rPr>
        <w:t>Road Policing</w:t>
      </w:r>
    </w:p>
    <w:p>
      <w:pPr>
        <w:pStyle w:val="Normal"/>
        <w:ind w:right="237" w:hanging="0"/>
        <w:jc w:val="both"/>
        <w:rPr>
          <w:rFonts w:eastAsia="Arial"/>
          <w:b/>
          <w:b/>
          <w:bCs/>
          <w:color w:val="000000" w:themeColor="text1"/>
          <w:sz w:val="24"/>
          <w:szCs w:val="24"/>
          <w:u w:val="single"/>
        </w:rPr>
      </w:pPr>
      <w:r>
        <w:rPr>
          <w:rFonts w:eastAsia="Arial"/>
          <w:b/>
          <w:bCs/>
          <w:color w:val="000000" w:themeColor="text1"/>
          <w:sz w:val="24"/>
          <w:szCs w:val="24"/>
          <w:u w:val="single"/>
        </w:rPr>
      </w:r>
    </w:p>
    <w:p>
      <w:pPr>
        <w:pStyle w:val="Normal"/>
        <w:ind w:right="237" w:hanging="0"/>
        <w:jc w:val="both"/>
        <w:rPr>
          <w:rFonts w:eastAsia="Arial"/>
          <w:b/>
          <w:b/>
          <w:bCs/>
          <w:color w:val="000000" w:themeColor="text1"/>
          <w:sz w:val="24"/>
          <w:szCs w:val="24"/>
        </w:rPr>
      </w:pPr>
      <w:r>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rPr>
      </w:pPr>
      <w:r>
        <w:rPr>
          <w:rFonts w:eastAsia="Arial"/>
          <w:color w:val="000000" w:themeColor="text1"/>
          <w:sz w:val="24"/>
          <w:szCs w:val="24"/>
        </w:rPr>
        <w:t>Describe a serious collision that you attended and in which you took a significant role (e.g., initial reporting officer, scene manager, lead investigator).</w:t>
      </w:r>
    </w:p>
    <w:p>
      <w:pPr>
        <w:pStyle w:val="Normal"/>
        <w:ind w:right="237" w:hanging="0"/>
        <w:jc w:val="both"/>
        <w:rPr>
          <w:sz w:val="24"/>
          <w:szCs w:val="24"/>
        </w:rPr>
      </w:pPr>
      <w:r>
        <w:rPr>
          <w:sz w:val="24"/>
          <w:szCs w:val="24"/>
        </w:rPr>
      </w:r>
    </w:p>
    <w:tbl>
      <w:tblPr>
        <w:tblStyle w:val="TableGrid"/>
        <w:tblW w:w="9015" w:type="dxa"/>
        <w:jc w:val="left"/>
        <w:tblInd w:w="0" w:type="dxa"/>
        <w:tblCellMar>
          <w:top w:w="0" w:type="dxa"/>
          <w:left w:w="108" w:type="dxa"/>
          <w:bottom w:w="0" w:type="dxa"/>
          <w:right w:w="108" w:type="dxa"/>
        </w:tblCellMar>
        <w:tblLook w:val="06a0"/>
      </w:tblPr>
      <w:tblGrid>
        <w:gridCol w:w="9015"/>
      </w:tblGrid>
      <w:tr>
        <w:trPr>
          <w:trHeight w:val="2835" w:hRule="atLeast"/>
        </w:trPr>
        <w:tc>
          <w:tcPr>
            <w:tcW w:w="9015" w:type="dxa"/>
            <w:tcBorders/>
            <w:shd w:fill="auto" w:val="clear"/>
          </w:tcPr>
          <w:p>
            <w:pPr>
              <w:pStyle w:val="Normal"/>
              <w:rPr>
                <w:rFonts w:ascii="Calibri" w:hAnsi="Calibri" w:eastAsia="新細明體" w:cs="" w:asciiTheme="minorHAnsi" w:cstheme="minorBidi" w:eastAsiaTheme="minorEastAsia" w:hAnsiTheme="minorHAnsi"/>
                <w:b/>
                <w:b/>
                <w:bCs/>
                <w:color w:val="000000" w:themeColor="text1"/>
                <w:sz w:val="28"/>
                <w:szCs w:val="28"/>
              </w:rPr>
            </w:pPr>
            <w:r>
              <w:rPr>
                <w:rFonts w:eastAsia="新細明體" w:cs="" w:cstheme="minorBidi" w:eastAsiaTheme="minorEastAsia" w:ascii="Calibri" w:hAnsi="Calibri"/>
                <w:b/>
                <w:bCs/>
                <w:color w:val="000000" w:themeColor="text1"/>
                <w:sz w:val="28"/>
                <w:szCs w:val="28"/>
              </w:rPr>
            </w:r>
          </w:p>
          <w:p>
            <w:pPr>
              <w:pStyle w:val="Normal"/>
              <w:rPr>
                <w:rFonts w:ascii="Calibri" w:hAnsi="Calibri" w:eastAsia="新細明體" w:cs="" w:asciiTheme="minorHAnsi" w:cstheme="minorBidi" w:eastAsiaTheme="minorEastAsia" w:hAnsiTheme="minorHAnsi"/>
                <w:b/>
                <w:b/>
                <w:bCs/>
                <w:color w:val="000000" w:themeColor="text1"/>
                <w:sz w:val="28"/>
                <w:szCs w:val="28"/>
              </w:rPr>
            </w:pPr>
            <w:r>
              <w:rPr>
                <w:rFonts w:eastAsia="新細明體" w:cs="" w:ascii="Calibri" w:hAnsi="Calibri" w:asciiTheme="minorHAnsi" w:cstheme="minorBidi" w:eastAsiaTheme="minorEastAsia" w:hAnsiTheme="minorHAnsi"/>
                <w:b/>
                <w:bCs/>
                <w:color w:val="000000" w:themeColor="text1"/>
                <w:sz w:val="28"/>
                <w:szCs w:val="28"/>
              </w:rPr>
              <w:t xml:space="preserve">Critically evaluate </w:t>
            </w:r>
            <w:r>
              <w:rPr>
                <w:rFonts w:eastAsia="新細明體" w:cs="" w:ascii="Calibri" w:hAnsi="Calibri" w:asciiTheme="minorHAnsi" w:cstheme="minorBidi" w:eastAsiaTheme="minorEastAsia" w:hAnsiTheme="minorHAnsi"/>
                <w:color w:val="000000" w:themeColor="text1"/>
                <w:sz w:val="28"/>
                <w:szCs w:val="28"/>
              </w:rPr>
              <w:t>the evidence base that you dealt with and strategies that could be implemented to reduce the likelihood of it reoccurring.</w:t>
            </w:r>
            <w:r>
              <w:rPr>
                <w:rFonts w:eastAsia="新細明體" w:cs="" w:ascii="Calibri" w:hAnsi="Calibri" w:asciiTheme="minorHAnsi" w:cstheme="minorBidi" w:eastAsiaTheme="minorEastAsia" w:hAnsiTheme="minorHAnsi"/>
                <w:b/>
                <w:bCs/>
                <w:color w:val="000000" w:themeColor="text1"/>
                <w:sz w:val="28"/>
                <w:szCs w:val="28"/>
              </w:rPr>
              <w:t xml:space="preserve"> </w:t>
            </w:r>
          </w:p>
          <w:p>
            <w:pPr>
              <w:pStyle w:val="Normal"/>
              <w:rPr>
                <w:rFonts w:ascii="Calibri" w:hAnsi="Calibri" w:eastAsia="新細明體" w:cs="" w:asciiTheme="minorHAnsi" w:cstheme="minorBidi" w:eastAsiaTheme="minorEastAsia" w:hAnsiTheme="minorHAnsi"/>
                <w:b/>
                <w:b/>
                <w:bCs/>
                <w:color w:val="000000" w:themeColor="text1"/>
                <w:sz w:val="28"/>
                <w:szCs w:val="28"/>
              </w:rPr>
            </w:pPr>
            <w:r>
              <w:rPr>
                <w:rFonts w:eastAsia="新細明體" w:cs="" w:cstheme="minorBidi" w:eastAsiaTheme="minorEastAsia" w:ascii="Calibri" w:hAnsi="Calibri"/>
                <w:b/>
                <w:bCs/>
                <w:color w:val="000000" w:themeColor="text1"/>
                <w:sz w:val="28"/>
                <w:szCs w:val="28"/>
              </w:rPr>
            </w:r>
          </w:p>
          <w:p>
            <w:pPr>
              <w:pStyle w:val="Normal"/>
              <w:rPr>
                <w:color w:val="000000" w:themeColor="text1"/>
                <w:sz w:val="28"/>
                <w:szCs w:val="28"/>
              </w:rPr>
            </w:pPr>
            <w:r>
              <w:rPr>
                <w:color w:val="000000" w:themeColor="text1"/>
                <w:sz w:val="28"/>
                <w:szCs w:val="28"/>
              </w:rPr>
            </w:r>
          </w:p>
          <w:p>
            <w:pPr>
              <w:pStyle w:val="Normal"/>
              <w:rPr>
                <w:color w:val="000000" w:themeColor="text1"/>
                <w:sz w:val="28"/>
                <w:szCs w:val="28"/>
              </w:rPr>
            </w:pPr>
            <w:r>
              <w:rPr>
                <w:color w:val="000000" w:themeColor="text1"/>
                <w:sz w:val="28"/>
                <w:szCs w:val="28"/>
              </w:rPr>
            </w:r>
          </w:p>
          <w:p>
            <w:pPr>
              <w:pStyle w:val="Normal"/>
              <w:ind w:right="237" w:hanging="0"/>
              <w:jc w:val="both"/>
              <w:rPr>
                <w:i/>
                <w:i/>
                <w:iCs/>
                <w:sz w:val="24"/>
                <w:szCs w:val="24"/>
              </w:rPr>
            </w:pPr>
            <w:r>
              <w:rPr>
                <w:sz w:val="24"/>
                <w:szCs w:val="24"/>
              </w:rPr>
              <w:t xml:space="preserve">2000 words </w:t>
            </w:r>
            <w:r>
              <w:rPr>
                <w:i/>
                <w:iCs/>
                <w:sz w:val="24"/>
                <w:szCs w:val="24"/>
              </w:rPr>
              <w:t>(+/- 10%: include your actual word count at the end of each section)</w:t>
            </w:r>
          </w:p>
          <w:p>
            <w:pPr>
              <w:pStyle w:val="Normal"/>
              <w:rPr>
                <w:color w:val="000000" w:themeColor="text1"/>
                <w:sz w:val="28"/>
                <w:szCs w:val="28"/>
              </w:rPr>
            </w:pPr>
            <w:r>
              <w:rPr>
                <w:color w:val="000000" w:themeColor="text1"/>
                <w:sz w:val="28"/>
                <w:szCs w:val="28"/>
              </w:rPr>
            </w:r>
          </w:p>
        </w:tc>
      </w:tr>
    </w:tbl>
    <w:p>
      <w:pPr>
        <w:pStyle w:val="Normal"/>
        <w:ind w:right="237" w:hanging="0"/>
        <w:jc w:val="both"/>
        <w:rPr>
          <w:sz w:val="24"/>
          <w:szCs w:val="24"/>
        </w:rPr>
      </w:pPr>
      <w:r>
        <w:rPr>
          <w:sz w:val="24"/>
          <w:szCs w:val="24"/>
        </w:rPr>
      </w:r>
    </w:p>
    <w:p>
      <w:pPr>
        <w:pStyle w:val="Normal"/>
        <w:ind w:right="237" w:hanging="0"/>
        <w:jc w:val="both"/>
        <w:rPr>
          <w:b/>
          <w:b/>
          <w:bCs/>
          <w:sz w:val="24"/>
          <w:szCs w:val="24"/>
        </w:rPr>
      </w:pPr>
      <w:r>
        <w:rPr>
          <w:b/>
          <w:bCs/>
          <w:sz w:val="24"/>
          <w:szCs w:val="24"/>
        </w:rPr>
        <w:t xml:space="preserve">Answer: </w:t>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b/>
          <w:b/>
          <w:bCs/>
          <w:color w:val="000000" w:themeColor="text1"/>
          <w:sz w:val="24"/>
          <w:szCs w:val="24"/>
        </w:rPr>
      </w:pPr>
      <w:r>
        <w:rPr>
          <w:b/>
          <w:bCs/>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spacing w:beforeAutospacing="1" w:afterAutospacing="1"/>
        <w:ind w:left="3600" w:right="225" w:hanging="0"/>
        <w:rPr>
          <w:rFonts w:eastAsia="Arial"/>
          <w:color w:val="000000" w:themeColor="text1"/>
          <w:sz w:val="24"/>
          <w:szCs w:val="24"/>
        </w:rPr>
      </w:pPr>
      <w:r>
        <w:rPr>
          <w:rFonts w:eastAsia="Arial"/>
          <w:color w:val="000000" w:themeColor="text1"/>
          <w:sz w:val="24"/>
          <w:szCs w:val="24"/>
        </w:rPr>
      </w:r>
    </w:p>
    <w:p>
      <w:pPr>
        <w:pStyle w:val="Normal"/>
        <w:ind w:left="2880" w:right="237" w:hanging="0"/>
        <w:rPr>
          <w:rFonts w:eastAsia="Arial"/>
          <w:b/>
          <w:b/>
          <w:bCs/>
          <w:color w:val="000000" w:themeColor="text1"/>
          <w:sz w:val="24"/>
          <w:szCs w:val="24"/>
          <w:u w:val="single"/>
        </w:rPr>
      </w:pPr>
      <w:r>
        <w:rPr>
          <w:rFonts w:eastAsia="Arial"/>
          <w:b/>
          <w:bCs/>
          <w:color w:val="000000" w:themeColor="text1"/>
          <w:sz w:val="24"/>
          <w:szCs w:val="24"/>
          <w:u w:val="single"/>
        </w:rPr>
      </w:r>
    </w:p>
    <w:p>
      <w:pPr>
        <w:pStyle w:val="Normal"/>
        <w:ind w:left="2880" w:right="237" w:hanging="0"/>
        <w:rPr>
          <w:rFonts w:eastAsia="Arial"/>
          <w:b/>
          <w:b/>
          <w:bCs/>
          <w:color w:val="000000" w:themeColor="text1"/>
          <w:sz w:val="24"/>
          <w:szCs w:val="24"/>
          <w:u w:val="single"/>
        </w:rPr>
      </w:pPr>
      <w:r>
        <w:rPr>
          <w:rFonts w:eastAsia="Arial"/>
          <w:b/>
          <w:bCs/>
          <w:color w:val="000000" w:themeColor="text1"/>
          <w:sz w:val="24"/>
          <w:szCs w:val="24"/>
          <w:u w:val="single"/>
        </w:rPr>
      </w:r>
    </w:p>
    <w:p>
      <w:pPr>
        <w:pStyle w:val="Normal"/>
        <w:ind w:left="2880" w:right="237" w:hanging="0"/>
        <w:rPr>
          <w:rFonts w:eastAsia="Arial"/>
          <w:b/>
          <w:b/>
          <w:bCs/>
          <w:color w:val="000000" w:themeColor="text1"/>
          <w:sz w:val="24"/>
          <w:szCs w:val="24"/>
          <w:u w:val="single"/>
        </w:rPr>
      </w:pPr>
      <w:r>
        <w:rPr>
          <w:rFonts w:eastAsia="Arial"/>
          <w:b/>
          <w:bCs/>
          <w:color w:val="000000" w:themeColor="text1"/>
          <w:sz w:val="24"/>
          <w:szCs w:val="24"/>
          <w:u w:val="single"/>
        </w:rPr>
      </w:r>
    </w:p>
    <w:p>
      <w:pPr>
        <w:pStyle w:val="Normal"/>
        <w:ind w:left="2880" w:right="237" w:hanging="0"/>
        <w:rPr>
          <w:rFonts w:eastAsia="Arial"/>
          <w:b/>
          <w:b/>
          <w:bCs/>
          <w:color w:val="000000" w:themeColor="text1"/>
          <w:sz w:val="24"/>
          <w:szCs w:val="24"/>
          <w:u w:val="single"/>
        </w:rPr>
      </w:pPr>
      <w:r>
        <w:rPr>
          <w:rFonts w:eastAsia="Arial"/>
          <w:b/>
          <w:bCs/>
          <w:color w:val="000000" w:themeColor="text1"/>
          <w:sz w:val="24"/>
          <w:szCs w:val="24"/>
          <w:u w:val="single"/>
        </w:rPr>
      </w:r>
    </w:p>
    <w:p>
      <w:pPr>
        <w:pStyle w:val="Normal"/>
        <w:ind w:left="2880" w:right="237" w:hanging="0"/>
        <w:rPr>
          <w:rFonts w:eastAsia="Arial"/>
          <w:b/>
          <w:b/>
          <w:bCs/>
          <w:color w:val="000000" w:themeColor="text1"/>
          <w:sz w:val="24"/>
          <w:szCs w:val="24"/>
          <w:u w:val="single"/>
        </w:rPr>
      </w:pPr>
      <w:r>
        <w:rPr>
          <w:rFonts w:eastAsia="Arial"/>
          <w:b/>
          <w:bCs/>
          <w:color w:val="000000" w:themeColor="text1"/>
          <w:sz w:val="24"/>
          <w:szCs w:val="24"/>
          <w:u w:val="single"/>
        </w:rPr>
      </w:r>
    </w:p>
    <w:p>
      <w:pPr>
        <w:pStyle w:val="Normal"/>
        <w:ind w:left="2880" w:right="237" w:hanging="0"/>
        <w:rPr>
          <w:rFonts w:eastAsia="Arial"/>
          <w:b/>
          <w:b/>
          <w:bCs/>
          <w:color w:val="000000" w:themeColor="text1"/>
          <w:sz w:val="24"/>
          <w:szCs w:val="24"/>
          <w:u w:val="single"/>
        </w:rPr>
      </w:pPr>
      <w:r>
        <w:rPr>
          <w:rFonts w:eastAsia="Arial"/>
          <w:b/>
          <w:bCs/>
          <w:color w:val="000000" w:themeColor="text1"/>
          <w:sz w:val="24"/>
          <w:szCs w:val="24"/>
          <w:u w:val="single"/>
        </w:rPr>
      </w:r>
    </w:p>
    <w:p>
      <w:pPr>
        <w:pStyle w:val="Normal"/>
        <w:ind w:left="2880" w:right="237" w:hanging="0"/>
        <w:rPr>
          <w:rFonts w:eastAsia="Arial"/>
          <w:color w:val="000000" w:themeColor="text1"/>
          <w:sz w:val="28"/>
          <w:szCs w:val="28"/>
        </w:rPr>
      </w:pPr>
      <w:r>
        <w:rPr>
          <w:rFonts w:eastAsia="Arial"/>
          <w:b/>
          <w:bCs/>
          <w:color w:val="000000" w:themeColor="text1"/>
          <w:sz w:val="28"/>
          <w:szCs w:val="28"/>
          <w:u w:val="single"/>
        </w:rPr>
        <w:t>Task 2 Option 4</w:t>
      </w:r>
    </w:p>
    <w:p>
      <w:pPr>
        <w:pStyle w:val="Normal"/>
        <w:ind w:left="2880" w:right="237" w:hanging="0"/>
        <w:rPr>
          <w:b/>
          <w:b/>
          <w:bCs/>
          <w:color w:val="000000" w:themeColor="text1"/>
          <w:sz w:val="28"/>
          <w:szCs w:val="28"/>
          <w:u w:val="single"/>
        </w:rPr>
      </w:pPr>
      <w:r>
        <w:rPr>
          <w:b/>
          <w:bCs/>
          <w:color w:val="000000" w:themeColor="text1"/>
          <w:sz w:val="28"/>
          <w:szCs w:val="28"/>
          <w:u w:val="single"/>
        </w:rPr>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u w:val="single"/>
        </w:rPr>
      </w:pPr>
      <w:r>
        <w:rPr>
          <w:rFonts w:eastAsia="Arial"/>
          <w:b/>
          <w:bCs/>
          <w:color w:val="000000" w:themeColor="text1"/>
          <w:sz w:val="24"/>
          <w:szCs w:val="24"/>
          <w:u w:val="single"/>
        </w:rPr>
        <w:t>Relevant areas of the National Policing Curriculum:</w:t>
      </w:r>
      <w:r>
        <w:rPr>
          <w:rFonts w:eastAsia="Arial"/>
          <w:b/>
          <w:bCs/>
          <w:color w:val="000000" w:themeColor="text1"/>
          <w:sz w:val="24"/>
          <w:szCs w:val="24"/>
        </w:rPr>
        <w:t xml:space="preserve"> </w:t>
      </w:r>
    </w:p>
    <w:p>
      <w:pPr>
        <w:pStyle w:val="Normal"/>
        <w:ind w:right="237" w:hanging="0"/>
        <w:jc w:val="both"/>
        <w:rPr>
          <w:rFonts w:eastAsia="Arial"/>
          <w:color w:val="000000" w:themeColor="text1"/>
          <w:sz w:val="24"/>
          <w:szCs w:val="24"/>
          <w:u w:val="single"/>
        </w:rPr>
      </w:pPr>
      <w:r>
        <w:rPr>
          <w:rFonts w:eastAsia="Arial"/>
          <w:color w:val="000000" w:themeColor="text1"/>
          <w:sz w:val="24"/>
          <w:szCs w:val="24"/>
          <w:u w:val="single"/>
        </w:rPr>
      </w:r>
    </w:p>
    <w:p>
      <w:pPr>
        <w:pStyle w:val="Normal"/>
        <w:ind w:right="237" w:hanging="0"/>
        <w:jc w:val="both"/>
        <w:rPr>
          <w:rFonts w:eastAsia="Arial"/>
          <w:color w:val="000000" w:themeColor="text1"/>
          <w:sz w:val="24"/>
          <w:szCs w:val="24"/>
          <w:u w:val="single"/>
        </w:rPr>
      </w:pPr>
      <w:r>
        <w:rPr>
          <w:rFonts w:eastAsia="Arial"/>
          <w:b/>
          <w:bCs/>
          <w:color w:val="000000" w:themeColor="text1"/>
          <w:sz w:val="24"/>
          <w:szCs w:val="24"/>
          <w:u w:val="single"/>
        </w:rPr>
        <w:t>Information and Intelligence</w:t>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rPr>
      </w:pPr>
      <w:r>
        <w:rPr>
          <w:rFonts w:eastAsia="Arial"/>
          <w:color w:val="000000" w:themeColor="text1"/>
          <w:sz w:val="24"/>
          <w:szCs w:val="24"/>
        </w:rPr>
        <w:t xml:space="preserve">You should choose an investigation that you have been involved in </w:t>
      </w:r>
      <w:r>
        <w:rPr>
          <w:rFonts w:eastAsia="Arial"/>
          <w:b/>
          <w:bCs/>
          <w:color w:val="000000" w:themeColor="text1"/>
          <w:sz w:val="24"/>
          <w:szCs w:val="24"/>
        </w:rPr>
        <w:t xml:space="preserve">that was of a complex nature, </w:t>
      </w:r>
      <w:r>
        <w:rPr>
          <w:rFonts w:eastAsia="Arial"/>
          <w:color w:val="000000" w:themeColor="text1"/>
          <w:sz w:val="24"/>
          <w:szCs w:val="24"/>
        </w:rPr>
        <w:t>in which you played a significant role.</w:t>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tbl>
      <w:tblPr>
        <w:tblStyle w:val="TableGrid"/>
        <w:tblW w:w="9015" w:type="dxa"/>
        <w:jc w:val="left"/>
        <w:tblInd w:w="0" w:type="dxa"/>
        <w:tblCellMar>
          <w:top w:w="0" w:type="dxa"/>
          <w:left w:w="108" w:type="dxa"/>
          <w:bottom w:w="0" w:type="dxa"/>
          <w:right w:w="108" w:type="dxa"/>
        </w:tblCellMar>
        <w:tblLook w:val="06a0"/>
      </w:tblPr>
      <w:tblGrid>
        <w:gridCol w:w="9015"/>
      </w:tblGrid>
      <w:tr>
        <w:trPr>
          <w:trHeight w:val="2040" w:hRule="atLeast"/>
        </w:trPr>
        <w:tc>
          <w:tcPr>
            <w:tcW w:w="9015" w:type="dxa"/>
            <w:tcBorders/>
            <w:shd w:fill="auto" w:val="clear"/>
          </w:tcPr>
          <w:p>
            <w:pPr>
              <w:pStyle w:val="Normal"/>
              <w:spacing w:lineRule="auto" w:line="259" w:before="0" w:after="160"/>
              <w:rPr>
                <w:rFonts w:eastAsia="Arial"/>
                <w:color w:val="000000" w:themeColor="text1"/>
                <w:sz w:val="24"/>
                <w:szCs w:val="24"/>
              </w:rPr>
            </w:pPr>
            <w:r>
              <w:rPr>
                <w:rFonts w:eastAsia="Arial"/>
                <w:color w:val="000000" w:themeColor="text1"/>
                <w:sz w:val="24"/>
                <w:szCs w:val="24"/>
              </w:rPr>
              <w:t xml:space="preserve"> </w:t>
            </w:r>
          </w:p>
          <w:p>
            <w:pPr>
              <w:pStyle w:val="Normal"/>
              <w:spacing w:lineRule="auto" w:line="259" w:before="0" w:after="160"/>
              <w:rPr>
                <w:rFonts w:eastAsia="Arial"/>
                <w:color w:val="000000" w:themeColor="text1"/>
                <w:sz w:val="24"/>
                <w:szCs w:val="24"/>
              </w:rPr>
            </w:pPr>
            <w:r>
              <w:rPr>
                <w:rFonts w:eastAsia="Arial"/>
                <w:b/>
                <w:bCs/>
                <w:color w:val="000000" w:themeColor="text1"/>
                <w:sz w:val="24"/>
                <w:szCs w:val="24"/>
              </w:rPr>
              <w:t>Critically analyse</w:t>
            </w:r>
            <w:r>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pPr>
              <w:pStyle w:val="Normal"/>
              <w:spacing w:lineRule="auto" w:line="259" w:before="0" w:after="160"/>
              <w:rPr>
                <w:rFonts w:eastAsia="Arial"/>
                <w:color w:val="000000" w:themeColor="text1"/>
                <w:sz w:val="24"/>
                <w:szCs w:val="24"/>
              </w:rPr>
            </w:pPr>
            <w:r>
              <w:rPr>
                <w:rFonts w:eastAsia="Arial"/>
                <w:color w:val="000000" w:themeColor="text1"/>
                <w:sz w:val="24"/>
                <w:szCs w:val="24"/>
              </w:rPr>
              <w:t>Reference how effective information and intelligence was used within your operation, and how you used specialist intelligence roles to support your complex investigation.</w:t>
            </w:r>
          </w:p>
          <w:p>
            <w:pPr>
              <w:pStyle w:val="Normal"/>
              <w:rPr>
                <w:color w:val="000000" w:themeColor="text1"/>
                <w:sz w:val="28"/>
                <w:szCs w:val="28"/>
              </w:rPr>
            </w:pPr>
            <w:r>
              <w:rPr>
                <w:color w:val="000000" w:themeColor="text1"/>
                <w:sz w:val="28"/>
                <w:szCs w:val="28"/>
              </w:rPr>
            </w:r>
          </w:p>
          <w:p>
            <w:pPr>
              <w:pStyle w:val="Normal"/>
              <w:ind w:right="237" w:hanging="0"/>
              <w:jc w:val="both"/>
              <w:rPr>
                <w:i/>
                <w:i/>
                <w:iCs/>
                <w:sz w:val="24"/>
                <w:szCs w:val="24"/>
              </w:rPr>
            </w:pPr>
            <w:r>
              <w:rPr>
                <w:sz w:val="24"/>
                <w:szCs w:val="24"/>
              </w:rPr>
              <w:t xml:space="preserve">2000 words </w:t>
            </w:r>
            <w:r>
              <w:rPr>
                <w:i/>
                <w:iCs/>
                <w:sz w:val="24"/>
                <w:szCs w:val="24"/>
              </w:rPr>
              <w:t>(+/- 10%: include your actual word count at the end of each section)</w:t>
            </w:r>
          </w:p>
          <w:p>
            <w:pPr>
              <w:pStyle w:val="Normal"/>
              <w:spacing w:lineRule="auto" w:line="259" w:before="0" w:after="160"/>
              <w:rPr>
                <w:color w:val="000000" w:themeColor="text1"/>
                <w:sz w:val="28"/>
                <w:szCs w:val="28"/>
              </w:rPr>
            </w:pPr>
            <w:r>
              <w:rPr>
                <w:color w:val="000000" w:themeColor="text1"/>
                <w:sz w:val="28"/>
                <w:szCs w:val="28"/>
              </w:rPr>
            </w:r>
          </w:p>
          <w:p>
            <w:pPr>
              <w:pStyle w:val="Normal"/>
              <w:rPr>
                <w:color w:val="000000" w:themeColor="text1"/>
                <w:sz w:val="24"/>
                <w:szCs w:val="24"/>
              </w:rPr>
            </w:pPr>
            <w:r>
              <w:rPr>
                <w:color w:val="000000" w:themeColor="text1"/>
                <w:sz w:val="24"/>
                <w:szCs w:val="24"/>
              </w:rPr>
            </w:r>
          </w:p>
        </w:tc>
      </w:tr>
    </w:tbl>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b/>
          <w:b/>
          <w:bCs/>
          <w:color w:val="000000" w:themeColor="text1"/>
          <w:sz w:val="28"/>
          <w:szCs w:val="28"/>
        </w:rPr>
      </w:pPr>
      <w:r>
        <w:rPr>
          <w:b/>
          <w:bCs/>
          <w:color w:val="000000" w:themeColor="text1"/>
          <w:sz w:val="28"/>
          <w:szCs w:val="28"/>
        </w:rPr>
        <w:t xml:space="preserve">Answer: </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left="2880" w:right="237" w:hanging="0"/>
        <w:rPr>
          <w:rFonts w:eastAsia="Arial"/>
          <w:color w:val="000000" w:themeColor="text1"/>
          <w:sz w:val="28"/>
          <w:szCs w:val="28"/>
        </w:rPr>
      </w:pPr>
      <w:r>
        <w:rPr>
          <w:rFonts w:eastAsia="Arial"/>
          <w:b/>
          <w:bCs/>
          <w:color w:val="000000" w:themeColor="text1"/>
          <w:sz w:val="28"/>
          <w:szCs w:val="28"/>
          <w:u w:val="single"/>
        </w:rPr>
        <w:t>Task 2 Option 5</w:t>
      </w:r>
    </w:p>
    <w:p>
      <w:pPr>
        <w:pStyle w:val="Normal"/>
        <w:ind w:left="2880" w:right="237" w:hanging="0"/>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u w:val="single"/>
        </w:rPr>
      </w:pPr>
      <w:r>
        <w:rPr>
          <w:rFonts w:eastAsia="Arial"/>
          <w:b/>
          <w:bCs/>
          <w:color w:val="000000" w:themeColor="text1"/>
          <w:sz w:val="24"/>
          <w:szCs w:val="24"/>
          <w:u w:val="single"/>
        </w:rPr>
        <w:t>Relevant areas of the National Policing Curriculum:</w:t>
      </w:r>
      <w:r>
        <w:rPr>
          <w:rFonts w:eastAsia="Arial"/>
          <w:b/>
          <w:bCs/>
          <w:color w:val="000000" w:themeColor="text1"/>
          <w:sz w:val="24"/>
          <w:szCs w:val="24"/>
        </w:rPr>
        <w:t xml:space="preserve"> </w:t>
      </w:r>
    </w:p>
    <w:p>
      <w:pPr>
        <w:pStyle w:val="Normal"/>
        <w:ind w:right="237" w:hanging="0"/>
        <w:jc w:val="both"/>
        <w:rPr>
          <w:rFonts w:eastAsia="Arial"/>
          <w:color w:val="000000" w:themeColor="text1"/>
          <w:sz w:val="24"/>
          <w:szCs w:val="24"/>
          <w:u w:val="single"/>
        </w:rPr>
      </w:pPr>
      <w:r>
        <w:rPr>
          <w:rFonts w:eastAsia="Arial"/>
          <w:color w:val="000000" w:themeColor="text1"/>
          <w:sz w:val="24"/>
          <w:szCs w:val="24"/>
          <w:u w:val="single"/>
        </w:rPr>
      </w:r>
    </w:p>
    <w:p>
      <w:pPr>
        <w:pStyle w:val="Normal"/>
        <w:ind w:right="237" w:hanging="0"/>
        <w:jc w:val="both"/>
        <w:rPr>
          <w:rFonts w:eastAsia="Arial"/>
          <w:color w:val="000000" w:themeColor="text1"/>
          <w:sz w:val="24"/>
          <w:szCs w:val="24"/>
          <w:u w:val="single"/>
        </w:rPr>
      </w:pPr>
      <w:r>
        <w:rPr>
          <w:rFonts w:eastAsia="Arial"/>
          <w:b/>
          <w:bCs/>
          <w:color w:val="000000" w:themeColor="text1"/>
          <w:sz w:val="24"/>
          <w:szCs w:val="24"/>
          <w:u w:val="single"/>
        </w:rPr>
        <w:t>Conducting Investigations</w:t>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rPr>
      </w:pPr>
      <w:r>
        <w:rPr>
          <w:rFonts w:eastAsia="Arial"/>
          <w:color w:val="000000" w:themeColor="text1"/>
          <w:sz w:val="24"/>
          <w:szCs w:val="24"/>
        </w:rPr>
        <w:t>You should choose an investigation that you have been involved in</w:t>
      </w:r>
      <w:r>
        <w:rPr>
          <w:rFonts w:eastAsia="Arial"/>
          <w:b/>
          <w:bCs/>
          <w:color w:val="000000" w:themeColor="text1"/>
          <w:sz w:val="24"/>
          <w:szCs w:val="24"/>
        </w:rPr>
        <w:t xml:space="preserve"> that was of a complex nature, </w:t>
      </w:r>
      <w:r>
        <w:rPr>
          <w:rFonts w:eastAsia="Arial"/>
          <w:color w:val="000000" w:themeColor="text1"/>
          <w:sz w:val="24"/>
          <w:szCs w:val="24"/>
        </w:rPr>
        <w:t>in which you played a significant role.</w:t>
      </w:r>
    </w:p>
    <w:p>
      <w:pPr>
        <w:pStyle w:val="Normal"/>
        <w:ind w:right="237" w:hanging="0"/>
        <w:jc w:val="both"/>
        <w:rPr>
          <w:color w:val="000000" w:themeColor="text1"/>
          <w:sz w:val="24"/>
          <w:szCs w:val="24"/>
        </w:rPr>
      </w:pPr>
      <w:r>
        <w:rPr>
          <w:color w:val="000000" w:themeColor="text1"/>
          <w:sz w:val="24"/>
          <w:szCs w:val="24"/>
        </w:rPr>
      </w:r>
    </w:p>
    <w:p>
      <w:pPr>
        <w:pStyle w:val="Normal"/>
        <w:rPr/>
      </w:pPr>
      <w:r>
        <w:rPr/>
      </w:r>
    </w:p>
    <w:tbl>
      <w:tblPr>
        <w:tblStyle w:val="TableGrid"/>
        <w:tblW w:w="9015" w:type="dxa"/>
        <w:jc w:val="left"/>
        <w:tblInd w:w="0" w:type="dxa"/>
        <w:tblCellMar>
          <w:top w:w="0" w:type="dxa"/>
          <w:left w:w="108" w:type="dxa"/>
          <w:bottom w:w="0" w:type="dxa"/>
          <w:right w:w="108" w:type="dxa"/>
        </w:tblCellMar>
        <w:tblLook w:val="06a0"/>
      </w:tblPr>
      <w:tblGrid>
        <w:gridCol w:w="9015"/>
      </w:tblGrid>
      <w:tr>
        <w:trPr>
          <w:trHeight w:val="3420" w:hRule="atLeast"/>
        </w:trPr>
        <w:tc>
          <w:tcPr>
            <w:tcW w:w="9015" w:type="dxa"/>
            <w:tcBorders/>
            <w:shd w:fill="auto" w:val="clear"/>
          </w:tcPr>
          <w:p>
            <w:pPr>
              <w:pStyle w:val="Normal"/>
              <w:ind w:right="237" w:hanging="0"/>
              <w:jc w:val="both"/>
              <w:rPr>
                <w:sz w:val="24"/>
                <w:szCs w:val="24"/>
              </w:rPr>
            </w:pPr>
            <w:r>
              <w:rPr>
                <w:sz w:val="24"/>
                <w:szCs w:val="24"/>
              </w:rPr>
            </w:r>
          </w:p>
          <w:p>
            <w:pPr>
              <w:pStyle w:val="Normal"/>
              <w:ind w:right="237" w:hanging="0"/>
              <w:jc w:val="both"/>
              <w:rPr>
                <w:rFonts w:eastAsia="Arial"/>
                <w:color w:val="000000" w:themeColor="text1"/>
                <w:sz w:val="24"/>
                <w:szCs w:val="24"/>
              </w:rPr>
            </w:pPr>
            <w:r>
              <w:rPr>
                <w:rFonts w:eastAsia="Arial"/>
                <w:b/>
                <w:bCs/>
                <w:color w:val="000000" w:themeColor="text1"/>
                <w:sz w:val="24"/>
                <w:szCs w:val="24"/>
              </w:rPr>
              <w:t>Critically evaluate</w:t>
            </w:r>
            <w:r>
              <w:rPr>
                <w:rFonts w:eastAsia="Arial"/>
                <w:color w:val="000000" w:themeColor="text1"/>
                <w:sz w:val="24"/>
                <w:szCs w:val="24"/>
              </w:rPr>
              <w:t xml:space="preserve"> the processes employed in a complex investigation you have been involved in, and the fast-track actions that you have utilised.</w:t>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rPr>
            </w:pPr>
            <w:r>
              <w:rPr>
                <w:rFonts w:eastAsia="Arial"/>
                <w:color w:val="000000" w:themeColor="text1"/>
                <w:sz w:val="24"/>
                <w:szCs w:val="24"/>
              </w:rPr>
            </w:r>
          </w:p>
          <w:p>
            <w:pPr>
              <w:pStyle w:val="Normal"/>
              <w:ind w:right="237" w:hanging="0"/>
              <w:jc w:val="both"/>
              <w:rPr>
                <w:rFonts w:eastAsia="Arial"/>
                <w:color w:val="000000" w:themeColor="text1"/>
                <w:sz w:val="24"/>
                <w:szCs w:val="24"/>
              </w:rPr>
            </w:pPr>
            <w:r>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pPr>
              <w:pStyle w:val="Normal"/>
              <w:ind w:right="237" w:hanging="0"/>
              <w:jc w:val="both"/>
              <w:rPr>
                <w:sz w:val="24"/>
                <w:szCs w:val="24"/>
              </w:rPr>
            </w:pPr>
            <w:r>
              <w:rPr>
                <w:sz w:val="24"/>
                <w:szCs w:val="24"/>
              </w:rPr>
            </w:r>
          </w:p>
          <w:p>
            <w:pPr>
              <w:pStyle w:val="Normal"/>
              <w:ind w:right="237" w:hanging="0"/>
              <w:jc w:val="both"/>
              <w:rPr>
                <w:i/>
                <w:i/>
                <w:iCs/>
                <w:sz w:val="24"/>
                <w:szCs w:val="24"/>
              </w:rPr>
            </w:pPr>
            <w:r>
              <w:rPr>
                <w:sz w:val="24"/>
                <w:szCs w:val="24"/>
              </w:rPr>
              <w:t xml:space="preserve">2000 words </w:t>
            </w:r>
            <w:r>
              <w:rPr>
                <w:i/>
                <w:iCs/>
                <w:sz w:val="24"/>
                <w:szCs w:val="24"/>
              </w:rPr>
              <w:t>(+/- 10%: include your actual word count at the end of each section)</w:t>
            </w:r>
          </w:p>
          <w:p>
            <w:pPr>
              <w:pStyle w:val="Normal"/>
              <w:rPr>
                <w:color w:val="000000" w:themeColor="text1"/>
                <w:sz w:val="28"/>
                <w:szCs w:val="28"/>
              </w:rPr>
            </w:pPr>
            <w:r>
              <w:rPr>
                <w:color w:val="000000" w:themeColor="text1"/>
                <w:sz w:val="28"/>
                <w:szCs w:val="28"/>
              </w:rPr>
            </w:r>
          </w:p>
        </w:tc>
      </w:tr>
    </w:tbl>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b/>
          <w:b/>
          <w:bCs/>
          <w:color w:val="000000" w:themeColor="text1"/>
          <w:sz w:val="28"/>
          <w:szCs w:val="28"/>
        </w:rPr>
      </w:pPr>
      <w:r>
        <w:rPr>
          <w:b/>
          <w:bCs/>
          <w:color w:val="000000" w:themeColor="text1"/>
          <w:sz w:val="28"/>
          <w:szCs w:val="28"/>
        </w:rPr>
        <w:t xml:space="preserve">Answer: </w:t>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color w:val="000000" w:themeColor="text1"/>
          <w:sz w:val="24"/>
          <w:szCs w:val="24"/>
        </w:rPr>
      </w:pPr>
      <w:r>
        <w:rPr>
          <w:color w:val="000000" w:themeColor="text1"/>
          <w:sz w:val="24"/>
          <w:szCs w:val="24"/>
        </w:rPr>
      </w:r>
    </w:p>
    <w:p>
      <w:pPr>
        <w:pStyle w:val="Normal"/>
        <w:ind w:right="237" w:hanging="0"/>
        <w:jc w:val="both"/>
        <w:rPr>
          <w:b/>
          <w:b/>
          <w:sz w:val="24"/>
          <w:szCs w:val="24"/>
        </w:rPr>
      </w:pPr>
      <w:r>
        <w:rPr>
          <w:b/>
          <w:sz w:val="24"/>
          <w:szCs w:val="24"/>
        </w:rPr>
      </w:r>
    </w:p>
    <w:p>
      <w:pPr>
        <w:pStyle w:val="Normal"/>
        <w:ind w:right="237" w:hanging="0"/>
        <w:rPr/>
      </w:pPr>
      <w:r>
        <w:rPr/>
      </w:r>
      <w:r>
        <w:br w:type="page"/>
      </w:r>
    </w:p>
    <w:p>
      <w:pPr>
        <w:pStyle w:val="Normal"/>
        <w:ind w:left="2880" w:right="225" w:firstLine="720"/>
        <w:rPr>
          <w:b/>
          <w:b/>
          <w:bCs/>
          <w:sz w:val="24"/>
          <w:szCs w:val="24"/>
          <w:lang w:eastAsia="zh-TW"/>
        </w:rPr>
      </w:pPr>
      <w:r>
        <w:rPr>
          <w:b/>
          <w:bCs/>
          <w:sz w:val="24"/>
          <w:szCs w:val="24"/>
          <w:lang w:eastAsia="zh-TW"/>
        </w:rPr>
      </w:r>
    </w:p>
    <w:p>
      <w:pPr>
        <w:pStyle w:val="Normal"/>
        <w:rPr/>
      </w:pPr>
      <w:r>
        <w:rPr>
          <w:rFonts w:eastAsia="Arial"/>
          <w:b/>
          <w:bCs/>
          <w:color w:val="000000" w:themeColor="text1"/>
          <w:sz w:val="24"/>
          <w:szCs w:val="24"/>
        </w:rPr>
        <w:t xml:space="preserve">Authentication signature: </w:t>
      </w:r>
    </w:p>
    <w:p>
      <w:pPr>
        <w:pStyle w:val="Normal"/>
        <w:rPr/>
      </w:pPr>
      <w:r>
        <w:rPr>
          <w:rFonts w:eastAsia="Arial"/>
          <w:b/>
          <w:bCs/>
          <w:color w:val="000000" w:themeColor="text1"/>
          <w:sz w:val="24"/>
          <w:szCs w:val="24"/>
        </w:rPr>
        <w:t xml:space="preserve"> </w:t>
      </w:r>
    </w:p>
    <w:p>
      <w:pPr>
        <w:pStyle w:val="Normal"/>
        <w:rPr/>
      </w:pPr>
      <w:r>
        <w:rPr>
          <w:rFonts w:eastAsia="Arial"/>
          <w:b/>
          <w:bCs/>
          <w:color w:val="000000" w:themeColor="text1"/>
          <w:sz w:val="24"/>
          <w:szCs w:val="24"/>
        </w:rPr>
        <w:t xml:space="preserve">Please sign to confirm that the work submitted is your own and has not been copied from another: </w:t>
      </w:r>
    </w:p>
    <w:p>
      <w:pPr>
        <w:pStyle w:val="Normal"/>
        <w:rPr/>
      </w:pPr>
      <w:r>
        <w:rPr>
          <w:rFonts w:eastAsia="Arial"/>
          <w:b/>
          <w:bCs/>
          <w:color w:val="000000" w:themeColor="text1"/>
          <w:sz w:val="24"/>
          <w:szCs w:val="24"/>
        </w:rPr>
        <w:t xml:space="preserve"> </w:t>
      </w:r>
    </w:p>
    <w:p>
      <w:pPr>
        <w:pStyle w:val="Normal"/>
        <w:rPr/>
      </w:pPr>
      <w:r>
        <w:rPr>
          <w:rFonts w:eastAsia="Arial"/>
          <w:b/>
          <w:bCs/>
          <w:color w:val="000000" w:themeColor="text1"/>
          <w:sz w:val="24"/>
          <w:szCs w:val="24"/>
        </w:rPr>
        <w:t xml:space="preserve">Signed: </w:t>
      </w:r>
    </w:p>
    <w:p>
      <w:pPr>
        <w:pStyle w:val="Normal"/>
        <w:rPr/>
      </w:pPr>
      <w:r>
        <w:rPr>
          <w:rFonts w:eastAsia="Arial"/>
          <w:b/>
          <w:bCs/>
          <w:color w:val="000000" w:themeColor="text1"/>
          <w:sz w:val="24"/>
          <w:szCs w:val="24"/>
        </w:rPr>
        <w:t xml:space="preserve"> </w:t>
      </w:r>
    </w:p>
    <w:p>
      <w:pPr>
        <w:sectPr>
          <w:headerReference w:type="default" r:id="rId8"/>
          <w:footerReference w:type="default" r:id="rId9"/>
          <w:type w:val="nextPage"/>
          <w:pgSz w:w="11906" w:h="16838"/>
          <w:pgMar w:left="1440" w:right="1440" w:header="720" w:top="1440" w:footer="720" w:bottom="1440" w:gutter="0"/>
          <w:pgNumType w:fmt="decimal"/>
          <w:formProt w:val="false"/>
          <w:textDirection w:val="lrTb"/>
          <w:docGrid w:type="default" w:linePitch="272" w:charSpace="8192"/>
        </w:sectPr>
        <w:pStyle w:val="Normal"/>
        <w:rPr/>
      </w:pPr>
      <w:r>
        <w:rPr>
          <w:rFonts w:eastAsia="Arial"/>
          <w:b/>
          <w:bCs/>
          <w:color w:val="000000" w:themeColor="text1"/>
          <w:sz w:val="24"/>
          <w:szCs w:val="24"/>
        </w:rPr>
        <w:t>Date:</w:t>
      </w:r>
    </w:p>
    <w:p>
      <w:pPr>
        <w:pStyle w:val="Normal"/>
        <w:keepNext w:val="true"/>
        <w:spacing w:before="240" w:after="60"/>
        <w:ind w:left="2880" w:right="237" w:firstLine="720"/>
        <w:jc w:val="both"/>
        <w:rPr>
          <w:b/>
          <w:b/>
          <w:sz w:val="24"/>
          <w:szCs w:val="24"/>
        </w:rPr>
      </w:pPr>
      <w:r>
        <w:rPr>
          <w:b/>
          <w:sz w:val="24"/>
          <w:szCs w:val="24"/>
        </w:rPr>
        <w:t>Bibliography</w:t>
      </w:r>
    </w:p>
    <w:p>
      <w:pPr>
        <w:pStyle w:val="Normal"/>
        <w:keepNext w:val="true"/>
        <w:spacing w:before="240" w:after="60"/>
        <w:ind w:right="237" w:hanging="0"/>
        <w:jc w:val="both"/>
        <w:rPr>
          <w:sz w:val="24"/>
          <w:szCs w:val="24"/>
        </w:rPr>
      </w:pPr>
      <w:r>
        <w:rPr>
          <w:sz w:val="24"/>
          <w:szCs w:val="24"/>
        </w:rPr>
        <w:t xml:space="preserve">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 </w:t>
      </w:r>
    </w:p>
    <w:p>
      <w:pPr>
        <w:pStyle w:val="Normal"/>
        <w:keepNext w:val="true"/>
        <w:spacing w:before="240" w:after="60"/>
        <w:ind w:right="237" w:hanging="0"/>
        <w:jc w:val="both"/>
        <w:rPr>
          <w:sz w:val="24"/>
          <w:szCs w:val="24"/>
        </w:rPr>
      </w:pPr>
      <w:r>
        <w:rPr>
          <w:sz w:val="24"/>
          <w:szCs w:val="24"/>
        </w:rPr>
      </w:r>
    </w:p>
    <w:p>
      <w:pPr>
        <w:pStyle w:val="Normal"/>
        <w:keepNext w:val="true"/>
        <w:spacing w:before="240" w:after="60"/>
        <w:ind w:right="237" w:hanging="0"/>
        <w:jc w:val="both"/>
        <w:rPr/>
      </w:pPr>
      <w:r>
        <w:rPr/>
      </w:r>
    </w:p>
    <w:p>
      <w:pPr>
        <w:pStyle w:val="Normal"/>
        <w:rPr/>
      </w:pPr>
      <w:r>
        <w:rPr/>
      </w:r>
    </w:p>
    <w:p>
      <w:pPr>
        <w:pStyle w:val="Normal"/>
        <w:rPr>
          <w:rFonts w:ascii="Times New Roman" w:hAnsi="Times New Roman" w:cs="Times New Roman"/>
          <w:sz w:val="24"/>
          <w:szCs w:val="24"/>
        </w:rPr>
      </w:pPr>
      <w:r>
        <w:rPr>
          <w:rFonts w:cs="Times New Roman" w:ascii="Times New Roman" w:hAnsi="Times New Roman"/>
          <w:sz w:val="24"/>
          <w:szCs w:val="24"/>
        </w:rPr>
      </w:r>
    </w:p>
    <w:p>
      <w:pPr>
        <w:pStyle w:val="Normal"/>
        <w:rPr>
          <w:rFonts w:ascii="Times New Roman" w:hAnsi="Times New Roman" w:cs="Times New Roman"/>
          <w:sz w:val="24"/>
          <w:szCs w:val="24"/>
        </w:rPr>
      </w:pPr>
      <w:r>
        <w:rPr>
          <w:rFonts w:cs="Times New Roman" w:ascii="Times New Roman" w:hAnsi="Times New Roman"/>
          <w:sz w:val="24"/>
          <w:szCs w:val="24"/>
        </w:rPr>
      </w:r>
    </w:p>
    <w:p>
      <w:pPr>
        <w:pStyle w:val="Normal"/>
        <w:rPr>
          <w:rFonts w:ascii="Times New Roman" w:hAnsi="Times New Roman" w:cs="Times New Roman"/>
          <w:sz w:val="24"/>
          <w:szCs w:val="24"/>
        </w:rPr>
      </w:pPr>
      <w:r>
        <w:rPr>
          <w:rFonts w:cs="Times New Roman" w:ascii="Times New Roman" w:hAnsi="Times New Roman"/>
          <w:sz w:val="24"/>
          <w:szCs w:val="24"/>
        </w:rPr>
      </w:r>
    </w:p>
    <w:p>
      <w:pPr>
        <w:pStyle w:val="Normal"/>
        <w:rPr/>
      </w:pPr>
      <w:r>
        <w:rPr>
          <w:i/>
          <w:iCs/>
        </w:rPr>
        <w:t xml:space="preserve">Achieving best evidence – Government 2022 </w:t>
      </w:r>
      <w:r>
        <w:rPr/>
        <w:t>Available at:</w:t>
      </w:r>
    </w:p>
    <w:p>
      <w:pPr>
        <w:pStyle w:val="Normal"/>
        <w:keepNext w:val="true"/>
        <w:spacing w:before="240" w:after="60"/>
        <w:ind w:right="237" w:hanging="0"/>
        <w:jc w:val="both"/>
        <w:rPr/>
      </w:pPr>
      <w:r>
        <w:rPr>
          <w:rFonts w:cs="Times New Roman" w:ascii="Times New Roman" w:hAnsi="Times New Roman"/>
          <w:i/>
          <w:iCs/>
          <w:sz w:val="24"/>
          <w:szCs w:val="24"/>
        </w:rPr>
        <w:t xml:space="preserve">Adults at risk – College of policing 2020. </w:t>
      </w:r>
      <w:r>
        <w:rPr>
          <w:rFonts w:cs="Times New Roman" w:ascii="Times New Roman" w:hAnsi="Times New Roman"/>
          <w:sz w:val="24"/>
          <w:szCs w:val="24"/>
        </w:rPr>
        <w:t xml:space="preserve">Available at: </w:t>
      </w:r>
      <w:r>
        <w:rPr/>
        <w:t xml:space="preserve"> https://www.college.police.uk/app/major-investigation-and-public-protection/adults-risk (accessed 19 January 2024).</w:t>
      </w:r>
    </w:p>
    <w:p>
      <w:pPr>
        <w:pStyle w:val="NormalWeb"/>
        <w:spacing w:before="100" w:after="100"/>
        <w:ind w:left="567" w:hanging="567"/>
        <w:rPr/>
      </w:pPr>
      <w:r>
        <w:rPr/>
        <w:t>Borton, T. (1970) Reach Touch and Teach. New York: McGraw-Hill Paperbacks.</w:t>
      </w:r>
    </w:p>
    <w:p>
      <w:pPr>
        <w:pStyle w:val="Normal"/>
        <w:overflowPunct w:val="false"/>
        <w:spacing w:beforeAutospacing="1" w:afterAutospacing="1"/>
        <w:ind w:left="567" w:hanging="567"/>
        <w:textAlignment w:val="auto"/>
        <w:rPr>
          <w:rFonts w:ascii="Times New Roman" w:hAnsi="Times New Roman" w:cs="Times New Roman"/>
          <w:color w:val="auto"/>
          <w:sz w:val="24"/>
          <w:szCs w:val="24"/>
        </w:rPr>
      </w:pPr>
      <w:r>
        <w:rPr>
          <w:rFonts w:cs="Times New Roman" w:ascii="Times New Roman" w:hAnsi="Times New Roman"/>
          <w:color w:val="auto"/>
          <w:sz w:val="24"/>
          <w:szCs w:val="24"/>
        </w:rPr>
        <w:t xml:space="preserve">Bottaro, A. (2022) </w:t>
      </w:r>
      <w:r>
        <w:rPr>
          <w:rFonts w:cs="Times New Roman" w:ascii="Times New Roman" w:hAnsi="Times New Roman"/>
          <w:i/>
          <w:iCs/>
          <w:color w:val="auto"/>
          <w:sz w:val="24"/>
          <w:szCs w:val="24"/>
        </w:rPr>
        <w:t>What is the cycle of abuse and how do you end it?</w:t>
      </w:r>
      <w:r>
        <w:rPr>
          <w:rFonts w:cs="Times New Roman" w:ascii="Times New Roman" w:hAnsi="Times New Roman"/>
          <w:color w:val="auto"/>
          <w:sz w:val="24"/>
          <w:szCs w:val="24"/>
        </w:rPr>
        <w:t xml:space="preserve">, </w:t>
      </w:r>
      <w:r>
        <w:rPr>
          <w:rFonts w:cs="Times New Roman" w:ascii="Times New Roman" w:hAnsi="Times New Roman"/>
          <w:i/>
          <w:iCs/>
          <w:color w:val="auto"/>
          <w:sz w:val="24"/>
          <w:szCs w:val="24"/>
        </w:rPr>
        <w:t>Verywell Health</w:t>
      </w:r>
      <w:r>
        <w:rPr>
          <w:rFonts w:cs="Times New Roman" w:ascii="Times New Roman" w:hAnsi="Times New Roman"/>
          <w:color w:val="auto"/>
          <w:sz w:val="24"/>
          <w:szCs w:val="24"/>
        </w:rPr>
        <w:t xml:space="preserve">. Available at: https://www.verywellhealth.com/cycle-of-abuse-5210940 (Accessed: 24 August 2023). </w:t>
      </w:r>
    </w:p>
    <w:p>
      <w:pPr>
        <w:pStyle w:val="Normal"/>
        <w:overflowPunct w:val="false"/>
        <w:spacing w:beforeAutospacing="1" w:afterAutospacing="1"/>
        <w:ind w:left="567" w:hanging="567"/>
        <w:textAlignment w:val="auto"/>
        <w:rPr>
          <w:rFonts w:ascii="Times New Roman" w:hAnsi="Times New Roman" w:cs="Times New Roman"/>
          <w:color w:val="auto"/>
          <w:sz w:val="24"/>
          <w:szCs w:val="24"/>
        </w:rPr>
      </w:pPr>
      <w:r>
        <w:rPr>
          <w:rFonts w:cs="Times New Roman" w:ascii="Times New Roman" w:hAnsi="Times New Roman"/>
          <w:i/>
          <w:iCs/>
          <w:color w:val="auto"/>
          <w:sz w:val="24"/>
          <w:szCs w:val="24"/>
        </w:rPr>
        <w:t>British Sign Language Act 2022 - legislation.gov.uk</w:t>
      </w:r>
      <w:r>
        <w:rPr>
          <w:rFonts w:cs="Times New Roman" w:ascii="Times New Roman" w:hAnsi="Times New Roman"/>
          <w:color w:val="auto"/>
          <w:sz w:val="24"/>
          <w:szCs w:val="24"/>
        </w:rPr>
        <w:t xml:space="preserve"> (2022) </w:t>
      </w:r>
      <w:r>
        <w:rPr>
          <w:rFonts w:cs="Times New Roman" w:ascii="Times New Roman" w:hAnsi="Times New Roman"/>
          <w:i/>
          <w:iCs/>
          <w:color w:val="auto"/>
          <w:sz w:val="24"/>
          <w:szCs w:val="24"/>
        </w:rPr>
        <w:t>Legislation</w:t>
      </w:r>
      <w:r>
        <w:rPr>
          <w:rFonts w:cs="Times New Roman" w:ascii="Times New Roman" w:hAnsi="Times New Roman"/>
          <w:color w:val="auto"/>
          <w:sz w:val="24"/>
          <w:szCs w:val="24"/>
        </w:rPr>
        <w:t xml:space="preserve">. Available at: https://www.legislation.gov.uk/ukpga/2022/34/section/4/enacted (Accessed: 19 January 2024). </w:t>
      </w:r>
    </w:p>
    <w:p>
      <w:pPr>
        <w:pStyle w:val="NormalWeb"/>
        <w:spacing w:before="100" w:after="100"/>
        <w:ind w:left="567" w:hanging="567"/>
        <w:rPr/>
      </w:pPr>
      <w:r>
        <w:rPr>
          <w:i/>
          <w:iCs/>
        </w:rPr>
        <w:t>Code of practice for victims of crime in England and Wales (victim's code)</w:t>
      </w:r>
      <w:r>
        <w:rPr/>
        <w:t xml:space="preserve"> (no date) </w:t>
      </w:r>
      <w:r>
        <w:rPr>
          <w:i/>
          <w:iCs/>
        </w:rPr>
        <w:t>GOV.UK</w:t>
      </w:r>
      <w:r>
        <w:rPr/>
        <w:t xml:space="preserve">. Available at: https://www.gov.uk/government/publications/the-code-of-practice-for-victims-of-crime/code-of-practice-for-victims-of-crime-in-england-and-wales-victims-code (Accessed: March 6, 2023). </w:t>
      </w:r>
    </w:p>
    <w:p>
      <w:pPr>
        <w:pStyle w:val="Normal"/>
        <w:rPr>
          <w:rFonts w:ascii="Times New Roman" w:hAnsi="Times New Roman" w:cs="Times New Roman"/>
          <w:sz w:val="24"/>
          <w:szCs w:val="24"/>
        </w:rPr>
      </w:pPr>
      <w:r>
        <w:rPr>
          <w:rFonts w:cs="Times New Roman" w:ascii="Times New Roman" w:hAnsi="Times New Roman"/>
          <w:i/>
          <w:iCs/>
          <w:sz w:val="24"/>
          <w:szCs w:val="24"/>
        </w:rPr>
        <w:t xml:space="preserve">Coercive controlling behaviour, Legislation 2015. </w:t>
      </w:r>
      <w:r>
        <w:rPr>
          <w:rFonts w:cs="Times New Roman" w:ascii="Times New Roman" w:hAnsi="Times New Roman"/>
          <w:sz w:val="24"/>
          <w:szCs w:val="24"/>
        </w:rPr>
        <w:t>Available at: https://www.legislation.gov.uk/ukpga/2015/9/section/76/enacted (Accessed 19 January 2024)</w:t>
      </w:r>
    </w:p>
    <w:p>
      <w:pPr>
        <w:pStyle w:val="NormalWeb"/>
        <w:spacing w:before="100" w:after="100"/>
        <w:ind w:left="567" w:hanging="567"/>
        <w:rPr/>
      </w:pPr>
      <w:r>
        <w:rPr/>
        <w:t xml:space="preserve">College of Policing (2023) </w:t>
      </w:r>
      <w:r>
        <w:rPr>
          <w:i/>
          <w:iCs/>
        </w:rPr>
        <w:t>Conflict management skills</w:t>
      </w:r>
      <w:r>
        <w:rPr/>
        <w:t xml:space="preserve">. Available at: https://www.college.police.uk/guidance/conflict-management/conflict-management-skills (Accessed: 11 May 2023). </w:t>
      </w:r>
    </w:p>
    <w:p>
      <w:pPr>
        <w:pStyle w:val="NormalWeb"/>
        <w:spacing w:before="100" w:after="100"/>
        <w:ind w:left="567" w:hanging="567"/>
        <w:rPr/>
      </w:pPr>
      <w:r>
        <w:rPr/>
        <w:t xml:space="preserve">College of policing (2023) </w:t>
      </w:r>
      <w:r>
        <w:rPr>
          <w:i/>
          <w:iCs/>
        </w:rPr>
        <w:t>National decision model</w:t>
      </w:r>
      <w:r>
        <w:rPr/>
        <w:t xml:space="preserve">. Available at: https://www.college.police.uk/app/national-decision-model/national-decision-model (Accessed: 15 May 2023). </w:t>
      </w:r>
    </w:p>
    <w:p>
      <w:pPr>
        <w:pStyle w:val="NormalWeb"/>
        <w:spacing w:before="100" w:after="100"/>
        <w:ind w:left="567" w:hanging="567"/>
        <w:rPr/>
      </w:pPr>
      <w:r>
        <w:rPr/>
        <w:t xml:space="preserve">College of Policing (2023) </w:t>
      </w:r>
      <w:r>
        <w:rPr>
          <w:i/>
          <w:iCs/>
        </w:rPr>
        <w:t>Rapport building</w:t>
      </w:r>
      <w:r>
        <w:rPr/>
        <w:t xml:space="preserve">. Available at: https://www.college.police.uk/guidance/obtaining-initial-accounts/rapport-building (Accessed: 11 May 2023). </w:t>
      </w:r>
    </w:p>
    <w:p>
      <w:pPr>
        <w:pStyle w:val="Normal"/>
        <w:overflowPunct w:val="false"/>
        <w:spacing w:beforeAutospacing="1" w:afterAutospacing="1"/>
        <w:ind w:left="567" w:hanging="567"/>
        <w:textAlignment w:val="auto"/>
        <w:rPr>
          <w:rFonts w:ascii="Times New Roman" w:hAnsi="Times New Roman" w:cs="Times New Roman"/>
          <w:color w:val="auto"/>
          <w:sz w:val="24"/>
          <w:szCs w:val="24"/>
        </w:rPr>
      </w:pPr>
      <w:r>
        <w:rPr>
          <w:rFonts w:cs="Times New Roman" w:ascii="Times New Roman" w:hAnsi="Times New Roman"/>
          <w:i/>
          <w:iCs/>
          <w:color w:val="auto"/>
          <w:sz w:val="24"/>
          <w:szCs w:val="24"/>
        </w:rPr>
        <w:t>Conflict management skills</w:t>
      </w:r>
      <w:r>
        <w:rPr>
          <w:rFonts w:cs="Times New Roman" w:ascii="Times New Roman" w:hAnsi="Times New Roman"/>
          <w:color w:val="auto"/>
          <w:sz w:val="24"/>
          <w:szCs w:val="24"/>
        </w:rPr>
        <w:t xml:space="preserve"> (2023) </w:t>
      </w:r>
      <w:r>
        <w:rPr>
          <w:rFonts w:cs="Times New Roman" w:ascii="Times New Roman" w:hAnsi="Times New Roman"/>
          <w:i/>
          <w:iCs/>
          <w:color w:val="auto"/>
          <w:sz w:val="24"/>
          <w:szCs w:val="24"/>
        </w:rPr>
        <w:t>College of Policing</w:t>
      </w:r>
      <w:r>
        <w:rPr>
          <w:rFonts w:cs="Times New Roman" w:ascii="Times New Roman" w:hAnsi="Times New Roman"/>
          <w:color w:val="auto"/>
          <w:sz w:val="24"/>
          <w:szCs w:val="24"/>
        </w:rPr>
        <w:t xml:space="preserve">. Available at: https://www.college.police.uk/guidance/conflict-management/conflict-management-skills (Accessed: 24 August 2023). </w:t>
      </w:r>
    </w:p>
    <w:p>
      <w:pPr>
        <w:pStyle w:val="NormalWeb"/>
        <w:spacing w:before="100" w:after="100"/>
        <w:ind w:left="567" w:hanging="567"/>
        <w:rPr/>
      </w:pPr>
      <w:r>
        <w:rPr/>
        <w:t xml:space="preserve">Crown prosecution service (2023) </w:t>
      </w:r>
      <w:r>
        <w:rPr>
          <w:i/>
          <w:iCs/>
        </w:rPr>
        <w:t>Special Measures | The Crown Prosecution Service</w:t>
      </w:r>
      <w:r>
        <w:rPr/>
        <w:t xml:space="preserve">. Available at: https://www.cps.gov.uk/legal-guidance/special-measures (Accessed: 11 May 2023). </w:t>
      </w:r>
    </w:p>
    <w:p>
      <w:pPr>
        <w:pStyle w:val="Normal"/>
        <w:rPr>
          <w:rFonts w:ascii="Times New Roman" w:hAnsi="Times New Roman" w:cs="Times New Roman"/>
          <w:sz w:val="24"/>
          <w:szCs w:val="24"/>
        </w:rPr>
      </w:pPr>
      <w:r>
        <w:rPr>
          <w:rFonts w:cs="Times New Roman" w:ascii="Times New Roman" w:hAnsi="Times New Roman"/>
          <w:sz w:val="24"/>
          <w:szCs w:val="24"/>
        </w:rPr>
        <w:t>https://womenagainstabuse.org/education-resources/learn-about-abuse/why-its-so-difficult-to-leave#:~:text=Leaving%20can%20be%20dangerous%3A%20Many%20people%20experiencing%20intimate,child%2C%20family%20member%20or%20pet%20if%20they%20leave. (Accessed 19</w:t>
      </w:r>
      <w:r>
        <w:rPr>
          <w:rFonts w:cs="Times New Roman" w:ascii="Times New Roman" w:hAnsi="Times New Roman"/>
          <w:sz w:val="24"/>
          <w:szCs w:val="24"/>
          <w:vertAlign w:val="superscript"/>
        </w:rPr>
        <w:t>th</w:t>
      </w:r>
      <w:r>
        <w:rPr>
          <w:rFonts w:cs="Times New Roman" w:ascii="Times New Roman" w:hAnsi="Times New Roman"/>
          <w:sz w:val="24"/>
          <w:szCs w:val="24"/>
        </w:rPr>
        <w:t xml:space="preserve"> January 2024)</w:t>
      </w:r>
    </w:p>
    <w:p>
      <w:pPr>
        <w:pStyle w:val="Normal"/>
        <w:rPr>
          <w:rFonts w:ascii="Times New Roman" w:hAnsi="Times New Roman" w:cs="Times New Roman"/>
          <w:sz w:val="24"/>
          <w:szCs w:val="24"/>
        </w:rPr>
      </w:pPr>
      <w:r>
        <w:rPr/>
        <w:t>https://www.gov.uk/government/publications/achieving-best-evidence-in-criminal-proceedings (Accessed 19th January 2024)</w:t>
      </w:r>
    </w:p>
    <w:p>
      <w:pPr>
        <w:pStyle w:val="NormalWeb"/>
        <w:spacing w:before="100" w:after="100"/>
        <w:ind w:left="567" w:hanging="567"/>
        <w:rPr/>
      </w:pPr>
      <w:r>
        <w:rPr/>
        <w:t xml:space="preserve">Medical news today (2020) </w:t>
      </w:r>
      <w:r>
        <w:rPr>
          <w:i/>
          <w:iCs/>
        </w:rPr>
        <w:t>Coercive control: Definition, signs, and what to do</w:t>
      </w:r>
      <w:r>
        <w:rPr/>
        <w:t xml:space="preserve">. Available at: https://www.medicalnewstoday.com/articles/coercive-control#:~:text=Coercive%20control%20is%20a%20pattern%20of%20behaviors%20that,threats%2C%20exerting%20financial%20control%2C%20and%20using%20sexual%20coercion. (Accessed: 11 May 2023). </w:t>
      </w:r>
    </w:p>
    <w:p>
      <w:pPr>
        <w:pStyle w:val="Normal"/>
        <w:overflowPunct w:val="false"/>
        <w:spacing w:beforeAutospacing="1" w:afterAutospacing="1"/>
        <w:ind w:left="567" w:hanging="567"/>
        <w:textAlignment w:val="auto"/>
        <w:rPr>
          <w:rFonts w:ascii="Times New Roman" w:hAnsi="Times New Roman" w:cs="Times New Roman"/>
          <w:color w:val="auto"/>
          <w:sz w:val="24"/>
          <w:szCs w:val="24"/>
        </w:rPr>
      </w:pPr>
      <w:r>
        <w:rPr>
          <w:rFonts w:cs="Times New Roman" w:ascii="Times New Roman" w:hAnsi="Times New Roman"/>
          <w:i/>
          <w:iCs/>
          <w:color w:val="auto"/>
          <w:sz w:val="24"/>
          <w:szCs w:val="24"/>
        </w:rPr>
        <w:t>Multi-agency risk assessment conference (MARAC)</w:t>
      </w:r>
      <w:r>
        <w:rPr>
          <w:rFonts w:cs="Times New Roman" w:ascii="Times New Roman" w:hAnsi="Times New Roman"/>
          <w:color w:val="auto"/>
          <w:sz w:val="24"/>
          <w:szCs w:val="24"/>
        </w:rPr>
        <w:t xml:space="preserve"> (2023) </w:t>
      </w:r>
      <w:r>
        <w:rPr>
          <w:rFonts w:cs="Times New Roman" w:ascii="Times New Roman" w:hAnsi="Times New Roman"/>
          <w:i/>
          <w:iCs/>
          <w:color w:val="auto"/>
          <w:sz w:val="24"/>
          <w:szCs w:val="24"/>
        </w:rPr>
        <w:t>Domestic Abuse</w:t>
      </w:r>
      <w:r>
        <w:rPr>
          <w:rFonts w:cs="Times New Roman" w:ascii="Times New Roman" w:hAnsi="Times New Roman"/>
          <w:color w:val="auto"/>
          <w:sz w:val="24"/>
          <w:szCs w:val="24"/>
        </w:rPr>
        <w:t xml:space="preserve">. Available at: https://www.domesticabuseservices.org.uk/latest-news-articles-advice/marac/ (Accessed: 24 August 2023). </w:t>
      </w:r>
    </w:p>
    <w:p>
      <w:pPr>
        <w:pStyle w:val="Normal"/>
        <w:overflowPunct w:val="false"/>
        <w:spacing w:beforeAutospacing="1" w:afterAutospacing="1"/>
        <w:ind w:left="567" w:hanging="567"/>
        <w:textAlignment w:val="auto"/>
        <w:rPr>
          <w:rFonts w:ascii="Times New Roman" w:hAnsi="Times New Roman" w:cs="Times New Roman"/>
          <w:color w:val="auto"/>
          <w:sz w:val="24"/>
          <w:szCs w:val="24"/>
        </w:rPr>
      </w:pPr>
      <w:r>
        <w:rPr>
          <w:rFonts w:cs="Times New Roman" w:ascii="Times New Roman" w:hAnsi="Times New Roman"/>
          <w:color w:val="auto"/>
          <w:sz w:val="24"/>
          <w:szCs w:val="24"/>
        </w:rPr>
        <w:t xml:space="preserve">Participation, E. (1978) </w:t>
      </w:r>
      <w:r>
        <w:rPr>
          <w:rFonts w:cs="Times New Roman" w:ascii="Times New Roman" w:hAnsi="Times New Roman"/>
          <w:i/>
          <w:iCs/>
          <w:color w:val="auto"/>
          <w:sz w:val="24"/>
          <w:szCs w:val="24"/>
        </w:rPr>
        <w:t>Offences against the Person Act 1861</w:t>
      </w:r>
      <w:r>
        <w:rPr>
          <w:rFonts w:cs="Times New Roman" w:ascii="Times New Roman" w:hAnsi="Times New Roman"/>
          <w:color w:val="auto"/>
          <w:sz w:val="24"/>
          <w:szCs w:val="24"/>
        </w:rPr>
        <w:t xml:space="preserve">, </w:t>
      </w:r>
      <w:r>
        <w:rPr>
          <w:rFonts w:cs="Times New Roman" w:ascii="Times New Roman" w:hAnsi="Times New Roman"/>
          <w:i/>
          <w:iCs/>
          <w:color w:val="auto"/>
          <w:sz w:val="24"/>
          <w:szCs w:val="24"/>
        </w:rPr>
        <w:t>Legislation.gov.uk</w:t>
      </w:r>
      <w:r>
        <w:rPr>
          <w:rFonts w:cs="Times New Roman" w:ascii="Times New Roman" w:hAnsi="Times New Roman"/>
          <w:color w:val="auto"/>
          <w:sz w:val="24"/>
          <w:szCs w:val="24"/>
        </w:rPr>
        <w:t xml:space="preserve">. Available at: https://www.legislation.gov.uk/ukpga/Vict/24-25/100/section/47 (Accessed: 13 July 2023). </w:t>
      </w:r>
    </w:p>
    <w:p>
      <w:pPr>
        <w:pStyle w:val="Normal"/>
        <w:overflowPunct w:val="false"/>
        <w:spacing w:beforeAutospacing="1" w:afterAutospacing="1"/>
        <w:ind w:left="567" w:hanging="567"/>
        <w:textAlignment w:val="auto"/>
        <w:rPr>
          <w:rFonts w:ascii="Times New Roman" w:hAnsi="Times New Roman" w:cs="Times New Roman"/>
          <w:color w:val="auto"/>
          <w:sz w:val="24"/>
          <w:szCs w:val="24"/>
        </w:rPr>
      </w:pPr>
      <w:r>
        <w:rPr>
          <w:rFonts w:cs="Times New Roman" w:ascii="Times New Roman" w:hAnsi="Times New Roman"/>
          <w:color w:val="auto"/>
          <w:sz w:val="24"/>
          <w:szCs w:val="24"/>
        </w:rPr>
        <w:t xml:space="preserve">Participation, E. (1978) </w:t>
      </w:r>
      <w:r>
        <w:rPr>
          <w:rFonts w:cs="Times New Roman" w:ascii="Times New Roman" w:hAnsi="Times New Roman"/>
          <w:i/>
          <w:iCs/>
          <w:color w:val="auto"/>
          <w:sz w:val="24"/>
          <w:szCs w:val="24"/>
        </w:rPr>
        <w:t>Offences against the Person Act 1861</w:t>
      </w:r>
      <w:r>
        <w:rPr>
          <w:rFonts w:cs="Times New Roman" w:ascii="Times New Roman" w:hAnsi="Times New Roman"/>
          <w:color w:val="auto"/>
          <w:sz w:val="24"/>
          <w:szCs w:val="24"/>
        </w:rPr>
        <w:t xml:space="preserve">, </w:t>
      </w:r>
      <w:r>
        <w:rPr>
          <w:rFonts w:cs="Times New Roman" w:ascii="Times New Roman" w:hAnsi="Times New Roman"/>
          <w:i/>
          <w:iCs/>
          <w:color w:val="auto"/>
          <w:sz w:val="24"/>
          <w:szCs w:val="24"/>
        </w:rPr>
        <w:t>Legislation.gov.uk</w:t>
      </w:r>
      <w:r>
        <w:rPr>
          <w:rFonts w:cs="Times New Roman" w:ascii="Times New Roman" w:hAnsi="Times New Roman"/>
          <w:color w:val="auto"/>
          <w:sz w:val="24"/>
          <w:szCs w:val="24"/>
        </w:rPr>
        <w:t xml:space="preserve">. Available at: https://www.legislation.gov.uk/ukpga/Vict/24-25/100/section/47 (Accessed: 24 August 2023). </w:t>
      </w:r>
    </w:p>
    <w:p>
      <w:pPr>
        <w:pStyle w:val="Normal"/>
        <w:overflowPunct w:val="false"/>
        <w:spacing w:beforeAutospacing="1" w:afterAutospacing="1"/>
        <w:ind w:left="567" w:hanging="567"/>
        <w:textAlignment w:val="auto"/>
        <w:rPr>
          <w:rFonts w:ascii="Times New Roman" w:hAnsi="Times New Roman" w:cs="Times New Roman"/>
          <w:color w:val="auto"/>
          <w:sz w:val="24"/>
          <w:szCs w:val="24"/>
        </w:rPr>
      </w:pPr>
      <w:r>
        <w:rPr>
          <w:rFonts w:cs="Times New Roman" w:ascii="Times New Roman" w:hAnsi="Times New Roman"/>
          <w:color w:val="auto"/>
          <w:sz w:val="24"/>
          <w:szCs w:val="24"/>
        </w:rPr>
        <w:t xml:space="preserve">Participation, E. (1978a) </w:t>
      </w:r>
      <w:r>
        <w:rPr>
          <w:rFonts w:cs="Times New Roman" w:ascii="Times New Roman" w:hAnsi="Times New Roman"/>
          <w:i/>
          <w:iCs/>
          <w:color w:val="auto"/>
          <w:sz w:val="24"/>
          <w:szCs w:val="24"/>
        </w:rPr>
        <w:t>Offences against the Person Act 1861</w:t>
      </w:r>
      <w:r>
        <w:rPr>
          <w:rFonts w:cs="Times New Roman" w:ascii="Times New Roman" w:hAnsi="Times New Roman"/>
          <w:color w:val="auto"/>
          <w:sz w:val="24"/>
          <w:szCs w:val="24"/>
        </w:rPr>
        <w:t xml:space="preserve">, </w:t>
      </w:r>
      <w:r>
        <w:rPr>
          <w:rFonts w:cs="Times New Roman" w:ascii="Times New Roman" w:hAnsi="Times New Roman"/>
          <w:i/>
          <w:iCs/>
          <w:color w:val="auto"/>
          <w:sz w:val="24"/>
          <w:szCs w:val="24"/>
        </w:rPr>
        <w:t>Legislation.gov.uk</w:t>
      </w:r>
      <w:r>
        <w:rPr>
          <w:rFonts w:cs="Times New Roman" w:ascii="Times New Roman" w:hAnsi="Times New Roman"/>
          <w:color w:val="auto"/>
          <w:sz w:val="24"/>
          <w:szCs w:val="24"/>
        </w:rPr>
        <w:t xml:space="preserve">. Available at: https://www.legislation.gov.uk/ukpga/Vict/24-25/100/section/20 (Accessed: 24 August 2023). </w:t>
      </w:r>
    </w:p>
    <w:p>
      <w:pPr>
        <w:pStyle w:val="Normal"/>
        <w:rPr/>
      </w:pPr>
      <w:r>
        <w:rPr>
          <w:rFonts w:cs="Times New Roman" w:ascii="Times New Roman" w:hAnsi="Times New Roman"/>
          <w:i/>
          <w:iCs/>
          <w:sz w:val="24"/>
          <w:szCs w:val="24"/>
        </w:rPr>
        <w:t>Power and control wheel</w:t>
      </w:r>
      <w:r>
        <w:rPr>
          <w:i/>
          <w:iCs/>
        </w:rPr>
        <w:t xml:space="preserve"> </w:t>
      </w:r>
      <w:r>
        <w:rPr/>
        <w:t>– Crushedbutnotbroken 2024.Available at: https://www.crushedbutnotbroken.org/education-prevention/power-and-control-wheel/ (Accessed 19 January 2024).</w:t>
      </w:r>
    </w:p>
    <w:p>
      <w:pPr>
        <w:pStyle w:val="Normal"/>
        <w:rPr/>
      </w:pPr>
      <w:r>
        <w:rPr>
          <w:rFonts w:cs="Times New Roman" w:ascii="Times New Roman" w:hAnsi="Times New Roman"/>
          <w:i/>
          <w:iCs/>
          <w:sz w:val="24"/>
          <w:szCs w:val="24"/>
        </w:rPr>
        <w:t xml:space="preserve">Why it’s so difficult to leave , Women against Abuse , 2024. </w:t>
      </w:r>
      <w:r>
        <w:rPr>
          <w:rFonts w:cs="Times New Roman" w:ascii="Times New Roman" w:hAnsi="Times New Roman"/>
          <w:sz w:val="24"/>
          <w:szCs w:val="24"/>
        </w:rPr>
        <w:t>Available at:</w:t>
      </w:r>
    </w:p>
    <w:sectPr>
      <w:headerReference w:type="default" r:id="rId10"/>
      <w:footerReference w:type="default" r:id="rId11"/>
      <w:type w:val="nextPage"/>
      <w:pgSz w:w="11906" w:h="16838"/>
      <w:pgMar w:left="1440" w:right="1440" w:header="720" w:top="1440" w:footer="720" w:bottom="1440" w:gutter="0"/>
      <w:pgNumType w:fmt="decimal"/>
      <w:formProt w:val="false"/>
      <w:textDirection w:val="lrTb"/>
      <w:docGrid w:type="default" w:linePitch="272" w:charSpace="8192"/>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Arial">
    <w:charset w:val="00"/>
    <w:family w:val="roman"/>
    <w:pitch w:val="variable"/>
  </w:font>
  <w:font w:name="Cambria">
    <w:charset w:val="00"/>
    <w:family w:val="roman"/>
    <w:pitch w:val="variable"/>
  </w:font>
  <w:font w:name="Tahoma">
    <w:charset w:val="00"/>
    <w:family w:val="roman"/>
    <w:pitch w:val="variable"/>
  </w:font>
  <w:font w:name="Calibri">
    <w:charset w:val="00"/>
    <w:family w:val="roman"/>
    <w:pitch w:val="variable"/>
  </w:font>
  <w:font w:name="Segoe UI">
    <w:charset w:val="00"/>
    <w:family w:val="roman"/>
    <w:pitch w:val="variable"/>
  </w:font>
  <w:font w:name="Courier New">
    <w:charset w:val="01"/>
    <w:family w:val="modern"/>
    <w:pitch w:val="fixed"/>
  </w:font>
  <w:font w:name="Wingdings">
    <w:charset w:val="02"/>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jc w:val="right"/>
      <w:rPr/>
    </w:pPr>
    <w:r>
      <w:rPr/>
      <w:fldChar w:fldCharType="begin"/>
    </w:r>
    <w:r>
      <w:rPr/>
      <w:instrText> PAGE </w:instrText>
    </w:r>
    <w:r>
      <w:rPr/>
      <w:fldChar w:fldCharType="separate"/>
    </w:r>
    <w:r>
      <w:rPr/>
      <w:t>15</w:t>
    </w:r>
    <w:r>
      <w:rPr/>
      <w:fldChar w:fldCharType="end"/>
    </w:r>
  </w:p>
  <w:p>
    <w:pPr>
      <w:pStyle w:val="Footer"/>
      <w:ind w:right="360" w:hanging="0"/>
      <w:jc w:val="cen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jc w:val="right"/>
      <w:rPr/>
    </w:pPr>
    <w:r>
      <w:rPr/>
      <w:fldChar w:fldCharType="begin"/>
    </w:r>
    <w:r>
      <w:rPr/>
      <w:instrText> PAGE </w:instrText>
    </w:r>
    <w:r>
      <w:rPr/>
      <w:fldChar w:fldCharType="separate"/>
    </w:r>
    <w:r>
      <w:rPr/>
      <w:t>23</w:t>
    </w:r>
    <w:r>
      <w:rPr/>
      <w:fldChar w:fldCharType="end"/>
    </w:r>
  </w:p>
  <w:p>
    <w:pPr>
      <w:pStyle w:val="Footer"/>
      <w:ind w:right="360" w:hanging="0"/>
      <w:jc w:val="center"/>
      <w:rPr/>
    </w:pPr>
    <w:r>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rPr/>
    </w:pPr>
    <w:r>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rPr/>
    </w:pPr>
    <w:r>
      <w:rPr/>
    </w:r>
  </w:p>
</w:hd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decimal"/>
      <w:lvlText w:val="%1."/>
      <w:lvlJc w:val="left"/>
      <w:pPr>
        <w:ind w:left="720" w:hanging="360"/>
      </w:pPr>
    </w:lvl>
    <w:lvl w:ilvl="1">
      <w:start w:val="1"/>
      <w:numFmt w:val="decimal"/>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lvl w:ilvl="0">
      <w:start w:val="1"/>
      <w:numFmt w:val="bullet"/>
      <w:lvlText w:val=""/>
      <w:lvlJc w:val="left"/>
      <w:pPr>
        <w:ind w:left="720" w:hanging="360"/>
      </w:pPr>
      <w:rPr>
        <w:rFonts w:ascii="Symbol" w:hAnsi="Symbol" w:cs="Symbol" w:hint="default"/>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3">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4">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5">
    <w:lvl w:ilvl="0">
      <w:start w:val="1"/>
      <w:numFmt w:val="bullet"/>
      <w:lvlText w:val=""/>
      <w:lvlJc w:val="left"/>
      <w:pPr>
        <w:ind w:left="720" w:hanging="360"/>
      </w:pPr>
      <w:rPr>
        <w:rFonts w:ascii="Symbol" w:hAnsi="Symbol" w:cs="Symbol" w:hint="default"/>
        <w:sz w:val="24"/>
        <w:color w:val="auto"/>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6">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7">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w="http://schemas.openxmlformats.org/wordprocessingml/2006/main">
  <w:zoom w:percent="158"/>
  <w:defaultTabStop w:val="720"/>
  <w:compat>
    <w:doNotExpandShiftReturn/>
  </w:compat>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zh-TW"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Times New Roman" w:cs="Times New Roman"/>
        <w:lang w:val="en-GB" w:eastAsia="zh-TW" w:bidi="ar-SA"/>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390074"/>
    <w:pPr>
      <w:widowControl/>
      <w:overflowPunct w:val="true"/>
      <w:bidi w:val="0"/>
      <w:jc w:val="left"/>
      <w:textAlignment w:val="baseline"/>
    </w:pPr>
    <w:rPr>
      <w:rFonts w:ascii="Arial" w:hAnsi="Arial" w:cs="Arial" w:eastAsia="Times New Roman"/>
      <w:color w:val="000000"/>
      <w:kern w:val="0"/>
      <w:sz w:val="20"/>
      <w:szCs w:val="20"/>
      <w:lang w:eastAsia="en-GB" w:val="en-GB" w:bidi="ar-SA"/>
    </w:rPr>
  </w:style>
  <w:style w:type="paragraph" w:styleId="Heading1">
    <w:name w:val="Heading 1"/>
    <w:basedOn w:val="Normal"/>
    <w:next w:val="Normal"/>
    <w:qFormat/>
    <w:pPr>
      <w:keepNext w:val="true"/>
      <w:spacing w:before="240" w:after="60"/>
      <w:outlineLvl w:val="0"/>
    </w:pPr>
    <w:rPr>
      <w:b/>
      <w:kern w:val="2"/>
      <w:sz w:val="28"/>
    </w:rPr>
  </w:style>
  <w:style w:type="paragraph" w:styleId="Heading2">
    <w:name w:val="Heading 2"/>
    <w:basedOn w:val="Normal"/>
    <w:next w:val="Normal"/>
    <w:link w:val="Heading2Char"/>
    <w:uiPriority w:val="9"/>
    <w:qFormat/>
    <w:rsid w:val="00f927a1"/>
    <w:pPr>
      <w:keepNext w:val="true"/>
      <w:spacing w:before="240" w:after="60"/>
      <w:outlineLvl w:val="1"/>
    </w:pPr>
    <w:rPr>
      <w:rFonts w:ascii="Cambria" w:hAnsi="Cambria" w:cs="Times New Roman"/>
      <w:b/>
      <w:bCs/>
      <w:i/>
      <w:iCs/>
      <w:sz w:val="28"/>
      <w:szCs w:val="28"/>
    </w:rPr>
  </w:style>
  <w:style w:type="character" w:styleId="DefaultParagraphFont" w:default="1">
    <w:name w:val="Default Paragraph Font"/>
    <w:uiPriority w:val="1"/>
    <w:semiHidden/>
    <w:unhideWhenUsed/>
    <w:qFormat/>
    <w:rPr/>
  </w:style>
  <w:style w:type="character" w:styleId="Pagenumber">
    <w:name w:val="page number"/>
    <w:semiHidden/>
    <w:qFormat/>
    <w:rPr/>
  </w:style>
  <w:style w:type="character" w:styleId="InternetLink">
    <w:name w:val="Internet Link"/>
    <w:rsid w:val="00ea4d48"/>
    <w:rPr>
      <w:color w:val="0000FF"/>
      <w:u w:val="single"/>
    </w:rPr>
  </w:style>
  <w:style w:type="character" w:styleId="Annotationreference">
    <w:name w:val="annotation reference"/>
    <w:uiPriority w:val="99"/>
    <w:semiHidden/>
    <w:unhideWhenUsed/>
    <w:qFormat/>
    <w:rsid w:val="0057780f"/>
    <w:rPr>
      <w:sz w:val="16"/>
      <w:szCs w:val="16"/>
    </w:rPr>
  </w:style>
  <w:style w:type="character" w:styleId="CommentTextChar" w:customStyle="1">
    <w:name w:val="Comment Text Char"/>
    <w:link w:val="CommentText"/>
    <w:uiPriority w:val="99"/>
    <w:semiHidden/>
    <w:qFormat/>
    <w:rsid w:val="0057780f"/>
    <w:rPr>
      <w:rFonts w:ascii="Arial" w:hAnsi="Arial" w:cs="Arial"/>
      <w:color w:val="000000"/>
    </w:rPr>
  </w:style>
  <w:style w:type="character" w:styleId="CommentSubjectChar" w:customStyle="1">
    <w:name w:val="Comment Subject Char"/>
    <w:link w:val="CommentSubject"/>
    <w:uiPriority w:val="99"/>
    <w:semiHidden/>
    <w:qFormat/>
    <w:rsid w:val="0057780f"/>
    <w:rPr>
      <w:rFonts w:ascii="Arial" w:hAnsi="Arial" w:cs="Arial"/>
      <w:b/>
      <w:bCs/>
      <w:color w:val="000000"/>
    </w:rPr>
  </w:style>
  <w:style w:type="character" w:styleId="Heading2Char" w:customStyle="1">
    <w:name w:val="Heading 2 Char"/>
    <w:link w:val="Heading2"/>
    <w:uiPriority w:val="9"/>
    <w:semiHidden/>
    <w:qFormat/>
    <w:rsid w:val="00f927a1"/>
    <w:rPr>
      <w:rFonts w:ascii="Cambria" w:hAnsi="Cambria" w:eastAsia="Times New Roman" w:cs="Times New Roman"/>
      <w:b/>
      <w:bCs/>
      <w:i/>
      <w:iCs/>
      <w:color w:val="000000"/>
      <w:sz w:val="28"/>
      <w:szCs w:val="28"/>
    </w:rPr>
  </w:style>
  <w:style w:type="character" w:styleId="BodyText3Char" w:customStyle="1">
    <w:name w:val="Body Text 3 Char"/>
    <w:link w:val="BodyText3"/>
    <w:uiPriority w:val="99"/>
    <w:semiHidden/>
    <w:qFormat/>
    <w:rsid w:val="00f927a1"/>
    <w:rPr>
      <w:rFonts w:ascii="Arial" w:hAnsi="Arial" w:cs="Arial"/>
      <w:color w:val="000000"/>
      <w:sz w:val="16"/>
      <w:szCs w:val="16"/>
    </w:rPr>
  </w:style>
  <w:style w:type="character" w:styleId="FooterChar" w:customStyle="1">
    <w:name w:val="Footer Char"/>
    <w:link w:val="Footer"/>
    <w:uiPriority w:val="99"/>
    <w:qFormat/>
    <w:rsid w:val="00727c4c"/>
    <w:rPr>
      <w:rFonts w:ascii="Arial" w:hAnsi="Arial" w:cs="Arial"/>
      <w:color w:val="000000"/>
    </w:rPr>
  </w:style>
  <w:style w:type="character" w:styleId="Normaltextrun" w:customStyle="1">
    <w:name w:val="normaltextrun"/>
    <w:basedOn w:val="DefaultParagraphFont"/>
    <w:qFormat/>
    <w:rsid w:val="00a221ab"/>
    <w:rPr/>
  </w:style>
  <w:style w:type="character" w:styleId="Eop" w:customStyle="1">
    <w:name w:val="eop"/>
    <w:basedOn w:val="DefaultParagraphFont"/>
    <w:qFormat/>
    <w:rsid w:val="00a221ab"/>
    <w:rPr/>
  </w:style>
  <w:style w:type="character" w:styleId="Contextualspellingandgrammarerror" w:customStyle="1">
    <w:name w:val="contextualspellingandgrammarerror"/>
    <w:basedOn w:val="DefaultParagraphFont"/>
    <w:qFormat/>
    <w:rsid w:val="00a221ab"/>
    <w:rPr/>
  </w:style>
  <w:style w:type="character" w:styleId="UnresolvedMention">
    <w:name w:val="Unresolved Mention"/>
    <w:basedOn w:val="DefaultParagraphFont"/>
    <w:uiPriority w:val="99"/>
    <w:semiHidden/>
    <w:unhideWhenUsed/>
    <w:qFormat/>
    <w:rsid w:val="00770792"/>
    <w:rPr>
      <w:color w:val="605E5C"/>
      <w:shd w:fill="E1DFDD" w:val="clear"/>
    </w:rPr>
  </w:style>
  <w:style w:type="character" w:styleId="FollowedHyperlink">
    <w:name w:val="FollowedHyperlink"/>
    <w:basedOn w:val="DefaultParagraphFont"/>
    <w:uiPriority w:val="99"/>
    <w:semiHidden/>
    <w:unhideWhenUsed/>
    <w:qFormat/>
    <w:rsid w:val="001d1809"/>
    <w:rPr>
      <w:color w:val="954F72" w:themeColor="followedHyperlink"/>
      <w:u w:val="single"/>
    </w:rPr>
  </w:style>
  <w:style w:type="character" w:styleId="ListLabel1">
    <w:name w:val="ListLabel 1"/>
    <w:qFormat/>
    <w:rPr>
      <w:rFonts w:cs="Courier New"/>
    </w:rPr>
  </w:style>
  <w:style w:type="character" w:styleId="ListLabel2">
    <w:name w:val="ListLabel 2"/>
    <w:qFormat/>
    <w:rPr>
      <w:rFonts w:cs="Courier New"/>
    </w:rPr>
  </w:style>
  <w:style w:type="character" w:styleId="ListLabel3">
    <w:name w:val="ListLabel 3"/>
    <w:qFormat/>
    <w:rPr>
      <w:rFonts w:cs="Courier New"/>
    </w:rPr>
  </w:style>
  <w:style w:type="character" w:styleId="ListLabel4">
    <w:name w:val="ListLabel 4"/>
    <w:qFormat/>
    <w:rPr>
      <w:rFonts w:cs="Courier New"/>
    </w:rPr>
  </w:style>
  <w:style w:type="character" w:styleId="ListLabel5">
    <w:name w:val="ListLabel 5"/>
    <w:qFormat/>
    <w:rPr>
      <w:rFonts w:cs="Courier New"/>
    </w:rPr>
  </w:style>
  <w:style w:type="character" w:styleId="ListLabel6">
    <w:name w:val="ListLabel 6"/>
    <w:qFormat/>
    <w:rPr>
      <w:rFonts w:cs="Courier New"/>
    </w:rPr>
  </w:style>
  <w:style w:type="character" w:styleId="ListLabel7">
    <w:name w:val="ListLabel 7"/>
    <w:qFormat/>
    <w:rPr>
      <w:rFonts w:cs="Courier New"/>
    </w:rPr>
  </w:style>
  <w:style w:type="character" w:styleId="ListLabel8">
    <w:name w:val="ListLabel 8"/>
    <w:qFormat/>
    <w:rPr>
      <w:rFonts w:cs="Courier New"/>
    </w:rPr>
  </w:style>
  <w:style w:type="character" w:styleId="ListLabel9">
    <w:name w:val="ListLabel 9"/>
    <w:qFormat/>
    <w:rPr>
      <w:rFonts w:cs="Courier New"/>
    </w:rPr>
  </w:style>
  <w:style w:type="character" w:styleId="ListLabel10">
    <w:name w:val="ListLabel 10"/>
    <w:qFormat/>
    <w:rPr>
      <w:rFonts w:cs="Courier New"/>
    </w:rPr>
  </w:style>
  <w:style w:type="character" w:styleId="ListLabel11">
    <w:name w:val="ListLabel 11"/>
    <w:qFormat/>
    <w:rPr>
      <w:rFonts w:cs="Courier New"/>
    </w:rPr>
  </w:style>
  <w:style w:type="character" w:styleId="ListLabel12">
    <w:name w:val="ListLabel 12"/>
    <w:qFormat/>
    <w:rPr>
      <w:rFonts w:cs="Courier New"/>
    </w:rPr>
  </w:style>
  <w:style w:type="character" w:styleId="ListLabel13">
    <w:name w:val="ListLabel 13"/>
    <w:qFormat/>
    <w:rPr>
      <w:rFonts w:cs="Courier New"/>
    </w:rPr>
  </w:style>
  <w:style w:type="character" w:styleId="ListLabel14">
    <w:name w:val="ListLabel 14"/>
    <w:qFormat/>
    <w:rPr>
      <w:rFonts w:cs="Courier New"/>
    </w:rPr>
  </w:style>
  <w:style w:type="character" w:styleId="ListLabel15">
    <w:name w:val="ListLabel 15"/>
    <w:qFormat/>
    <w:rPr>
      <w:rFonts w:cs="Courier New"/>
    </w:rPr>
  </w:style>
  <w:style w:type="character" w:styleId="ListLabel16">
    <w:name w:val="ListLabel 16"/>
    <w:qFormat/>
    <w:rPr>
      <w:rFonts w:cs="Courier New"/>
    </w:rPr>
  </w:style>
  <w:style w:type="character" w:styleId="ListLabel17">
    <w:name w:val="ListLabel 17"/>
    <w:qFormat/>
    <w:rPr>
      <w:rFonts w:cs="Courier New"/>
    </w:rPr>
  </w:style>
  <w:style w:type="character" w:styleId="ListLabel18">
    <w:name w:val="ListLabel 18"/>
    <w:qFormat/>
    <w:rPr>
      <w:rFonts w:cs="Courier New"/>
    </w:rPr>
  </w:style>
  <w:style w:type="character" w:styleId="ListLabel19">
    <w:name w:val="ListLabel 19"/>
    <w:qFormat/>
    <w:rPr>
      <w:rFonts w:cs="Courier New"/>
    </w:rPr>
  </w:style>
  <w:style w:type="character" w:styleId="ListLabel20">
    <w:name w:val="ListLabel 20"/>
    <w:qFormat/>
    <w:rPr>
      <w:rFonts w:cs="Courier New"/>
    </w:rPr>
  </w:style>
  <w:style w:type="character" w:styleId="ListLabel21">
    <w:name w:val="ListLabel 21"/>
    <w:qFormat/>
    <w:rPr>
      <w:rFonts w:cs="Courier New"/>
    </w:rPr>
  </w:style>
  <w:style w:type="character" w:styleId="ListLabel22">
    <w:name w:val="ListLabel 22"/>
    <w:qFormat/>
    <w:rPr>
      <w:rFonts w:cs="Courier New"/>
    </w:rPr>
  </w:style>
  <w:style w:type="character" w:styleId="ListLabel23">
    <w:name w:val="ListLabel 23"/>
    <w:qFormat/>
    <w:rPr>
      <w:rFonts w:cs="Courier New"/>
    </w:rPr>
  </w:style>
  <w:style w:type="character" w:styleId="ListLabel24">
    <w:name w:val="ListLabel 24"/>
    <w:qFormat/>
    <w:rPr>
      <w:rFonts w:cs="Courier New"/>
    </w:rPr>
  </w:style>
  <w:style w:type="character" w:styleId="ListLabel25">
    <w:name w:val="ListLabel 25"/>
    <w:qFormat/>
    <w:rPr>
      <w:rFonts w:cs="Courier New"/>
    </w:rPr>
  </w:style>
  <w:style w:type="character" w:styleId="ListLabel26">
    <w:name w:val="ListLabel 26"/>
    <w:qFormat/>
    <w:rPr>
      <w:rFonts w:cs="Courier New"/>
    </w:rPr>
  </w:style>
  <w:style w:type="character" w:styleId="ListLabel27">
    <w:name w:val="ListLabel 27"/>
    <w:qFormat/>
    <w:rPr>
      <w:rFonts w:cs="Courier New"/>
    </w:rPr>
  </w:style>
  <w:style w:type="character" w:styleId="ListLabel28">
    <w:name w:val="ListLabel 28"/>
    <w:qFormat/>
    <w:rPr>
      <w:rFonts w:cs="Courier New"/>
    </w:rPr>
  </w:style>
  <w:style w:type="character" w:styleId="ListLabel29">
    <w:name w:val="ListLabel 29"/>
    <w:qFormat/>
    <w:rPr>
      <w:rFonts w:cs="Courier New"/>
    </w:rPr>
  </w:style>
  <w:style w:type="character" w:styleId="ListLabel30">
    <w:name w:val="ListLabel 30"/>
    <w:qFormat/>
    <w:rPr>
      <w:rFonts w:cs="Courier New"/>
    </w:rPr>
  </w:style>
  <w:style w:type="character" w:styleId="ListLabel31">
    <w:name w:val="ListLabel 31"/>
    <w:qFormat/>
    <w:rPr>
      <w:rFonts w:cs="Courier New"/>
    </w:rPr>
  </w:style>
  <w:style w:type="character" w:styleId="ListLabel32">
    <w:name w:val="ListLabel 32"/>
    <w:qFormat/>
    <w:rPr>
      <w:rFonts w:cs="Courier New"/>
    </w:rPr>
  </w:style>
  <w:style w:type="character" w:styleId="ListLabel33">
    <w:name w:val="ListLabel 33"/>
    <w:qFormat/>
    <w:rPr>
      <w:rFonts w:cs="Courier New"/>
    </w:rPr>
  </w:style>
  <w:style w:type="character" w:styleId="ListLabel34">
    <w:name w:val="ListLabel 34"/>
    <w:qFormat/>
    <w:rPr>
      <w:rFonts w:cs="Courier New"/>
    </w:rPr>
  </w:style>
  <w:style w:type="character" w:styleId="ListLabel35">
    <w:name w:val="ListLabel 35"/>
    <w:qFormat/>
    <w:rPr>
      <w:rFonts w:cs="Courier New"/>
    </w:rPr>
  </w:style>
  <w:style w:type="character" w:styleId="ListLabel36">
    <w:name w:val="ListLabel 36"/>
    <w:qFormat/>
    <w:rPr>
      <w:rFonts w:cs="Courier New"/>
    </w:rPr>
  </w:style>
  <w:style w:type="character" w:styleId="ListLabel37">
    <w:name w:val="ListLabel 37"/>
    <w:qFormat/>
    <w:rPr>
      <w:rFonts w:cs="Courier New"/>
    </w:rPr>
  </w:style>
  <w:style w:type="character" w:styleId="ListLabel38">
    <w:name w:val="ListLabel 38"/>
    <w:qFormat/>
    <w:rPr>
      <w:rFonts w:cs="Courier New"/>
    </w:rPr>
  </w:style>
  <w:style w:type="character" w:styleId="ListLabel39">
    <w:name w:val="ListLabel 39"/>
    <w:qFormat/>
    <w:rPr>
      <w:rFonts w:cs="Courier New"/>
    </w:rPr>
  </w:style>
  <w:style w:type="character" w:styleId="ListLabel40">
    <w:name w:val="ListLabel 40"/>
    <w:qFormat/>
    <w:rPr>
      <w:sz w:val="20"/>
      <w:szCs w:val="20"/>
    </w:rPr>
  </w:style>
  <w:style w:type="character" w:styleId="ListLabel41">
    <w:name w:val="ListLabel 41"/>
    <w:qFormat/>
    <w:rPr>
      <w:rFonts w:cs="Courier New"/>
    </w:rPr>
  </w:style>
  <w:style w:type="character" w:styleId="ListLabel42">
    <w:name w:val="ListLabel 42"/>
    <w:qFormat/>
    <w:rPr>
      <w:rFonts w:cs="Courier New"/>
    </w:rPr>
  </w:style>
  <w:style w:type="character" w:styleId="ListLabel43">
    <w:name w:val="ListLabel 43"/>
    <w:qFormat/>
    <w:rPr>
      <w:rFonts w:cs="Courier New"/>
    </w:rPr>
  </w:style>
  <w:style w:type="character" w:styleId="ListLabel44">
    <w:name w:val="ListLabel 44"/>
    <w:qFormat/>
    <w:rPr>
      <w:sz w:val="20"/>
      <w:szCs w:val="20"/>
    </w:rPr>
  </w:style>
  <w:style w:type="character" w:styleId="ListLabel45">
    <w:name w:val="ListLabel 45"/>
    <w:qFormat/>
    <w:rPr>
      <w:rFonts w:cs="Courier New"/>
    </w:rPr>
  </w:style>
  <w:style w:type="character" w:styleId="ListLabel46">
    <w:name w:val="ListLabel 46"/>
    <w:qFormat/>
    <w:rPr>
      <w:rFonts w:cs="Courier New"/>
    </w:rPr>
  </w:style>
  <w:style w:type="character" w:styleId="ListLabel47">
    <w:name w:val="ListLabel 47"/>
    <w:qFormat/>
    <w:rPr>
      <w:rFonts w:cs="Courier New"/>
    </w:rPr>
  </w:style>
  <w:style w:type="character" w:styleId="ListLabel48">
    <w:name w:val="ListLabel 48"/>
    <w:qFormat/>
    <w:rPr>
      <w:sz w:val="20"/>
      <w:szCs w:val="20"/>
    </w:rPr>
  </w:style>
  <w:style w:type="character" w:styleId="ListLabel49">
    <w:name w:val="ListLabel 49"/>
    <w:qFormat/>
    <w:rPr>
      <w:rFonts w:cs="Courier New"/>
    </w:rPr>
  </w:style>
  <w:style w:type="character" w:styleId="ListLabel50">
    <w:name w:val="ListLabel 50"/>
    <w:qFormat/>
    <w:rPr>
      <w:rFonts w:cs="Courier New"/>
    </w:rPr>
  </w:style>
  <w:style w:type="character" w:styleId="ListLabel51">
    <w:name w:val="ListLabel 51"/>
    <w:qFormat/>
    <w:rPr>
      <w:rFonts w:cs="Courier New"/>
    </w:rPr>
  </w:style>
  <w:style w:type="character" w:styleId="ListLabel52">
    <w:name w:val="ListLabel 52"/>
    <w:qFormat/>
    <w:rPr>
      <w:rFonts w:cs="Courier New"/>
    </w:rPr>
  </w:style>
  <w:style w:type="character" w:styleId="ListLabel53">
    <w:name w:val="ListLabel 53"/>
    <w:qFormat/>
    <w:rPr>
      <w:rFonts w:cs="Courier New"/>
    </w:rPr>
  </w:style>
  <w:style w:type="character" w:styleId="ListLabel54">
    <w:name w:val="ListLabel 54"/>
    <w:qFormat/>
    <w:rPr>
      <w:rFonts w:cs="Courier New"/>
    </w:rPr>
  </w:style>
  <w:style w:type="character" w:styleId="ListLabel55">
    <w:name w:val="ListLabel 55"/>
    <w:qFormat/>
    <w:rPr>
      <w:rFonts w:cs="Courier New"/>
    </w:rPr>
  </w:style>
  <w:style w:type="character" w:styleId="ListLabel56">
    <w:name w:val="ListLabel 56"/>
    <w:qFormat/>
    <w:rPr>
      <w:rFonts w:cs="Courier New"/>
    </w:rPr>
  </w:style>
  <w:style w:type="character" w:styleId="ListLabel57">
    <w:name w:val="ListLabel 57"/>
    <w:qFormat/>
    <w:rPr>
      <w:rFonts w:cs="Courier New"/>
    </w:rPr>
  </w:style>
  <w:style w:type="character" w:styleId="ListLabel58">
    <w:name w:val="ListLabel 58"/>
    <w:qFormat/>
    <w:rPr>
      <w:rFonts w:cs="Courier New"/>
    </w:rPr>
  </w:style>
  <w:style w:type="character" w:styleId="ListLabel59">
    <w:name w:val="ListLabel 59"/>
    <w:qFormat/>
    <w:rPr>
      <w:rFonts w:cs="Courier New"/>
    </w:rPr>
  </w:style>
  <w:style w:type="character" w:styleId="ListLabel60">
    <w:name w:val="ListLabel 60"/>
    <w:qFormat/>
    <w:rPr>
      <w:rFonts w:cs="Courier New"/>
    </w:rPr>
  </w:style>
  <w:style w:type="character" w:styleId="ListLabel61">
    <w:name w:val="ListLabel 61"/>
    <w:qFormat/>
    <w:rPr>
      <w:rFonts w:cs="Courier New"/>
    </w:rPr>
  </w:style>
  <w:style w:type="character" w:styleId="ListLabel62">
    <w:name w:val="ListLabel 62"/>
    <w:qFormat/>
    <w:rPr>
      <w:rFonts w:cs="Courier New"/>
    </w:rPr>
  </w:style>
  <w:style w:type="character" w:styleId="ListLabel63">
    <w:name w:val="ListLabel 63"/>
    <w:qFormat/>
    <w:rPr>
      <w:rFonts w:cs="Courier New"/>
    </w:rPr>
  </w:style>
  <w:style w:type="character" w:styleId="ListLabel64">
    <w:name w:val="ListLabel 64"/>
    <w:qFormat/>
    <w:rPr>
      <w:rFonts w:cs="Courier New"/>
    </w:rPr>
  </w:style>
  <w:style w:type="character" w:styleId="ListLabel65">
    <w:name w:val="ListLabel 65"/>
    <w:qFormat/>
    <w:rPr>
      <w:rFonts w:cs="Courier New"/>
    </w:rPr>
  </w:style>
  <w:style w:type="character" w:styleId="ListLabel66">
    <w:name w:val="ListLabel 66"/>
    <w:qFormat/>
    <w:rPr>
      <w:rFonts w:cs="Courier New"/>
    </w:rPr>
  </w:style>
  <w:style w:type="character" w:styleId="ListLabel67">
    <w:name w:val="ListLabel 67"/>
    <w:qFormat/>
    <w:rPr>
      <w:rFonts w:cs="Courier New"/>
    </w:rPr>
  </w:style>
  <w:style w:type="character" w:styleId="ListLabel68">
    <w:name w:val="ListLabel 68"/>
    <w:qFormat/>
    <w:rPr>
      <w:rFonts w:cs="Courier New"/>
    </w:rPr>
  </w:style>
  <w:style w:type="character" w:styleId="ListLabel69">
    <w:name w:val="ListLabel 69"/>
    <w:qFormat/>
    <w:rPr>
      <w:rFonts w:cs="Courier New"/>
    </w:rPr>
  </w:style>
  <w:style w:type="character" w:styleId="ListLabel70">
    <w:name w:val="ListLabel 70"/>
    <w:qFormat/>
    <w:rPr>
      <w:color w:val="auto"/>
      <w:sz w:val="24"/>
    </w:rPr>
  </w:style>
  <w:style w:type="character" w:styleId="ListLabel71">
    <w:name w:val="ListLabel 71"/>
    <w:qFormat/>
    <w:rPr>
      <w:rFonts w:cs="Courier New"/>
    </w:rPr>
  </w:style>
  <w:style w:type="character" w:styleId="ListLabel72">
    <w:name w:val="ListLabel 72"/>
    <w:qFormat/>
    <w:rPr>
      <w:rFonts w:cs="Courier New"/>
    </w:rPr>
  </w:style>
  <w:style w:type="character" w:styleId="ListLabel73">
    <w:name w:val="ListLabel 73"/>
    <w:qFormat/>
    <w:rPr>
      <w:rFonts w:cs="Courier New"/>
    </w:rPr>
  </w:style>
  <w:style w:type="character" w:styleId="ListLabel74">
    <w:name w:val="ListLabel 74"/>
    <w:qFormat/>
    <w:rPr>
      <w:color w:val="auto"/>
    </w:rPr>
  </w:style>
  <w:style w:type="character" w:styleId="ListLabel75">
    <w:name w:val="ListLabel 75"/>
    <w:qFormat/>
    <w:rPr>
      <w:rFonts w:cs="Courier New"/>
    </w:rPr>
  </w:style>
  <w:style w:type="character" w:styleId="ListLabel76">
    <w:name w:val="ListLabel 76"/>
    <w:qFormat/>
    <w:rPr>
      <w:rFonts w:cs="Courier New"/>
    </w:rPr>
  </w:style>
  <w:style w:type="character" w:styleId="ListLabel77">
    <w:name w:val="ListLabel 77"/>
    <w:qFormat/>
    <w:rPr>
      <w:rFonts w:cs="Courier New"/>
    </w:rPr>
  </w:style>
  <w:style w:type="character" w:styleId="ListLabel78">
    <w:name w:val="ListLabel 78"/>
    <w:qFormat/>
    <w:rPr>
      <w:color w:val="auto"/>
    </w:rPr>
  </w:style>
  <w:style w:type="character" w:styleId="ListLabel79">
    <w:name w:val="ListLabel 79"/>
    <w:qFormat/>
    <w:rPr>
      <w:rFonts w:cs="Courier New"/>
    </w:rPr>
  </w:style>
  <w:style w:type="character" w:styleId="ListLabel80">
    <w:name w:val="ListLabel 80"/>
    <w:qFormat/>
    <w:rPr>
      <w:rFonts w:cs="Courier New"/>
    </w:rPr>
  </w:style>
  <w:style w:type="character" w:styleId="ListLabel81">
    <w:name w:val="ListLabel 81"/>
    <w:qFormat/>
    <w:rPr>
      <w:rFonts w:cs="Courier New"/>
    </w:rPr>
  </w:style>
  <w:style w:type="character" w:styleId="ListLabel82">
    <w:name w:val="ListLabel 82"/>
    <w:qFormat/>
    <w:rPr>
      <w:color w:val="auto"/>
    </w:rPr>
  </w:style>
  <w:style w:type="character" w:styleId="ListLabel83">
    <w:name w:val="ListLabel 83"/>
    <w:qFormat/>
    <w:rPr>
      <w:rFonts w:cs="Courier New"/>
    </w:rPr>
  </w:style>
  <w:style w:type="character" w:styleId="ListLabel84">
    <w:name w:val="ListLabel 84"/>
    <w:qFormat/>
    <w:rPr>
      <w:rFonts w:cs="Courier New"/>
    </w:rPr>
  </w:style>
  <w:style w:type="character" w:styleId="ListLabel85">
    <w:name w:val="ListLabel 85"/>
    <w:qFormat/>
    <w:rPr>
      <w:rFonts w:cs="Courier New"/>
    </w:rPr>
  </w:style>
  <w:style w:type="character" w:styleId="ListLabel86">
    <w:name w:val="ListLabel 86"/>
    <w:qFormat/>
    <w:rPr>
      <w:rFonts w:cs="Courier New"/>
    </w:rPr>
  </w:style>
  <w:style w:type="character" w:styleId="ListLabel87">
    <w:name w:val="ListLabel 87"/>
    <w:qFormat/>
    <w:rPr>
      <w:rFonts w:cs="Courier New"/>
    </w:rPr>
  </w:style>
  <w:style w:type="character" w:styleId="ListLabel88">
    <w:name w:val="ListLabel 88"/>
    <w:qFormat/>
    <w:rPr>
      <w:rFonts w:cs="Courier New"/>
    </w:rPr>
  </w:style>
  <w:style w:type="character" w:styleId="ListLabel89">
    <w:name w:val="ListLabel 89"/>
    <w:qFormat/>
    <w:rPr>
      <w:rFonts w:cs="Courier New"/>
    </w:rPr>
  </w:style>
  <w:style w:type="character" w:styleId="ListLabel90">
    <w:name w:val="ListLabel 90"/>
    <w:qFormat/>
    <w:rPr>
      <w:rFonts w:cs="Courier New"/>
    </w:rPr>
  </w:style>
  <w:style w:type="character" w:styleId="ListLabel91">
    <w:name w:val="ListLabel 91"/>
    <w:qFormat/>
    <w:rPr>
      <w:rFonts w:cs="Courier New"/>
    </w:rPr>
  </w:style>
  <w:style w:type="character" w:styleId="ListLabel92">
    <w:name w:val="ListLabel 92"/>
    <w:qFormat/>
    <w:rPr>
      <w:rFonts w:cs="Courier New"/>
    </w:rPr>
  </w:style>
  <w:style w:type="character" w:styleId="ListLabel93">
    <w:name w:val="ListLabel 93"/>
    <w:qFormat/>
    <w:rPr>
      <w:rFonts w:cs="Courier New"/>
    </w:rPr>
  </w:style>
  <w:style w:type="character" w:styleId="ListLabel94">
    <w:name w:val="ListLabel 94"/>
    <w:qFormat/>
    <w:rPr>
      <w:rFonts w:cs="Courier New"/>
    </w:rPr>
  </w:style>
  <w:style w:type="character" w:styleId="ListLabel95">
    <w:name w:val="ListLabel 95"/>
    <w:qFormat/>
    <w:rPr>
      <w:rFonts w:cs="Courier New"/>
    </w:rPr>
  </w:style>
  <w:style w:type="character" w:styleId="ListLabel96">
    <w:name w:val="ListLabel 96"/>
    <w:qFormat/>
    <w:rPr>
      <w:rFonts w:cs="Courier New"/>
    </w:rPr>
  </w:style>
  <w:style w:type="character" w:styleId="ListLabel97">
    <w:name w:val="ListLabel 97"/>
    <w:qFormat/>
    <w:rPr>
      <w:rFonts w:cs="Courier New"/>
    </w:rPr>
  </w:style>
  <w:style w:type="character" w:styleId="ListLabel98">
    <w:name w:val="ListLabel 98"/>
    <w:qFormat/>
    <w:rPr>
      <w:rFonts w:cs="Courier New"/>
    </w:rPr>
  </w:style>
  <w:style w:type="character" w:styleId="ListLabel99">
    <w:name w:val="ListLabel 99"/>
    <w:qFormat/>
    <w:rPr>
      <w:rFonts w:cs="Courier New"/>
    </w:rPr>
  </w:style>
  <w:style w:type="character" w:styleId="ListLabel100">
    <w:name w:val="ListLabel 100"/>
    <w:qFormat/>
    <w:rPr>
      <w:rFonts w:eastAsia="Arial" w:cs="Arial"/>
      <w:w w:val="100"/>
      <w:sz w:val="22"/>
      <w:szCs w:val="22"/>
      <w:lang w:val="en-GB" w:eastAsia="en-GB" w:bidi="en-GB"/>
    </w:rPr>
  </w:style>
  <w:style w:type="character" w:styleId="ListLabel101">
    <w:name w:val="ListLabel 101"/>
    <w:qFormat/>
    <w:rPr>
      <w:lang w:val="en-GB" w:eastAsia="en-GB" w:bidi="en-GB"/>
    </w:rPr>
  </w:style>
  <w:style w:type="character" w:styleId="ListLabel102">
    <w:name w:val="ListLabel 102"/>
    <w:qFormat/>
    <w:rPr>
      <w:lang w:val="en-GB" w:eastAsia="en-GB" w:bidi="en-GB"/>
    </w:rPr>
  </w:style>
  <w:style w:type="character" w:styleId="ListLabel103">
    <w:name w:val="ListLabel 103"/>
    <w:qFormat/>
    <w:rPr>
      <w:lang w:val="en-GB" w:eastAsia="en-GB" w:bidi="en-GB"/>
    </w:rPr>
  </w:style>
  <w:style w:type="character" w:styleId="ListLabel104">
    <w:name w:val="ListLabel 104"/>
    <w:qFormat/>
    <w:rPr>
      <w:lang w:val="en-GB" w:eastAsia="en-GB" w:bidi="en-GB"/>
    </w:rPr>
  </w:style>
  <w:style w:type="character" w:styleId="ListLabel105">
    <w:name w:val="ListLabel 105"/>
    <w:qFormat/>
    <w:rPr>
      <w:lang w:val="en-GB" w:eastAsia="en-GB" w:bidi="en-GB"/>
    </w:rPr>
  </w:style>
  <w:style w:type="character" w:styleId="ListLabel106">
    <w:name w:val="ListLabel 106"/>
    <w:qFormat/>
    <w:rPr>
      <w:lang w:val="en-GB" w:eastAsia="en-GB" w:bidi="en-GB"/>
    </w:rPr>
  </w:style>
  <w:style w:type="character" w:styleId="ListLabel107">
    <w:name w:val="ListLabel 107"/>
    <w:qFormat/>
    <w:rPr>
      <w:lang w:val="en-GB" w:eastAsia="en-GB" w:bidi="en-GB"/>
    </w:rPr>
  </w:style>
  <w:style w:type="character" w:styleId="ListLabel108">
    <w:name w:val="ListLabel 108"/>
    <w:qFormat/>
    <w:rPr>
      <w:lang w:val="en-GB" w:eastAsia="en-GB" w:bidi="en-GB"/>
    </w:rPr>
  </w:style>
  <w:style w:type="character" w:styleId="ListLabel109">
    <w:name w:val="ListLabel 109"/>
    <w:qFormat/>
    <w:rPr>
      <w:rFonts w:cs="Courier New"/>
    </w:rPr>
  </w:style>
  <w:style w:type="character" w:styleId="ListLabel110">
    <w:name w:val="ListLabel 110"/>
    <w:qFormat/>
    <w:rPr>
      <w:rFonts w:cs="Courier New"/>
    </w:rPr>
  </w:style>
  <w:style w:type="character" w:styleId="ListLabel111">
    <w:name w:val="ListLabel 111"/>
    <w:qFormat/>
    <w:rPr>
      <w:rFonts w:cs="Courier New"/>
    </w:rPr>
  </w:style>
  <w:style w:type="character" w:styleId="ListLabel112">
    <w:name w:val="ListLabel 112"/>
    <w:qFormat/>
    <w:rPr>
      <w:rFonts w:eastAsia="Arial"/>
      <w:sz w:val="24"/>
      <w:szCs w:val="24"/>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semiHidden/>
    <w:pPr/>
    <w:rPr>
      <w:b/>
      <w:sz w:val="24"/>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Header">
    <w:name w:val="Header"/>
    <w:basedOn w:val="Normal"/>
    <w:semiHidden/>
    <w:pPr>
      <w:tabs>
        <w:tab w:val="clear" w:pos="720"/>
        <w:tab w:val="center" w:pos="4320" w:leader="none"/>
        <w:tab w:val="right" w:pos="8640" w:leader="none"/>
      </w:tabs>
    </w:pPr>
    <w:rPr/>
  </w:style>
  <w:style w:type="paragraph" w:styleId="Footer">
    <w:name w:val="Footer"/>
    <w:basedOn w:val="Normal"/>
    <w:link w:val="FooterChar"/>
    <w:uiPriority w:val="99"/>
    <w:pPr>
      <w:tabs>
        <w:tab w:val="clear" w:pos="720"/>
        <w:tab w:val="center" w:pos="4320" w:leader="none"/>
        <w:tab w:val="right" w:pos="8640" w:leader="none"/>
      </w:tabs>
    </w:pPr>
    <w:rPr/>
  </w:style>
  <w:style w:type="paragraph" w:styleId="BalloonText">
    <w:name w:val="Balloon Text"/>
    <w:basedOn w:val="Normal"/>
    <w:semiHidden/>
    <w:qFormat/>
    <w:rsid w:val="00c3278b"/>
    <w:pPr/>
    <w:rPr>
      <w:rFonts w:ascii="Tahoma" w:hAnsi="Tahoma" w:cs="Tahoma"/>
      <w:sz w:val="16"/>
      <w:szCs w:val="16"/>
    </w:rPr>
  </w:style>
  <w:style w:type="paragraph" w:styleId="Annotationtext">
    <w:name w:val="annotation text"/>
    <w:basedOn w:val="Normal"/>
    <w:link w:val="CommentTextChar"/>
    <w:uiPriority w:val="99"/>
    <w:semiHidden/>
    <w:unhideWhenUsed/>
    <w:qFormat/>
    <w:rsid w:val="0057780f"/>
    <w:pPr/>
    <w:rPr/>
  </w:style>
  <w:style w:type="paragraph" w:styleId="Annotationsubject">
    <w:name w:val="annotation subject"/>
    <w:basedOn w:val="Annotationtext"/>
    <w:next w:val="Annotationtext"/>
    <w:link w:val="CommentSubjectChar"/>
    <w:uiPriority w:val="99"/>
    <w:semiHidden/>
    <w:unhideWhenUsed/>
    <w:qFormat/>
    <w:rsid w:val="0057780f"/>
    <w:pPr/>
    <w:rPr>
      <w:b/>
      <w:bCs/>
    </w:rPr>
  </w:style>
  <w:style w:type="paragraph" w:styleId="BodyText3">
    <w:name w:val="Body Text 3"/>
    <w:basedOn w:val="Normal"/>
    <w:link w:val="BodyText3Char"/>
    <w:uiPriority w:val="99"/>
    <w:semiHidden/>
    <w:unhideWhenUsed/>
    <w:qFormat/>
    <w:rsid w:val="00f927a1"/>
    <w:pPr>
      <w:spacing w:before="0" w:after="120"/>
    </w:pPr>
    <w:rPr>
      <w:sz w:val="16"/>
      <w:szCs w:val="16"/>
    </w:rPr>
  </w:style>
  <w:style w:type="paragraph" w:styleId="ColorfulShadingAccent11" w:customStyle="1">
    <w:name w:val="Colorful Shading - Accent 11"/>
    <w:uiPriority w:val="99"/>
    <w:semiHidden/>
    <w:qFormat/>
    <w:rsid w:val="004b6822"/>
    <w:pPr>
      <w:widowControl/>
      <w:bidi w:val="0"/>
      <w:jc w:val="left"/>
    </w:pPr>
    <w:rPr>
      <w:rFonts w:ascii="Arial" w:hAnsi="Arial" w:cs="Arial" w:eastAsia="Times New Roman"/>
      <w:color w:val="000000"/>
      <w:kern w:val="0"/>
      <w:sz w:val="20"/>
      <w:szCs w:val="20"/>
      <w:lang w:eastAsia="en-GB" w:val="en-GB" w:bidi="ar-SA"/>
    </w:rPr>
  </w:style>
  <w:style w:type="paragraph" w:styleId="ListParagraph">
    <w:name w:val="List Paragraph"/>
    <w:basedOn w:val="Normal"/>
    <w:uiPriority w:val="34"/>
    <w:qFormat/>
    <w:rsid w:val="00450c83"/>
    <w:pPr>
      <w:spacing w:before="0" w:after="0"/>
      <w:ind w:left="720" w:hanging="0"/>
      <w:contextualSpacing/>
    </w:pPr>
    <w:rPr/>
  </w:style>
  <w:style w:type="paragraph" w:styleId="TableParagraph" w:customStyle="1">
    <w:name w:val="Table Paragraph"/>
    <w:basedOn w:val="Normal"/>
    <w:uiPriority w:val="1"/>
    <w:qFormat/>
    <w:rsid w:val="003769f6"/>
    <w:pPr>
      <w:widowControl w:val="false"/>
      <w:overflowPunct w:val="false"/>
      <w:ind w:left="108" w:hanging="0"/>
      <w:textAlignment w:val="auto"/>
    </w:pPr>
    <w:rPr>
      <w:rFonts w:eastAsia="Arial"/>
      <w:color w:val="auto"/>
      <w:sz w:val="22"/>
      <w:szCs w:val="22"/>
      <w:lang w:bidi="en-GB"/>
    </w:rPr>
  </w:style>
  <w:style w:type="paragraph" w:styleId="Paragraph" w:customStyle="1">
    <w:name w:val="paragraph"/>
    <w:basedOn w:val="Normal"/>
    <w:qFormat/>
    <w:rsid w:val="00a221ab"/>
    <w:pPr>
      <w:overflowPunct w:val="false"/>
      <w:spacing w:beforeAutospacing="1"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qFormat/>
    <w:rsid w:val="00314e11"/>
    <w:pPr>
      <w:spacing w:beforeAutospacing="1" w:afterAutospacing="1"/>
      <w:textAlignment w:val="auto"/>
    </w:pPr>
    <w:rPr>
      <w:rFonts w:ascii="Times New Roman" w:hAnsi="Times New Roman" w:cs="Times New Roman"/>
      <w:color w:val="auto"/>
      <w:sz w:val="24"/>
      <w:szCs w:val="24"/>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rsid w:val="002b23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yperlink" Target="https://www.uwtsd.ac.uk/media/uwtsd-website/content-assets/documents/academic-office/aqh-chapters/chapters---en/Chapter_07_Assessment_Taught_Programmes_Pages_72-79-UPDATED-05-11-2019.pdf" TargetMode="External"/><Relationship Id="rId4" Type="http://schemas.openxmlformats.org/officeDocument/2006/relationships/hyperlink" Target="https://moodle.uwtsd.ac.uk/pluginfile.php/298870/mod_resource/content/1/Reflective Practice for Policing Students - Selina Copley Chapter5.pdf" TargetMode="External"/><Relationship Id="rId5" Type="http://schemas.openxmlformats.org/officeDocument/2006/relationships/hyperlink" Target="mailto:k.andrews@uwtsd.ac.uk" TargetMode="External"/><Relationship Id="rId6" Type="http://schemas.openxmlformats.org/officeDocument/2006/relationships/image" Target="media/image2.png"/><Relationship Id="rId7" Type="http://schemas.openxmlformats.org/officeDocument/2006/relationships/image" Target="media/image3.gif"/><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header" Target="header2.xml"/><Relationship Id="rId11" Type="http://schemas.openxmlformats.org/officeDocument/2006/relationships/footer" Target="footer2.xml"/><Relationship Id="rId12" Type="http://schemas.openxmlformats.org/officeDocument/2006/relationships/numbering" Target="numbering.xml"/><Relationship Id="rId13" Type="http://schemas.openxmlformats.org/officeDocument/2006/relationships/fontTable" Target="fontTable.xml"/><Relationship Id="rId14" Type="http://schemas.openxmlformats.org/officeDocument/2006/relationships/settings" Target="settings.xml"/><Relationship Id="rId15" Type="http://schemas.openxmlformats.org/officeDocument/2006/relationships/theme" Target="theme/theme1.xml"/><Relationship Id="rId16" Type="http://schemas.openxmlformats.org/officeDocument/2006/relationships/customXml" Target="../customXml/item1.xml"/><Relationship Id="rId17" Type="http://schemas.openxmlformats.org/officeDocument/2006/relationships/customXml" Target="../customXml/item2.xml"/><Relationship Id="rId18" Type="http://schemas.openxmlformats.org/officeDocument/2006/relationships/customXml" Target="../customXml/item3.xml"/><Relationship Id="rId19" Type="http://schemas.openxmlformats.org/officeDocument/2006/relationships/customXml" Target="../customXml/item4.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_rels/item2.xml.rels><?xml version="1.0" encoding="UTF-8"?>
<Relationships xmlns="http://schemas.openxmlformats.org/package/2006/relationships"><Relationship Id="rId1" Type="http://schemas.openxmlformats.org/officeDocument/2006/relationships/customXmlProps" Target="itemProps2.xml"/>
</Relationships>
</file>

<file path=customXml/_rels/item3.xml.rels><?xml version="1.0" encoding="UTF-8"?>
<Relationships xmlns="http://schemas.openxmlformats.org/package/2006/relationships"><Relationship Id="rId1" Type="http://schemas.openxmlformats.org/officeDocument/2006/relationships/customXmlProps" Target="itemProps3.xml"/>
</Relationships>
</file>

<file path=customXml/_rels/item4.xml.rels><?xml version="1.0" encoding="UTF-8"?>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1D4C16265B14C4FAC6CAB022E2163B3" ma:contentTypeVersion="12" ma:contentTypeDescription="Create a new document." ma:contentTypeScope="" ma:versionID="1a24bdfc6f69a2479d2a58d052d50fd5">
  <xsd:schema xmlns:xsd="http://www.w3.org/2001/XMLSchema" xmlns:xs="http://www.w3.org/2001/XMLSchema" xmlns:p="http://schemas.microsoft.com/office/2006/metadata/properties" xmlns:ns3="627e797c-4fb4-4db6-98ba-0b3275687411" xmlns:ns4="a009ffaf-daef-4566-8b5a-5d730c96ca09" targetNamespace="http://schemas.microsoft.com/office/2006/metadata/properties" ma:root="true" ma:fieldsID="0b25eb4e6cc80b8e85c055958ae8bff5" ns3:_="" ns4:_="">
    <xsd:import namespace="627e797c-4fb4-4db6-98ba-0b3275687411"/>
    <xsd:import namespace="a009ffaf-daef-4566-8b5a-5d730c96ca09"/>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27e797c-4fb4-4db6-98ba-0b327568741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009ffaf-daef-4566-8b5a-5d730c96ca09"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a009ffaf-daef-4566-8b5a-5d730c96ca09">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_activity xmlns="627e797c-4fb4-4db6-98ba-0b3275687411"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52B379B-057D-4DCB-BCF1-AD0F65CE09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27e797c-4fb4-4db6-98ba-0b3275687411"/>
    <ds:schemaRef ds:uri="a009ffaf-daef-4566-8b5a-5d730c96ca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a009ffaf-daef-4566-8b5a-5d730c96ca09"/>
    <ds:schemaRef ds:uri="627e797c-4fb4-4db6-98ba-0b3275687411"/>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883</TotalTime>
  <Application>Trio_Office/6.2.8.2$Windows_x86 LibreOffice_project/</Application>
  <Pages>26</Pages>
  <Words>6127</Words>
  <Characters>32894</Characters>
  <CharactersWithSpaces>38888</CharactersWithSpaces>
  <Paragraphs>227</Paragraphs>
  <Company>Powys County Council</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2019-02-14T13:20:00Z</dcterms:created>
  <dc:creator>GC</dc:creator>
  <dc:description/>
  <dc:language>en-GB</dc:language>
  <cp:lastModifiedBy>Skipper, Jamie</cp:lastModifiedBy>
  <cp:lastPrinted>2014-08-26T08:55:00Z</cp:lastPrinted>
  <dcterms:modified xsi:type="dcterms:W3CDTF">2024-01-21T19:09:00Z</dcterms:modified>
  <cp:revision>136</cp:revision>
  <dc:subject/>
  <dc:title>NORTH AND WEST WALES PQ1 PROGRAMME</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Powys County Council</vt:lpwstr>
  </property>
  <property fmtid="{D5CDD505-2E9C-101B-9397-08002B2CF9AE}" pid="4" name="ContentTypeId">
    <vt:lpwstr>0x01010001D4C16265B14C4FAC6CAB022E2163B3</vt:lpwstr>
  </property>
  <property fmtid="{D5CDD505-2E9C-101B-9397-08002B2CF9AE}" pid="5" name="DocSecurity">
    <vt:i4>0</vt:i4>
  </property>
  <property fmtid="{D5CDD505-2E9C-101B-9397-08002B2CF9AE}" pid="6" name="HyperlinksChanged">
    <vt:bool>0</vt:bool>
  </property>
  <property fmtid="{D5CDD505-2E9C-101B-9397-08002B2CF9AE}" pid="7" name="LinksUpToDate">
    <vt:bool>0</vt:bool>
  </property>
  <property fmtid="{D5CDD505-2E9C-101B-9397-08002B2CF9AE}" pid="8" name="MSIP_Label_f2acd28b-79a3-4a0f-b0ff-4b75658b1549_ActionId">
    <vt:lpwstr>fa702822-793a-43f1-8576-e7e1bf90b20f</vt:lpwstr>
  </property>
  <property fmtid="{D5CDD505-2E9C-101B-9397-08002B2CF9AE}" pid="9" name="MSIP_Label_f2acd28b-79a3-4a0f-b0ff-4b75658b1549_ContentBits">
    <vt:lpwstr>0</vt:lpwstr>
  </property>
  <property fmtid="{D5CDD505-2E9C-101B-9397-08002B2CF9AE}" pid="10" name="MSIP_Label_f2acd28b-79a3-4a0f-b0ff-4b75658b1549_Enabled">
    <vt:lpwstr>true</vt:lpwstr>
  </property>
  <property fmtid="{D5CDD505-2E9C-101B-9397-08002B2CF9AE}" pid="11" name="MSIP_Label_f2acd28b-79a3-4a0f-b0ff-4b75658b1549_Method">
    <vt:lpwstr>Standard</vt:lpwstr>
  </property>
  <property fmtid="{D5CDD505-2E9C-101B-9397-08002B2CF9AE}" pid="12" name="MSIP_Label_f2acd28b-79a3-4a0f-b0ff-4b75658b1549_Name">
    <vt:lpwstr>OFFICIAL</vt:lpwstr>
  </property>
  <property fmtid="{D5CDD505-2E9C-101B-9397-08002B2CF9AE}" pid="13" name="MSIP_Label_f2acd28b-79a3-4a0f-b0ff-4b75658b1549_SetDate">
    <vt:lpwstr>2023-07-13T11:12:14Z</vt:lpwstr>
  </property>
  <property fmtid="{D5CDD505-2E9C-101B-9397-08002B2CF9AE}" pid="14" name="MSIP_Label_f2acd28b-79a3-4a0f-b0ff-4b75658b1549_SiteId">
    <vt:lpwstr>e46c8472-ef5d-4b63-bc74-4a60db42c371</vt:lpwstr>
  </property>
  <property fmtid="{D5CDD505-2E9C-101B-9397-08002B2CF9AE}" pid="15" name="ScaleCrop">
    <vt:bool>0</vt:bool>
  </property>
  <property fmtid="{D5CDD505-2E9C-101B-9397-08002B2CF9AE}" pid="16" name="ShareDoc">
    <vt:bool>0</vt:bool>
  </property>
</Properties>
</file>