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spacing w:val="-10"/>
          <w:kern w:val="28"/>
          <w:sz w:val="56"/>
          <w:szCs w:val="56"/>
        </w:rPr>
        <w:id w:val="-399136005"/>
        <w:docPartObj>
          <w:docPartGallery w:val="Cover Pages"/>
          <w:docPartUnique/>
        </w:docPartObj>
      </w:sdtPr>
      <w:sdtContent>
        <w:p w14:paraId="7CA06F18" w14:textId="5834E87E" w:rsidR="00251E77" w:rsidRPr="00E66EA5" w:rsidRDefault="00251E77">
          <w:r w:rsidRPr="00E66EA5">
            <w:rPr>
              <w:noProof/>
            </w:rPr>
            <w:drawing>
              <wp:anchor distT="0" distB="0" distL="114300" distR="114300" simplePos="0" relativeHeight="251660288" behindDoc="0" locked="0" layoutInCell="1" allowOverlap="1" wp14:anchorId="5C20402F" wp14:editId="25836B76">
                <wp:simplePos x="0" y="0"/>
                <wp:positionH relativeFrom="column">
                  <wp:posOffset>2971800</wp:posOffset>
                </wp:positionH>
                <wp:positionV relativeFrom="paragraph">
                  <wp:posOffset>363</wp:posOffset>
                </wp:positionV>
                <wp:extent cx="3555365" cy="1480185"/>
                <wp:effectExtent l="0" t="0" r="6985" b="5715"/>
                <wp:wrapSquare wrapText="bothSides"/>
                <wp:docPr id="147983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5365" cy="1480185"/>
                        </a:xfrm>
                        <a:prstGeom prst="rect">
                          <a:avLst/>
                        </a:prstGeom>
                        <a:noFill/>
                        <a:ln>
                          <a:noFill/>
                        </a:ln>
                      </pic:spPr>
                    </pic:pic>
                  </a:graphicData>
                </a:graphic>
              </wp:anchor>
            </w:drawing>
          </w:r>
        </w:p>
        <w:p w14:paraId="0FE720C1" w14:textId="4EA5A1E4" w:rsidR="00251E77" w:rsidRPr="00E66EA5" w:rsidRDefault="00000000" w:rsidP="00251E77">
          <w:pPr>
            <w:pStyle w:val="Title"/>
          </w:pPr>
        </w:p>
      </w:sdtContent>
    </w:sdt>
    <w:p w14:paraId="1FB4AE32" w14:textId="77777777" w:rsidR="00025FD3" w:rsidRPr="00E66EA5" w:rsidRDefault="00025FD3" w:rsidP="00251E77"/>
    <w:p w14:paraId="1BDDF8C1" w14:textId="77777777" w:rsidR="00251E77" w:rsidRPr="00E66EA5" w:rsidRDefault="00251E77" w:rsidP="00251E77"/>
    <w:p w14:paraId="71BA3C53" w14:textId="77777777" w:rsidR="00251E77" w:rsidRPr="00E66EA5" w:rsidRDefault="00251E77" w:rsidP="00251E77">
      <w:pPr>
        <w:rPr>
          <w:rFonts w:cs="Arial"/>
        </w:rPr>
      </w:pPr>
    </w:p>
    <w:p w14:paraId="7B595B4D" w14:textId="60E36FDF" w:rsidR="00251E77" w:rsidRPr="00E66EA5" w:rsidRDefault="00251E77" w:rsidP="00740351">
      <w:pPr>
        <w:pStyle w:val="Title"/>
        <w:jc w:val="center"/>
        <w:rPr>
          <w:rFonts w:cs="Arial"/>
          <w:b/>
          <w:bCs/>
        </w:rPr>
      </w:pPr>
      <w:r w:rsidRPr="00E66EA5">
        <w:rPr>
          <w:rFonts w:cs="Arial"/>
          <w:b/>
          <w:bCs/>
        </w:rPr>
        <w:t>Master of Business Administration</w:t>
      </w:r>
    </w:p>
    <w:p w14:paraId="227F2247" w14:textId="578CD177" w:rsidR="00251E77" w:rsidRPr="00E66EA5" w:rsidRDefault="00043170" w:rsidP="00740351">
      <w:pPr>
        <w:pStyle w:val="Title"/>
        <w:jc w:val="center"/>
        <w:rPr>
          <w:rFonts w:cs="Arial"/>
          <w:sz w:val="40"/>
          <w:szCs w:val="40"/>
        </w:rPr>
      </w:pPr>
      <w:r w:rsidRPr="00E66EA5">
        <w:rPr>
          <w:rFonts w:cs="Arial"/>
          <w:sz w:val="40"/>
          <w:szCs w:val="40"/>
        </w:rPr>
        <w:t xml:space="preserve">Module: </w:t>
      </w:r>
      <w:r w:rsidR="002637DD" w:rsidRPr="00E66EA5">
        <w:rPr>
          <w:rFonts w:cs="Arial"/>
          <w:sz w:val="40"/>
          <w:szCs w:val="40"/>
        </w:rPr>
        <w:t>International Business Concepts</w:t>
      </w:r>
    </w:p>
    <w:p w14:paraId="33BD43BC" w14:textId="7FEF9D45" w:rsidR="00251E77" w:rsidRPr="00E66EA5" w:rsidRDefault="00251E77" w:rsidP="00740351">
      <w:pPr>
        <w:pStyle w:val="Title"/>
        <w:jc w:val="center"/>
        <w:rPr>
          <w:rFonts w:cs="Arial"/>
          <w:sz w:val="40"/>
          <w:szCs w:val="40"/>
        </w:rPr>
      </w:pPr>
      <w:r w:rsidRPr="00E66EA5">
        <w:rPr>
          <w:rFonts w:cs="Arial"/>
          <w:sz w:val="40"/>
          <w:szCs w:val="40"/>
        </w:rPr>
        <w:t xml:space="preserve">Module Code: </w:t>
      </w:r>
      <w:r w:rsidR="002637DD" w:rsidRPr="00E66EA5">
        <w:rPr>
          <w:rFonts w:cs="Arial"/>
          <w:sz w:val="40"/>
          <w:szCs w:val="40"/>
        </w:rPr>
        <w:t>LCMB7034</w:t>
      </w:r>
    </w:p>
    <w:p w14:paraId="74B0F37E" w14:textId="77777777" w:rsidR="00740351" w:rsidRPr="00E66EA5" w:rsidRDefault="00740351" w:rsidP="00740351">
      <w:pPr>
        <w:jc w:val="center"/>
      </w:pPr>
    </w:p>
    <w:p w14:paraId="79361398" w14:textId="24B6C6B0" w:rsidR="00740351" w:rsidRPr="00E66EA5" w:rsidRDefault="002637DD" w:rsidP="00740351">
      <w:pPr>
        <w:pStyle w:val="Title"/>
        <w:jc w:val="center"/>
        <w:rPr>
          <w:sz w:val="40"/>
          <w:szCs w:val="40"/>
        </w:rPr>
      </w:pPr>
      <w:r w:rsidRPr="00E66EA5">
        <w:rPr>
          <w:sz w:val="40"/>
          <w:szCs w:val="40"/>
        </w:rPr>
        <w:t>Assessment Type: Individual Report</w:t>
      </w:r>
    </w:p>
    <w:p w14:paraId="6B93A3B8" w14:textId="77777777" w:rsidR="00740351" w:rsidRPr="00E66EA5" w:rsidRDefault="00740351" w:rsidP="00740351"/>
    <w:p w14:paraId="3D2FF6D9" w14:textId="20D2C08E" w:rsidR="00740351" w:rsidRPr="00E66EA5" w:rsidRDefault="002637DD" w:rsidP="00740351">
      <w:pPr>
        <w:pStyle w:val="Title"/>
        <w:jc w:val="center"/>
        <w:rPr>
          <w:sz w:val="40"/>
          <w:szCs w:val="40"/>
        </w:rPr>
      </w:pPr>
      <w:r w:rsidRPr="00E66EA5">
        <w:rPr>
          <w:sz w:val="40"/>
          <w:szCs w:val="40"/>
        </w:rPr>
        <w:t xml:space="preserve">An International Market Entry Strategy for Costco Wholesale Corporation: A Strategic Evaluation of Expansion into </w:t>
      </w:r>
      <w:r w:rsidR="008542D2" w:rsidRPr="00E66EA5">
        <w:rPr>
          <w:sz w:val="40"/>
          <w:szCs w:val="40"/>
        </w:rPr>
        <w:t>Brazil</w:t>
      </w:r>
    </w:p>
    <w:p w14:paraId="4AD32F37" w14:textId="4F497A5F" w:rsidR="00740351" w:rsidRPr="00E66EA5" w:rsidRDefault="00740351" w:rsidP="00740351">
      <w:r w:rsidRPr="00E66EA5">
        <w:rPr>
          <w:noProof/>
        </w:rPr>
        <mc:AlternateContent>
          <mc:Choice Requires="wps">
            <w:drawing>
              <wp:anchor distT="0" distB="0" distL="114300" distR="114300" simplePos="0" relativeHeight="251661312" behindDoc="0" locked="0" layoutInCell="1" allowOverlap="1" wp14:anchorId="50E876E3" wp14:editId="57DA8F2D">
                <wp:simplePos x="0" y="0"/>
                <wp:positionH relativeFrom="column">
                  <wp:posOffset>-791570</wp:posOffset>
                </wp:positionH>
                <wp:positionV relativeFrom="paragraph">
                  <wp:posOffset>266794</wp:posOffset>
                </wp:positionV>
                <wp:extent cx="7533564" cy="0"/>
                <wp:effectExtent l="0" t="0" r="0" b="0"/>
                <wp:wrapNone/>
                <wp:docPr id="2128543278" name="Straight Connector 2"/>
                <wp:cNvGraphicFramePr/>
                <a:graphic xmlns:a="http://schemas.openxmlformats.org/drawingml/2006/main">
                  <a:graphicData uri="http://schemas.microsoft.com/office/word/2010/wordprocessingShape">
                    <wps:wsp>
                      <wps:cNvCnPr/>
                      <wps:spPr>
                        <a:xfrm flipV="1">
                          <a:off x="0" y="0"/>
                          <a:ext cx="753356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018"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35pt,21pt" to="530.8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" strokecolor="#156082 [3204]" strokeweight="1.5pt">
                <v:stroke joinstyle="miter"/>
              </v:line>
            </w:pict>
          </mc:Fallback>
        </mc:AlternateContent>
      </w:r>
    </w:p>
    <w:p w14:paraId="0CD83A0C" w14:textId="77777777" w:rsidR="00740351" w:rsidRPr="00E66EA5" w:rsidRDefault="00740351" w:rsidP="00740351"/>
    <w:p w14:paraId="2CB162B3" w14:textId="7B218742" w:rsidR="00740351" w:rsidRPr="00E66EA5" w:rsidRDefault="00740351" w:rsidP="00740351">
      <w:pPr>
        <w:rPr>
          <w:sz w:val="32"/>
          <w:szCs w:val="32"/>
        </w:rPr>
      </w:pPr>
      <w:r w:rsidRPr="00E66EA5">
        <w:rPr>
          <w:sz w:val="32"/>
          <w:szCs w:val="32"/>
        </w:rPr>
        <w:t xml:space="preserve">Name: Riyaben Jayrushnabhai Prajapati </w:t>
      </w:r>
    </w:p>
    <w:p w14:paraId="4B518EDD" w14:textId="79D02A24" w:rsidR="00740351" w:rsidRPr="00E66EA5" w:rsidRDefault="00740351" w:rsidP="00740351">
      <w:pPr>
        <w:rPr>
          <w:sz w:val="32"/>
          <w:szCs w:val="32"/>
        </w:rPr>
      </w:pPr>
      <w:r w:rsidRPr="00E66EA5">
        <w:rPr>
          <w:sz w:val="32"/>
          <w:szCs w:val="32"/>
        </w:rPr>
        <w:t>Student ID: 2529556</w:t>
      </w:r>
    </w:p>
    <w:p w14:paraId="190EEDC6" w14:textId="5A97A0A3" w:rsidR="002637DD" w:rsidRPr="00E66EA5" w:rsidRDefault="00740351" w:rsidP="00740351">
      <w:pPr>
        <w:rPr>
          <w:sz w:val="32"/>
          <w:szCs w:val="32"/>
        </w:rPr>
      </w:pPr>
      <w:r w:rsidRPr="00E66EA5">
        <w:rPr>
          <w:sz w:val="32"/>
          <w:szCs w:val="32"/>
        </w:rPr>
        <w:t xml:space="preserve">Lecturer: </w:t>
      </w:r>
      <w:r w:rsidR="00942E79" w:rsidRPr="00E66EA5">
        <w:rPr>
          <w:sz w:val="32"/>
          <w:szCs w:val="32"/>
        </w:rPr>
        <w:t>Jean Wang</w:t>
      </w:r>
    </w:p>
    <w:p w14:paraId="74EB927C" w14:textId="63A2FDC0" w:rsidR="00740351" w:rsidRPr="00E66EA5" w:rsidRDefault="00740351" w:rsidP="00740351">
      <w:pPr>
        <w:rPr>
          <w:sz w:val="32"/>
          <w:szCs w:val="32"/>
        </w:rPr>
      </w:pPr>
      <w:r w:rsidRPr="00E66EA5">
        <w:rPr>
          <w:sz w:val="32"/>
          <w:szCs w:val="32"/>
        </w:rPr>
        <w:t xml:space="preserve">Word Count: </w:t>
      </w:r>
      <w:r w:rsidR="00821B2B">
        <w:rPr>
          <w:sz w:val="32"/>
          <w:szCs w:val="32"/>
        </w:rPr>
        <w:t>5360</w:t>
      </w:r>
    </w:p>
    <w:p w14:paraId="347DCD8C" w14:textId="5DAAE9F4" w:rsidR="001D4008" w:rsidRPr="00E66EA5" w:rsidRDefault="00740351" w:rsidP="00043170">
      <w:pPr>
        <w:rPr>
          <w:sz w:val="32"/>
          <w:szCs w:val="32"/>
        </w:rPr>
      </w:pPr>
      <w:r w:rsidRPr="00E66EA5">
        <w:rPr>
          <w:sz w:val="32"/>
          <w:szCs w:val="32"/>
        </w:rPr>
        <w:t xml:space="preserve">Submission Date: </w:t>
      </w:r>
      <w:r w:rsidR="002A5F92" w:rsidRPr="00E66EA5">
        <w:rPr>
          <w:sz w:val="32"/>
          <w:szCs w:val="32"/>
        </w:rPr>
        <w:t>1</w:t>
      </w:r>
      <w:r w:rsidR="002637DD" w:rsidRPr="00E66EA5">
        <w:rPr>
          <w:sz w:val="32"/>
          <w:szCs w:val="32"/>
        </w:rPr>
        <w:t>4</w:t>
      </w:r>
      <w:r w:rsidR="00CE16C1" w:rsidRPr="00E66EA5">
        <w:rPr>
          <w:sz w:val="32"/>
          <w:szCs w:val="32"/>
          <w:vertAlign w:val="superscript"/>
        </w:rPr>
        <w:t>th</w:t>
      </w:r>
      <w:r w:rsidR="00CE16C1" w:rsidRPr="00E66EA5">
        <w:rPr>
          <w:sz w:val="32"/>
          <w:szCs w:val="32"/>
        </w:rPr>
        <w:t xml:space="preserve"> </w:t>
      </w:r>
      <w:r w:rsidR="002A5F92" w:rsidRPr="00E66EA5">
        <w:rPr>
          <w:sz w:val="32"/>
          <w:szCs w:val="32"/>
        </w:rPr>
        <w:t xml:space="preserve">August </w:t>
      </w:r>
      <w:r w:rsidR="00CE16C1" w:rsidRPr="00E66EA5">
        <w:rPr>
          <w:sz w:val="32"/>
          <w:szCs w:val="32"/>
        </w:rPr>
        <w:t>2026</w:t>
      </w:r>
    </w:p>
    <w:p w14:paraId="01ED7FAF" w14:textId="77777777" w:rsidR="00EF6E16" w:rsidRDefault="00EF6E16" w:rsidP="00043170">
      <w:pPr>
        <w:rPr>
          <w:sz w:val="32"/>
          <w:szCs w:val="32"/>
        </w:rPr>
      </w:pPr>
    </w:p>
    <w:p w14:paraId="3EC9A633" w14:textId="77777777" w:rsidR="00874444" w:rsidRPr="00874444" w:rsidRDefault="00874444" w:rsidP="00874444">
      <w:pPr>
        <w:pStyle w:val="Heading1"/>
      </w:pPr>
      <w:bookmarkStart w:id="0" w:name="_Toc237481259"/>
      <w:bookmarkStart w:id="1" w:name="_Toc237483843"/>
      <w:bookmarkStart w:id="2" w:name="_Toc237484916"/>
      <w:r w:rsidRPr="00304CE9">
        <w:lastRenderedPageBreak/>
        <w:t>AI Acknowledgement</w:t>
      </w:r>
      <w:bookmarkEnd w:id="0"/>
      <w:bookmarkEnd w:id="1"/>
      <w:bookmarkEnd w:id="2"/>
      <w:r w:rsidRPr="00304CE9">
        <w:t xml:space="preserve"> </w:t>
      </w:r>
    </w:p>
    <w:p w14:paraId="610A54BE" w14:textId="58F9D86E" w:rsidR="00874444" w:rsidRDefault="00874444" w:rsidP="00874444">
      <w:pPr>
        <w:rPr>
          <w:sz w:val="32"/>
          <w:szCs w:val="32"/>
        </w:rPr>
      </w:pPr>
      <w:r w:rsidRPr="00304CE9">
        <w:t>Generative AI, specifically ChatGPT (OpenAI), was used as a supporting tool during the research and proofreading stages of this assessment. Its use included identifying areas for further research, summarising and comparing information, and checking the grammar and clarity of independently written content. All information used in the assessment was verified against original academic, organisational, and industry sources. The analysis, evaluation, conclusions, and final submitted content were independently produced.</w:t>
      </w:r>
    </w:p>
    <w:p w14:paraId="1A6F678F" w14:textId="77777777" w:rsidR="00874444" w:rsidRDefault="00874444" w:rsidP="00043170">
      <w:pPr>
        <w:rPr>
          <w:sz w:val="32"/>
          <w:szCs w:val="32"/>
        </w:rPr>
      </w:pPr>
    </w:p>
    <w:p w14:paraId="6375A60A" w14:textId="77777777" w:rsidR="00874444" w:rsidRDefault="00874444" w:rsidP="00043170">
      <w:pPr>
        <w:rPr>
          <w:sz w:val="32"/>
          <w:szCs w:val="32"/>
        </w:rPr>
      </w:pPr>
    </w:p>
    <w:p w14:paraId="618EEF8D" w14:textId="77777777" w:rsidR="00874444" w:rsidRDefault="00874444" w:rsidP="00043170">
      <w:pPr>
        <w:rPr>
          <w:sz w:val="32"/>
          <w:szCs w:val="32"/>
        </w:rPr>
      </w:pPr>
    </w:p>
    <w:p w14:paraId="776F12C4" w14:textId="77777777" w:rsidR="00874444" w:rsidRDefault="00874444" w:rsidP="00043170">
      <w:pPr>
        <w:rPr>
          <w:sz w:val="32"/>
          <w:szCs w:val="32"/>
        </w:rPr>
      </w:pPr>
    </w:p>
    <w:p w14:paraId="795BFE0A" w14:textId="77777777" w:rsidR="00874444" w:rsidRDefault="00874444" w:rsidP="00043170">
      <w:pPr>
        <w:rPr>
          <w:sz w:val="32"/>
          <w:szCs w:val="32"/>
        </w:rPr>
      </w:pPr>
    </w:p>
    <w:p w14:paraId="4CDA6B2D" w14:textId="77777777" w:rsidR="00874444" w:rsidRDefault="00874444" w:rsidP="00043170">
      <w:pPr>
        <w:rPr>
          <w:sz w:val="32"/>
          <w:szCs w:val="32"/>
        </w:rPr>
      </w:pPr>
    </w:p>
    <w:p w14:paraId="49C04145" w14:textId="77777777" w:rsidR="00874444" w:rsidRDefault="00874444" w:rsidP="00043170">
      <w:pPr>
        <w:rPr>
          <w:sz w:val="32"/>
          <w:szCs w:val="32"/>
        </w:rPr>
      </w:pPr>
    </w:p>
    <w:p w14:paraId="3ADFCCA0" w14:textId="77777777" w:rsidR="00874444" w:rsidRDefault="00874444" w:rsidP="00043170">
      <w:pPr>
        <w:rPr>
          <w:sz w:val="32"/>
          <w:szCs w:val="32"/>
        </w:rPr>
      </w:pPr>
    </w:p>
    <w:p w14:paraId="168824C9" w14:textId="77777777" w:rsidR="00874444" w:rsidRDefault="00874444" w:rsidP="00043170">
      <w:pPr>
        <w:rPr>
          <w:sz w:val="32"/>
          <w:szCs w:val="32"/>
        </w:rPr>
      </w:pPr>
    </w:p>
    <w:p w14:paraId="6435A91A" w14:textId="77777777" w:rsidR="00874444" w:rsidRDefault="00874444" w:rsidP="00043170">
      <w:pPr>
        <w:rPr>
          <w:sz w:val="32"/>
          <w:szCs w:val="32"/>
        </w:rPr>
      </w:pPr>
    </w:p>
    <w:p w14:paraId="4FC9D20D" w14:textId="77777777" w:rsidR="00874444" w:rsidRDefault="00874444" w:rsidP="00043170">
      <w:pPr>
        <w:rPr>
          <w:sz w:val="32"/>
          <w:szCs w:val="32"/>
        </w:rPr>
      </w:pPr>
    </w:p>
    <w:p w14:paraId="787ABF41" w14:textId="77777777" w:rsidR="00874444" w:rsidRDefault="00874444" w:rsidP="00043170">
      <w:pPr>
        <w:rPr>
          <w:sz w:val="32"/>
          <w:szCs w:val="32"/>
        </w:rPr>
      </w:pPr>
    </w:p>
    <w:p w14:paraId="07E32614" w14:textId="77777777" w:rsidR="00874444" w:rsidRDefault="00874444" w:rsidP="00043170">
      <w:pPr>
        <w:rPr>
          <w:sz w:val="32"/>
          <w:szCs w:val="32"/>
        </w:rPr>
      </w:pPr>
    </w:p>
    <w:p w14:paraId="01373BA4" w14:textId="77777777" w:rsidR="00874444" w:rsidRDefault="00874444" w:rsidP="00043170">
      <w:pPr>
        <w:rPr>
          <w:sz w:val="32"/>
          <w:szCs w:val="32"/>
        </w:rPr>
      </w:pPr>
    </w:p>
    <w:p w14:paraId="406924C0" w14:textId="77777777" w:rsidR="00874444" w:rsidRDefault="00874444" w:rsidP="00043170">
      <w:pPr>
        <w:rPr>
          <w:sz w:val="32"/>
          <w:szCs w:val="32"/>
        </w:rPr>
      </w:pPr>
    </w:p>
    <w:p w14:paraId="34BE3C60" w14:textId="77777777" w:rsidR="00874444" w:rsidRDefault="00874444" w:rsidP="00043170">
      <w:pPr>
        <w:rPr>
          <w:sz w:val="32"/>
          <w:szCs w:val="32"/>
        </w:rPr>
      </w:pPr>
    </w:p>
    <w:p w14:paraId="1674675C" w14:textId="77777777" w:rsidR="00874444" w:rsidRPr="00E66EA5" w:rsidRDefault="00874444" w:rsidP="00043170">
      <w:pPr>
        <w:rPr>
          <w:sz w:val="32"/>
          <w:szCs w:val="32"/>
        </w:rPr>
      </w:pPr>
    </w:p>
    <w:sdt>
      <w:sdtPr>
        <w:rPr>
          <w:rFonts w:ascii="Arial" w:eastAsiaTheme="minorHAnsi" w:hAnsi="Arial" w:cstheme="minorBidi"/>
          <w:color w:val="auto"/>
          <w:kern w:val="2"/>
          <w:sz w:val="24"/>
          <w:szCs w:val="24"/>
          <w:lang w:bidi="gu-IN"/>
          <w14:ligatures w14:val="standardContextual"/>
        </w:rPr>
        <w:id w:val="344446033"/>
        <w:docPartObj>
          <w:docPartGallery w:val="Table of Contents"/>
          <w:docPartUnique/>
        </w:docPartObj>
      </w:sdtPr>
      <w:sdtEndPr>
        <w:rPr>
          <w:b/>
          <w:bCs/>
        </w:rPr>
      </w:sdtEndPr>
      <w:sdtContent>
        <w:p w14:paraId="0E7408F6" w14:textId="10D065C5" w:rsidR="002607E0" w:rsidRPr="002607E0" w:rsidRDefault="001D4008" w:rsidP="002607E0">
          <w:pPr>
            <w:pStyle w:val="TOCHeading"/>
          </w:pPr>
          <w:r w:rsidRPr="00E66EA5">
            <w:t>Contents</w:t>
          </w:r>
          <w:r w:rsidRPr="00E66EA5">
            <w:fldChar w:fldCharType="begin"/>
          </w:r>
          <w:r w:rsidRPr="00E66EA5">
            <w:instrText xml:space="preserve"> TOC \o "1-3" \h \z \u </w:instrText>
          </w:r>
          <w:r w:rsidRPr="00E66EA5">
            <w:fldChar w:fldCharType="separate"/>
          </w:r>
        </w:p>
        <w:p w14:paraId="14887759" w14:textId="6BA13E39" w:rsidR="002607E0" w:rsidRDefault="002607E0">
          <w:pPr>
            <w:pStyle w:val="TOC1"/>
            <w:tabs>
              <w:tab w:val="right" w:leader="dot" w:pos="9350"/>
            </w:tabs>
            <w:rPr>
              <w:rFonts w:asciiTheme="minorHAnsi" w:eastAsiaTheme="minorEastAsia" w:hAnsiTheme="minorHAnsi"/>
              <w:noProof/>
              <w:lang w:val="en-US"/>
            </w:rPr>
          </w:pPr>
          <w:hyperlink w:anchor="_Toc237529709" w:history="1">
            <w:r w:rsidRPr="003B6EC9">
              <w:rPr>
                <w:rStyle w:val="Hyperlink"/>
                <w:noProof/>
              </w:rPr>
              <w:t>1. Executive Summary</w:t>
            </w:r>
            <w:r>
              <w:rPr>
                <w:noProof/>
                <w:webHidden/>
              </w:rPr>
              <w:tab/>
            </w:r>
            <w:r>
              <w:rPr>
                <w:noProof/>
                <w:webHidden/>
              </w:rPr>
              <w:fldChar w:fldCharType="begin"/>
            </w:r>
            <w:r>
              <w:rPr>
                <w:noProof/>
                <w:webHidden/>
              </w:rPr>
              <w:instrText xml:space="preserve"> PAGEREF _Toc237529709 \h </w:instrText>
            </w:r>
            <w:r>
              <w:rPr>
                <w:noProof/>
                <w:webHidden/>
              </w:rPr>
            </w:r>
            <w:r>
              <w:rPr>
                <w:noProof/>
                <w:webHidden/>
              </w:rPr>
              <w:fldChar w:fldCharType="separate"/>
            </w:r>
            <w:r>
              <w:rPr>
                <w:noProof/>
                <w:webHidden/>
              </w:rPr>
              <w:t>4</w:t>
            </w:r>
            <w:r>
              <w:rPr>
                <w:noProof/>
                <w:webHidden/>
              </w:rPr>
              <w:fldChar w:fldCharType="end"/>
            </w:r>
          </w:hyperlink>
        </w:p>
        <w:p w14:paraId="52574ABA" w14:textId="709146FA" w:rsidR="002607E0" w:rsidRDefault="002607E0">
          <w:pPr>
            <w:pStyle w:val="TOC1"/>
            <w:tabs>
              <w:tab w:val="right" w:leader="dot" w:pos="9350"/>
            </w:tabs>
            <w:rPr>
              <w:rFonts w:asciiTheme="minorHAnsi" w:eastAsiaTheme="minorEastAsia" w:hAnsiTheme="minorHAnsi"/>
              <w:noProof/>
              <w:lang w:val="en-US"/>
            </w:rPr>
          </w:pPr>
          <w:hyperlink w:anchor="_Toc237529710" w:history="1">
            <w:r w:rsidRPr="003B6EC9">
              <w:rPr>
                <w:rStyle w:val="Hyperlink"/>
                <w:noProof/>
              </w:rPr>
              <w:t>2. Introduction</w:t>
            </w:r>
            <w:r>
              <w:rPr>
                <w:noProof/>
                <w:webHidden/>
              </w:rPr>
              <w:tab/>
            </w:r>
            <w:r>
              <w:rPr>
                <w:noProof/>
                <w:webHidden/>
              </w:rPr>
              <w:fldChar w:fldCharType="begin"/>
            </w:r>
            <w:r>
              <w:rPr>
                <w:noProof/>
                <w:webHidden/>
              </w:rPr>
              <w:instrText xml:space="preserve"> PAGEREF _Toc237529710 \h </w:instrText>
            </w:r>
            <w:r>
              <w:rPr>
                <w:noProof/>
                <w:webHidden/>
              </w:rPr>
            </w:r>
            <w:r>
              <w:rPr>
                <w:noProof/>
                <w:webHidden/>
              </w:rPr>
              <w:fldChar w:fldCharType="separate"/>
            </w:r>
            <w:r>
              <w:rPr>
                <w:noProof/>
                <w:webHidden/>
              </w:rPr>
              <w:t>5</w:t>
            </w:r>
            <w:r>
              <w:rPr>
                <w:noProof/>
                <w:webHidden/>
              </w:rPr>
              <w:fldChar w:fldCharType="end"/>
            </w:r>
          </w:hyperlink>
        </w:p>
        <w:p w14:paraId="79DAA0A7" w14:textId="53303284" w:rsidR="002607E0" w:rsidRDefault="002607E0">
          <w:pPr>
            <w:pStyle w:val="TOC1"/>
            <w:tabs>
              <w:tab w:val="right" w:leader="dot" w:pos="9350"/>
            </w:tabs>
            <w:rPr>
              <w:rFonts w:asciiTheme="minorHAnsi" w:eastAsiaTheme="minorEastAsia" w:hAnsiTheme="minorHAnsi"/>
              <w:noProof/>
              <w:lang w:val="en-US"/>
            </w:rPr>
          </w:pPr>
          <w:hyperlink w:anchor="_Toc237529711" w:history="1">
            <w:r w:rsidRPr="003B6EC9">
              <w:rPr>
                <w:rStyle w:val="Hyperlink"/>
                <w:noProof/>
              </w:rPr>
              <w:t>3. Organizational Classification and Global Strategy</w:t>
            </w:r>
            <w:r>
              <w:rPr>
                <w:noProof/>
                <w:webHidden/>
              </w:rPr>
              <w:tab/>
            </w:r>
            <w:r>
              <w:rPr>
                <w:noProof/>
                <w:webHidden/>
              </w:rPr>
              <w:fldChar w:fldCharType="begin"/>
            </w:r>
            <w:r>
              <w:rPr>
                <w:noProof/>
                <w:webHidden/>
              </w:rPr>
              <w:instrText xml:space="preserve"> PAGEREF _Toc237529711 \h </w:instrText>
            </w:r>
            <w:r>
              <w:rPr>
                <w:noProof/>
                <w:webHidden/>
              </w:rPr>
            </w:r>
            <w:r>
              <w:rPr>
                <w:noProof/>
                <w:webHidden/>
              </w:rPr>
              <w:fldChar w:fldCharType="separate"/>
            </w:r>
            <w:r>
              <w:rPr>
                <w:noProof/>
                <w:webHidden/>
              </w:rPr>
              <w:t>5</w:t>
            </w:r>
            <w:r>
              <w:rPr>
                <w:noProof/>
                <w:webHidden/>
              </w:rPr>
              <w:fldChar w:fldCharType="end"/>
            </w:r>
          </w:hyperlink>
        </w:p>
        <w:p w14:paraId="535213C3" w14:textId="00B8A76A" w:rsidR="002607E0" w:rsidRDefault="002607E0">
          <w:pPr>
            <w:pStyle w:val="TOC2"/>
            <w:tabs>
              <w:tab w:val="right" w:leader="dot" w:pos="9350"/>
            </w:tabs>
            <w:rPr>
              <w:rFonts w:asciiTheme="minorHAnsi" w:eastAsiaTheme="minorEastAsia" w:hAnsiTheme="minorHAnsi"/>
              <w:noProof/>
              <w:lang w:val="en-US"/>
            </w:rPr>
          </w:pPr>
          <w:hyperlink w:anchor="_Toc237529712" w:history="1">
            <w:r w:rsidRPr="003B6EC9">
              <w:rPr>
                <w:rStyle w:val="Hyperlink"/>
                <w:noProof/>
              </w:rPr>
              <w:t>3.1 Company Background</w:t>
            </w:r>
            <w:r>
              <w:rPr>
                <w:noProof/>
                <w:webHidden/>
              </w:rPr>
              <w:tab/>
            </w:r>
            <w:r>
              <w:rPr>
                <w:noProof/>
                <w:webHidden/>
              </w:rPr>
              <w:fldChar w:fldCharType="begin"/>
            </w:r>
            <w:r>
              <w:rPr>
                <w:noProof/>
                <w:webHidden/>
              </w:rPr>
              <w:instrText xml:space="preserve"> PAGEREF _Toc237529712 \h </w:instrText>
            </w:r>
            <w:r>
              <w:rPr>
                <w:noProof/>
                <w:webHidden/>
              </w:rPr>
            </w:r>
            <w:r>
              <w:rPr>
                <w:noProof/>
                <w:webHidden/>
              </w:rPr>
              <w:fldChar w:fldCharType="separate"/>
            </w:r>
            <w:r>
              <w:rPr>
                <w:noProof/>
                <w:webHidden/>
              </w:rPr>
              <w:t>5</w:t>
            </w:r>
            <w:r>
              <w:rPr>
                <w:noProof/>
                <w:webHidden/>
              </w:rPr>
              <w:fldChar w:fldCharType="end"/>
            </w:r>
          </w:hyperlink>
        </w:p>
        <w:p w14:paraId="0ECD0BAA" w14:textId="30AB0D34" w:rsidR="002607E0" w:rsidRDefault="002607E0">
          <w:pPr>
            <w:pStyle w:val="TOC2"/>
            <w:tabs>
              <w:tab w:val="right" w:leader="dot" w:pos="9350"/>
            </w:tabs>
            <w:rPr>
              <w:rFonts w:asciiTheme="minorHAnsi" w:eastAsiaTheme="minorEastAsia" w:hAnsiTheme="minorHAnsi"/>
              <w:noProof/>
              <w:lang w:val="en-US"/>
            </w:rPr>
          </w:pPr>
          <w:hyperlink w:anchor="_Toc237529713" w:history="1">
            <w:r w:rsidRPr="003B6EC9">
              <w:rPr>
                <w:rStyle w:val="Hyperlink"/>
                <w:noProof/>
              </w:rPr>
              <w:t>3.2 Bartlett and Ghoshal's International Strategy Framework</w:t>
            </w:r>
            <w:r>
              <w:rPr>
                <w:noProof/>
                <w:webHidden/>
              </w:rPr>
              <w:tab/>
            </w:r>
            <w:r>
              <w:rPr>
                <w:noProof/>
                <w:webHidden/>
              </w:rPr>
              <w:fldChar w:fldCharType="begin"/>
            </w:r>
            <w:r>
              <w:rPr>
                <w:noProof/>
                <w:webHidden/>
              </w:rPr>
              <w:instrText xml:space="preserve"> PAGEREF _Toc237529713 \h </w:instrText>
            </w:r>
            <w:r>
              <w:rPr>
                <w:noProof/>
                <w:webHidden/>
              </w:rPr>
            </w:r>
            <w:r>
              <w:rPr>
                <w:noProof/>
                <w:webHidden/>
              </w:rPr>
              <w:fldChar w:fldCharType="separate"/>
            </w:r>
            <w:r>
              <w:rPr>
                <w:noProof/>
                <w:webHidden/>
              </w:rPr>
              <w:t>6</w:t>
            </w:r>
            <w:r>
              <w:rPr>
                <w:noProof/>
                <w:webHidden/>
              </w:rPr>
              <w:fldChar w:fldCharType="end"/>
            </w:r>
          </w:hyperlink>
        </w:p>
        <w:p w14:paraId="6B453AD8" w14:textId="31C1994F" w:rsidR="002607E0" w:rsidRDefault="002607E0">
          <w:pPr>
            <w:pStyle w:val="TOC2"/>
            <w:tabs>
              <w:tab w:val="right" w:leader="dot" w:pos="9350"/>
            </w:tabs>
            <w:rPr>
              <w:rFonts w:asciiTheme="minorHAnsi" w:eastAsiaTheme="minorEastAsia" w:hAnsiTheme="minorHAnsi"/>
              <w:noProof/>
              <w:lang w:val="en-US"/>
            </w:rPr>
          </w:pPr>
          <w:hyperlink w:anchor="_Toc237529714" w:history="1">
            <w:r w:rsidRPr="003B6EC9">
              <w:rPr>
                <w:rStyle w:val="Hyperlink"/>
                <w:noProof/>
              </w:rPr>
              <w:t>3.3 Global Configuration and Competitive Advantage</w:t>
            </w:r>
            <w:r>
              <w:rPr>
                <w:noProof/>
                <w:webHidden/>
              </w:rPr>
              <w:tab/>
            </w:r>
            <w:r>
              <w:rPr>
                <w:noProof/>
                <w:webHidden/>
              </w:rPr>
              <w:fldChar w:fldCharType="begin"/>
            </w:r>
            <w:r>
              <w:rPr>
                <w:noProof/>
                <w:webHidden/>
              </w:rPr>
              <w:instrText xml:space="preserve"> PAGEREF _Toc237529714 \h </w:instrText>
            </w:r>
            <w:r>
              <w:rPr>
                <w:noProof/>
                <w:webHidden/>
              </w:rPr>
            </w:r>
            <w:r>
              <w:rPr>
                <w:noProof/>
                <w:webHidden/>
              </w:rPr>
              <w:fldChar w:fldCharType="separate"/>
            </w:r>
            <w:r>
              <w:rPr>
                <w:noProof/>
                <w:webHidden/>
              </w:rPr>
              <w:t>6</w:t>
            </w:r>
            <w:r>
              <w:rPr>
                <w:noProof/>
                <w:webHidden/>
              </w:rPr>
              <w:fldChar w:fldCharType="end"/>
            </w:r>
          </w:hyperlink>
        </w:p>
        <w:p w14:paraId="59EF5240" w14:textId="40585186" w:rsidR="002607E0" w:rsidRDefault="002607E0">
          <w:pPr>
            <w:pStyle w:val="TOC1"/>
            <w:tabs>
              <w:tab w:val="right" w:leader="dot" w:pos="9350"/>
            </w:tabs>
            <w:rPr>
              <w:rFonts w:asciiTheme="minorHAnsi" w:eastAsiaTheme="minorEastAsia" w:hAnsiTheme="minorHAnsi"/>
              <w:noProof/>
              <w:lang w:val="en-US"/>
            </w:rPr>
          </w:pPr>
          <w:hyperlink w:anchor="_Toc237529715" w:history="1">
            <w:r w:rsidRPr="003B6EC9">
              <w:rPr>
                <w:rStyle w:val="Hyperlink"/>
                <w:noProof/>
              </w:rPr>
              <w:t>4. Macro-Environmental Appraisal and Market Attractiveness</w:t>
            </w:r>
            <w:r>
              <w:rPr>
                <w:noProof/>
                <w:webHidden/>
              </w:rPr>
              <w:tab/>
            </w:r>
            <w:r>
              <w:rPr>
                <w:noProof/>
                <w:webHidden/>
              </w:rPr>
              <w:fldChar w:fldCharType="begin"/>
            </w:r>
            <w:r>
              <w:rPr>
                <w:noProof/>
                <w:webHidden/>
              </w:rPr>
              <w:instrText xml:space="preserve"> PAGEREF _Toc237529715 \h </w:instrText>
            </w:r>
            <w:r>
              <w:rPr>
                <w:noProof/>
                <w:webHidden/>
              </w:rPr>
            </w:r>
            <w:r>
              <w:rPr>
                <w:noProof/>
                <w:webHidden/>
              </w:rPr>
              <w:fldChar w:fldCharType="separate"/>
            </w:r>
            <w:r>
              <w:rPr>
                <w:noProof/>
                <w:webHidden/>
              </w:rPr>
              <w:t>7</w:t>
            </w:r>
            <w:r>
              <w:rPr>
                <w:noProof/>
                <w:webHidden/>
              </w:rPr>
              <w:fldChar w:fldCharType="end"/>
            </w:r>
          </w:hyperlink>
        </w:p>
        <w:p w14:paraId="4D333CBD" w14:textId="028703DF" w:rsidR="002607E0" w:rsidRDefault="002607E0">
          <w:pPr>
            <w:pStyle w:val="TOC2"/>
            <w:tabs>
              <w:tab w:val="right" w:leader="dot" w:pos="9350"/>
            </w:tabs>
            <w:rPr>
              <w:rFonts w:asciiTheme="minorHAnsi" w:eastAsiaTheme="minorEastAsia" w:hAnsiTheme="minorHAnsi"/>
              <w:noProof/>
              <w:lang w:val="en-US"/>
            </w:rPr>
          </w:pPr>
          <w:hyperlink w:anchor="_Toc237529716" w:history="1">
            <w:r w:rsidRPr="003B6EC9">
              <w:rPr>
                <w:rStyle w:val="Hyperlink"/>
                <w:noProof/>
              </w:rPr>
              <w:t>4.1 Political Environment</w:t>
            </w:r>
            <w:r>
              <w:rPr>
                <w:noProof/>
                <w:webHidden/>
              </w:rPr>
              <w:tab/>
            </w:r>
            <w:r>
              <w:rPr>
                <w:noProof/>
                <w:webHidden/>
              </w:rPr>
              <w:fldChar w:fldCharType="begin"/>
            </w:r>
            <w:r>
              <w:rPr>
                <w:noProof/>
                <w:webHidden/>
              </w:rPr>
              <w:instrText xml:space="preserve"> PAGEREF _Toc237529716 \h </w:instrText>
            </w:r>
            <w:r>
              <w:rPr>
                <w:noProof/>
                <w:webHidden/>
              </w:rPr>
            </w:r>
            <w:r>
              <w:rPr>
                <w:noProof/>
                <w:webHidden/>
              </w:rPr>
              <w:fldChar w:fldCharType="separate"/>
            </w:r>
            <w:r>
              <w:rPr>
                <w:noProof/>
                <w:webHidden/>
              </w:rPr>
              <w:t>7</w:t>
            </w:r>
            <w:r>
              <w:rPr>
                <w:noProof/>
                <w:webHidden/>
              </w:rPr>
              <w:fldChar w:fldCharType="end"/>
            </w:r>
          </w:hyperlink>
        </w:p>
        <w:p w14:paraId="41ADF02F" w14:textId="381CDEA4" w:rsidR="002607E0" w:rsidRDefault="002607E0">
          <w:pPr>
            <w:pStyle w:val="TOC2"/>
            <w:tabs>
              <w:tab w:val="right" w:leader="dot" w:pos="9350"/>
            </w:tabs>
            <w:rPr>
              <w:rFonts w:asciiTheme="minorHAnsi" w:eastAsiaTheme="minorEastAsia" w:hAnsiTheme="minorHAnsi"/>
              <w:noProof/>
              <w:lang w:val="en-US"/>
            </w:rPr>
          </w:pPr>
          <w:hyperlink w:anchor="_Toc237529717" w:history="1">
            <w:r w:rsidRPr="003B6EC9">
              <w:rPr>
                <w:rStyle w:val="Hyperlink"/>
                <w:noProof/>
              </w:rPr>
              <w:t>4.2 Economic Environment</w:t>
            </w:r>
            <w:r>
              <w:rPr>
                <w:noProof/>
                <w:webHidden/>
              </w:rPr>
              <w:tab/>
            </w:r>
            <w:r>
              <w:rPr>
                <w:noProof/>
                <w:webHidden/>
              </w:rPr>
              <w:fldChar w:fldCharType="begin"/>
            </w:r>
            <w:r>
              <w:rPr>
                <w:noProof/>
                <w:webHidden/>
              </w:rPr>
              <w:instrText xml:space="preserve"> PAGEREF _Toc237529717 \h </w:instrText>
            </w:r>
            <w:r>
              <w:rPr>
                <w:noProof/>
                <w:webHidden/>
              </w:rPr>
            </w:r>
            <w:r>
              <w:rPr>
                <w:noProof/>
                <w:webHidden/>
              </w:rPr>
              <w:fldChar w:fldCharType="separate"/>
            </w:r>
            <w:r>
              <w:rPr>
                <w:noProof/>
                <w:webHidden/>
              </w:rPr>
              <w:t>8</w:t>
            </w:r>
            <w:r>
              <w:rPr>
                <w:noProof/>
                <w:webHidden/>
              </w:rPr>
              <w:fldChar w:fldCharType="end"/>
            </w:r>
          </w:hyperlink>
        </w:p>
        <w:p w14:paraId="48E40687" w14:textId="02A54D63" w:rsidR="002607E0" w:rsidRDefault="002607E0">
          <w:pPr>
            <w:pStyle w:val="TOC2"/>
            <w:tabs>
              <w:tab w:val="right" w:leader="dot" w:pos="9350"/>
            </w:tabs>
            <w:rPr>
              <w:rFonts w:asciiTheme="minorHAnsi" w:eastAsiaTheme="minorEastAsia" w:hAnsiTheme="minorHAnsi"/>
              <w:noProof/>
              <w:lang w:val="en-US"/>
            </w:rPr>
          </w:pPr>
          <w:hyperlink w:anchor="_Toc237529718" w:history="1">
            <w:r w:rsidRPr="003B6EC9">
              <w:rPr>
                <w:rStyle w:val="Hyperlink"/>
                <w:noProof/>
              </w:rPr>
              <w:t>4.3 Legal Environment</w:t>
            </w:r>
            <w:r>
              <w:rPr>
                <w:noProof/>
                <w:webHidden/>
              </w:rPr>
              <w:tab/>
            </w:r>
            <w:r>
              <w:rPr>
                <w:noProof/>
                <w:webHidden/>
              </w:rPr>
              <w:fldChar w:fldCharType="begin"/>
            </w:r>
            <w:r>
              <w:rPr>
                <w:noProof/>
                <w:webHidden/>
              </w:rPr>
              <w:instrText xml:space="preserve"> PAGEREF _Toc237529718 \h </w:instrText>
            </w:r>
            <w:r>
              <w:rPr>
                <w:noProof/>
                <w:webHidden/>
              </w:rPr>
            </w:r>
            <w:r>
              <w:rPr>
                <w:noProof/>
                <w:webHidden/>
              </w:rPr>
              <w:fldChar w:fldCharType="separate"/>
            </w:r>
            <w:r>
              <w:rPr>
                <w:noProof/>
                <w:webHidden/>
              </w:rPr>
              <w:t>9</w:t>
            </w:r>
            <w:r>
              <w:rPr>
                <w:noProof/>
                <w:webHidden/>
              </w:rPr>
              <w:fldChar w:fldCharType="end"/>
            </w:r>
          </w:hyperlink>
        </w:p>
        <w:p w14:paraId="6EDB3F82" w14:textId="1D69FFF5" w:rsidR="002607E0" w:rsidRDefault="002607E0">
          <w:pPr>
            <w:pStyle w:val="TOC2"/>
            <w:tabs>
              <w:tab w:val="right" w:leader="dot" w:pos="9350"/>
            </w:tabs>
            <w:rPr>
              <w:rFonts w:asciiTheme="minorHAnsi" w:eastAsiaTheme="minorEastAsia" w:hAnsiTheme="minorHAnsi"/>
              <w:noProof/>
              <w:lang w:val="en-US"/>
            </w:rPr>
          </w:pPr>
          <w:hyperlink w:anchor="_Toc237529719" w:history="1">
            <w:r w:rsidRPr="003B6EC9">
              <w:rPr>
                <w:rStyle w:val="Hyperlink"/>
                <w:noProof/>
              </w:rPr>
              <w:t>4.4 Cultural Environment</w:t>
            </w:r>
            <w:r>
              <w:rPr>
                <w:noProof/>
                <w:webHidden/>
              </w:rPr>
              <w:tab/>
            </w:r>
            <w:r>
              <w:rPr>
                <w:noProof/>
                <w:webHidden/>
              </w:rPr>
              <w:fldChar w:fldCharType="begin"/>
            </w:r>
            <w:r>
              <w:rPr>
                <w:noProof/>
                <w:webHidden/>
              </w:rPr>
              <w:instrText xml:space="preserve"> PAGEREF _Toc237529719 \h </w:instrText>
            </w:r>
            <w:r>
              <w:rPr>
                <w:noProof/>
                <w:webHidden/>
              </w:rPr>
            </w:r>
            <w:r>
              <w:rPr>
                <w:noProof/>
                <w:webHidden/>
              </w:rPr>
              <w:fldChar w:fldCharType="separate"/>
            </w:r>
            <w:r>
              <w:rPr>
                <w:noProof/>
                <w:webHidden/>
              </w:rPr>
              <w:t>10</w:t>
            </w:r>
            <w:r>
              <w:rPr>
                <w:noProof/>
                <w:webHidden/>
              </w:rPr>
              <w:fldChar w:fldCharType="end"/>
            </w:r>
          </w:hyperlink>
        </w:p>
        <w:p w14:paraId="6C204F97" w14:textId="6E506213" w:rsidR="002607E0" w:rsidRDefault="002607E0">
          <w:pPr>
            <w:pStyle w:val="TOC2"/>
            <w:tabs>
              <w:tab w:val="right" w:leader="dot" w:pos="9350"/>
            </w:tabs>
            <w:rPr>
              <w:rFonts w:asciiTheme="minorHAnsi" w:eastAsiaTheme="minorEastAsia" w:hAnsiTheme="minorHAnsi"/>
              <w:noProof/>
              <w:lang w:val="en-US"/>
            </w:rPr>
          </w:pPr>
          <w:hyperlink w:anchor="_Toc237529720" w:history="1">
            <w:r w:rsidRPr="003B6EC9">
              <w:rPr>
                <w:rStyle w:val="Hyperlink"/>
                <w:noProof/>
              </w:rPr>
              <w:t>4.5 Critical Evaluation of Brazil's Market Attractiveness</w:t>
            </w:r>
            <w:r>
              <w:rPr>
                <w:noProof/>
                <w:webHidden/>
              </w:rPr>
              <w:tab/>
            </w:r>
            <w:r>
              <w:rPr>
                <w:noProof/>
                <w:webHidden/>
              </w:rPr>
              <w:fldChar w:fldCharType="begin"/>
            </w:r>
            <w:r>
              <w:rPr>
                <w:noProof/>
                <w:webHidden/>
              </w:rPr>
              <w:instrText xml:space="preserve"> PAGEREF _Toc237529720 \h </w:instrText>
            </w:r>
            <w:r>
              <w:rPr>
                <w:noProof/>
                <w:webHidden/>
              </w:rPr>
            </w:r>
            <w:r>
              <w:rPr>
                <w:noProof/>
                <w:webHidden/>
              </w:rPr>
              <w:fldChar w:fldCharType="separate"/>
            </w:r>
            <w:r>
              <w:rPr>
                <w:noProof/>
                <w:webHidden/>
              </w:rPr>
              <w:t>11</w:t>
            </w:r>
            <w:r>
              <w:rPr>
                <w:noProof/>
                <w:webHidden/>
              </w:rPr>
              <w:fldChar w:fldCharType="end"/>
            </w:r>
          </w:hyperlink>
        </w:p>
        <w:p w14:paraId="2E9A4D51" w14:textId="5B7FFB93" w:rsidR="002607E0" w:rsidRDefault="002607E0">
          <w:pPr>
            <w:pStyle w:val="TOC2"/>
            <w:tabs>
              <w:tab w:val="right" w:leader="dot" w:pos="9350"/>
            </w:tabs>
            <w:rPr>
              <w:rFonts w:asciiTheme="minorHAnsi" w:eastAsiaTheme="minorEastAsia" w:hAnsiTheme="minorHAnsi"/>
              <w:noProof/>
              <w:lang w:val="en-US"/>
            </w:rPr>
          </w:pPr>
          <w:hyperlink w:anchor="_Toc237529721" w:history="1">
            <w:r w:rsidRPr="003B6EC9">
              <w:rPr>
                <w:rStyle w:val="Hyperlink"/>
                <w:noProof/>
              </w:rPr>
              <w:t>4.6 Dunning's Eclectic (OLI) Paradigm</w:t>
            </w:r>
            <w:r>
              <w:rPr>
                <w:noProof/>
                <w:webHidden/>
              </w:rPr>
              <w:tab/>
            </w:r>
            <w:r>
              <w:rPr>
                <w:noProof/>
                <w:webHidden/>
              </w:rPr>
              <w:fldChar w:fldCharType="begin"/>
            </w:r>
            <w:r>
              <w:rPr>
                <w:noProof/>
                <w:webHidden/>
              </w:rPr>
              <w:instrText xml:space="preserve"> PAGEREF _Toc237529721 \h </w:instrText>
            </w:r>
            <w:r>
              <w:rPr>
                <w:noProof/>
                <w:webHidden/>
              </w:rPr>
            </w:r>
            <w:r>
              <w:rPr>
                <w:noProof/>
                <w:webHidden/>
              </w:rPr>
              <w:fldChar w:fldCharType="separate"/>
            </w:r>
            <w:r>
              <w:rPr>
                <w:noProof/>
                <w:webHidden/>
              </w:rPr>
              <w:t>12</w:t>
            </w:r>
            <w:r>
              <w:rPr>
                <w:noProof/>
                <w:webHidden/>
              </w:rPr>
              <w:fldChar w:fldCharType="end"/>
            </w:r>
          </w:hyperlink>
        </w:p>
        <w:p w14:paraId="7094E0D5" w14:textId="3E9F38ED" w:rsidR="002607E0" w:rsidRDefault="002607E0">
          <w:pPr>
            <w:pStyle w:val="TOC1"/>
            <w:tabs>
              <w:tab w:val="right" w:leader="dot" w:pos="9350"/>
            </w:tabs>
            <w:rPr>
              <w:rFonts w:asciiTheme="minorHAnsi" w:eastAsiaTheme="minorEastAsia" w:hAnsiTheme="minorHAnsi"/>
              <w:noProof/>
              <w:lang w:val="en-US"/>
            </w:rPr>
          </w:pPr>
          <w:hyperlink w:anchor="_Toc237529722" w:history="1">
            <w:r w:rsidRPr="003B6EC9">
              <w:rPr>
                <w:rStyle w:val="Hyperlink"/>
                <w:noProof/>
              </w:rPr>
              <w:t>5. Entry Mode Strategy and Strategic Synthesis</w:t>
            </w:r>
            <w:r>
              <w:rPr>
                <w:noProof/>
                <w:webHidden/>
              </w:rPr>
              <w:tab/>
            </w:r>
            <w:r>
              <w:rPr>
                <w:noProof/>
                <w:webHidden/>
              </w:rPr>
              <w:fldChar w:fldCharType="begin"/>
            </w:r>
            <w:r>
              <w:rPr>
                <w:noProof/>
                <w:webHidden/>
              </w:rPr>
              <w:instrText xml:space="preserve"> PAGEREF _Toc237529722 \h </w:instrText>
            </w:r>
            <w:r>
              <w:rPr>
                <w:noProof/>
                <w:webHidden/>
              </w:rPr>
            </w:r>
            <w:r>
              <w:rPr>
                <w:noProof/>
                <w:webHidden/>
              </w:rPr>
              <w:fldChar w:fldCharType="separate"/>
            </w:r>
            <w:r>
              <w:rPr>
                <w:noProof/>
                <w:webHidden/>
              </w:rPr>
              <w:t>15</w:t>
            </w:r>
            <w:r>
              <w:rPr>
                <w:noProof/>
                <w:webHidden/>
              </w:rPr>
              <w:fldChar w:fldCharType="end"/>
            </w:r>
          </w:hyperlink>
        </w:p>
        <w:p w14:paraId="1A82455D" w14:textId="28D1AB06" w:rsidR="002607E0" w:rsidRDefault="002607E0">
          <w:pPr>
            <w:pStyle w:val="TOC2"/>
            <w:tabs>
              <w:tab w:val="right" w:leader="dot" w:pos="9350"/>
            </w:tabs>
            <w:rPr>
              <w:rFonts w:asciiTheme="minorHAnsi" w:eastAsiaTheme="minorEastAsia" w:hAnsiTheme="minorHAnsi"/>
              <w:noProof/>
              <w:lang w:val="en-US"/>
            </w:rPr>
          </w:pPr>
          <w:hyperlink w:anchor="_Toc237529723" w:history="1">
            <w:r w:rsidRPr="003B6EC9">
              <w:rPr>
                <w:rStyle w:val="Hyperlink"/>
                <w:noProof/>
              </w:rPr>
              <w:t>5.1 Costco's Historical International Expansion</w:t>
            </w:r>
            <w:r>
              <w:rPr>
                <w:noProof/>
                <w:webHidden/>
              </w:rPr>
              <w:tab/>
            </w:r>
            <w:r>
              <w:rPr>
                <w:noProof/>
                <w:webHidden/>
              </w:rPr>
              <w:fldChar w:fldCharType="begin"/>
            </w:r>
            <w:r>
              <w:rPr>
                <w:noProof/>
                <w:webHidden/>
              </w:rPr>
              <w:instrText xml:space="preserve"> PAGEREF _Toc237529723 \h </w:instrText>
            </w:r>
            <w:r>
              <w:rPr>
                <w:noProof/>
                <w:webHidden/>
              </w:rPr>
            </w:r>
            <w:r>
              <w:rPr>
                <w:noProof/>
                <w:webHidden/>
              </w:rPr>
              <w:fldChar w:fldCharType="separate"/>
            </w:r>
            <w:r>
              <w:rPr>
                <w:noProof/>
                <w:webHidden/>
              </w:rPr>
              <w:t>15</w:t>
            </w:r>
            <w:r>
              <w:rPr>
                <w:noProof/>
                <w:webHidden/>
              </w:rPr>
              <w:fldChar w:fldCharType="end"/>
            </w:r>
          </w:hyperlink>
        </w:p>
        <w:p w14:paraId="12ABCF8A" w14:textId="662B5755" w:rsidR="002607E0" w:rsidRDefault="002607E0">
          <w:pPr>
            <w:pStyle w:val="TOC2"/>
            <w:tabs>
              <w:tab w:val="right" w:leader="dot" w:pos="9350"/>
            </w:tabs>
            <w:rPr>
              <w:rFonts w:asciiTheme="minorHAnsi" w:eastAsiaTheme="minorEastAsia" w:hAnsiTheme="minorHAnsi"/>
              <w:noProof/>
              <w:lang w:val="en-US"/>
            </w:rPr>
          </w:pPr>
          <w:hyperlink w:anchor="_Toc237529724" w:history="1">
            <w:r w:rsidRPr="003B6EC9">
              <w:rPr>
                <w:rStyle w:val="Hyperlink"/>
                <w:noProof/>
              </w:rPr>
              <w:t>5.2 Evaluation of Alternative Entry Modes</w:t>
            </w:r>
            <w:r>
              <w:rPr>
                <w:noProof/>
                <w:webHidden/>
              </w:rPr>
              <w:tab/>
            </w:r>
            <w:r>
              <w:rPr>
                <w:noProof/>
                <w:webHidden/>
              </w:rPr>
              <w:fldChar w:fldCharType="begin"/>
            </w:r>
            <w:r>
              <w:rPr>
                <w:noProof/>
                <w:webHidden/>
              </w:rPr>
              <w:instrText xml:space="preserve"> PAGEREF _Toc237529724 \h </w:instrText>
            </w:r>
            <w:r>
              <w:rPr>
                <w:noProof/>
                <w:webHidden/>
              </w:rPr>
            </w:r>
            <w:r>
              <w:rPr>
                <w:noProof/>
                <w:webHidden/>
              </w:rPr>
              <w:fldChar w:fldCharType="separate"/>
            </w:r>
            <w:r>
              <w:rPr>
                <w:noProof/>
                <w:webHidden/>
              </w:rPr>
              <w:t>16</w:t>
            </w:r>
            <w:r>
              <w:rPr>
                <w:noProof/>
                <w:webHidden/>
              </w:rPr>
              <w:fldChar w:fldCharType="end"/>
            </w:r>
          </w:hyperlink>
        </w:p>
        <w:p w14:paraId="644590EF" w14:textId="61FF9A3C" w:rsidR="002607E0" w:rsidRDefault="002607E0">
          <w:pPr>
            <w:pStyle w:val="TOC2"/>
            <w:tabs>
              <w:tab w:val="right" w:leader="dot" w:pos="9350"/>
            </w:tabs>
            <w:rPr>
              <w:rFonts w:asciiTheme="minorHAnsi" w:eastAsiaTheme="minorEastAsia" w:hAnsiTheme="minorHAnsi"/>
              <w:noProof/>
              <w:lang w:val="en-US"/>
            </w:rPr>
          </w:pPr>
          <w:hyperlink w:anchor="_Toc237529725" w:history="1">
            <w:r w:rsidRPr="003B6EC9">
              <w:rPr>
                <w:rStyle w:val="Hyperlink"/>
                <w:noProof/>
              </w:rPr>
              <w:t>5.3 Recommended Entry Strategy</w:t>
            </w:r>
            <w:r>
              <w:rPr>
                <w:noProof/>
                <w:webHidden/>
              </w:rPr>
              <w:tab/>
            </w:r>
            <w:r>
              <w:rPr>
                <w:noProof/>
                <w:webHidden/>
              </w:rPr>
              <w:fldChar w:fldCharType="begin"/>
            </w:r>
            <w:r>
              <w:rPr>
                <w:noProof/>
                <w:webHidden/>
              </w:rPr>
              <w:instrText xml:space="preserve"> PAGEREF _Toc237529725 \h </w:instrText>
            </w:r>
            <w:r>
              <w:rPr>
                <w:noProof/>
                <w:webHidden/>
              </w:rPr>
            </w:r>
            <w:r>
              <w:rPr>
                <w:noProof/>
                <w:webHidden/>
              </w:rPr>
              <w:fldChar w:fldCharType="separate"/>
            </w:r>
            <w:r>
              <w:rPr>
                <w:noProof/>
                <w:webHidden/>
              </w:rPr>
              <w:t>18</w:t>
            </w:r>
            <w:r>
              <w:rPr>
                <w:noProof/>
                <w:webHidden/>
              </w:rPr>
              <w:fldChar w:fldCharType="end"/>
            </w:r>
          </w:hyperlink>
        </w:p>
        <w:p w14:paraId="5BD61CAE" w14:textId="402058B1" w:rsidR="002607E0" w:rsidRDefault="002607E0">
          <w:pPr>
            <w:pStyle w:val="TOC2"/>
            <w:tabs>
              <w:tab w:val="right" w:leader="dot" w:pos="9350"/>
            </w:tabs>
            <w:rPr>
              <w:rFonts w:asciiTheme="minorHAnsi" w:eastAsiaTheme="minorEastAsia" w:hAnsiTheme="minorHAnsi"/>
              <w:noProof/>
              <w:lang w:val="en-US"/>
            </w:rPr>
          </w:pPr>
          <w:hyperlink w:anchor="_Toc237529726" w:history="1">
            <w:r w:rsidRPr="003B6EC9">
              <w:rPr>
                <w:rStyle w:val="Hyperlink"/>
                <w:noProof/>
              </w:rPr>
              <w:t>5.4 Risks and Mitigation Strategies</w:t>
            </w:r>
            <w:r>
              <w:rPr>
                <w:noProof/>
                <w:webHidden/>
              </w:rPr>
              <w:tab/>
            </w:r>
            <w:r>
              <w:rPr>
                <w:noProof/>
                <w:webHidden/>
              </w:rPr>
              <w:fldChar w:fldCharType="begin"/>
            </w:r>
            <w:r>
              <w:rPr>
                <w:noProof/>
                <w:webHidden/>
              </w:rPr>
              <w:instrText xml:space="preserve"> PAGEREF _Toc237529726 \h </w:instrText>
            </w:r>
            <w:r>
              <w:rPr>
                <w:noProof/>
                <w:webHidden/>
              </w:rPr>
            </w:r>
            <w:r>
              <w:rPr>
                <w:noProof/>
                <w:webHidden/>
              </w:rPr>
              <w:fldChar w:fldCharType="separate"/>
            </w:r>
            <w:r>
              <w:rPr>
                <w:noProof/>
                <w:webHidden/>
              </w:rPr>
              <w:t>19</w:t>
            </w:r>
            <w:r>
              <w:rPr>
                <w:noProof/>
                <w:webHidden/>
              </w:rPr>
              <w:fldChar w:fldCharType="end"/>
            </w:r>
          </w:hyperlink>
        </w:p>
        <w:p w14:paraId="401722B7" w14:textId="339E2782" w:rsidR="002607E0" w:rsidRDefault="002607E0">
          <w:pPr>
            <w:pStyle w:val="TOC1"/>
            <w:tabs>
              <w:tab w:val="right" w:leader="dot" w:pos="9350"/>
            </w:tabs>
            <w:rPr>
              <w:rFonts w:asciiTheme="minorHAnsi" w:eastAsiaTheme="minorEastAsia" w:hAnsiTheme="minorHAnsi"/>
              <w:noProof/>
              <w:lang w:val="en-US"/>
            </w:rPr>
          </w:pPr>
          <w:hyperlink w:anchor="_Toc237529727" w:history="1">
            <w:r w:rsidRPr="003B6EC9">
              <w:rPr>
                <w:rStyle w:val="Hyperlink"/>
                <w:noProof/>
              </w:rPr>
              <w:t>6. Conclusion</w:t>
            </w:r>
            <w:r>
              <w:rPr>
                <w:noProof/>
                <w:webHidden/>
              </w:rPr>
              <w:tab/>
            </w:r>
            <w:r>
              <w:rPr>
                <w:noProof/>
                <w:webHidden/>
              </w:rPr>
              <w:fldChar w:fldCharType="begin"/>
            </w:r>
            <w:r>
              <w:rPr>
                <w:noProof/>
                <w:webHidden/>
              </w:rPr>
              <w:instrText xml:space="preserve"> PAGEREF _Toc237529727 \h </w:instrText>
            </w:r>
            <w:r>
              <w:rPr>
                <w:noProof/>
                <w:webHidden/>
              </w:rPr>
            </w:r>
            <w:r>
              <w:rPr>
                <w:noProof/>
                <w:webHidden/>
              </w:rPr>
              <w:fldChar w:fldCharType="separate"/>
            </w:r>
            <w:r>
              <w:rPr>
                <w:noProof/>
                <w:webHidden/>
              </w:rPr>
              <w:t>20</w:t>
            </w:r>
            <w:r>
              <w:rPr>
                <w:noProof/>
                <w:webHidden/>
              </w:rPr>
              <w:fldChar w:fldCharType="end"/>
            </w:r>
          </w:hyperlink>
        </w:p>
        <w:p w14:paraId="529BA8B6" w14:textId="253B9FA9" w:rsidR="002607E0" w:rsidRDefault="002607E0">
          <w:pPr>
            <w:pStyle w:val="TOC1"/>
            <w:tabs>
              <w:tab w:val="right" w:leader="dot" w:pos="9350"/>
            </w:tabs>
            <w:rPr>
              <w:rFonts w:asciiTheme="minorHAnsi" w:eastAsiaTheme="minorEastAsia" w:hAnsiTheme="minorHAnsi"/>
              <w:noProof/>
              <w:lang w:val="en-US"/>
            </w:rPr>
          </w:pPr>
          <w:hyperlink w:anchor="_Toc237529728" w:history="1">
            <w:r w:rsidRPr="003B6EC9">
              <w:rPr>
                <w:rStyle w:val="Hyperlink"/>
                <w:noProof/>
              </w:rPr>
              <w:t>7. Reflective Account Using Gibbs' Reflective Cycle</w:t>
            </w:r>
            <w:r>
              <w:rPr>
                <w:noProof/>
                <w:webHidden/>
              </w:rPr>
              <w:tab/>
            </w:r>
            <w:r>
              <w:rPr>
                <w:noProof/>
                <w:webHidden/>
              </w:rPr>
              <w:fldChar w:fldCharType="begin"/>
            </w:r>
            <w:r>
              <w:rPr>
                <w:noProof/>
                <w:webHidden/>
              </w:rPr>
              <w:instrText xml:space="preserve"> PAGEREF _Toc237529728 \h </w:instrText>
            </w:r>
            <w:r>
              <w:rPr>
                <w:noProof/>
                <w:webHidden/>
              </w:rPr>
            </w:r>
            <w:r>
              <w:rPr>
                <w:noProof/>
                <w:webHidden/>
              </w:rPr>
              <w:fldChar w:fldCharType="separate"/>
            </w:r>
            <w:r>
              <w:rPr>
                <w:noProof/>
                <w:webHidden/>
              </w:rPr>
              <w:t>21</w:t>
            </w:r>
            <w:r>
              <w:rPr>
                <w:noProof/>
                <w:webHidden/>
              </w:rPr>
              <w:fldChar w:fldCharType="end"/>
            </w:r>
          </w:hyperlink>
        </w:p>
        <w:p w14:paraId="38A42CFA" w14:textId="00E9A119" w:rsidR="002607E0" w:rsidRDefault="002607E0">
          <w:pPr>
            <w:pStyle w:val="TOC1"/>
            <w:tabs>
              <w:tab w:val="right" w:leader="dot" w:pos="9350"/>
            </w:tabs>
            <w:rPr>
              <w:rFonts w:asciiTheme="minorHAnsi" w:eastAsiaTheme="minorEastAsia" w:hAnsiTheme="minorHAnsi"/>
              <w:noProof/>
              <w:lang w:val="en-US"/>
            </w:rPr>
          </w:pPr>
          <w:hyperlink w:anchor="_Toc237529729" w:history="1">
            <w:r w:rsidRPr="003B6EC9">
              <w:rPr>
                <w:rStyle w:val="Hyperlink"/>
                <w:noProof/>
              </w:rPr>
              <w:t>References</w:t>
            </w:r>
            <w:r>
              <w:rPr>
                <w:noProof/>
                <w:webHidden/>
              </w:rPr>
              <w:tab/>
            </w:r>
            <w:r>
              <w:rPr>
                <w:noProof/>
                <w:webHidden/>
              </w:rPr>
              <w:fldChar w:fldCharType="begin"/>
            </w:r>
            <w:r>
              <w:rPr>
                <w:noProof/>
                <w:webHidden/>
              </w:rPr>
              <w:instrText xml:space="preserve"> PAGEREF _Toc237529729 \h </w:instrText>
            </w:r>
            <w:r>
              <w:rPr>
                <w:noProof/>
                <w:webHidden/>
              </w:rPr>
            </w:r>
            <w:r>
              <w:rPr>
                <w:noProof/>
                <w:webHidden/>
              </w:rPr>
              <w:fldChar w:fldCharType="separate"/>
            </w:r>
            <w:r>
              <w:rPr>
                <w:noProof/>
                <w:webHidden/>
              </w:rPr>
              <w:t>26</w:t>
            </w:r>
            <w:r>
              <w:rPr>
                <w:noProof/>
                <w:webHidden/>
              </w:rPr>
              <w:fldChar w:fldCharType="end"/>
            </w:r>
          </w:hyperlink>
        </w:p>
        <w:p w14:paraId="290BC7FC" w14:textId="0D5E4B04" w:rsidR="001D4008" w:rsidRPr="00E66EA5" w:rsidRDefault="001D4008">
          <w:pPr>
            <w:rPr>
              <w:b/>
              <w:bCs/>
            </w:rPr>
          </w:pPr>
          <w:r w:rsidRPr="00E66EA5">
            <w:rPr>
              <w:b/>
              <w:bCs/>
            </w:rPr>
            <w:fldChar w:fldCharType="end"/>
          </w:r>
        </w:p>
      </w:sdtContent>
    </w:sdt>
    <w:p w14:paraId="732B711E" w14:textId="41E4D1A6" w:rsidR="00740351" w:rsidRDefault="00D3554C" w:rsidP="00D3554C">
      <w:pPr>
        <w:tabs>
          <w:tab w:val="left" w:pos="6134"/>
        </w:tabs>
        <w:spacing w:line="278" w:lineRule="auto"/>
        <w:jc w:val="left"/>
        <w:rPr>
          <w:sz w:val="32"/>
          <w:szCs w:val="32"/>
        </w:rPr>
      </w:pPr>
      <w:r w:rsidRPr="00E66EA5">
        <w:rPr>
          <w:sz w:val="32"/>
          <w:szCs w:val="32"/>
        </w:rPr>
        <w:tab/>
      </w:r>
      <w:r w:rsidRPr="00E66EA5">
        <w:rPr>
          <w:sz w:val="32"/>
          <w:szCs w:val="32"/>
        </w:rPr>
        <w:tab/>
      </w:r>
    </w:p>
    <w:p w14:paraId="299ADC2F" w14:textId="77777777" w:rsidR="002607E0" w:rsidRDefault="002607E0" w:rsidP="00D3554C">
      <w:pPr>
        <w:tabs>
          <w:tab w:val="left" w:pos="6134"/>
        </w:tabs>
        <w:spacing w:line="278" w:lineRule="auto"/>
        <w:jc w:val="left"/>
        <w:rPr>
          <w:sz w:val="32"/>
          <w:szCs w:val="32"/>
        </w:rPr>
      </w:pPr>
    </w:p>
    <w:p w14:paraId="4975551C" w14:textId="78FE0C81" w:rsidR="000C41A2" w:rsidRDefault="000C41A2">
      <w:pPr>
        <w:pStyle w:val="TableofFigures"/>
        <w:tabs>
          <w:tab w:val="right" w:leader="dot" w:pos="9350"/>
        </w:tabs>
        <w:rPr>
          <w:sz w:val="32"/>
          <w:szCs w:val="32"/>
        </w:rPr>
      </w:pPr>
      <w:r>
        <w:rPr>
          <w:sz w:val="32"/>
          <w:szCs w:val="32"/>
        </w:rPr>
        <w:t>Table of Figures</w:t>
      </w:r>
    </w:p>
    <w:p w14:paraId="34C5521C" w14:textId="084B3D24" w:rsidR="000C41A2" w:rsidRDefault="000C41A2">
      <w:pPr>
        <w:pStyle w:val="TableofFigures"/>
        <w:tabs>
          <w:tab w:val="right" w:leader="dot" w:pos="9350"/>
        </w:tabs>
        <w:rPr>
          <w:noProof/>
        </w:rPr>
      </w:pPr>
      <w:r>
        <w:rPr>
          <w:sz w:val="32"/>
          <w:szCs w:val="32"/>
        </w:rPr>
        <w:fldChar w:fldCharType="begin"/>
      </w:r>
      <w:r>
        <w:rPr>
          <w:sz w:val="32"/>
          <w:szCs w:val="32"/>
        </w:rPr>
        <w:instrText xml:space="preserve"> TOC \h \z \c "Figure" </w:instrText>
      </w:r>
      <w:r>
        <w:rPr>
          <w:sz w:val="32"/>
          <w:szCs w:val="32"/>
        </w:rPr>
        <w:fldChar w:fldCharType="separate"/>
      </w:r>
      <w:hyperlink w:anchor="_Toc237529684" w:history="1">
        <w:r w:rsidRPr="007F6769">
          <w:rPr>
            <w:rStyle w:val="Hyperlink"/>
            <w:noProof/>
          </w:rPr>
          <w:t>Figure 1 Costco's Geographic Warehouse Configuration as of 28 May 2026 Source: Own developed from Costco Wholesale Corporation (2026).</w:t>
        </w:r>
        <w:r>
          <w:rPr>
            <w:noProof/>
            <w:webHidden/>
          </w:rPr>
          <w:tab/>
        </w:r>
        <w:r>
          <w:rPr>
            <w:noProof/>
            <w:webHidden/>
          </w:rPr>
          <w:fldChar w:fldCharType="begin"/>
        </w:r>
        <w:r>
          <w:rPr>
            <w:noProof/>
            <w:webHidden/>
          </w:rPr>
          <w:instrText xml:space="preserve"> PAGEREF _Toc237529684 \h </w:instrText>
        </w:r>
        <w:r>
          <w:rPr>
            <w:noProof/>
            <w:webHidden/>
          </w:rPr>
        </w:r>
        <w:r>
          <w:rPr>
            <w:noProof/>
            <w:webHidden/>
          </w:rPr>
          <w:fldChar w:fldCharType="separate"/>
        </w:r>
        <w:r>
          <w:rPr>
            <w:noProof/>
            <w:webHidden/>
          </w:rPr>
          <w:t>6</w:t>
        </w:r>
        <w:r>
          <w:rPr>
            <w:noProof/>
            <w:webHidden/>
          </w:rPr>
          <w:fldChar w:fldCharType="end"/>
        </w:r>
      </w:hyperlink>
    </w:p>
    <w:p w14:paraId="10EBC3E2" w14:textId="4EE67147" w:rsidR="000C41A2" w:rsidRDefault="000C41A2">
      <w:pPr>
        <w:pStyle w:val="TableofFigures"/>
        <w:tabs>
          <w:tab w:val="right" w:leader="dot" w:pos="9350"/>
        </w:tabs>
        <w:rPr>
          <w:noProof/>
        </w:rPr>
      </w:pPr>
      <w:hyperlink w:anchor="_Toc237529685" w:history="1">
        <w:r w:rsidRPr="007F6769">
          <w:rPr>
            <w:rStyle w:val="Hyperlink"/>
            <w:noProof/>
          </w:rPr>
          <w:t>Figure 2</w:t>
        </w:r>
        <w:r w:rsidRPr="007F6769">
          <w:rPr>
            <w:rStyle w:val="Hyperlink"/>
            <w:noProof/>
            <w:lang w:val="en-US"/>
          </w:rPr>
          <w:t xml:space="preserve"> </w:t>
        </w:r>
        <w:r w:rsidRPr="007F6769">
          <w:rPr>
            <w:rStyle w:val="Hyperlink"/>
            <w:noProof/>
          </w:rPr>
          <w:t>Selected Cultural Dimensions — Brazil and the United States Source: Own developed from The Culture Factor Group (2025).</w:t>
        </w:r>
        <w:r>
          <w:rPr>
            <w:noProof/>
            <w:webHidden/>
          </w:rPr>
          <w:tab/>
        </w:r>
        <w:r>
          <w:rPr>
            <w:noProof/>
            <w:webHidden/>
          </w:rPr>
          <w:fldChar w:fldCharType="begin"/>
        </w:r>
        <w:r>
          <w:rPr>
            <w:noProof/>
            <w:webHidden/>
          </w:rPr>
          <w:instrText xml:space="preserve"> PAGEREF _Toc237529685 \h </w:instrText>
        </w:r>
        <w:r>
          <w:rPr>
            <w:noProof/>
            <w:webHidden/>
          </w:rPr>
        </w:r>
        <w:r>
          <w:rPr>
            <w:noProof/>
            <w:webHidden/>
          </w:rPr>
          <w:fldChar w:fldCharType="separate"/>
        </w:r>
        <w:r>
          <w:rPr>
            <w:noProof/>
            <w:webHidden/>
          </w:rPr>
          <w:t>10</w:t>
        </w:r>
        <w:r>
          <w:rPr>
            <w:noProof/>
            <w:webHidden/>
          </w:rPr>
          <w:fldChar w:fldCharType="end"/>
        </w:r>
      </w:hyperlink>
    </w:p>
    <w:p w14:paraId="3FC6620F" w14:textId="51A005A5" w:rsidR="000C41A2" w:rsidRDefault="000C41A2">
      <w:pPr>
        <w:pStyle w:val="TableofFigures"/>
        <w:tabs>
          <w:tab w:val="right" w:leader="dot" w:pos="9350"/>
        </w:tabs>
        <w:rPr>
          <w:noProof/>
        </w:rPr>
      </w:pPr>
      <w:hyperlink w:anchor="_Toc237529686" w:history="1">
        <w:r w:rsidRPr="007F6769">
          <w:rPr>
            <w:rStyle w:val="Hyperlink"/>
            <w:noProof/>
          </w:rPr>
          <w:t>Figure 3</w:t>
        </w:r>
        <w:r w:rsidRPr="007F6769">
          <w:rPr>
            <w:rStyle w:val="Hyperlink"/>
            <w:noProof/>
            <w:lang w:val="en-US"/>
          </w:rPr>
          <w:t xml:space="preserve"> </w:t>
        </w:r>
        <w:r w:rsidRPr="007F6769">
          <w:rPr>
            <w:rStyle w:val="Hyperlink"/>
            <w:noProof/>
          </w:rPr>
          <w:t>Comparative Evaluation of Entry Modes for Costco's Brazilian Expansion Source: Own developed from Dunning (1988), Meyer et al. (2009) and Costco Wholesale Corporation (2012; 2022).</w:t>
        </w:r>
        <w:r>
          <w:rPr>
            <w:noProof/>
            <w:webHidden/>
          </w:rPr>
          <w:tab/>
        </w:r>
        <w:r>
          <w:rPr>
            <w:noProof/>
            <w:webHidden/>
          </w:rPr>
          <w:fldChar w:fldCharType="begin"/>
        </w:r>
        <w:r>
          <w:rPr>
            <w:noProof/>
            <w:webHidden/>
          </w:rPr>
          <w:instrText xml:space="preserve"> PAGEREF _Toc237529686 \h </w:instrText>
        </w:r>
        <w:r>
          <w:rPr>
            <w:noProof/>
            <w:webHidden/>
          </w:rPr>
        </w:r>
        <w:r>
          <w:rPr>
            <w:noProof/>
            <w:webHidden/>
          </w:rPr>
          <w:fldChar w:fldCharType="separate"/>
        </w:r>
        <w:r>
          <w:rPr>
            <w:noProof/>
            <w:webHidden/>
          </w:rPr>
          <w:t>16</w:t>
        </w:r>
        <w:r>
          <w:rPr>
            <w:noProof/>
            <w:webHidden/>
          </w:rPr>
          <w:fldChar w:fldCharType="end"/>
        </w:r>
      </w:hyperlink>
    </w:p>
    <w:p w14:paraId="38ACB2B1" w14:textId="02458F55" w:rsidR="000C41A2" w:rsidRDefault="000C41A2">
      <w:pPr>
        <w:pStyle w:val="TableofFigures"/>
        <w:tabs>
          <w:tab w:val="right" w:leader="dot" w:pos="9350"/>
        </w:tabs>
        <w:rPr>
          <w:noProof/>
        </w:rPr>
      </w:pPr>
      <w:hyperlink w:anchor="_Toc237529687" w:history="1">
        <w:r w:rsidRPr="007F6769">
          <w:rPr>
            <w:rStyle w:val="Hyperlink"/>
            <w:noProof/>
          </w:rPr>
          <w:t>Figure 4 Gibbs' (1988)</w:t>
        </w:r>
        <w:r>
          <w:rPr>
            <w:noProof/>
            <w:webHidden/>
          </w:rPr>
          <w:tab/>
        </w:r>
        <w:r>
          <w:rPr>
            <w:noProof/>
            <w:webHidden/>
          </w:rPr>
          <w:fldChar w:fldCharType="begin"/>
        </w:r>
        <w:r>
          <w:rPr>
            <w:noProof/>
            <w:webHidden/>
          </w:rPr>
          <w:instrText xml:space="preserve"> PAGEREF _Toc237529687 \h </w:instrText>
        </w:r>
        <w:r>
          <w:rPr>
            <w:noProof/>
            <w:webHidden/>
          </w:rPr>
        </w:r>
        <w:r>
          <w:rPr>
            <w:noProof/>
            <w:webHidden/>
          </w:rPr>
          <w:fldChar w:fldCharType="separate"/>
        </w:r>
        <w:r>
          <w:rPr>
            <w:noProof/>
            <w:webHidden/>
          </w:rPr>
          <w:t>21</w:t>
        </w:r>
        <w:r>
          <w:rPr>
            <w:noProof/>
            <w:webHidden/>
          </w:rPr>
          <w:fldChar w:fldCharType="end"/>
        </w:r>
      </w:hyperlink>
    </w:p>
    <w:p w14:paraId="6F0B81B5" w14:textId="544FF097" w:rsidR="000C41A2" w:rsidRDefault="000C41A2" w:rsidP="00D3554C">
      <w:pPr>
        <w:tabs>
          <w:tab w:val="left" w:pos="6134"/>
        </w:tabs>
        <w:spacing w:line="278" w:lineRule="auto"/>
        <w:jc w:val="left"/>
        <w:rPr>
          <w:sz w:val="32"/>
          <w:szCs w:val="32"/>
        </w:rPr>
      </w:pPr>
      <w:r>
        <w:rPr>
          <w:sz w:val="32"/>
          <w:szCs w:val="32"/>
        </w:rPr>
        <w:fldChar w:fldCharType="end"/>
      </w:r>
    </w:p>
    <w:p w14:paraId="0B70E207" w14:textId="77777777" w:rsidR="000C41A2" w:rsidRDefault="000C41A2" w:rsidP="00D3554C">
      <w:pPr>
        <w:tabs>
          <w:tab w:val="left" w:pos="6134"/>
        </w:tabs>
        <w:spacing w:line="278" w:lineRule="auto"/>
        <w:jc w:val="left"/>
        <w:rPr>
          <w:sz w:val="32"/>
          <w:szCs w:val="32"/>
        </w:rPr>
      </w:pPr>
    </w:p>
    <w:p w14:paraId="6D2F7F25" w14:textId="77777777" w:rsidR="000C41A2" w:rsidRDefault="000C41A2" w:rsidP="00D3554C">
      <w:pPr>
        <w:tabs>
          <w:tab w:val="left" w:pos="6134"/>
        </w:tabs>
        <w:spacing w:line="278" w:lineRule="auto"/>
        <w:jc w:val="left"/>
        <w:rPr>
          <w:sz w:val="32"/>
          <w:szCs w:val="32"/>
        </w:rPr>
      </w:pPr>
    </w:p>
    <w:p w14:paraId="32F7B2D3" w14:textId="77777777" w:rsidR="000C41A2" w:rsidRDefault="000C41A2" w:rsidP="00D3554C">
      <w:pPr>
        <w:tabs>
          <w:tab w:val="left" w:pos="6134"/>
        </w:tabs>
        <w:spacing w:line="278" w:lineRule="auto"/>
        <w:jc w:val="left"/>
        <w:rPr>
          <w:sz w:val="32"/>
          <w:szCs w:val="32"/>
        </w:rPr>
      </w:pPr>
    </w:p>
    <w:p w14:paraId="7A0640EB" w14:textId="77777777" w:rsidR="000C41A2" w:rsidRDefault="000C41A2" w:rsidP="00D3554C">
      <w:pPr>
        <w:tabs>
          <w:tab w:val="left" w:pos="6134"/>
        </w:tabs>
        <w:spacing w:line="278" w:lineRule="auto"/>
        <w:jc w:val="left"/>
        <w:rPr>
          <w:sz w:val="32"/>
          <w:szCs w:val="32"/>
        </w:rPr>
      </w:pPr>
    </w:p>
    <w:p w14:paraId="64DFCD23" w14:textId="77777777" w:rsidR="000C41A2" w:rsidRDefault="000C41A2" w:rsidP="00D3554C">
      <w:pPr>
        <w:tabs>
          <w:tab w:val="left" w:pos="6134"/>
        </w:tabs>
        <w:spacing w:line="278" w:lineRule="auto"/>
        <w:jc w:val="left"/>
        <w:rPr>
          <w:sz w:val="32"/>
          <w:szCs w:val="32"/>
        </w:rPr>
      </w:pPr>
    </w:p>
    <w:p w14:paraId="6192CCE4" w14:textId="77777777" w:rsidR="000C41A2" w:rsidRDefault="000C41A2" w:rsidP="00D3554C">
      <w:pPr>
        <w:tabs>
          <w:tab w:val="left" w:pos="6134"/>
        </w:tabs>
        <w:spacing w:line="278" w:lineRule="auto"/>
        <w:jc w:val="left"/>
        <w:rPr>
          <w:sz w:val="32"/>
          <w:szCs w:val="32"/>
        </w:rPr>
      </w:pPr>
    </w:p>
    <w:p w14:paraId="2DD61A54" w14:textId="77777777" w:rsidR="000C41A2" w:rsidRDefault="000C41A2" w:rsidP="00D3554C">
      <w:pPr>
        <w:tabs>
          <w:tab w:val="left" w:pos="6134"/>
        </w:tabs>
        <w:spacing w:line="278" w:lineRule="auto"/>
        <w:jc w:val="left"/>
        <w:rPr>
          <w:sz w:val="32"/>
          <w:szCs w:val="32"/>
        </w:rPr>
      </w:pPr>
    </w:p>
    <w:p w14:paraId="13075238" w14:textId="77777777" w:rsidR="000C41A2" w:rsidRDefault="000C41A2" w:rsidP="00D3554C">
      <w:pPr>
        <w:tabs>
          <w:tab w:val="left" w:pos="6134"/>
        </w:tabs>
        <w:spacing w:line="278" w:lineRule="auto"/>
        <w:jc w:val="left"/>
        <w:rPr>
          <w:sz w:val="32"/>
          <w:szCs w:val="32"/>
        </w:rPr>
      </w:pPr>
    </w:p>
    <w:p w14:paraId="3B1FE2F1" w14:textId="77777777" w:rsidR="000C41A2" w:rsidRDefault="000C41A2" w:rsidP="00D3554C">
      <w:pPr>
        <w:tabs>
          <w:tab w:val="left" w:pos="6134"/>
        </w:tabs>
        <w:spacing w:line="278" w:lineRule="auto"/>
        <w:jc w:val="left"/>
        <w:rPr>
          <w:sz w:val="32"/>
          <w:szCs w:val="32"/>
        </w:rPr>
      </w:pPr>
    </w:p>
    <w:p w14:paraId="05C0CCAC" w14:textId="77777777" w:rsidR="000C41A2" w:rsidRDefault="000C41A2" w:rsidP="00D3554C">
      <w:pPr>
        <w:tabs>
          <w:tab w:val="left" w:pos="6134"/>
        </w:tabs>
        <w:spacing w:line="278" w:lineRule="auto"/>
        <w:jc w:val="left"/>
        <w:rPr>
          <w:sz w:val="32"/>
          <w:szCs w:val="32"/>
        </w:rPr>
      </w:pPr>
    </w:p>
    <w:p w14:paraId="7A69C4A8" w14:textId="77777777" w:rsidR="000C41A2" w:rsidRDefault="000C41A2" w:rsidP="00D3554C">
      <w:pPr>
        <w:tabs>
          <w:tab w:val="left" w:pos="6134"/>
        </w:tabs>
        <w:spacing w:line="278" w:lineRule="auto"/>
        <w:jc w:val="left"/>
        <w:rPr>
          <w:sz w:val="32"/>
          <w:szCs w:val="32"/>
        </w:rPr>
      </w:pPr>
    </w:p>
    <w:p w14:paraId="7F76D3E0" w14:textId="77777777" w:rsidR="000C41A2" w:rsidRPr="00E66EA5" w:rsidRDefault="000C41A2" w:rsidP="00D3554C">
      <w:pPr>
        <w:tabs>
          <w:tab w:val="left" w:pos="6134"/>
        </w:tabs>
        <w:spacing w:line="278" w:lineRule="auto"/>
        <w:jc w:val="left"/>
        <w:rPr>
          <w:sz w:val="32"/>
          <w:szCs w:val="32"/>
        </w:rPr>
      </w:pPr>
    </w:p>
    <w:p w14:paraId="4F8CC8FD" w14:textId="4AAAA505" w:rsidR="002B0A64" w:rsidRPr="00E66EA5" w:rsidRDefault="002B0A64" w:rsidP="002B0A64">
      <w:pPr>
        <w:pStyle w:val="Heading1"/>
      </w:pPr>
      <w:bookmarkStart w:id="3" w:name="_Toc224865682"/>
      <w:bookmarkStart w:id="4" w:name="_Toc237529708"/>
      <w:r w:rsidRPr="00E66EA5">
        <w:t>List of Abbreviations</w:t>
      </w:r>
      <w:bookmarkEnd w:id="3"/>
      <w:bookmarkEnd w:id="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2"/>
        <w:gridCol w:w="7788"/>
      </w:tblGrid>
      <w:tr w:rsidR="009D4F25" w:rsidRPr="00E66EA5" w14:paraId="234D148E" w14:textId="77777777" w:rsidTr="009D4F25">
        <w:trPr>
          <w:tblHeader/>
          <w:tblCellSpacing w:w="15" w:type="dxa"/>
        </w:trPr>
        <w:tc>
          <w:tcPr>
            <w:tcW w:w="0" w:type="auto"/>
            <w:vAlign w:val="center"/>
            <w:hideMark/>
          </w:tcPr>
          <w:p w14:paraId="12C7336D" w14:textId="77777777" w:rsidR="009D4F25" w:rsidRPr="00E66EA5" w:rsidRDefault="009D4F25" w:rsidP="009D4F25">
            <w:pPr>
              <w:jc w:val="center"/>
              <w:rPr>
                <w:b/>
                <w:bCs/>
              </w:rPr>
            </w:pPr>
            <w:r w:rsidRPr="00E66EA5">
              <w:rPr>
                <w:b/>
                <w:bCs/>
              </w:rPr>
              <w:t>Abbreviation</w:t>
            </w:r>
          </w:p>
        </w:tc>
        <w:tc>
          <w:tcPr>
            <w:tcW w:w="0" w:type="auto"/>
            <w:vAlign w:val="center"/>
            <w:hideMark/>
          </w:tcPr>
          <w:p w14:paraId="7F0CA619" w14:textId="77777777" w:rsidR="009D4F25" w:rsidRPr="00E66EA5" w:rsidRDefault="009D4F25" w:rsidP="009D4F25">
            <w:pPr>
              <w:jc w:val="center"/>
              <w:rPr>
                <w:b/>
                <w:bCs/>
              </w:rPr>
            </w:pPr>
            <w:r w:rsidRPr="00E66EA5">
              <w:rPr>
                <w:b/>
                <w:bCs/>
              </w:rPr>
              <w:t>Full Form</w:t>
            </w:r>
          </w:p>
        </w:tc>
      </w:tr>
      <w:tr w:rsidR="009D4F25" w:rsidRPr="00E66EA5" w14:paraId="5824E9B1" w14:textId="77777777" w:rsidTr="009D4F25">
        <w:trPr>
          <w:tblCellSpacing w:w="15" w:type="dxa"/>
        </w:trPr>
        <w:tc>
          <w:tcPr>
            <w:tcW w:w="0" w:type="auto"/>
            <w:vAlign w:val="center"/>
            <w:hideMark/>
          </w:tcPr>
          <w:p w14:paraId="5F1A4EA5" w14:textId="77777777" w:rsidR="009D4F25" w:rsidRPr="00E66EA5" w:rsidRDefault="009D4F25" w:rsidP="009D4F25">
            <w:r w:rsidRPr="00E66EA5">
              <w:t>ANPD</w:t>
            </w:r>
          </w:p>
        </w:tc>
        <w:tc>
          <w:tcPr>
            <w:tcW w:w="0" w:type="auto"/>
            <w:vAlign w:val="center"/>
            <w:hideMark/>
          </w:tcPr>
          <w:p w14:paraId="0F47FF96" w14:textId="77777777" w:rsidR="009D4F25" w:rsidRPr="00E66EA5" w:rsidRDefault="009D4F25" w:rsidP="009D4F25">
            <w:r w:rsidRPr="00E66EA5">
              <w:t>Autoridade Nacional de Proteção de Dados (Brazilian National Data Protection Authority)</w:t>
            </w:r>
          </w:p>
        </w:tc>
      </w:tr>
      <w:tr w:rsidR="009D4F25" w:rsidRPr="00E66EA5" w14:paraId="6EEE735B" w14:textId="77777777" w:rsidTr="009D4F25">
        <w:trPr>
          <w:tblCellSpacing w:w="15" w:type="dxa"/>
        </w:trPr>
        <w:tc>
          <w:tcPr>
            <w:tcW w:w="0" w:type="auto"/>
            <w:vAlign w:val="center"/>
            <w:hideMark/>
          </w:tcPr>
          <w:p w14:paraId="1B262117" w14:textId="77777777" w:rsidR="009D4F25" w:rsidRPr="00E66EA5" w:rsidRDefault="009D4F25" w:rsidP="009D4F25">
            <w:r w:rsidRPr="00E66EA5">
              <w:t>CADE</w:t>
            </w:r>
          </w:p>
        </w:tc>
        <w:tc>
          <w:tcPr>
            <w:tcW w:w="0" w:type="auto"/>
            <w:vAlign w:val="center"/>
            <w:hideMark/>
          </w:tcPr>
          <w:p w14:paraId="20D03783" w14:textId="77777777" w:rsidR="009D4F25" w:rsidRPr="00E66EA5" w:rsidRDefault="009D4F25" w:rsidP="009D4F25">
            <w:r w:rsidRPr="00E66EA5">
              <w:t>Administrative Council for Economic Defence</w:t>
            </w:r>
          </w:p>
        </w:tc>
      </w:tr>
      <w:tr w:rsidR="009D4F25" w:rsidRPr="00E66EA5" w14:paraId="0ACF834F" w14:textId="77777777" w:rsidTr="009D4F25">
        <w:trPr>
          <w:tblCellSpacing w:w="15" w:type="dxa"/>
        </w:trPr>
        <w:tc>
          <w:tcPr>
            <w:tcW w:w="0" w:type="auto"/>
            <w:vAlign w:val="center"/>
            <w:hideMark/>
          </w:tcPr>
          <w:p w14:paraId="4CCC50EF" w14:textId="77777777" w:rsidR="009D4F25" w:rsidRPr="00E66EA5" w:rsidRDefault="009D4F25" w:rsidP="009D4F25">
            <w:r w:rsidRPr="00E66EA5">
              <w:t>FDI</w:t>
            </w:r>
          </w:p>
        </w:tc>
        <w:tc>
          <w:tcPr>
            <w:tcW w:w="0" w:type="auto"/>
            <w:vAlign w:val="center"/>
            <w:hideMark/>
          </w:tcPr>
          <w:p w14:paraId="5549C9CC" w14:textId="77777777" w:rsidR="009D4F25" w:rsidRPr="00E66EA5" w:rsidRDefault="009D4F25" w:rsidP="009D4F25">
            <w:r w:rsidRPr="00E66EA5">
              <w:t>Foreign Direct Investment</w:t>
            </w:r>
          </w:p>
        </w:tc>
      </w:tr>
      <w:tr w:rsidR="009D4F25" w:rsidRPr="00E66EA5" w14:paraId="40CA0A06" w14:textId="77777777" w:rsidTr="009D4F25">
        <w:trPr>
          <w:tblCellSpacing w:w="15" w:type="dxa"/>
        </w:trPr>
        <w:tc>
          <w:tcPr>
            <w:tcW w:w="0" w:type="auto"/>
            <w:vAlign w:val="center"/>
            <w:hideMark/>
          </w:tcPr>
          <w:p w14:paraId="55ED2C43" w14:textId="77777777" w:rsidR="009D4F25" w:rsidRPr="00E66EA5" w:rsidRDefault="009D4F25" w:rsidP="009D4F25">
            <w:r w:rsidRPr="00E66EA5">
              <w:t>GDP</w:t>
            </w:r>
          </w:p>
        </w:tc>
        <w:tc>
          <w:tcPr>
            <w:tcW w:w="0" w:type="auto"/>
            <w:vAlign w:val="center"/>
            <w:hideMark/>
          </w:tcPr>
          <w:p w14:paraId="06C7F9E2" w14:textId="77777777" w:rsidR="009D4F25" w:rsidRPr="00E66EA5" w:rsidRDefault="009D4F25" w:rsidP="009D4F25">
            <w:r w:rsidRPr="00E66EA5">
              <w:t>Gross Domestic Product</w:t>
            </w:r>
          </w:p>
        </w:tc>
      </w:tr>
      <w:tr w:rsidR="009D4F25" w:rsidRPr="00E66EA5" w14:paraId="62F565D1" w14:textId="77777777" w:rsidTr="009D4F25">
        <w:trPr>
          <w:tblCellSpacing w:w="15" w:type="dxa"/>
        </w:trPr>
        <w:tc>
          <w:tcPr>
            <w:tcW w:w="0" w:type="auto"/>
            <w:vAlign w:val="center"/>
            <w:hideMark/>
          </w:tcPr>
          <w:p w14:paraId="21EF677E" w14:textId="77777777" w:rsidR="009D4F25" w:rsidRPr="00E66EA5" w:rsidRDefault="009D4F25" w:rsidP="009D4F25">
            <w:r w:rsidRPr="00E66EA5">
              <w:t>IMF</w:t>
            </w:r>
          </w:p>
        </w:tc>
        <w:tc>
          <w:tcPr>
            <w:tcW w:w="0" w:type="auto"/>
            <w:vAlign w:val="center"/>
            <w:hideMark/>
          </w:tcPr>
          <w:p w14:paraId="7862020B" w14:textId="77777777" w:rsidR="009D4F25" w:rsidRPr="00E66EA5" w:rsidRDefault="009D4F25" w:rsidP="009D4F25">
            <w:r w:rsidRPr="00E66EA5">
              <w:t>International Monetary Fund</w:t>
            </w:r>
          </w:p>
        </w:tc>
      </w:tr>
      <w:tr w:rsidR="009D4F25" w:rsidRPr="00E66EA5" w14:paraId="7A1147BB" w14:textId="77777777" w:rsidTr="009D4F25">
        <w:trPr>
          <w:tblCellSpacing w:w="15" w:type="dxa"/>
        </w:trPr>
        <w:tc>
          <w:tcPr>
            <w:tcW w:w="0" w:type="auto"/>
            <w:vAlign w:val="center"/>
            <w:hideMark/>
          </w:tcPr>
          <w:p w14:paraId="7B4FECA5" w14:textId="77777777" w:rsidR="009D4F25" w:rsidRPr="00E66EA5" w:rsidRDefault="009D4F25" w:rsidP="009D4F25">
            <w:r w:rsidRPr="00E66EA5">
              <w:t>LGPD</w:t>
            </w:r>
          </w:p>
        </w:tc>
        <w:tc>
          <w:tcPr>
            <w:tcW w:w="0" w:type="auto"/>
            <w:vAlign w:val="center"/>
            <w:hideMark/>
          </w:tcPr>
          <w:p w14:paraId="44368175" w14:textId="77777777" w:rsidR="009D4F25" w:rsidRPr="00E66EA5" w:rsidRDefault="009D4F25" w:rsidP="009D4F25">
            <w:r w:rsidRPr="00E66EA5">
              <w:t>Lei Geral de Proteção de Dados (Brazilian General Data Protection Law)</w:t>
            </w:r>
          </w:p>
        </w:tc>
      </w:tr>
      <w:tr w:rsidR="009D4F25" w:rsidRPr="00E66EA5" w14:paraId="78F10EC4" w14:textId="77777777" w:rsidTr="009D4F25">
        <w:trPr>
          <w:tblCellSpacing w:w="15" w:type="dxa"/>
        </w:trPr>
        <w:tc>
          <w:tcPr>
            <w:tcW w:w="0" w:type="auto"/>
            <w:vAlign w:val="center"/>
            <w:hideMark/>
          </w:tcPr>
          <w:p w14:paraId="03F9D629" w14:textId="77777777" w:rsidR="009D4F25" w:rsidRPr="00E66EA5" w:rsidRDefault="009D4F25" w:rsidP="009D4F25">
            <w:r w:rsidRPr="00E66EA5">
              <w:t>MNC</w:t>
            </w:r>
          </w:p>
        </w:tc>
        <w:tc>
          <w:tcPr>
            <w:tcW w:w="0" w:type="auto"/>
            <w:vAlign w:val="center"/>
            <w:hideMark/>
          </w:tcPr>
          <w:p w14:paraId="229994E0" w14:textId="77777777" w:rsidR="009D4F25" w:rsidRPr="00E66EA5" w:rsidRDefault="009D4F25" w:rsidP="009D4F25">
            <w:r w:rsidRPr="00E66EA5">
              <w:t>Multinational Corporation</w:t>
            </w:r>
          </w:p>
        </w:tc>
      </w:tr>
      <w:tr w:rsidR="009D4F25" w:rsidRPr="00E66EA5" w14:paraId="0A0A57C0" w14:textId="77777777" w:rsidTr="009D4F25">
        <w:trPr>
          <w:tblCellSpacing w:w="15" w:type="dxa"/>
        </w:trPr>
        <w:tc>
          <w:tcPr>
            <w:tcW w:w="0" w:type="auto"/>
            <w:vAlign w:val="center"/>
            <w:hideMark/>
          </w:tcPr>
          <w:p w14:paraId="52D07AA6" w14:textId="77777777" w:rsidR="009D4F25" w:rsidRPr="00E66EA5" w:rsidRDefault="009D4F25" w:rsidP="009D4F25">
            <w:r w:rsidRPr="00E66EA5">
              <w:t>OECD</w:t>
            </w:r>
          </w:p>
        </w:tc>
        <w:tc>
          <w:tcPr>
            <w:tcW w:w="0" w:type="auto"/>
            <w:vAlign w:val="center"/>
            <w:hideMark/>
          </w:tcPr>
          <w:p w14:paraId="22FE1F7A" w14:textId="77777777" w:rsidR="009D4F25" w:rsidRPr="00E66EA5" w:rsidRDefault="009D4F25" w:rsidP="009D4F25">
            <w:r w:rsidRPr="00E66EA5">
              <w:t>Organisation for Economic Co-operation and Development</w:t>
            </w:r>
          </w:p>
        </w:tc>
      </w:tr>
      <w:tr w:rsidR="009D4F25" w:rsidRPr="00E66EA5" w14:paraId="25D8291C" w14:textId="77777777" w:rsidTr="009D4F25">
        <w:trPr>
          <w:tblCellSpacing w:w="15" w:type="dxa"/>
        </w:trPr>
        <w:tc>
          <w:tcPr>
            <w:tcW w:w="0" w:type="auto"/>
            <w:vAlign w:val="center"/>
            <w:hideMark/>
          </w:tcPr>
          <w:p w14:paraId="49D51EB7" w14:textId="77777777" w:rsidR="009D4F25" w:rsidRPr="00E66EA5" w:rsidRDefault="009D4F25" w:rsidP="009D4F25">
            <w:r w:rsidRPr="00E66EA5">
              <w:t>OLI</w:t>
            </w:r>
          </w:p>
        </w:tc>
        <w:tc>
          <w:tcPr>
            <w:tcW w:w="0" w:type="auto"/>
            <w:vAlign w:val="center"/>
            <w:hideMark/>
          </w:tcPr>
          <w:p w14:paraId="100834A4" w14:textId="77777777" w:rsidR="009D4F25" w:rsidRPr="00E66EA5" w:rsidRDefault="009D4F25" w:rsidP="009D4F25">
            <w:r w:rsidRPr="00E66EA5">
              <w:t>Ownership, Location and Internalisation</w:t>
            </w:r>
          </w:p>
        </w:tc>
      </w:tr>
      <w:tr w:rsidR="009D4F25" w:rsidRPr="00E66EA5" w14:paraId="43D2DDAD" w14:textId="77777777" w:rsidTr="009D4F25">
        <w:trPr>
          <w:tblCellSpacing w:w="15" w:type="dxa"/>
        </w:trPr>
        <w:tc>
          <w:tcPr>
            <w:tcW w:w="0" w:type="auto"/>
            <w:vAlign w:val="center"/>
            <w:hideMark/>
          </w:tcPr>
          <w:p w14:paraId="70ADCD1E" w14:textId="77777777" w:rsidR="009D4F25" w:rsidRPr="00E66EA5" w:rsidRDefault="009D4F25" w:rsidP="009D4F25">
            <w:r w:rsidRPr="00E66EA5">
              <w:t>PELC</w:t>
            </w:r>
          </w:p>
        </w:tc>
        <w:tc>
          <w:tcPr>
            <w:tcW w:w="0" w:type="auto"/>
            <w:vAlign w:val="center"/>
            <w:hideMark/>
          </w:tcPr>
          <w:p w14:paraId="56A2EFB5" w14:textId="77777777" w:rsidR="009D4F25" w:rsidRPr="00E66EA5" w:rsidRDefault="009D4F25" w:rsidP="009D4F25">
            <w:r w:rsidRPr="00E66EA5">
              <w:t>Political, Economic, Legal and Cultural</w:t>
            </w:r>
          </w:p>
        </w:tc>
      </w:tr>
      <w:tr w:rsidR="009D4F25" w:rsidRPr="00E66EA5" w14:paraId="0A6168CE" w14:textId="77777777" w:rsidTr="009D4F25">
        <w:trPr>
          <w:tblCellSpacing w:w="15" w:type="dxa"/>
        </w:trPr>
        <w:tc>
          <w:tcPr>
            <w:tcW w:w="0" w:type="auto"/>
            <w:vAlign w:val="center"/>
            <w:hideMark/>
          </w:tcPr>
          <w:p w14:paraId="0B8F1768" w14:textId="77777777" w:rsidR="009D4F25" w:rsidRPr="00E66EA5" w:rsidRDefault="009D4F25" w:rsidP="009D4F25">
            <w:r w:rsidRPr="00E66EA5">
              <w:t>SKU</w:t>
            </w:r>
          </w:p>
        </w:tc>
        <w:tc>
          <w:tcPr>
            <w:tcW w:w="0" w:type="auto"/>
            <w:vAlign w:val="center"/>
            <w:hideMark/>
          </w:tcPr>
          <w:p w14:paraId="0B81B74B" w14:textId="77777777" w:rsidR="009D4F25" w:rsidRPr="00E66EA5" w:rsidRDefault="009D4F25" w:rsidP="009D4F25">
            <w:r w:rsidRPr="00E66EA5">
              <w:t>Stock Keeping Unit</w:t>
            </w:r>
          </w:p>
        </w:tc>
      </w:tr>
      <w:tr w:rsidR="009D4F25" w:rsidRPr="00E66EA5" w14:paraId="1B17A64F" w14:textId="77777777" w:rsidTr="009D4F25">
        <w:trPr>
          <w:tblCellSpacing w:w="15" w:type="dxa"/>
        </w:trPr>
        <w:tc>
          <w:tcPr>
            <w:tcW w:w="0" w:type="auto"/>
            <w:vAlign w:val="center"/>
            <w:hideMark/>
          </w:tcPr>
          <w:p w14:paraId="55FE4EEC" w14:textId="77777777" w:rsidR="009D4F25" w:rsidRPr="00E66EA5" w:rsidRDefault="009D4F25" w:rsidP="009D4F25">
            <w:r w:rsidRPr="00E66EA5">
              <w:t>UK</w:t>
            </w:r>
          </w:p>
        </w:tc>
        <w:tc>
          <w:tcPr>
            <w:tcW w:w="0" w:type="auto"/>
            <w:vAlign w:val="center"/>
            <w:hideMark/>
          </w:tcPr>
          <w:p w14:paraId="18269465" w14:textId="77777777" w:rsidR="009D4F25" w:rsidRPr="00E66EA5" w:rsidRDefault="009D4F25" w:rsidP="009D4F25">
            <w:r w:rsidRPr="00E66EA5">
              <w:t>United Kingdom</w:t>
            </w:r>
          </w:p>
        </w:tc>
      </w:tr>
      <w:tr w:rsidR="009D4F25" w:rsidRPr="00E66EA5" w14:paraId="79D0975C" w14:textId="77777777" w:rsidTr="009D4F25">
        <w:trPr>
          <w:tblCellSpacing w:w="15" w:type="dxa"/>
        </w:trPr>
        <w:tc>
          <w:tcPr>
            <w:tcW w:w="0" w:type="auto"/>
            <w:vAlign w:val="center"/>
            <w:hideMark/>
          </w:tcPr>
          <w:p w14:paraId="7553E057" w14:textId="77777777" w:rsidR="009D4F25" w:rsidRPr="00E66EA5" w:rsidRDefault="009D4F25" w:rsidP="009D4F25">
            <w:r w:rsidRPr="00E66EA5">
              <w:t>UNCTAD</w:t>
            </w:r>
          </w:p>
        </w:tc>
        <w:tc>
          <w:tcPr>
            <w:tcW w:w="0" w:type="auto"/>
            <w:vAlign w:val="center"/>
            <w:hideMark/>
          </w:tcPr>
          <w:p w14:paraId="2DD259ED" w14:textId="77777777" w:rsidR="009D4F25" w:rsidRPr="00E66EA5" w:rsidRDefault="009D4F25" w:rsidP="009D4F25">
            <w:r w:rsidRPr="00E66EA5">
              <w:t>United Nations Conference on Trade and Development</w:t>
            </w:r>
          </w:p>
        </w:tc>
      </w:tr>
      <w:tr w:rsidR="009D4F25" w:rsidRPr="00E66EA5" w14:paraId="412EAF69" w14:textId="77777777" w:rsidTr="009D4F25">
        <w:trPr>
          <w:tblCellSpacing w:w="15" w:type="dxa"/>
        </w:trPr>
        <w:tc>
          <w:tcPr>
            <w:tcW w:w="0" w:type="auto"/>
            <w:vAlign w:val="center"/>
            <w:hideMark/>
          </w:tcPr>
          <w:p w14:paraId="524BA273" w14:textId="77777777" w:rsidR="009D4F25" w:rsidRPr="00E66EA5" w:rsidRDefault="009D4F25" w:rsidP="009D4F25">
            <w:r w:rsidRPr="00E66EA5">
              <w:t>US</w:t>
            </w:r>
          </w:p>
        </w:tc>
        <w:tc>
          <w:tcPr>
            <w:tcW w:w="0" w:type="auto"/>
            <w:vAlign w:val="center"/>
            <w:hideMark/>
          </w:tcPr>
          <w:p w14:paraId="3AA403B3" w14:textId="77777777" w:rsidR="009D4F25" w:rsidRPr="00E66EA5" w:rsidRDefault="009D4F25" w:rsidP="009D4F25">
            <w:r w:rsidRPr="00E66EA5">
              <w:t>United States</w:t>
            </w:r>
          </w:p>
        </w:tc>
      </w:tr>
      <w:tr w:rsidR="009D4F25" w:rsidRPr="00E66EA5" w14:paraId="78B4F794" w14:textId="77777777" w:rsidTr="009D4F25">
        <w:trPr>
          <w:tblCellSpacing w:w="15" w:type="dxa"/>
        </w:trPr>
        <w:tc>
          <w:tcPr>
            <w:tcW w:w="0" w:type="auto"/>
            <w:vAlign w:val="center"/>
            <w:hideMark/>
          </w:tcPr>
          <w:p w14:paraId="370C30A1" w14:textId="77777777" w:rsidR="009D4F25" w:rsidRPr="00E66EA5" w:rsidRDefault="009D4F25" w:rsidP="009D4F25">
            <w:r w:rsidRPr="00E66EA5">
              <w:t>VAT</w:t>
            </w:r>
          </w:p>
        </w:tc>
        <w:tc>
          <w:tcPr>
            <w:tcW w:w="0" w:type="auto"/>
            <w:vAlign w:val="center"/>
            <w:hideMark/>
          </w:tcPr>
          <w:p w14:paraId="69B25006" w14:textId="77777777" w:rsidR="009D4F25" w:rsidRPr="00E66EA5" w:rsidRDefault="009D4F25" w:rsidP="009D4F25">
            <w:r w:rsidRPr="00E66EA5">
              <w:t>Value Added Tax</w:t>
            </w:r>
          </w:p>
        </w:tc>
      </w:tr>
      <w:tr w:rsidR="009D4F25" w:rsidRPr="00E66EA5" w14:paraId="71C35E7F" w14:textId="77777777" w:rsidTr="009D4F25">
        <w:trPr>
          <w:tblCellSpacing w:w="15" w:type="dxa"/>
        </w:trPr>
        <w:tc>
          <w:tcPr>
            <w:tcW w:w="0" w:type="auto"/>
            <w:vAlign w:val="center"/>
            <w:hideMark/>
          </w:tcPr>
          <w:p w14:paraId="518ADD34" w14:textId="77777777" w:rsidR="009D4F25" w:rsidRPr="00E66EA5" w:rsidRDefault="009D4F25" w:rsidP="009D4F25">
            <w:r w:rsidRPr="00E66EA5">
              <w:lastRenderedPageBreak/>
              <w:t>WTO</w:t>
            </w:r>
          </w:p>
        </w:tc>
        <w:tc>
          <w:tcPr>
            <w:tcW w:w="0" w:type="auto"/>
            <w:vAlign w:val="center"/>
            <w:hideMark/>
          </w:tcPr>
          <w:p w14:paraId="5754F838" w14:textId="77777777" w:rsidR="009D4F25" w:rsidRPr="00E66EA5" w:rsidRDefault="009D4F25" w:rsidP="009D4F25">
            <w:r w:rsidRPr="00E66EA5">
              <w:t>World Trade Organization</w:t>
            </w:r>
          </w:p>
        </w:tc>
      </w:tr>
    </w:tbl>
    <w:p w14:paraId="3A5E94EA" w14:textId="024BA7F9" w:rsidR="00BE6536" w:rsidRPr="00E66EA5" w:rsidRDefault="00BE6536" w:rsidP="00BE6536">
      <w:pPr>
        <w:spacing w:line="278" w:lineRule="auto"/>
        <w:jc w:val="left"/>
      </w:pPr>
    </w:p>
    <w:p w14:paraId="556B0493" w14:textId="1050B0AC" w:rsidR="00740351" w:rsidRPr="00E66EA5" w:rsidRDefault="00EF6E16" w:rsidP="00740351">
      <w:pPr>
        <w:pStyle w:val="Heading1"/>
      </w:pPr>
      <w:bookmarkStart w:id="5" w:name="_Toc224865683"/>
      <w:bookmarkStart w:id="6" w:name="_Toc237529709"/>
      <w:r w:rsidRPr="00E66EA5">
        <w:t xml:space="preserve">1. </w:t>
      </w:r>
      <w:r w:rsidR="00740351" w:rsidRPr="00E66EA5">
        <w:t>Executive Summary</w:t>
      </w:r>
      <w:bookmarkEnd w:id="5"/>
      <w:bookmarkEnd w:id="6"/>
    </w:p>
    <w:p w14:paraId="3B980BA3" w14:textId="77777777" w:rsidR="004576E0" w:rsidRPr="00E66EA5" w:rsidRDefault="004576E0" w:rsidP="004576E0">
      <w:r w:rsidRPr="00E66EA5">
        <w:t>This report evaluates the strategic feasibility of Costco Wholesale Corporation entering the Brazilian retail market and identifies an appropriate market-entry strategy. Costco is characterised as pursuing a predominantly global strategy with selective transnational adaptation, reflecting the standardisation of its membership-based warehouse model alongside market-specific adjustments in sourcing, merchandise and customer engagement.</w:t>
      </w:r>
    </w:p>
    <w:p w14:paraId="53033A84" w14:textId="77777777" w:rsidR="004576E0" w:rsidRPr="00E66EA5" w:rsidRDefault="004576E0" w:rsidP="004576E0">
      <w:r w:rsidRPr="00E66EA5">
        <w:t>The political, economic, legal and cultural analysis indicates that Brazil is a strategically attractive but execution-intensive market. Its large consumer base, significant household consumption and long-term retail potential provide strong commercial opportunities. However, regulatory complexity, tax-system transition, high financing costs, inflation, exchange-rate exposure and cultural unfamiliarity with the warehouse-club model create significant implementation risks. Consequently, Brazil's attractiveness depends on Costco's ability to preserve its low-cost operating model while adapting selectively to local conditions.</w:t>
      </w:r>
    </w:p>
    <w:p w14:paraId="3DE8ACAD" w14:textId="77777777" w:rsidR="004576E0" w:rsidRPr="00E66EA5" w:rsidRDefault="004576E0" w:rsidP="004576E0">
      <w:r w:rsidRPr="00E66EA5">
        <w:t>Dunning's Eclectic (OLI) Paradigm identifies strong but conditional ownership advantages arising from Costco's membership model, purchasing scale, operational efficiency and organisational capabilities. Brazil provides substantial market-seeking location advantages, while internalisation remains important for protecting Costco's core operating processes. However, the analysis demonstrates that internalisation does not necessarily require immediate full ownership.</w:t>
      </w:r>
    </w:p>
    <w:p w14:paraId="223530B5" w14:textId="77777777" w:rsidR="004576E0" w:rsidRPr="00E66EA5" w:rsidRDefault="004576E0" w:rsidP="004576E0">
      <w:r w:rsidRPr="00E66EA5">
        <w:t xml:space="preserve">A Costco-controlled joint venture with a staged pathway towards full ownership is therefore recommended. This structure would provide access to local regulatory knowledge, supplier networks and property-development expertise while allowing Costco </w:t>
      </w:r>
      <w:r w:rsidRPr="00E66EA5">
        <w:lastRenderedPageBreak/>
        <w:t>to retain control over its membership system, pricing philosophy, merchandising and operating standards. Initial entry should be phased and geographically concentrated, supported by local and Mercosur sourcing and consumer testing before wider expansion.</w:t>
      </w:r>
    </w:p>
    <w:p w14:paraId="7243DC35" w14:textId="09206A3B" w:rsidR="00225209" w:rsidRPr="00E66EA5" w:rsidRDefault="00225209" w:rsidP="00225209"/>
    <w:p w14:paraId="165F0C5C" w14:textId="34543898" w:rsidR="002B0A64" w:rsidRPr="00E66EA5" w:rsidRDefault="002B0A64" w:rsidP="006C48F6">
      <w:pPr>
        <w:spacing w:line="278" w:lineRule="auto"/>
        <w:jc w:val="left"/>
      </w:pPr>
    </w:p>
    <w:p w14:paraId="17EAC366" w14:textId="3CDAE08C" w:rsidR="002D02E9" w:rsidRPr="00E66EA5" w:rsidRDefault="00EF6E16" w:rsidP="002D02E9">
      <w:pPr>
        <w:pStyle w:val="Heading1"/>
      </w:pPr>
      <w:bookmarkStart w:id="7" w:name="_Toc237529710"/>
      <w:r w:rsidRPr="00E66EA5">
        <w:t>2</w:t>
      </w:r>
      <w:r w:rsidR="006C48F6" w:rsidRPr="00E66EA5">
        <w:t xml:space="preserve">. </w:t>
      </w:r>
      <w:r w:rsidR="002D02E9" w:rsidRPr="00E66EA5">
        <w:t>Introduction</w:t>
      </w:r>
      <w:bookmarkEnd w:id="7"/>
    </w:p>
    <w:p w14:paraId="597129D8" w14:textId="77777777" w:rsidR="00BE6536" w:rsidRPr="00E66EA5" w:rsidRDefault="00BE6536" w:rsidP="00BE6536">
      <w:r w:rsidRPr="00E66EA5">
        <w:t>In an increasingly globalised economy, multinational corporations must evaluate whether host-market opportunities justify the risks and resource commitments of international expansion. Differences in political, economic, legal and cultural conditions can materially affect market attractiveness and entry-mode performance (Hill, 2022).</w:t>
      </w:r>
    </w:p>
    <w:p w14:paraId="655F1EE1" w14:textId="77777777" w:rsidR="00BE6536" w:rsidRPr="00E66EA5" w:rsidRDefault="00BE6536" w:rsidP="00BE6536">
      <w:r w:rsidRPr="00E66EA5">
        <w:t>Costco Wholesale Corporation is a membership-based warehouse retailer whose competitive model combines low mark-ups, limited assortment, purchasing scale and operational efficiency. The company has expanded across markets including Canada, Mexico, the United Kingdom, Japan, South Korea, Australia and China, but has no significant operational presence in Brazil (Costco Wholesale Corporation, 2025a). Brazil therefore provides an appropriate setting for assessing a potential new market entry.</w:t>
      </w:r>
    </w:p>
    <w:p w14:paraId="1E2AD74A" w14:textId="36934358" w:rsidR="00B37AC2" w:rsidRPr="00E66EA5" w:rsidRDefault="00BE6536" w:rsidP="002637DD">
      <w:r w:rsidRPr="00E66EA5">
        <w:t>Brazil offers substantial consumer-market scale but also presents taxation, regulatory, infrastructure and competitive challenges that may affect Costco's ability to transfer its existing model successfully. This report therefore evaluates Costco's international strategy and global configuration using Bartlett and Ghoshal's framework, examines Brazil's political, economic, legal and cultural environment, applies Dunning's Eclectic (OLI) Paradigm, and recommends an entry mode based on strategic fit, risk and long-term sustainability.</w:t>
      </w:r>
    </w:p>
    <w:p w14:paraId="50E2191D" w14:textId="77777777" w:rsidR="008542D2" w:rsidRPr="00E66EA5" w:rsidRDefault="008542D2" w:rsidP="002637DD"/>
    <w:p w14:paraId="119502AC" w14:textId="2BF7D84C" w:rsidR="00B37AC2" w:rsidRPr="00E66EA5" w:rsidRDefault="00B37AC2" w:rsidP="00B37AC2">
      <w:pPr>
        <w:pStyle w:val="Heading1"/>
      </w:pPr>
      <w:bookmarkStart w:id="8" w:name="_Toc237529711"/>
      <w:r w:rsidRPr="00E66EA5">
        <w:lastRenderedPageBreak/>
        <w:t xml:space="preserve">3. </w:t>
      </w:r>
      <w:r w:rsidR="008542D2" w:rsidRPr="00E66EA5">
        <w:t>Organizational Classification and Global Strategy</w:t>
      </w:r>
      <w:bookmarkEnd w:id="8"/>
    </w:p>
    <w:p w14:paraId="2F030863" w14:textId="1CF121B2" w:rsidR="008542D2" w:rsidRPr="00E66EA5" w:rsidRDefault="008542D2" w:rsidP="008542D2">
      <w:pPr>
        <w:pStyle w:val="Heading2"/>
      </w:pPr>
      <w:bookmarkStart w:id="9" w:name="_Toc237529712"/>
      <w:r w:rsidRPr="00E66EA5">
        <w:t>3.1 Company Background</w:t>
      </w:r>
      <w:bookmarkEnd w:id="9"/>
    </w:p>
    <w:p w14:paraId="4B6850CB" w14:textId="77777777" w:rsidR="00BE6536" w:rsidRPr="00E66EA5" w:rsidRDefault="00BE6536" w:rsidP="00BE6536">
      <w:r w:rsidRPr="00E66EA5">
        <w:t>Costco Wholesale Corporation is a US-based membership warehouse retailer whose model combines high-volume purchasing, limited assortment, rapid inventory turnover and membership-fee income to support low mark-ups. As of 28 May 2026, Costco operated 931 warehouses, including 639 in the United States and Puerto Rico, with international operations across Canada, Mexico, Europe and Asia-Pacific; Brazil remained absent from this footprint (Costco Wholesale Corporation, 2026).</w:t>
      </w:r>
    </w:p>
    <w:p w14:paraId="51CF07F3" w14:textId="58E14FF9" w:rsidR="002637DD" w:rsidRPr="00E66EA5" w:rsidRDefault="00BE6536" w:rsidP="00B37AC2">
      <w:r w:rsidRPr="00E66EA5">
        <w:t>During the first 36 weeks of fiscal 2026, Costco generated approximately US$203.37 billion in net sales and US$4.06 billion in membership fees (Costco Wholesale Corporation, 2026). This scale provides resources for further internationalisation, but Costco's overseas network remains much smaller than its domestic base, indicating disciplined expansion. Its capabilities therefore offer a strong platform for Brazil, but their transferability must be tested against local institutional, economic and cultural conditions.</w:t>
      </w:r>
    </w:p>
    <w:p w14:paraId="1B83E404" w14:textId="3885AB01" w:rsidR="002637DD" w:rsidRPr="00E66EA5" w:rsidRDefault="009D6374" w:rsidP="009D6374">
      <w:pPr>
        <w:pStyle w:val="Heading2"/>
      </w:pPr>
      <w:bookmarkStart w:id="10" w:name="_Toc237529713"/>
      <w:r w:rsidRPr="00E66EA5">
        <w:t>3.2 Bartlett and Ghoshal's International Strategy Framework</w:t>
      </w:r>
      <w:bookmarkEnd w:id="10"/>
    </w:p>
    <w:p w14:paraId="2E8B3F99" w14:textId="77777777" w:rsidR="00BE6536" w:rsidRPr="00E66EA5" w:rsidRDefault="00BE6536" w:rsidP="00BE6536">
      <w:r w:rsidRPr="00E66EA5">
        <w:t>Bartlett and Ghoshal's (1989) framework distinguishes international, multinational, global and transnational strategies according to pressures for global integration and local responsiveness. Costco most closely reflects a global strategy because its membership-based warehouse format, limited-SKU philosophy, high-volume purchasing, Kirkland Signature proposition and low-cost operating model are replicated internationally. Standardisation supports economies of scale, operational consistency and protection of Costco's core value proposition (Costco Wholesale Corporation, 2025a).</w:t>
      </w:r>
    </w:p>
    <w:p w14:paraId="2F139538" w14:textId="77777777" w:rsidR="00BE6536" w:rsidRPr="00E66EA5" w:rsidRDefault="00BE6536" w:rsidP="00BE6536">
      <w:r w:rsidRPr="00E66EA5">
        <w:t>However, Costco is not purely global. Differences in consumer preferences, supplier structures and regulation require selective adaptation of merchandise and sourcing, creating transnational characteristics without the degree of decentralisation associated with a fully transnational organisation. Rugman and Verbeke (2004) also caution that multinational strategies may remain regionally influenced rather than fitting rigid global categories.</w:t>
      </w:r>
    </w:p>
    <w:p w14:paraId="28D81938" w14:textId="6361D0E1" w:rsidR="009D6374" w:rsidRPr="00E66EA5" w:rsidRDefault="00BE6536" w:rsidP="009D6374">
      <w:r w:rsidRPr="00E66EA5">
        <w:lastRenderedPageBreak/>
        <w:t>Costco is therefore best classified as pursuing a predominantly global strategy with selective transnational adaptation. In Brazil, this implies preserving the membership model, cost discipline and operating format while adapting merchandise, sourcing and customer engagement where local conditions materially require responsiveness.</w:t>
      </w:r>
    </w:p>
    <w:p w14:paraId="1B3A09BD" w14:textId="1D297B6A" w:rsidR="009D6374" w:rsidRPr="00E66EA5" w:rsidRDefault="009D6374" w:rsidP="009D6374">
      <w:pPr>
        <w:pStyle w:val="Heading2"/>
      </w:pPr>
      <w:bookmarkStart w:id="11" w:name="_Toc237529714"/>
      <w:r w:rsidRPr="00E66EA5">
        <w:t>3.3 Global Configuration and Competitive Advantage</w:t>
      </w:r>
      <w:bookmarkEnd w:id="11"/>
    </w:p>
    <w:p w14:paraId="78AFACBF" w14:textId="2462A633" w:rsidR="00BE6536" w:rsidRPr="00E66EA5" w:rsidRDefault="00BE6536" w:rsidP="00BE6536">
      <w:r w:rsidRPr="00E66EA5">
        <w:t xml:space="preserve">Costco's geographic configuration combines a dominant North American base with selective expansion across Europe and Asia-Pacific. Of its 931 warehouses </w:t>
      </w:r>
      <w:r w:rsidR="001A7829" w:rsidRPr="00E66EA5">
        <w:t>on</w:t>
      </w:r>
      <w:r w:rsidRPr="00E66EA5">
        <w:t xml:space="preserve"> 28 May 2026, 639 were in the United States and Puerto Rico, indicating that international growth </w:t>
      </w:r>
      <w:r w:rsidR="000F5EA4" w:rsidRPr="000F5EA4">
        <w:rPr>
          <w:noProof/>
        </w:rPr>
        <w:drawing>
          <wp:anchor distT="0" distB="0" distL="114300" distR="114300" simplePos="0" relativeHeight="251662336" behindDoc="0" locked="0" layoutInCell="1" allowOverlap="1" wp14:anchorId="145DFDCA" wp14:editId="6EF5D6D3">
            <wp:simplePos x="0" y="0"/>
            <wp:positionH relativeFrom="column">
              <wp:posOffset>2737236</wp:posOffset>
            </wp:positionH>
            <wp:positionV relativeFrom="paragraph">
              <wp:posOffset>190997</wp:posOffset>
            </wp:positionV>
            <wp:extent cx="3034030" cy="2035810"/>
            <wp:effectExtent l="190500" t="190500" r="185420" b="193040"/>
            <wp:wrapSquare wrapText="bothSides"/>
            <wp:docPr id="130389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95170" name=""/>
                    <pic:cNvPicPr/>
                  </pic:nvPicPr>
                  <pic:blipFill>
                    <a:blip r:embed="rId9">
                      <a:extLst>
                        <a:ext uri="{28A0092B-C50C-407E-A947-70E740481C1C}">
                          <a14:useLocalDpi xmlns:a14="http://schemas.microsoft.com/office/drawing/2010/main" val="0"/>
                        </a:ext>
                      </a:extLst>
                    </a:blip>
                    <a:stretch>
                      <a:fillRect/>
                    </a:stretch>
                  </pic:blipFill>
                  <pic:spPr>
                    <a:xfrm>
                      <a:off x="0" y="0"/>
                      <a:ext cx="3034030" cy="20358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E66EA5">
        <w:t>remains selective rather than geographically dispersed (Costco Wholesale Corporation, 2026).</w:t>
      </w:r>
      <w:r w:rsidR="000F5EA4" w:rsidRPr="000F5EA4">
        <w:rPr>
          <w:noProof/>
        </w:rPr>
        <w:t xml:space="preserve"> </w:t>
      </w:r>
    </w:p>
    <w:p w14:paraId="06831EE4" w14:textId="078D04A4" w:rsidR="00BE6536" w:rsidRPr="00E66EA5" w:rsidRDefault="000F5EA4" w:rsidP="00BE6536">
      <w:r>
        <w:rPr>
          <w:noProof/>
        </w:rPr>
        <mc:AlternateContent>
          <mc:Choice Requires="wps">
            <w:drawing>
              <wp:anchor distT="0" distB="0" distL="114300" distR="114300" simplePos="0" relativeHeight="251664384" behindDoc="0" locked="0" layoutInCell="1" allowOverlap="1" wp14:anchorId="1FA7B8D4" wp14:editId="4DE22E4A">
                <wp:simplePos x="0" y="0"/>
                <wp:positionH relativeFrom="column">
                  <wp:posOffset>2726690</wp:posOffset>
                </wp:positionH>
                <wp:positionV relativeFrom="paragraph">
                  <wp:posOffset>1542415</wp:posOffset>
                </wp:positionV>
                <wp:extent cx="3034030" cy="628015"/>
                <wp:effectExtent l="0" t="0" r="0" b="635"/>
                <wp:wrapSquare wrapText="bothSides"/>
                <wp:docPr id="276039945" name="Text Box 1"/>
                <wp:cNvGraphicFramePr/>
                <a:graphic xmlns:a="http://schemas.openxmlformats.org/drawingml/2006/main">
                  <a:graphicData uri="http://schemas.microsoft.com/office/word/2010/wordprocessingShape">
                    <wps:wsp>
                      <wps:cNvSpPr txBox="1"/>
                      <wps:spPr>
                        <a:xfrm>
                          <a:off x="0" y="0"/>
                          <a:ext cx="3034030" cy="628015"/>
                        </a:xfrm>
                        <a:prstGeom prst="rect">
                          <a:avLst/>
                        </a:prstGeom>
                        <a:solidFill>
                          <a:prstClr val="white"/>
                        </a:solidFill>
                        <a:ln>
                          <a:noFill/>
                        </a:ln>
                      </wps:spPr>
                      <wps:txbx>
                        <w:txbxContent>
                          <w:p w14:paraId="1F80DE7B" w14:textId="2C1B46CE" w:rsidR="000F5EA4" w:rsidRPr="00395140" w:rsidRDefault="000F5EA4" w:rsidP="000F5EA4">
                            <w:pPr>
                              <w:pStyle w:val="Caption"/>
                              <w:jc w:val="center"/>
                            </w:pPr>
                            <w:bookmarkStart w:id="12" w:name="_Toc237529684"/>
                            <w:r>
                              <w:t xml:space="preserve">Figure </w:t>
                            </w:r>
                            <w:r w:rsidRPr="000F5EA4">
                              <w:fldChar w:fldCharType="begin"/>
                            </w:r>
                            <w:r w:rsidRPr="000F5EA4">
                              <w:instrText xml:space="preserve"> SEQ Figure \* ARABIC </w:instrText>
                            </w:r>
                            <w:r w:rsidRPr="000F5EA4">
                              <w:fldChar w:fldCharType="separate"/>
                            </w:r>
                            <w:r w:rsidR="00732B98">
                              <w:rPr>
                                <w:noProof/>
                              </w:rPr>
                              <w:t>1</w:t>
                            </w:r>
                            <w:r w:rsidRPr="000F5EA4">
                              <w:fldChar w:fldCharType="end"/>
                            </w:r>
                            <w:r>
                              <w:t xml:space="preserve"> </w:t>
                            </w:r>
                            <w:r w:rsidRPr="000F5EA4">
                              <w:t>Costco's Geographic Warehouse Configuration as of 28 May 2026</w:t>
                            </w:r>
                            <w:r w:rsidRPr="000F5EA4">
                              <w:br/>
                              <w:t xml:space="preserve">Source: </w:t>
                            </w:r>
                            <w:r>
                              <w:t xml:space="preserve">Own </w:t>
                            </w:r>
                            <w:r w:rsidRPr="000F5EA4">
                              <w:t>developed from Costco Wholesale Corporation (2026).</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A7B8D4" id="_x0000_t202" coordsize="21600,21600" o:spt="202" path="m,l,21600r21600,l21600,xe">
                <v:stroke joinstyle="miter"/>
                <v:path gradientshapeok="t" o:connecttype="rect"/>
              </v:shapetype>
              <v:shape id="Text Box 1" o:spid="_x0000_s1026" type="#_x0000_t202" style="position:absolute;left:0;text-align:left;margin-left:214.7pt;margin-top:121.45pt;width:238.9pt;height:49.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" stroked="f">
                <v:textbox inset="0,0,0,0">
                  <w:txbxContent>
                    <w:p w14:paraId="1F80DE7B" w14:textId="2C1B46CE" w:rsidR="000F5EA4" w:rsidRPr="00395140" w:rsidRDefault="000F5EA4" w:rsidP="000F5EA4">
                      <w:pPr>
                        <w:pStyle w:val="Caption"/>
                        <w:jc w:val="center"/>
                      </w:pPr>
                      <w:bookmarkStart w:id="10" w:name="_Toc237529684"/>
                      <w:r>
                        <w:t xml:space="preserve">Figure </w:t>
                      </w:r>
                      <w:r w:rsidRPr="000F5EA4">
                        <w:fldChar w:fldCharType="begin"/>
                      </w:r>
                      <w:r w:rsidRPr="000F5EA4">
                        <w:instrText xml:space="preserve"> SEQ Figure \* ARABIC </w:instrText>
                      </w:r>
                      <w:r w:rsidRPr="000F5EA4">
                        <w:fldChar w:fldCharType="separate"/>
                      </w:r>
                      <w:r w:rsidR="00732B98">
                        <w:rPr>
                          <w:noProof/>
                        </w:rPr>
                        <w:t>1</w:t>
                      </w:r>
                      <w:r w:rsidRPr="000F5EA4">
                        <w:fldChar w:fldCharType="end"/>
                      </w:r>
                      <w:r>
                        <w:t xml:space="preserve"> </w:t>
                      </w:r>
                      <w:r w:rsidRPr="000F5EA4">
                        <w:t>Costco's Geographic Warehouse Configuration as of 28 May 2026</w:t>
                      </w:r>
                      <w:r w:rsidRPr="000F5EA4">
                        <w:br/>
                        <w:t xml:space="preserve">Source: </w:t>
                      </w:r>
                      <w:r>
                        <w:t xml:space="preserve">Own </w:t>
                      </w:r>
                      <w:r w:rsidRPr="000F5EA4">
                        <w:t>developed from Costco Wholesale Corporation (2026).</w:t>
                      </w:r>
                      <w:bookmarkEnd w:id="10"/>
                    </w:p>
                  </w:txbxContent>
                </v:textbox>
                <w10:wrap type="square"/>
              </v:shape>
            </w:pict>
          </mc:Fallback>
        </mc:AlternateContent>
      </w:r>
      <w:r w:rsidR="00BE6536" w:rsidRPr="00E66EA5">
        <w:t>Value creation derives from the interaction between scale and Costco's operating model. High-volume purchasing, limited assortment, rapid inventory turnover and efficient distribution reduce operating costs, while recurring membership income reinforces customer loyalty and financial stability (Costco Wholesale Corporation, 2025a). These capabilities support Costco's low-price proposition and are difficult for competitors to reproduce at equivalent scale.</w:t>
      </w:r>
    </w:p>
    <w:p w14:paraId="1B7BB434" w14:textId="3B2C305E" w:rsidR="009D6374" w:rsidRPr="00E66EA5" w:rsidRDefault="00BE6536" w:rsidP="009D6374">
      <w:r w:rsidRPr="00E66EA5">
        <w:t xml:space="preserve">However, competitive advantage is </w:t>
      </w:r>
      <w:r w:rsidR="001A7829" w:rsidRPr="00E66EA5">
        <w:t>context dependent</w:t>
      </w:r>
      <w:r w:rsidRPr="00E66EA5">
        <w:t>. Supplier structures, logistics costs, regulation and consumer preferences in Brazil may weaken the benefits of standardisation and require greater local sourcing and adaptation. Costco's global configuration therefore provides substantial resources for entry, but success depends on preserving scale efficiencies while responding effectively to Brazilian market conditions.</w:t>
      </w:r>
    </w:p>
    <w:p w14:paraId="02A728AA" w14:textId="77777777" w:rsidR="002637DD" w:rsidRPr="00E66EA5" w:rsidRDefault="002637DD" w:rsidP="004D482C"/>
    <w:p w14:paraId="608F16A4" w14:textId="0182B624" w:rsidR="009D6374" w:rsidRPr="00E66EA5" w:rsidRDefault="009D6374" w:rsidP="009D6374">
      <w:pPr>
        <w:pStyle w:val="Heading1"/>
      </w:pPr>
      <w:bookmarkStart w:id="13" w:name="_Toc237529715"/>
      <w:r w:rsidRPr="00E66EA5">
        <w:t>4. Macro-Environmental Appraisal and Market Attractiveness</w:t>
      </w:r>
      <w:bookmarkEnd w:id="13"/>
    </w:p>
    <w:p w14:paraId="79C180F3" w14:textId="49E6EEC0" w:rsidR="002637DD" w:rsidRPr="00E66EA5" w:rsidRDefault="009D6374" w:rsidP="009D6374">
      <w:pPr>
        <w:pStyle w:val="Heading2"/>
      </w:pPr>
      <w:bookmarkStart w:id="14" w:name="_Toc237529716"/>
      <w:r w:rsidRPr="00E66EA5">
        <w:t>4.1 Political Environment</w:t>
      </w:r>
      <w:bookmarkEnd w:id="14"/>
    </w:p>
    <w:p w14:paraId="740CC0FA" w14:textId="77777777" w:rsidR="00BE6536" w:rsidRPr="00E66EA5" w:rsidRDefault="00BE6536" w:rsidP="00BE6536">
      <w:r w:rsidRPr="00E66EA5">
        <w:t>Brazil's political and institutional environment presents both investment opportunity and implementation risk for Costco. Foreign investors are generally permitted to participate in Brazilian enterprises, while FDI inflows represented approximately 3.4% of GDP in 2024 (Central Bank of Brazil, 2025; World Bank, 2026a). However, Brazil's federal structure, comprising national, state and more than 5,500 municipal authorities, creates administrative complexity affecting licensing, taxation and property development (World Bank, 2026a). For Costco's capital-intensive warehouse model, this may increase establishment costs and delay expansion.</w:t>
      </w:r>
    </w:p>
    <w:p w14:paraId="28543C62" w14:textId="77777777" w:rsidR="00BE6536" w:rsidRPr="00E66EA5" w:rsidRDefault="00BE6536" w:rsidP="00BE6536">
      <w:r w:rsidRPr="00E66EA5">
        <w:t>Tax reform creates a further trade-off. Complementary Law No. 214/2025 introduced the IBS, CBS and Selective Tax as part of Brazil's consumption-tax reform (Federal Revenue of Brazil, 2026a). Although simplification may reduce long-term compliance costs, transitional implementation requires businesses to adjust reporting, pricing and information systems. Costco may therefore benefit eventually while facing higher short-term compliance requirements.</w:t>
      </w:r>
    </w:p>
    <w:p w14:paraId="429D39B8" w14:textId="77777777" w:rsidR="00BE6536" w:rsidRPr="00E66EA5" w:rsidRDefault="00BE6536" w:rsidP="00BE6536">
      <w:r w:rsidRPr="00E66EA5">
        <w:t>Trade policy also affects Costco's sourcing model. Mercosur's Common External Tariff can increase the cost of merchandise imported from outside the bloc (Mercosur, 2026). Greater Brazilian and regional sourcing could therefore reduce landed costs and protect Costco's low-price proposition.</w:t>
      </w:r>
    </w:p>
    <w:p w14:paraId="227C463E" w14:textId="6ECCA4BF" w:rsidR="009D6374" w:rsidRPr="00E66EA5" w:rsidRDefault="00BE6536" w:rsidP="009D6374">
      <w:r w:rsidRPr="00E66EA5">
        <w:t>Overall, Brazil is politically viable but execution intensive. Openness to investment and tax modernisation support entry, while administrative complexity and regulatory transition increase risk. Costco should therefore pursue phased expansion, develop strong local regulatory capabilities and increase regional sourcing rather than replicate its existing international model unchanged.</w:t>
      </w:r>
    </w:p>
    <w:p w14:paraId="447EB667" w14:textId="522AF2F2" w:rsidR="002637DD" w:rsidRPr="00E66EA5" w:rsidRDefault="00122EF5" w:rsidP="00122EF5">
      <w:pPr>
        <w:pStyle w:val="Heading2"/>
      </w:pPr>
      <w:bookmarkStart w:id="15" w:name="_Toc237529717"/>
      <w:r w:rsidRPr="00E66EA5">
        <w:lastRenderedPageBreak/>
        <w:t>4.2 Economic Environment</w:t>
      </w:r>
      <w:bookmarkEnd w:id="15"/>
    </w:p>
    <w:p w14:paraId="11215F4F" w14:textId="77777777" w:rsidR="00BE6536" w:rsidRPr="00E66EA5" w:rsidRDefault="00BE6536" w:rsidP="00BE6536">
      <w:r w:rsidRPr="00E66EA5">
        <w:t>Brazil offers Costco substantial demand potential but also exposes the company to high financing costs, inflation and currency risk. GDP grew by 2.3% in 2025 to approximately R$12.7 trillion, while first-quarter 2026 GDP increased by 1.1% quarter-on-quarter (IBGE, 2026a; IBGE, 2026b). However, the World Bank (2026a) projected growth of only 1.6% for 2026, indicating that recent resilience may not translate into consistently strong retail expansion.</w:t>
      </w:r>
    </w:p>
    <w:p w14:paraId="48521EEF" w14:textId="77777777" w:rsidR="00BE6536" w:rsidRPr="00E66EA5" w:rsidRDefault="00BE6536" w:rsidP="00BE6536">
      <w:r w:rsidRPr="00E66EA5">
        <w:t>Monetary conditions present a significant constraint. In April 2026, the Selic rate stood at 14.50%, while expected inflation remained around 4.9%, above the 3% target (Central Bank of Brazil, 2026). High borrowing costs increase the expense of warehouse investment and working capital, while inflation raises labour, logistics and procurement costs. Conversely, greater price sensitivity may strengthen demand for Costco's low-unit-price proposition. The economic environment therefore creates a dual effect: it pressures margins while potentially increasing the attractiveness of value-oriented retailing.</w:t>
      </w:r>
    </w:p>
    <w:p w14:paraId="11798A5F" w14:textId="77777777" w:rsidR="00BE6536" w:rsidRPr="00E66EA5" w:rsidRDefault="00BE6536" w:rsidP="00BE6536">
      <w:r w:rsidRPr="00E66EA5">
        <w:t>Exchange-rate volatility further affects Costco because imported merchandise would become more expensive if the Brazilian Real depreciated. Passing these costs to customers could weaken the company's value proposition, making greater Brazilian and Mercosur sourcing strategically important.</w:t>
      </w:r>
    </w:p>
    <w:p w14:paraId="42FA5893" w14:textId="268A8BA7" w:rsidR="002637DD" w:rsidRPr="00E66EA5" w:rsidRDefault="00BE6536" w:rsidP="00122EF5">
      <w:r w:rsidRPr="00E66EA5">
        <w:t>Household consumption reached approximately R$8.1 trillion in 2025 (IBGE, 2026a), demonstrating substantial market scale. However, aggregate consumption alone does not guarantee membership-model acceptance. Costco must attract households with sufficient purchasing power, storage capacity and willingness to buy in bulk. Overall, Brazil is economically attractive for long-term entry, but high capital costs, inflation and currency exposure support a phased expansion strategy with greater local sourcing.</w:t>
      </w:r>
    </w:p>
    <w:p w14:paraId="34E2DA61" w14:textId="051D5BDB" w:rsidR="002637DD" w:rsidRPr="00E66EA5" w:rsidRDefault="00BC2EBA" w:rsidP="00122EF5">
      <w:pPr>
        <w:pStyle w:val="Heading2"/>
      </w:pPr>
      <w:bookmarkStart w:id="16" w:name="_Toc237529718"/>
      <w:r w:rsidRPr="00E66EA5">
        <w:t>4.3 Legal Environment</w:t>
      </w:r>
      <w:bookmarkEnd w:id="16"/>
    </w:p>
    <w:p w14:paraId="25F0D7F0" w14:textId="77777777" w:rsidR="00E66EA5" w:rsidRPr="00E66EA5" w:rsidRDefault="00E66EA5" w:rsidP="00E66EA5">
      <w:r w:rsidRPr="00E66EA5">
        <w:t>Brazil permits foreign participation in local companies, although qualifying FDI transactions are subject to Central Bank reporting requirements (Central Bank of Brazil, 2025). Therefore, there is no fundamental legal barrier to Costco establishing a controlled Brazilian operation, but compliance complexity remains significant.</w:t>
      </w:r>
    </w:p>
    <w:p w14:paraId="2398EA61" w14:textId="77777777" w:rsidR="00E66EA5" w:rsidRPr="00E66EA5" w:rsidRDefault="00E66EA5" w:rsidP="00E66EA5">
      <w:r w:rsidRPr="00E66EA5">
        <w:lastRenderedPageBreak/>
        <w:t>Tax reform is a key transitional issue. Complementary Law No. 214/2025 introduced the IBS, CBS and Selective Tax as part of Brazil's consumption-tax reform (Federal Revenue of Brazil, 2026a). Although the new system is intended to simplify indirect taxation, implementation during 2026 requires businesses to adapt accounting, pricing and information systems. Costco could therefore benefit in the longer term while facing short-term compliance costs.</w:t>
      </w:r>
    </w:p>
    <w:p w14:paraId="3C645D0F" w14:textId="77777777" w:rsidR="00E66EA5" w:rsidRPr="00E66EA5" w:rsidRDefault="00E66EA5" w:rsidP="00E66EA5">
      <w:r w:rsidRPr="00E66EA5">
        <w:t>Employment regulation also affects Costco's labour-intensive warehouse model. Brazilian commercial employees are generally subject to an eight-hour working day and 44-hour working week (Brazil, 2013), requiring locally adapted workforce planning rather than direct replication of US practices.</w:t>
      </w:r>
    </w:p>
    <w:p w14:paraId="7152EFC6" w14:textId="77777777" w:rsidR="00E66EA5" w:rsidRPr="00E66EA5" w:rsidRDefault="00E66EA5" w:rsidP="00E66EA5">
      <w:r w:rsidRPr="00E66EA5">
        <w:t>Consumer and data-protection rules are equally important. Brazil's Consumer Protection Code regulates supplier obligations relating to pricing, complaints and after-sales service (Ministry of Justice and Public Security of Brazil, 1990), while the LGPD governs personal-data processing (ANPD, 2025). This is particularly relevant to Costco's membership model because registration, purchasing histories and digital accounts involve extensive customer data.</w:t>
      </w:r>
    </w:p>
    <w:p w14:paraId="2F456A7F" w14:textId="7DB31BA9" w:rsidR="00BC2EBA" w:rsidRPr="00E66EA5" w:rsidRDefault="00E66EA5" w:rsidP="00BC2EBA">
      <w:r w:rsidRPr="00E66EA5">
        <w:t>Competition law also affects entry-mode choice. CADE reviews qualifying mergers and acquisitions under Law No. 12,529/2011 (CADE, 2011), meaning acquisition could face greater regulatory scrutiny than greenfield entry. Overall, Brazil is legally accessible but compliance-intensive, strengthening the need for local legal capability and influencing the relative attractiveness of alternative entry modes.</w:t>
      </w:r>
    </w:p>
    <w:p w14:paraId="298DAB6B" w14:textId="4274A71B" w:rsidR="002637DD" w:rsidRPr="00E66EA5" w:rsidRDefault="00BC2EBA" w:rsidP="00BC2EBA">
      <w:pPr>
        <w:pStyle w:val="Heading2"/>
      </w:pPr>
      <w:bookmarkStart w:id="17" w:name="_Toc237529719"/>
      <w:r w:rsidRPr="00E66EA5">
        <w:lastRenderedPageBreak/>
        <w:t>4.4 Cultural Environment</w:t>
      </w:r>
      <w:bookmarkEnd w:id="17"/>
    </w:p>
    <w:p w14:paraId="15AEA272" w14:textId="466A00C4" w:rsidR="00E66EA5" w:rsidRPr="00E66EA5" w:rsidRDefault="000F5EA4" w:rsidP="00E66EA5">
      <w:r>
        <w:rPr>
          <w:noProof/>
        </w:rPr>
        <mc:AlternateContent>
          <mc:Choice Requires="wps">
            <w:drawing>
              <wp:anchor distT="0" distB="0" distL="114300" distR="114300" simplePos="0" relativeHeight="251667456" behindDoc="0" locked="0" layoutInCell="1" allowOverlap="1" wp14:anchorId="6BAC26E8" wp14:editId="2EEA7A8B">
                <wp:simplePos x="0" y="0"/>
                <wp:positionH relativeFrom="margin">
                  <wp:align>right</wp:align>
                </wp:positionH>
                <wp:positionV relativeFrom="paragraph">
                  <wp:posOffset>3246120</wp:posOffset>
                </wp:positionV>
                <wp:extent cx="3935730" cy="357505"/>
                <wp:effectExtent l="0" t="0" r="7620" b="4445"/>
                <wp:wrapSquare wrapText="bothSides"/>
                <wp:docPr id="946955741" name="Text Box 1"/>
                <wp:cNvGraphicFramePr/>
                <a:graphic xmlns:a="http://schemas.openxmlformats.org/drawingml/2006/main">
                  <a:graphicData uri="http://schemas.microsoft.com/office/word/2010/wordprocessingShape">
                    <wps:wsp>
                      <wps:cNvSpPr txBox="1"/>
                      <wps:spPr>
                        <a:xfrm>
                          <a:off x="0" y="0"/>
                          <a:ext cx="3935730" cy="357505"/>
                        </a:xfrm>
                        <a:prstGeom prst="rect">
                          <a:avLst/>
                        </a:prstGeom>
                        <a:solidFill>
                          <a:prstClr val="white"/>
                        </a:solidFill>
                        <a:ln>
                          <a:noFill/>
                        </a:ln>
                      </wps:spPr>
                      <wps:txbx>
                        <w:txbxContent>
                          <w:p w14:paraId="34CCE395" w14:textId="55D569CA" w:rsidR="000F5EA4" w:rsidRPr="004C65C2" w:rsidRDefault="000F5EA4" w:rsidP="000F5EA4">
                            <w:pPr>
                              <w:pStyle w:val="Caption"/>
                              <w:jc w:val="center"/>
                            </w:pPr>
                            <w:bookmarkStart w:id="18" w:name="_Toc237529685"/>
                            <w:r>
                              <w:t xml:space="preserve">Figure </w:t>
                            </w:r>
                            <w:r>
                              <w:fldChar w:fldCharType="begin"/>
                            </w:r>
                            <w:r>
                              <w:instrText xml:space="preserve"> SEQ Figure \* ARABIC </w:instrText>
                            </w:r>
                            <w:r>
                              <w:fldChar w:fldCharType="separate"/>
                            </w:r>
                            <w:r w:rsidR="00732B98">
                              <w:rPr>
                                <w:noProof/>
                              </w:rPr>
                              <w:t>2</w:t>
                            </w:r>
                            <w:r>
                              <w:fldChar w:fldCharType="end"/>
                            </w:r>
                            <w:r>
                              <w:rPr>
                                <w:lang w:val="en-US"/>
                              </w:rPr>
                              <w:t xml:space="preserve"> </w:t>
                            </w:r>
                            <w:r w:rsidRPr="000F5EA4">
                              <w:t>Selected Cultural Dimensions — Brazil and the United States</w:t>
                            </w:r>
                            <w:r w:rsidRPr="000F5EA4">
                              <w:br/>
                              <w:t xml:space="preserve">Source: </w:t>
                            </w:r>
                            <w:r>
                              <w:t>Own</w:t>
                            </w:r>
                            <w:r w:rsidRPr="000F5EA4">
                              <w:t xml:space="preserve"> developed from The Culture Factor Group (2025).</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C26E8" id="_x0000_s1027" type="#_x0000_t202" style="position:absolute;left:0;text-align:left;margin-left:258.7pt;margin-top:255.6pt;width:309.9pt;height:28.1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" stroked="f">
                <v:textbox inset="0,0,0,0">
                  <w:txbxContent>
                    <w:p w14:paraId="34CCE395" w14:textId="55D569CA" w:rsidR="000F5EA4" w:rsidRPr="004C65C2" w:rsidRDefault="000F5EA4" w:rsidP="000F5EA4">
                      <w:pPr>
                        <w:pStyle w:val="Caption"/>
                        <w:jc w:val="center"/>
                      </w:pPr>
                      <w:bookmarkStart w:id="17" w:name="_Toc237529685"/>
                      <w:r>
                        <w:t xml:space="preserve">Figure </w:t>
                      </w:r>
                      <w:r>
                        <w:fldChar w:fldCharType="begin"/>
                      </w:r>
                      <w:r>
                        <w:instrText xml:space="preserve"> SEQ Figure \* ARABIC </w:instrText>
                      </w:r>
                      <w:r>
                        <w:fldChar w:fldCharType="separate"/>
                      </w:r>
                      <w:r w:rsidR="00732B98">
                        <w:rPr>
                          <w:noProof/>
                        </w:rPr>
                        <w:t>2</w:t>
                      </w:r>
                      <w:r>
                        <w:fldChar w:fldCharType="end"/>
                      </w:r>
                      <w:r>
                        <w:rPr>
                          <w:lang w:val="en-US"/>
                        </w:rPr>
                        <w:t xml:space="preserve"> </w:t>
                      </w:r>
                      <w:r w:rsidRPr="000F5EA4">
                        <w:t>Selected Cultural Dimensions — Brazil and the United States</w:t>
                      </w:r>
                      <w:r w:rsidRPr="000F5EA4">
                        <w:br/>
                        <w:t xml:space="preserve">Source: </w:t>
                      </w:r>
                      <w:r>
                        <w:t>Own</w:t>
                      </w:r>
                      <w:r w:rsidRPr="000F5EA4">
                        <w:t xml:space="preserve"> developed from The Culture Factor Group (2025).</w:t>
                      </w:r>
                      <w:bookmarkEnd w:id="17"/>
                    </w:p>
                  </w:txbxContent>
                </v:textbox>
                <w10:wrap type="square" anchorx="margin"/>
              </v:shape>
            </w:pict>
          </mc:Fallback>
        </mc:AlternateContent>
      </w:r>
      <w:r w:rsidRPr="000F5EA4">
        <w:rPr>
          <w:noProof/>
        </w:rPr>
        <w:drawing>
          <wp:anchor distT="0" distB="0" distL="114300" distR="114300" simplePos="0" relativeHeight="251665408" behindDoc="0" locked="0" layoutInCell="1" allowOverlap="1" wp14:anchorId="3583A7E5" wp14:editId="2B3CFF5E">
            <wp:simplePos x="0" y="0"/>
            <wp:positionH relativeFrom="column">
              <wp:posOffset>2178271</wp:posOffset>
            </wp:positionH>
            <wp:positionV relativeFrom="paragraph">
              <wp:posOffset>566393</wp:posOffset>
            </wp:positionV>
            <wp:extent cx="3747770" cy="2348865"/>
            <wp:effectExtent l="190500" t="190500" r="195580" b="184785"/>
            <wp:wrapSquare wrapText="bothSides"/>
            <wp:docPr id="529881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81671" name=""/>
                    <pic:cNvPicPr/>
                  </pic:nvPicPr>
                  <pic:blipFill>
                    <a:blip r:embed="rId10">
                      <a:extLst>
                        <a:ext uri="{28A0092B-C50C-407E-A947-70E740481C1C}">
                          <a14:useLocalDpi xmlns:a14="http://schemas.microsoft.com/office/drawing/2010/main" val="0"/>
                        </a:ext>
                      </a:extLst>
                    </a:blip>
                    <a:stretch>
                      <a:fillRect/>
                    </a:stretch>
                  </pic:blipFill>
                  <pic:spPr>
                    <a:xfrm>
                      <a:off x="0" y="0"/>
                      <a:ext cx="3747770" cy="2348865"/>
                    </a:xfrm>
                    <a:prstGeom prst="rect">
                      <a:avLst/>
                    </a:prstGeom>
                    <a:ln>
                      <a:noFill/>
                    </a:ln>
                    <a:effectLst>
                      <a:outerShdw blurRad="190500" algn="tl" rotWithShape="0">
                        <a:srgbClr val="000000">
                          <a:alpha val="70000"/>
                        </a:srgbClr>
                      </a:outerShdw>
                    </a:effectLst>
                  </pic:spPr>
                </pic:pic>
              </a:graphicData>
            </a:graphic>
          </wp:anchor>
        </w:drawing>
      </w:r>
      <w:r w:rsidR="00E66EA5" w:rsidRPr="00E66EA5">
        <w:t>Cultural distance between Brazil and Costco's US home market may affect customer acceptance, employee management and supplier relationships. Brazil scores higher than the United States on power distance (69 versus 40), lower on individualism (36 versus 60) and higher on uncertainty avoidance (76 versus 46) (The Culture Factor Group, 2025). These differences suggest that Costco cannot transfer its US-developed practices without adaptation.</w:t>
      </w:r>
      <w:r w:rsidRPr="000F5EA4">
        <w:rPr>
          <w:noProof/>
        </w:rPr>
        <w:t xml:space="preserve"> </w:t>
      </w:r>
    </w:p>
    <w:p w14:paraId="679ABE9C" w14:textId="77777777" w:rsidR="00E66EA5" w:rsidRPr="00E66EA5" w:rsidRDefault="00E66EA5" w:rsidP="00E66EA5">
      <w:r w:rsidRPr="00E66EA5">
        <w:t>Higher power distance may require more locally appropriate leadership and communication practices, while Brazil's more collectivist orientation increases the importance of trusted relationships with employees, suppliers and communities. However, collectivism alone does not prove that consumers will accept Costco's annual membership model, so market testing remains necessary.</w:t>
      </w:r>
    </w:p>
    <w:p w14:paraId="368F66A6" w14:textId="77777777" w:rsidR="00E66EA5" w:rsidRPr="00E66EA5" w:rsidRDefault="00E66EA5" w:rsidP="00E66EA5">
      <w:r w:rsidRPr="00E66EA5">
        <w:t>Higher uncertainty avoidance creates a more direct challenge because paying for membership before experiencing its full benefits may be unfamiliar to some consumers. Costco should therefore reduce perceived risk through clear membership benefits, guarantees, introductory offers and locally recognisable merchandise.</w:t>
      </w:r>
    </w:p>
    <w:p w14:paraId="29F3A4C3" w14:textId="28805096" w:rsidR="00BC2EBA" w:rsidRPr="00E66EA5" w:rsidRDefault="00E66EA5" w:rsidP="00BC2EBA">
      <w:r w:rsidRPr="00E66EA5">
        <w:t xml:space="preserve">Hofstede's framework should nevertheless be applied cautiously. McSweeney (2002) argues that national-culture models may oversimplify diverse societies and inadequately explain individual behaviour. Hofstede should therefore guide rather than determine strategy and be supplemented by market-specific consumer research. Overall, cultural distance increases the need for selective adaptation in management, customer </w:t>
      </w:r>
      <w:r w:rsidRPr="00E66EA5">
        <w:lastRenderedPageBreak/>
        <w:t>communication and merchandise while preserving Costco's core membership and cost-leadership model.</w:t>
      </w:r>
    </w:p>
    <w:p w14:paraId="05CCECEC" w14:textId="405F9CAF" w:rsidR="002637DD" w:rsidRPr="00E66EA5" w:rsidRDefault="00BC2EBA" w:rsidP="00BC2EBA">
      <w:pPr>
        <w:pStyle w:val="Heading2"/>
      </w:pPr>
      <w:bookmarkStart w:id="19" w:name="_Toc237529720"/>
      <w:r w:rsidRPr="00E66EA5">
        <w:t>4.5 Critical Evaluation of Brazil's Market Attractiveness</w:t>
      </w:r>
      <w:bookmarkEnd w:id="19"/>
    </w:p>
    <w:p w14:paraId="7B3A62EE" w14:textId="77777777" w:rsidR="00CB0EFB" w:rsidRPr="00E66EA5" w:rsidRDefault="00CB0EFB" w:rsidP="00CB0EFB">
      <w:r w:rsidRPr="00E66EA5">
        <w:t>The combined macro-environmental analysis indicates that Brazil represents a strategically attractive but execution-intensive market for Costco. Its principal attraction lies in market scale, household consumption and long-term retail potential, while continued openness to foreign investment provides a viable institutional basis for entry. However, these advantages are offset by high financing costs, inflation, exchange-rate exposure, regulatory complexity and the transitional implementation of tax reform. Consequently, Brazil's attractiveness should not be judged solely by the size of its economy or consumer base; the critical issue is whether Costco can preserve its low-cost economics while absorbing the additional costs of operating within the Brazilian environment.</w:t>
      </w:r>
    </w:p>
    <w:p w14:paraId="09F23349" w14:textId="77777777" w:rsidR="00CB0EFB" w:rsidRPr="00E66EA5" w:rsidRDefault="00CB0EFB" w:rsidP="00CB0EFB">
      <w:r w:rsidRPr="00E66EA5">
        <w:t>Several external factors interact rather than operate independently. For example, currency depreciation and external tariffs could raise the cost of imported merchandise, while inflation would limit Costco's ability to transfer those costs fully to consumers. This strengthens the economic case for greater Brazilian and Mercosur sourcing. Similarly, regulatory complexity and employment obligations increase operating costs, but local legal and managerial capabilities could reduce implementation risk. Cultural differences create a further challenge because Costco's membership-based warehouse model may be unfamiliar to some consumers, requiring market education and selective adaptation without undermining the standardised features that generate its competitive advantage.</w:t>
      </w:r>
    </w:p>
    <w:p w14:paraId="6D2702CD" w14:textId="133C4127" w:rsidR="00BC2EBA" w:rsidRPr="00E66EA5" w:rsidRDefault="00CB0EFB" w:rsidP="00BC2EBA">
      <w:r w:rsidRPr="00E66EA5">
        <w:t xml:space="preserve">Therefore, Brazil should be considered conditionally attractive rather than inherently low risk. Entry would be strategically justified if Costco adopts a phased investment approach, develops local and regional supplier networks, establishes strong regulatory capabilities and validates consumer acceptance of the membership proposition before accelerating expansion. These conditions imply that successful entry depends not simply on Brazil's external attractiveness but on the interaction between host-country characteristics and Costco's firm-specific capabilities. Dunning's Eclectic (OLI) Paradigm therefore provides the appropriate next stage of analysis by assessing whether Costco's ownership and </w:t>
      </w:r>
      <w:r w:rsidRPr="00E66EA5">
        <w:lastRenderedPageBreak/>
        <w:t>internalisation advantages are sufficiently strong to exploit Brazil's location advantages while overcoming its institutional and operational disadvantages.</w:t>
      </w:r>
    </w:p>
    <w:p w14:paraId="07F37C28" w14:textId="57863DA5" w:rsidR="002637DD" w:rsidRPr="00E66EA5" w:rsidRDefault="00BC2EBA" w:rsidP="00BC2EBA">
      <w:pPr>
        <w:pStyle w:val="Heading2"/>
      </w:pPr>
      <w:bookmarkStart w:id="20" w:name="_Toc237529721"/>
      <w:r w:rsidRPr="00E66EA5">
        <w:t>4.6 Dunning's Eclectic (OLI) Paradigm</w:t>
      </w:r>
      <w:bookmarkEnd w:id="20"/>
    </w:p>
    <w:p w14:paraId="0FF4ABC9" w14:textId="77777777" w:rsidR="00CB0EFB" w:rsidRPr="00E66EA5" w:rsidRDefault="00BC2EBA" w:rsidP="00CB0EFB">
      <w:r w:rsidRPr="00E66EA5">
        <w:rPr>
          <w:b/>
          <w:bCs/>
        </w:rPr>
        <w:t>Ownership Advantages</w:t>
      </w:r>
      <w:r w:rsidRPr="00E66EA5">
        <w:t xml:space="preserve"> - </w:t>
      </w:r>
      <w:r w:rsidR="00CB0EFB" w:rsidRPr="00E66EA5">
        <w:t>Dunning's Eclectic Paradigm proposes that foreign direct investment becomes more viable when a firm possesses ownership-specific advantages capable of overcoming the additional costs of operating in a foreign market (Dunning, 1988). Costco possesses several potentially transferable advantages, particularly its membership model, purchasing scale, limited-SKU philosophy, private-label capabilities and highly disciplined operating system. In fiscal 2025, Costco generated approximately US$5.3 billion in membership-fee revenue alongside US$269.9 billion in net sales, demonstrating the financial significance of a business model that combines recurring membership income with high-volume merchandise sales (Costco Wholesale Corporation, 2025a).</w:t>
      </w:r>
    </w:p>
    <w:p w14:paraId="610AAA50" w14:textId="53B9E4FC" w:rsidR="00BC2EBA" w:rsidRPr="00E66EA5" w:rsidRDefault="00CB0EFB" w:rsidP="00CB0EFB">
      <w:r w:rsidRPr="00E66EA5">
        <w:t>Costco's international performance provides some evidence that these capabilities can travel across national boundaries. As of 28 May 2026, the company operated 931 warehouses across multiple international markets, while comparable sales in its “Other International” segment increased by 11.0% during the first 36 weeks of fiscal 2026 before adjustment for foreign exchange and gasoline effects (Costco Wholesale Corporation, 2026). Nevertheless, international success does not establish that Costco possesses equivalent brand recognition or membership acceptance in Brazil, where it has no significant operational presence. Its membership model should therefore be viewed as a potential ownership advantage rather than an automatically transferable one. If Brazilian consumers do not perceive sufficient savings to justify paying an annual fee, an important source of Costco's competitive advantage could become a barrier to adoption. Ownership advantages are therefore strong, but their value in Brazil depends on effective localisation and consumer acceptance.</w:t>
      </w:r>
    </w:p>
    <w:p w14:paraId="10EE5EDC" w14:textId="77777777" w:rsidR="00CB0EFB" w:rsidRPr="00E66EA5" w:rsidRDefault="00BC2EBA" w:rsidP="00CB0EFB">
      <w:r w:rsidRPr="00E66EA5">
        <w:rPr>
          <w:b/>
          <w:bCs/>
        </w:rPr>
        <w:t xml:space="preserve">Location Advantages - </w:t>
      </w:r>
      <w:r w:rsidR="00CB0EFB" w:rsidRPr="00E66EA5">
        <w:t xml:space="preserve">Location advantages concern whether characteristics of the host economy make local investment preferable to serving the market through alternative arrangements (Dunning, 1988). Brazil provides substantial </w:t>
      </w:r>
      <w:r w:rsidR="00CB0EFB" w:rsidRPr="00E66EA5">
        <w:rPr>
          <w:b/>
          <w:bCs/>
        </w:rPr>
        <w:t>market-seeking advantages</w:t>
      </w:r>
      <w:r w:rsidR="00CB0EFB" w:rsidRPr="00E66EA5">
        <w:t xml:space="preserve"> for Costco. Its population was estimated at approximately 213.4 million in 2025, while </w:t>
      </w:r>
      <w:r w:rsidR="00CB0EFB" w:rsidRPr="00E66EA5">
        <w:lastRenderedPageBreak/>
        <w:t>GDP reached R$12.7 trillion and household consumption approximately R$8.1 trillion, indicating considerable consumer-market scale (IBGE, 2025; IBGE, 2026a). Economic activity also expanded by 1.1% quarter-on-quarter during the first quarter of 2026, although household consumption growth remained comparatively modest at 1.0% (IBGE, 2026b). These characteristics provide a potentially large customer base for a value-oriented retailer.</w:t>
      </w:r>
    </w:p>
    <w:p w14:paraId="1F39A450" w14:textId="5CD91FC0" w:rsidR="00BC2EBA" w:rsidRPr="00E66EA5" w:rsidRDefault="00CB0EFB" w:rsidP="00CB0EFB">
      <w:r w:rsidRPr="00E66EA5">
        <w:t>However, Brazil's location advantages are not unambiguously favourable. The tax, regulatory, logistics and currency risks identified previously may raise Costco's operating costs, while Mercosur's Common External Tariff applies product-specific tariffs to imports originating outside the regional bloc (Mercosur, 2026). This creates tension with Costco's international sourcing model: Brazil is attractive because of market access, but not necessarily as a low-cost location from which to reproduce an import-intensive US merchandise structure. Greater Brazilian and Mercosur sourcing would therefore be required to convert market size into a genuine location advantage. Moreover, Brazil's regional diversity suggests that location attractiveness should be evaluated at metropolitan as well as national level, favouring initial concentration in high-density, higher-income urban markets rather than immediate nationwide expansion.</w:t>
      </w:r>
    </w:p>
    <w:p w14:paraId="0FCDFC32" w14:textId="77777777" w:rsidR="00CB0EFB" w:rsidRPr="00E66EA5" w:rsidRDefault="00BC2EBA" w:rsidP="00CB0EFB">
      <w:r w:rsidRPr="00E66EA5">
        <w:rPr>
          <w:b/>
          <w:bCs/>
        </w:rPr>
        <w:t xml:space="preserve">Internalisation Advantages - </w:t>
      </w:r>
      <w:r w:rsidR="00CB0EFB" w:rsidRPr="00E66EA5">
        <w:t>Internalisation advantages explain why a firm may obtain greater value by controlling strategically important activities internally rather than transferring them to independent organisations through licensing or contractual arrangements (Dunning, 1988; Buckley and Casson, 1976). This dimension is particularly relevant to Costco because its competitive proposition depends on the coordinated interaction of procurement, inventory turnover, membership management, pricing discipline, private-label quality and customer experience. External licensing or conventional franchising could create agency problems, inconsistent service standards and potential leakage of organisational knowledge.</w:t>
      </w:r>
    </w:p>
    <w:p w14:paraId="6C50B8D8" w14:textId="77777777" w:rsidR="00CB0EFB" w:rsidRPr="00E66EA5" w:rsidRDefault="00CB0EFB" w:rsidP="00CB0EFB">
      <w:r w:rsidRPr="00E66EA5">
        <w:t xml:space="preserve">Maintaining internal control would therefore enable Costco to protect its operating routines, coordinate supplier relationships and ensure that low margins, product quality and membership benefits are implemented consistently. Data governance also </w:t>
      </w:r>
      <w:r w:rsidRPr="00E66EA5">
        <w:lastRenderedPageBreak/>
        <w:t>strengthens this argument because membership registration and purchasing information form part of Costco's customer relationship infrastructure.</w:t>
      </w:r>
    </w:p>
    <w:p w14:paraId="2530BDB2" w14:textId="41266FCC" w:rsidR="00BC2EBA" w:rsidRPr="00E66EA5" w:rsidRDefault="00CB0EFB" w:rsidP="00CB0EFB">
      <w:r w:rsidRPr="00E66EA5">
        <w:t>However, internalisation should not be equated automatically with 100% ownership. A joint venture could provide local regulatory knowledge, supplier relationships and institutional legitimacy while allowing Costco to retain substantial control over core operating processes. Research on emerging economies demonstrates that institutional conditions can materially influence whether foreign investors favour joint ventures, acquisitions or greenfield investment (Meyer et al., 2009). Therefore, the OLI analysis provides a strong argument against low-control licensing or franchising, but it does not by itself establish that a wholly owned subsidiary is superior to a carefully structured joint venture. This distinction must be resolved through the comparative entry-mode analysis in Section 5.</w:t>
      </w:r>
    </w:p>
    <w:p w14:paraId="055383B5" w14:textId="77777777" w:rsidR="00CB0EFB" w:rsidRPr="00E66EA5" w:rsidRDefault="00BC2EBA" w:rsidP="00CB0EFB">
      <w:r w:rsidRPr="00E66EA5">
        <w:rPr>
          <w:b/>
          <w:bCs/>
        </w:rPr>
        <w:t xml:space="preserve">Critical Evaluation of the OLI Framework - </w:t>
      </w:r>
      <w:r w:rsidR="00CB0EFB" w:rsidRPr="00E66EA5">
        <w:t>The OLI Paradigm is valuable because it integrates three questions that must be considered simultaneously: whether Costco possesses transferable firm-specific advantages, whether Brazil provides sufficient location benefits and whether internal control creates greater value than external contracting. The analysis suggests strong but conditional ownership advantages, substantial but cost-sensitive location advantages and a persuasive case for internalising Costco's core operating system. On this basis, foreign direct investment in Brazil is strategically plausible, but the framework does not provide an automatic justification for immediate wholly owned entry.</w:t>
      </w:r>
    </w:p>
    <w:p w14:paraId="70321352" w14:textId="144B38A0" w:rsidR="00BC2EBA" w:rsidRPr="00E66EA5" w:rsidRDefault="00CB0EFB" w:rsidP="00CB0EFB">
      <w:r w:rsidRPr="00E66EA5">
        <w:t xml:space="preserve">A limitation of OLI is its breadth. Dunning (2000) himself subsequently argued for a more dynamic version of the paradigm capable of accommodating changing forms of multinational activity. In practice, OLI provides limited guidance concerning the timing and sequencing of entry, subnational location selection, institutional adaptation or the speed with which consumer acceptance develops. These limitations are important in an emerging economy because institutional conditions can influence both resource requirements and entry-mode performance (Meyer et al., 2009). Consequently, OLI should be combined with the preceding political, economic, legal and cultural analysis and the subsequent comparison of entry modes. Overall, the framework supports </w:t>
      </w:r>
      <w:r w:rsidRPr="00E66EA5">
        <w:lastRenderedPageBreak/>
        <w:t>Costco's strategic case for investing in Brazil, but the degree of ownership, pace of commitment and appropriate entry structure remain contingent decisions rather than predetermined outcomes.</w:t>
      </w:r>
    </w:p>
    <w:p w14:paraId="0B7EF566" w14:textId="4C1C2347" w:rsidR="00BC2EBA" w:rsidRPr="00E66EA5" w:rsidRDefault="00BC2EBA" w:rsidP="00BC2EBA">
      <w:pPr>
        <w:rPr>
          <w:b/>
          <w:bCs/>
        </w:rPr>
      </w:pPr>
    </w:p>
    <w:p w14:paraId="181EF78B" w14:textId="10AFF71C" w:rsidR="00BC2EBA" w:rsidRPr="00E66EA5" w:rsidRDefault="00BC2EBA" w:rsidP="00BC2EBA">
      <w:pPr>
        <w:pStyle w:val="Heading1"/>
      </w:pPr>
      <w:bookmarkStart w:id="21" w:name="_Toc237529722"/>
      <w:r w:rsidRPr="00E66EA5">
        <w:t>5. Entry Mode Strategy and Strategic Synthesis</w:t>
      </w:r>
      <w:bookmarkEnd w:id="21"/>
    </w:p>
    <w:p w14:paraId="3EB3C51A" w14:textId="3FD0FA91" w:rsidR="002637DD" w:rsidRPr="00E66EA5" w:rsidRDefault="00BC2EBA" w:rsidP="00BC2EBA">
      <w:pPr>
        <w:pStyle w:val="Heading2"/>
      </w:pPr>
      <w:bookmarkStart w:id="22" w:name="_Toc237529723"/>
      <w:r w:rsidRPr="00E66EA5">
        <w:t>5.1 Costco's Historical International Expansion</w:t>
      </w:r>
      <w:bookmarkEnd w:id="22"/>
    </w:p>
    <w:p w14:paraId="0595E526" w14:textId="553325A3" w:rsidR="00CB0EFB" w:rsidRPr="00E66EA5" w:rsidRDefault="00CB0EFB" w:rsidP="00CB0EFB">
      <w:r w:rsidRPr="00E66EA5">
        <w:t xml:space="preserve">Costco's internationalisation has been characterised by selective geographic expansion, substantial operational control and long-term commitment rather than reliance on a </w:t>
      </w:r>
      <w:r w:rsidR="001A7829" w:rsidRPr="00E66EA5">
        <w:t>single-entry</w:t>
      </w:r>
      <w:r w:rsidRPr="00E66EA5">
        <w:t xml:space="preserve"> mode. The company entered Canada in 1985 and subsequently expanded across Europe, Asia-Pacific and Latin America while largely retaining its core membership-based warehouse model (Costco Wholesale Corporation, 2025a). However, Costco's historical expansion should not be characterised simply as a preference for wholly owned subsidiaries.</w:t>
      </w:r>
    </w:p>
    <w:p w14:paraId="628491DC" w14:textId="77777777" w:rsidR="00CB0EFB" w:rsidRPr="00E66EA5" w:rsidRDefault="00CB0EFB" w:rsidP="00CB0EFB">
      <w:r w:rsidRPr="00E66EA5">
        <w:t>In Mexico, Costco operated through a 50:50 joint venture with Controladora Comercial Mexicana before purchasing its partner's remaining 50% interest in 2012 and obtaining full ownership (Costco Wholesale Corporation, 2012). Similarly, Costco Taiwan operated as a joint venture before Costco acquired the outstanding 45% minority interest in 2022 (Costco Wholesale Corporation, 2022). These cases demonstrate that Costco has been willing to share ownership where local partnership provides strategic value, while progressively increasing control once market knowledge and operational experience have been established.</w:t>
      </w:r>
    </w:p>
    <w:p w14:paraId="47E5D141" w14:textId="56E62F09" w:rsidR="00BC2EBA" w:rsidRPr="00E66EA5" w:rsidRDefault="00CB0EFB" w:rsidP="00BC2EBA">
      <w:r w:rsidRPr="00E66EA5">
        <w:t>This pattern is consistent with the logic of incremental internationalisation proposed by Johanson and Vahlne (1977), whereby commitment may increase as firms accumulate market knowledge and reduce uncertainty. Therefore, Costco's historical lesson for Brazil is not that wholly owned entry is automatically preferable, but that control, learning and commitment can be sequenced according to host-market conditions. Brazil's institutional complexity consequently makes both immediate full ownership and staged partnership-based entry legitimate alternatives requiring further comparison.</w:t>
      </w:r>
    </w:p>
    <w:p w14:paraId="5B1252B5" w14:textId="732DEC28" w:rsidR="002637DD" w:rsidRPr="00E66EA5" w:rsidRDefault="00BC2EBA" w:rsidP="00BC2EBA">
      <w:pPr>
        <w:pStyle w:val="Heading2"/>
      </w:pPr>
      <w:bookmarkStart w:id="23" w:name="_Toc237529724"/>
      <w:r w:rsidRPr="00E66EA5">
        <w:lastRenderedPageBreak/>
        <w:t>5.2 Evaluation of Alternative Entry Modes</w:t>
      </w:r>
      <w:bookmarkEnd w:id="23"/>
    </w:p>
    <w:p w14:paraId="4B30749F" w14:textId="77777777" w:rsidR="00CB0EFB" w:rsidRDefault="00CB0EFB" w:rsidP="00CB0EFB">
      <w:r w:rsidRPr="00E66EA5">
        <w:t>The suitability of Costco's alternative entry modes should be assessed against control, resource commitment, local market knowledge, speed of entry, institutional risk and long-term strategic fit. These criteria are particularly important in Brazil because Costco must preserve its distinctive membership and operating model while responding to the regulatory, economic and cultural complexities identified previously.</w:t>
      </w:r>
    </w:p>
    <w:p w14:paraId="477685D2" w14:textId="77777777" w:rsidR="00732B98" w:rsidRDefault="00732B98" w:rsidP="00732B98">
      <w:pPr>
        <w:keepNext/>
      </w:pPr>
      <w:r w:rsidRPr="00732B98">
        <w:rPr>
          <w:noProof/>
        </w:rPr>
        <w:drawing>
          <wp:inline distT="0" distB="0" distL="0" distR="0" wp14:anchorId="3AFC538E" wp14:editId="7A33A35B">
            <wp:extent cx="5943600" cy="2167890"/>
            <wp:effectExtent l="190500" t="190500" r="190500" b="194310"/>
            <wp:docPr id="1411110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10715" name=""/>
                    <pic:cNvPicPr/>
                  </pic:nvPicPr>
                  <pic:blipFill>
                    <a:blip r:embed="rId11"/>
                    <a:stretch>
                      <a:fillRect/>
                    </a:stretch>
                  </pic:blipFill>
                  <pic:spPr>
                    <a:xfrm>
                      <a:off x="0" y="0"/>
                      <a:ext cx="5943600" cy="2167890"/>
                    </a:xfrm>
                    <a:prstGeom prst="rect">
                      <a:avLst/>
                    </a:prstGeom>
                    <a:ln>
                      <a:noFill/>
                    </a:ln>
                    <a:effectLst>
                      <a:outerShdw blurRad="190500" algn="tl" rotWithShape="0">
                        <a:srgbClr val="000000">
                          <a:alpha val="70000"/>
                        </a:srgbClr>
                      </a:outerShdw>
                    </a:effectLst>
                  </pic:spPr>
                </pic:pic>
              </a:graphicData>
            </a:graphic>
          </wp:inline>
        </w:drawing>
      </w:r>
    </w:p>
    <w:p w14:paraId="43316525" w14:textId="4032BBD9" w:rsidR="00732B98" w:rsidRPr="00E66EA5" w:rsidRDefault="00732B98" w:rsidP="00732B98">
      <w:pPr>
        <w:pStyle w:val="Caption"/>
        <w:jc w:val="center"/>
      </w:pPr>
      <w:bookmarkStart w:id="24" w:name="_Toc237529686"/>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r w:rsidRPr="00732B98">
        <w:t>Comparative Evaluation of Entry Modes for Costco's Brazilian Expansion</w:t>
      </w:r>
      <w:r w:rsidRPr="00732B98">
        <w:br/>
        <w:t xml:space="preserve">Source: </w:t>
      </w:r>
      <w:r>
        <w:t>Own</w:t>
      </w:r>
      <w:r w:rsidRPr="00732B98">
        <w:t xml:space="preserve"> developed from Dunning (1988), Meyer et al. (2009) and Costco Wholesale Corporation (2012; 2022).</w:t>
      </w:r>
      <w:bookmarkEnd w:id="24"/>
    </w:p>
    <w:p w14:paraId="1CF6D8F2" w14:textId="77777777" w:rsidR="00CB0EFB" w:rsidRPr="00E66EA5" w:rsidRDefault="00CB0EFB" w:rsidP="00CB0EFB">
      <w:r w:rsidRPr="00E66EA5">
        <w:t>A joint venture (JV) with an established Brazilian partner could provide Costco with local regulatory knowledge, supplier relationships, property-development expertise and greater understanding of consumer behaviour while sharing initial investment risk. Meyer et al. (2009) demonstrate that institutional conditions in emerging economies can materially affect entry-mode choice and increase the strategic value of local partners. This option is also consistent with Costco's historical experience: Mexico and Taiwan operated through joint ventures before Costco subsequently increased its ownership. However, shared control creates potential conflicts over pricing, sourcing, investment priorities and operating standards. Such disagreements could weaken the consistency required by Costco's low-margin membership model.</w:t>
      </w:r>
    </w:p>
    <w:p w14:paraId="44ED85F1" w14:textId="77777777" w:rsidR="00CB0EFB" w:rsidRPr="00E66EA5" w:rsidRDefault="00CB0EFB" w:rsidP="00CB0EFB">
      <w:r w:rsidRPr="00E66EA5">
        <w:t xml:space="preserve">A wholly owned greenfield subsidiary would provide maximum strategic and operational control. Costco could design warehouses specifically around its operating requirements, </w:t>
      </w:r>
      <w:r w:rsidRPr="00E66EA5">
        <w:lastRenderedPageBreak/>
        <w:t>control procurement and membership systems, protect organisational knowledge and establish its corporate culture without integrating an existing retailer. This strongly complements the internalisation advantages identified through the OLI analysis. However, greenfield entry involves the highest initial resource commitment, slower establishment and greater exposure to Brazil's regulatory, property-development, currency and financing risks. Costco would also need to develop local institutional knowledge and supplier networks independently.</w:t>
      </w:r>
    </w:p>
    <w:p w14:paraId="67385A12" w14:textId="77777777" w:rsidR="00CB0EFB" w:rsidRPr="00E66EA5" w:rsidRDefault="00CB0EFB" w:rsidP="00CB0EFB">
      <w:r w:rsidRPr="00E66EA5">
        <w:t>An acquisition could accelerate entry by providing existing sites, employees, distribution infrastructure and supplier relationships. Nevertheless, its strategic fit is weaker because conventional Brazilian retailers may possess store formats, systems and organisational cultures that differ substantially from Costco's warehouse-club model. Post-acquisition restructuring could therefore erode the speed advantage while creating integration costs and regulatory scrutiny. Meyer et al. (2009) similarly emphasise that the relative suitability of acquisitions depends on both institutional conditions and the resources embedded within potential targets.</w:t>
      </w:r>
    </w:p>
    <w:p w14:paraId="77E4577A" w14:textId="77777777" w:rsidR="00CB0EFB" w:rsidRPr="00E66EA5" w:rsidRDefault="00CB0EFB" w:rsidP="00CB0EFB">
      <w:r w:rsidRPr="00E66EA5">
        <w:t>A strategic alliance would involve lower capital exposure and could support specific activities such as logistics, property development or regional sourcing. However, it would offer insufficient control to serve as Costco's principal entry mechanism because core activities such as membership management, pricing and merchandising require close organisational coordination. Alliances may therefore be more appropriate as supporting arrangements alongside direct investment.</w:t>
      </w:r>
    </w:p>
    <w:p w14:paraId="69515969" w14:textId="750A0E0A" w:rsidR="00BC2EBA" w:rsidRPr="00E66EA5" w:rsidRDefault="00CB0EFB" w:rsidP="00BC2EBA">
      <w:r w:rsidRPr="00E66EA5">
        <w:t>Overall, joint venture and wholly owned greenfield entry emerge as the strongest alternatives. A JV provides superior local knowledge and risk sharing, whereas wholly owned entry provides stronger control and protection of Costco's operating model. The preferred option therefore depends on whether the benefits of local partnership outweigh the strategic costs of shared control, which is evaluated in the following recommendation.</w:t>
      </w:r>
    </w:p>
    <w:p w14:paraId="1FF29438" w14:textId="4B4DCC01" w:rsidR="002637DD" w:rsidRPr="00E66EA5" w:rsidRDefault="00BC2EBA" w:rsidP="00BE6536">
      <w:pPr>
        <w:pStyle w:val="Heading2"/>
      </w:pPr>
      <w:bookmarkStart w:id="25" w:name="_Toc237529725"/>
      <w:r w:rsidRPr="00E66EA5">
        <w:t>5.3 Recommended Entry Strategy</w:t>
      </w:r>
      <w:bookmarkEnd w:id="25"/>
    </w:p>
    <w:p w14:paraId="0E703C65" w14:textId="77777777" w:rsidR="00CB0EFB" w:rsidRPr="00E66EA5" w:rsidRDefault="00CB0EFB" w:rsidP="00CB0EFB">
      <w:r w:rsidRPr="00E66EA5">
        <w:t xml:space="preserve">Based on the preceding analysis, a Costco-controlled joint venture with a staged pathway towards full ownership represents the most appropriate initial entry strategy for Brazil. </w:t>
      </w:r>
      <w:r w:rsidRPr="00E66EA5">
        <w:lastRenderedPageBreak/>
        <w:t>This approach provides a stronger balance between control and local responsiveness than either immediate wholly owned greenfield investment or a conventional equal-control partnership. A Brazilian partner could contribute regulatory knowledge, property-development expertise, supplier relationships and local market understanding, thereby reducing the institutional and operational uncertainty identified in the macro-environmental analysis.</w:t>
      </w:r>
    </w:p>
    <w:p w14:paraId="02C9B26E" w14:textId="77777777" w:rsidR="00CB0EFB" w:rsidRPr="00E66EA5" w:rsidRDefault="00CB0EFB" w:rsidP="00CB0EFB">
      <w:r w:rsidRPr="00E66EA5">
        <w:t>Importantly, shared ownership does not require Costco to surrender control over its core competitive capabilities. Costco's historical experience in Mexico demonstrates that a 50:50 joint venture could still be operated by Costco before the company subsequently acquired its partner's remaining interest (Costco Wholesale Corporation, 2012). Taiwan similarly progressed from joint ownership to full Costco ownership in 2022 (Costco Wholesale Corporation, 2022). These precedents suggest that staged ownership can support market learning while preserving the option to increase commitment as uncertainty declines.</w:t>
      </w:r>
    </w:p>
    <w:p w14:paraId="0ECEE13C" w14:textId="77777777" w:rsidR="00CB0EFB" w:rsidRPr="00E66EA5" w:rsidRDefault="00CB0EFB" w:rsidP="00CB0EFB">
      <w:r w:rsidRPr="00E66EA5">
        <w:t>Under the proposed structure, Costco should retain managerial authority over its membership system, brand, pricing philosophy, merchandising standards, customer data and core operating processes, while the local partner primarily supports regulatory navigation, property development, logistics and supplier localisation. This arrangement is consistent with the OLI analysis because Costco would continue to internalise its strategically important capabilities while benefiting from complementary local resources.</w:t>
      </w:r>
    </w:p>
    <w:p w14:paraId="163A66A6" w14:textId="4BEC49A3" w:rsidR="00BC2EBA" w:rsidRPr="00E66EA5" w:rsidRDefault="00CB0EFB" w:rsidP="004D482C">
      <w:r w:rsidRPr="00E66EA5">
        <w:t>The principal disadvantage is the potential for conflict between partners over sourcing, investment priorities and expansion speed. This risk should therefore be controlled through clearly defined governance rights, performance measures and a contractual mechanism allowing Costco to increase its ownership once the Brazilian model has demonstrated commercial viability. Overall, a staged, Costco-controlled joint venture offers the strongest balance of control, learning, risk sharing and long-term strategic flexibility.</w:t>
      </w:r>
    </w:p>
    <w:p w14:paraId="2EA644EF" w14:textId="4A11B897" w:rsidR="00BC2EBA" w:rsidRPr="00E66EA5" w:rsidRDefault="00BC2EBA" w:rsidP="00BE6536">
      <w:pPr>
        <w:pStyle w:val="Heading2"/>
      </w:pPr>
      <w:bookmarkStart w:id="26" w:name="_Toc237529726"/>
      <w:r w:rsidRPr="00E66EA5">
        <w:lastRenderedPageBreak/>
        <w:t>5.4 Risks and Mitigation Strategies</w:t>
      </w:r>
      <w:bookmarkEnd w:id="26"/>
    </w:p>
    <w:p w14:paraId="2273890D" w14:textId="77777777" w:rsidR="002201C5" w:rsidRPr="00E66EA5" w:rsidRDefault="002201C5" w:rsidP="002201C5">
      <w:r w:rsidRPr="00E66EA5">
        <w:t>Costco's Brazilian entry would involve interrelated political, financial, operational and cultural risks. Regulatory change and the transition to Brazil's reformed tax system could increase compliance costs; therefore, the proposed joint venture should incorporate strong local legal expertise and continuous regulatory monitoring. Financially, inflation, high interest rates and Real depreciation could increase warehouse investment and imported inventory costs. These exposures should be mitigated through phased capital commitment, currency hedging and increased Brazilian and Mercosur sourcing.</w:t>
      </w:r>
    </w:p>
    <w:p w14:paraId="7FBB05A6" w14:textId="0CAD810D" w:rsidR="00BC2EBA" w:rsidRPr="00E66EA5" w:rsidRDefault="002201C5" w:rsidP="00BC2EBA">
      <w:r w:rsidRPr="00E66EA5">
        <w:t>Operationally, infrastructure constraints and supplier-network development may disrupt Costco's low-cost distribution model. Initial expansion should therefore be geographically concentrated and supported by locally established logistics and supplier relationships. Cultural risk arises principally from uncertainty surrounding consumer acceptance of the paid-membership warehouse concept. Pilot warehouses, introductory membership offers and market-specific communication should be used to test willingness to join before wider expansion. These measures would reduce exposure while preserving Costco's option to increase ownership as market knowledge and commercial viability improve.</w:t>
      </w:r>
    </w:p>
    <w:p w14:paraId="69147B17" w14:textId="77777777" w:rsidR="002201C5" w:rsidRPr="00E66EA5" w:rsidRDefault="002201C5" w:rsidP="00BC2EBA"/>
    <w:p w14:paraId="64044C08" w14:textId="7AD0209E" w:rsidR="00BC2EBA" w:rsidRPr="00E66EA5" w:rsidRDefault="00BC2EBA" w:rsidP="00BC2EBA">
      <w:pPr>
        <w:pStyle w:val="Heading1"/>
      </w:pPr>
      <w:bookmarkStart w:id="27" w:name="_Toc237529727"/>
      <w:r w:rsidRPr="00E66EA5">
        <w:t>6. Conclusion</w:t>
      </w:r>
      <w:bookmarkEnd w:id="27"/>
    </w:p>
    <w:p w14:paraId="5EA43CED" w14:textId="4515264E" w:rsidR="002201C5" w:rsidRPr="00E66EA5" w:rsidRDefault="002201C5" w:rsidP="002201C5">
      <w:r w:rsidRPr="00E66EA5">
        <w:t xml:space="preserve">This report evaluated the strategic feasibility of Costco Wholesale Corporation's entry into Brazil by integrating international strategy, macro-environmental analysis, Dunning's Eclectic (OLI) Paradigm and entry-mode evaluation. Bartlett and Ghoshal's framework </w:t>
      </w:r>
      <w:r w:rsidR="001A7829" w:rsidRPr="00E66EA5">
        <w:t>indicate</w:t>
      </w:r>
      <w:r w:rsidRPr="00E66EA5">
        <w:t xml:space="preserve"> that Costco operates through a predominantly global strategy with selective transnational adaptation, enabling it to preserve the core economics of its membership-based warehouse model while responding to market-specific requirements. However, the Brazilian analysis demonstrates that these advantages cannot simply be transferred without adaptation.</w:t>
      </w:r>
    </w:p>
    <w:p w14:paraId="5DC229EF" w14:textId="77777777" w:rsidR="002201C5" w:rsidRPr="00E66EA5" w:rsidRDefault="002201C5" w:rsidP="002201C5">
      <w:r w:rsidRPr="00E66EA5">
        <w:t xml:space="preserve">Brazil represents a strategically attractive but execution-intensive market. Its large consumer base, significant household consumption and long-term retail potential </w:t>
      </w:r>
      <w:r w:rsidRPr="00E66EA5">
        <w:lastRenderedPageBreak/>
        <w:t>strengthen the commercial case for entry, while regulatory complexity, tax transition, high financing costs, exchange-rate exposure and cultural unfamiliarity with the warehouse-club model increase implementation risk. The OLI analysis further indicates that Costco possesses strong but conditional ownership advantages, while Brazil offers substantial market-seeking location advantages. Internalisation remains important for protecting Costco's membership system, pricing philosophy, procurement capabilities and operating standards, but this does not necessarily require immediate 100% ownership.</w:t>
      </w:r>
    </w:p>
    <w:p w14:paraId="7CCFADDB" w14:textId="77777777" w:rsidR="002201C5" w:rsidRPr="00E66EA5" w:rsidRDefault="002201C5" w:rsidP="002201C5">
      <w:r w:rsidRPr="00E66EA5">
        <w:t>Accordingly, the recommended strategy is a Costco-controlled joint venture with a staged pathway towards full ownership. This approach would allow Costco to retain managerial control over its core competitive capabilities while benefiting from a Brazilian partner's regulatory knowledge, property-development expertise, supplier relationships and local market understanding. Initial expansion should be geographically concentrated, supported by increased Brazilian and Mercosur sourcing, and accompanied by pilot testing of consumer willingness to adopt the paid-membership model. If commercial performance and institutional learning reduce uncertainty, Costco could subsequently increase its ownership commitment.</w:t>
      </w:r>
    </w:p>
    <w:p w14:paraId="726D75F0" w14:textId="5870EDE0" w:rsidR="00225209" w:rsidRPr="00E66EA5" w:rsidRDefault="002201C5" w:rsidP="00225209">
      <w:r w:rsidRPr="00E66EA5">
        <w:t>Overall, Brazil provides a viable long-term growth opportunity for Costco, but success will depend less on market size alone than on the company's ability to combine global operational discipline with local learning, phased investment and selective adaptation.</w:t>
      </w:r>
    </w:p>
    <w:p w14:paraId="000AE0A1" w14:textId="77777777" w:rsidR="00225209" w:rsidRPr="00E66EA5" w:rsidRDefault="00225209">
      <w:pPr>
        <w:spacing w:line="278" w:lineRule="auto"/>
        <w:jc w:val="left"/>
      </w:pPr>
    </w:p>
    <w:p w14:paraId="3430EB99" w14:textId="77777777" w:rsidR="00225209" w:rsidRPr="00E66EA5" w:rsidRDefault="00225209" w:rsidP="00225209">
      <w:pPr>
        <w:pStyle w:val="Heading1"/>
      </w:pPr>
      <w:bookmarkStart w:id="28" w:name="_Toc237529728"/>
      <w:r w:rsidRPr="00E66EA5">
        <w:t>7. Reflective Account Using Gibbs' Reflective Cycle</w:t>
      </w:r>
      <w:bookmarkEnd w:id="28"/>
    </w:p>
    <w:p w14:paraId="175519BB" w14:textId="39B8852A" w:rsidR="002201C5" w:rsidRDefault="002201C5" w:rsidP="002201C5">
      <w:r w:rsidRPr="00E66EA5">
        <w:t>Gibbs' (1988) Reflective Cycle was used to evaluate the research, analytical and learning process followed while examining Costco Wholesale Corporation's potential expansion into Brazil.</w:t>
      </w:r>
    </w:p>
    <w:p w14:paraId="02537D45" w14:textId="77777777" w:rsidR="00732B98" w:rsidRDefault="00E66EA5" w:rsidP="00732B98">
      <w:pPr>
        <w:keepNext/>
      </w:pPr>
      <w:r>
        <w:rPr>
          <w:noProof/>
        </w:rPr>
        <w:lastRenderedPageBreak/>
        <w:drawing>
          <wp:inline distT="0" distB="0" distL="0" distR="0" wp14:anchorId="72C0A263" wp14:editId="32A6CE5A">
            <wp:extent cx="5943600" cy="3343910"/>
            <wp:effectExtent l="190500" t="190500" r="190500" b="199390"/>
            <wp:docPr id="1547754335" name="Picture 2"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910"/>
                    </a:xfrm>
                    <a:prstGeom prst="rect">
                      <a:avLst/>
                    </a:prstGeom>
                    <a:ln>
                      <a:noFill/>
                    </a:ln>
                    <a:effectLst>
                      <a:outerShdw blurRad="190500" algn="tl" rotWithShape="0">
                        <a:srgbClr val="000000">
                          <a:alpha val="70000"/>
                        </a:srgbClr>
                      </a:outerShdw>
                    </a:effectLst>
                  </pic:spPr>
                </pic:pic>
              </a:graphicData>
            </a:graphic>
          </wp:inline>
        </w:drawing>
      </w:r>
    </w:p>
    <w:p w14:paraId="704311C5" w14:textId="663C9A04" w:rsidR="00E66EA5" w:rsidRPr="00E66EA5" w:rsidRDefault="00732B98" w:rsidP="00732B98">
      <w:pPr>
        <w:pStyle w:val="Caption"/>
        <w:jc w:val="center"/>
      </w:pPr>
      <w:bookmarkStart w:id="29" w:name="_Toc237529687"/>
      <w:r>
        <w:t xml:space="preserve">Figure </w:t>
      </w:r>
      <w:r>
        <w:fldChar w:fldCharType="begin"/>
      </w:r>
      <w:r>
        <w:instrText xml:space="preserve"> SEQ Figure \* ARABIC </w:instrText>
      </w:r>
      <w:r>
        <w:fldChar w:fldCharType="separate"/>
      </w:r>
      <w:r>
        <w:rPr>
          <w:noProof/>
        </w:rPr>
        <w:t>4</w:t>
      </w:r>
      <w:r>
        <w:fldChar w:fldCharType="end"/>
      </w:r>
      <w:r>
        <w:t xml:space="preserve"> </w:t>
      </w:r>
      <w:r w:rsidRPr="00E66EA5">
        <w:t>Gibbs' (1988)</w:t>
      </w:r>
      <w:bookmarkEnd w:id="29"/>
    </w:p>
    <w:p w14:paraId="4F2127F8" w14:textId="77777777" w:rsidR="002201C5" w:rsidRPr="00E66EA5" w:rsidRDefault="00225209" w:rsidP="002201C5">
      <w:r w:rsidRPr="00E66EA5">
        <w:rPr>
          <w:b/>
          <w:bCs/>
        </w:rPr>
        <w:t>Description</w:t>
      </w:r>
      <w:r w:rsidRPr="00E66EA5">
        <w:t xml:space="preserve"> - </w:t>
      </w:r>
      <w:r w:rsidR="002201C5" w:rsidRPr="00E66EA5">
        <w:t>The research process began with an examination of international business theories relating to multinational strategy, foreign direct investment and foreign-market entry. Bartlett and Ghoshal's international strategy framework and Dunning's Eclectic (OLI) Paradigm were selected as the principal analytical frameworks because they provided complementary perspectives on global strategy, host-market attractiveness and international investment decisions.</w:t>
      </w:r>
    </w:p>
    <w:p w14:paraId="4540CE47" w14:textId="4482C22D" w:rsidR="00225209" w:rsidRPr="00E66EA5" w:rsidRDefault="002201C5" w:rsidP="00225209">
      <w:r w:rsidRPr="00E66EA5">
        <w:t xml:space="preserve">Academic literature was combined with Costco's corporate publications and information from authoritative organisations including the World Bank, IMF, OECD, IBGE and Brazilian government agencies. </w:t>
      </w:r>
      <w:proofErr w:type="gramStart"/>
      <w:r w:rsidRPr="00E66EA5">
        <w:t>Particular attention</w:t>
      </w:r>
      <w:proofErr w:type="gramEnd"/>
      <w:r w:rsidRPr="00E66EA5">
        <w:t xml:space="preserve"> was given to political and regulatory conditions, economic performance, taxation, cultural differences, sourcing requirements and Costco's previous international expansion. Research into Costco's operations in Mexico and Taiwan became especially significant because it provided practical evidence concerning the company's historical use of joint ventures and progressive increases in ownership.</w:t>
      </w:r>
    </w:p>
    <w:p w14:paraId="7265B846" w14:textId="77777777" w:rsidR="002201C5" w:rsidRPr="00E66EA5" w:rsidRDefault="00225209" w:rsidP="002201C5">
      <w:r w:rsidRPr="00E66EA5">
        <w:rPr>
          <w:b/>
          <w:bCs/>
        </w:rPr>
        <w:lastRenderedPageBreak/>
        <w:t xml:space="preserve">Feelings - </w:t>
      </w:r>
      <w:r w:rsidR="002201C5" w:rsidRPr="00E66EA5">
        <w:t>At the beginning of the research process, Costco's substantial financial resources, established international presence and successful membership model created an initial expectation that expansion into Brazil would be relatively straightforward. Brazil's large population and consumer market also appeared to provide a strong commercial justification for entry. Consequently, an early view was that a wholly owned subsidiary would probably provide the strongest strategic fit because Costco places considerable importance on operational control.</w:t>
      </w:r>
    </w:p>
    <w:p w14:paraId="1AA7921B" w14:textId="145D5DE4" w:rsidR="00225209" w:rsidRPr="00E66EA5" w:rsidRDefault="002201C5" w:rsidP="00225209">
      <w:r w:rsidRPr="00E66EA5">
        <w:t>As the research progressed, this judgement became less certain. Brazil's market potential remained significant, but regulatory complexity, tax transition, high interest rates, exchange-rate exposure and cultural differences demonstrated that market size alone could not determine attractiveness. Further uncertainty emerged when Costco's historical expansion was examined more closely. Evidence from Mexico and Taiwan demonstrated that joint ventures had previously formed part of Costco's internationalisation process before ownership was later increased. This challenged the original assumption that full ownership should automatically be preferred.</w:t>
      </w:r>
    </w:p>
    <w:p w14:paraId="42A9731D" w14:textId="77777777" w:rsidR="002201C5" w:rsidRPr="00E66EA5" w:rsidRDefault="00225209" w:rsidP="002201C5">
      <w:r w:rsidRPr="00E66EA5">
        <w:rPr>
          <w:b/>
          <w:bCs/>
        </w:rPr>
        <w:t xml:space="preserve">Evaluation - </w:t>
      </w:r>
      <w:r w:rsidR="002201C5" w:rsidRPr="00E66EA5">
        <w:t>Several aspects of the research process proved effective. The use of primary company disclosures and information from governmental and international institutions improved the reliability and currency of the evidence. Academic research was particularly valuable when interpreting this information and evaluating the strategic implications rather than relying solely on descriptive country data.</w:t>
      </w:r>
    </w:p>
    <w:p w14:paraId="79B1E60A" w14:textId="77777777" w:rsidR="002201C5" w:rsidRPr="00E66EA5" w:rsidRDefault="002201C5" w:rsidP="002201C5">
      <w:r w:rsidRPr="00E66EA5">
        <w:t>The combination of theoretical frameworks was also beneficial. Bartlett and Ghoshal's framework helped clarify the tension between Costco's standardised global operating model and the requirement for responsiveness to Brazilian conditions. The OLI Paradigm then provided a structured basis for assessing whether Costco's capabilities, Brazil's location characteristics and the benefits of internal control collectively supported foreign investment.</w:t>
      </w:r>
    </w:p>
    <w:p w14:paraId="3585B43A" w14:textId="2C2BA046" w:rsidR="00225209" w:rsidRPr="00E66EA5" w:rsidRDefault="002201C5" w:rsidP="002201C5">
      <w:r w:rsidRPr="00E66EA5">
        <w:t xml:space="preserve">However, weaknesses also became apparent. Some early research relied too heavily on broad country-level information and general textbooks, creating a risk of descriptive rather than critical analysis. In addition, some economic information initially identified consisted </w:t>
      </w:r>
      <w:r w:rsidRPr="00E66EA5">
        <w:lastRenderedPageBreak/>
        <w:t>of forecasts that had subsequently been replaced by actual economic results. Greater attention therefore had to be given to publication dates, source credibility and the distinction between projected and confirmed information.</w:t>
      </w:r>
    </w:p>
    <w:p w14:paraId="1845156C" w14:textId="77777777" w:rsidR="002201C5" w:rsidRPr="00E66EA5" w:rsidRDefault="00225209" w:rsidP="002201C5">
      <w:r w:rsidRPr="00E66EA5">
        <w:rPr>
          <w:b/>
          <w:bCs/>
        </w:rPr>
        <w:t xml:space="preserve">Analysis - </w:t>
      </w:r>
      <w:r w:rsidR="002201C5" w:rsidRPr="00E66EA5">
        <w:t>The most significant learning arose from recognising that international market-entry decisions cannot be explained effectively through a single theoretical perspective. Bartlett and Ghoshal's model initially suggested that Costco could be classified predominantly as a global organisation because its membership model, warehouse format, pricing philosophy and operating processes are highly standardised. Closer analysis, however, demonstrated that local sourcing, product selection, workforce management and customer communication require varying degrees of adaptation. Costco was therefore more appropriately interpreted as following a predominantly global strategy with selective transnational characteristics.</w:t>
      </w:r>
    </w:p>
    <w:p w14:paraId="2D5391B9" w14:textId="77777777" w:rsidR="002201C5" w:rsidRPr="00E66EA5" w:rsidRDefault="002201C5" w:rsidP="002201C5">
      <w:r w:rsidRPr="00E66EA5">
        <w:t>The OLI analysis also changed the interpretation of Costco's competitive strengths. Its membership model, global purchasing power, operational efficiency and brand constitute important ownership advantages. However, these capabilities are not equally valuable in every market. The membership model, for example, can generate substantial recurring income, but its effectiveness in Brazil depends on whether consumers perceive sufficient value to justify paying an annual membership fee. This demonstrated that a firm-specific capability should be evaluated according to its transferability rather than automatically classified as an advantage.</w:t>
      </w:r>
    </w:p>
    <w:p w14:paraId="7A0A369A" w14:textId="77777777" w:rsidR="002201C5" w:rsidRPr="00E66EA5" w:rsidRDefault="002201C5" w:rsidP="002201C5">
      <w:r w:rsidRPr="00E66EA5">
        <w:t>The internalisation dimension produced the most important change in strategic judgement. Initially, internalisation was interpreted as supporting full ownership because Costco benefits from controlling procurement, pricing, customer experience and membership management. Further examination demonstrated that internalisation does not necessarily require complete equity ownership. A joint venture can still allow important activities to remain controlled by Costco while providing access to complementary local capabilities.</w:t>
      </w:r>
    </w:p>
    <w:p w14:paraId="758B9752" w14:textId="6A2633DB" w:rsidR="00225209" w:rsidRPr="00E66EA5" w:rsidRDefault="002201C5" w:rsidP="002201C5">
      <w:r w:rsidRPr="00E66EA5">
        <w:t xml:space="preserve">Costco's historical experience reinforced this conclusion. Its operations in Mexico and Taiwan showed that joint ownership could support initial market development before </w:t>
      </w:r>
      <w:r w:rsidRPr="00E66EA5">
        <w:lastRenderedPageBreak/>
        <w:t>Costco subsequently increased its ownership commitment. This evidence changed the preferred approach from immediate wholly owned entry towards a Costco-controlled joint venture with a staged pathway to greater ownership. The process demonstrated the importance of allowing evidence to challenge initial assumptions rather than selecting information merely to support an existing judgement.</w:t>
      </w:r>
    </w:p>
    <w:p w14:paraId="1DD9AAD8" w14:textId="77777777" w:rsidR="002201C5" w:rsidRPr="00E66EA5" w:rsidRDefault="00225209" w:rsidP="002201C5">
      <w:r w:rsidRPr="00E66EA5">
        <w:rPr>
          <w:b/>
          <w:bCs/>
        </w:rPr>
        <w:t xml:space="preserve">Conclusion - </w:t>
      </w:r>
      <w:r w:rsidR="002201C5" w:rsidRPr="00E66EA5">
        <w:t>The research process developed a stronger understanding of the interaction between organisational capabilities and host-country conditions in international expansion. One of the most important lessons was that a large consumer market does not automatically represent an attractive investment opportunity. Institutional complexity, operating costs, cultural differences and the transferability of competitive advantages must also be considered.</w:t>
      </w:r>
    </w:p>
    <w:p w14:paraId="7D4255E5" w14:textId="47CD1147" w:rsidR="00225209" w:rsidRPr="00E66EA5" w:rsidRDefault="002201C5" w:rsidP="00225209">
      <w:r w:rsidRPr="00E66EA5">
        <w:t>The process also demonstrated the importance of challenging initial strategic assumptions. The early preference for wholly owned entry became less convincing after Costco's historical expansion and Brazil's institutional environment were examined in greater depth. As a result, greater appreciation was developed for the role of competing evidence, theoretical limitations and strategic trade-offs in international business decision-making.</w:t>
      </w:r>
    </w:p>
    <w:p w14:paraId="10BC15B8" w14:textId="77777777" w:rsidR="002201C5" w:rsidRPr="00E66EA5" w:rsidRDefault="00225209" w:rsidP="002201C5">
      <w:r w:rsidRPr="00E66EA5">
        <w:rPr>
          <w:b/>
          <w:bCs/>
        </w:rPr>
        <w:t xml:space="preserve">Action Plan - </w:t>
      </w:r>
      <w:r w:rsidR="002201C5" w:rsidRPr="00E66EA5">
        <w:t>Future international business research will begin with a clearer hierarchy of evidence. Primary company disclosures, government statistics and publications from recognised international institutions will be prioritised for factual and contemporary claims, while peer-reviewed academic literature will be used to interpret, challenge and contextualise those findings.</w:t>
      </w:r>
    </w:p>
    <w:p w14:paraId="1A99F316" w14:textId="77777777" w:rsidR="002201C5" w:rsidRPr="00E66EA5" w:rsidRDefault="002201C5" w:rsidP="002201C5">
      <w:r w:rsidRPr="00E66EA5">
        <w:t>Greater emphasis will also be placed on comparing alternative explanations before forming strategic conclusions. Rather than using theoretical frameworks mainly to support an initial judgement, future analysis will consider circumstances in which the preferred strategy may be inappropriate or unsuccessful. Quantitative evidence will also be integrated more consistently with qualitative analysis to improve the strength of strategic recommendations.</w:t>
      </w:r>
    </w:p>
    <w:p w14:paraId="1F0F5229" w14:textId="77777777" w:rsidR="002201C5" w:rsidRPr="00E66EA5" w:rsidRDefault="002201C5" w:rsidP="002201C5">
      <w:r w:rsidRPr="00E66EA5">
        <w:lastRenderedPageBreak/>
        <w:t>Finally, greater attention will be given to relationships between theoretical frameworks. Models such as OLI, Bartlett and Ghoshal and incremental internationalisation theory will be applied as complementary perspectives rather than isolated explanations. This approach should support more balanced, critical and evidence-based evaluation of complex international business decisions.</w:t>
      </w:r>
    </w:p>
    <w:p w14:paraId="056162CF" w14:textId="29CFA718" w:rsidR="00BC2EBA" w:rsidRPr="00E66EA5" w:rsidRDefault="00BC2EBA" w:rsidP="002637DD">
      <w:pPr>
        <w:rPr>
          <w:b/>
          <w:bCs/>
        </w:rPr>
      </w:pPr>
      <w:r w:rsidRPr="00E66EA5">
        <w:br w:type="page"/>
      </w:r>
    </w:p>
    <w:p w14:paraId="1F43152F" w14:textId="0212A088" w:rsidR="00EF6E16" w:rsidRPr="00E66EA5" w:rsidRDefault="00EF6E16" w:rsidP="004D482C">
      <w:pPr>
        <w:pStyle w:val="Heading1"/>
      </w:pPr>
      <w:bookmarkStart w:id="30" w:name="_Toc237529729"/>
      <w:r w:rsidRPr="00E66EA5">
        <w:lastRenderedPageBreak/>
        <w:t>References</w:t>
      </w:r>
      <w:bookmarkEnd w:id="30"/>
    </w:p>
    <w:p w14:paraId="0C747857" w14:textId="77777777" w:rsidR="004576E0" w:rsidRPr="00E66EA5" w:rsidRDefault="004576E0" w:rsidP="004576E0">
      <w:r w:rsidRPr="00E66EA5">
        <w:t xml:space="preserve">Administrative Council for Economic Defence (CADE) (2011) </w:t>
      </w:r>
      <w:r w:rsidRPr="00E66EA5">
        <w:rPr>
          <w:i/>
          <w:iCs/>
        </w:rPr>
        <w:t>Law No. 12,529 of 30 November 2011: Brazilian competition law</w:t>
      </w:r>
      <w:r w:rsidRPr="00E66EA5">
        <w:t xml:space="preserve">. Available at: </w:t>
      </w:r>
      <w:hyperlink r:id="rId13" w:history="1">
        <w:r w:rsidRPr="00E66EA5">
          <w:rPr>
            <w:rStyle w:val="Hyperlink"/>
          </w:rPr>
          <w:t>https://cdn.cade.gov.br/portal-ingles/topics/leniency%20program/Applicable%20Laws/law-no-12529-2011-english-version-from-18-05-2012.pdf</w:t>
        </w:r>
      </w:hyperlink>
      <w:r w:rsidRPr="00E66EA5">
        <w:t xml:space="preserve"> (Accessed: 29 July 2026).</w:t>
      </w:r>
    </w:p>
    <w:p w14:paraId="6B395B86" w14:textId="77777777" w:rsidR="004576E0" w:rsidRPr="00E66EA5" w:rsidRDefault="004576E0" w:rsidP="004576E0">
      <w:r w:rsidRPr="00E66EA5">
        <w:t xml:space="preserve">Agência Nacional de Proteção de Dados (ANPD) (2025) </w:t>
      </w:r>
      <w:r w:rsidRPr="00E66EA5">
        <w:rPr>
          <w:i/>
          <w:iCs/>
        </w:rPr>
        <w:t>Brazilian General Data Protection Law: Law No. 13,709</w:t>
      </w:r>
      <w:r w:rsidRPr="00E66EA5">
        <w:t xml:space="preserve">. Brasília: ANPD. Available at: </w:t>
      </w:r>
      <w:hyperlink r:id="rId14" w:history="1">
        <w:r w:rsidRPr="00E66EA5">
          <w:rPr>
            <w:rStyle w:val="Hyperlink"/>
          </w:rPr>
          <w:t>https://www.gov.br/anpd/pt-br/centrais-de-conteudo/outros-documentos-e-publicacoes-institucionais/lgpd-en-lei-no-13-709-capa.pdf</w:t>
        </w:r>
      </w:hyperlink>
      <w:r w:rsidRPr="00E66EA5">
        <w:t xml:space="preserve"> (Accessed: 30 July 2026).</w:t>
      </w:r>
    </w:p>
    <w:p w14:paraId="12790D2F" w14:textId="77777777" w:rsidR="004576E0" w:rsidRPr="00E66EA5" w:rsidRDefault="004576E0" w:rsidP="004576E0">
      <w:r w:rsidRPr="00E66EA5">
        <w:t xml:space="preserve">Bartlett, C.A. and Ghoshal, S. (1989) </w:t>
      </w:r>
      <w:r w:rsidRPr="00E66EA5">
        <w:rPr>
          <w:i/>
          <w:iCs/>
        </w:rPr>
        <w:t>Managing across borders: The transnational solution</w:t>
      </w:r>
      <w:r w:rsidRPr="00E66EA5">
        <w:t>. Boston, MA: Harvard Business School Press.</w:t>
      </w:r>
    </w:p>
    <w:p w14:paraId="48FB6DF5" w14:textId="77777777" w:rsidR="004576E0" w:rsidRPr="00E66EA5" w:rsidRDefault="004576E0" w:rsidP="004576E0">
      <w:r w:rsidRPr="00E66EA5">
        <w:t xml:space="preserve">Banco Central do Brasil (Central Bank of Brazil) (2025) ‘Um investidor estrangeiro pode participar de empresa no Brasil?’. Available at: </w:t>
      </w:r>
      <w:hyperlink r:id="rId15" w:history="1">
        <w:r w:rsidRPr="00E66EA5">
          <w:rPr>
            <w:rStyle w:val="Hyperlink"/>
          </w:rPr>
          <w:t>https://www.bcb.gov.br/meubc/faqs/p/um-investidor-estrangeiro-pode-participar-de-empresa-no-brasil</w:t>
        </w:r>
      </w:hyperlink>
      <w:r w:rsidRPr="00E66EA5">
        <w:t xml:space="preserve"> (Accessed: 31 July 2026).</w:t>
      </w:r>
    </w:p>
    <w:p w14:paraId="70B63E72" w14:textId="77777777" w:rsidR="004576E0" w:rsidRPr="00E66EA5" w:rsidRDefault="004576E0" w:rsidP="004576E0">
      <w:r w:rsidRPr="00E66EA5">
        <w:t xml:space="preserve">Banco Central do Brasil (Central Bank of Brazil) (2026) ‘Copom reduces the Selic rate to 14.50% p.a. – 278th Meeting – April 2026’, 29 April. Available at: </w:t>
      </w:r>
      <w:hyperlink r:id="rId16" w:history="1">
        <w:r w:rsidRPr="00E66EA5">
          <w:rPr>
            <w:rStyle w:val="Hyperlink"/>
          </w:rPr>
          <w:t>https://www.bcb.gov.br/en/monetarypolicy/copomstatements/2658</w:t>
        </w:r>
      </w:hyperlink>
      <w:r w:rsidRPr="00E66EA5">
        <w:t xml:space="preserve"> (Accessed: 2 August 2026).</w:t>
      </w:r>
    </w:p>
    <w:p w14:paraId="1A869194" w14:textId="77777777" w:rsidR="004576E0" w:rsidRPr="00E66EA5" w:rsidRDefault="004576E0" w:rsidP="004576E0">
      <w:r w:rsidRPr="00E66EA5">
        <w:t xml:space="preserve">Brazil (2013) </w:t>
      </w:r>
      <w:r w:rsidRPr="00E66EA5">
        <w:rPr>
          <w:i/>
          <w:iCs/>
        </w:rPr>
        <w:t>Law No. 12,790 of 14 March 2013</w:t>
      </w:r>
      <w:r w:rsidRPr="00E66EA5">
        <w:t xml:space="preserve">. Brasília: Presidency of the Republic. Available at: </w:t>
      </w:r>
      <w:hyperlink r:id="rId17" w:history="1">
        <w:r w:rsidRPr="00E66EA5">
          <w:rPr>
            <w:rStyle w:val="Hyperlink"/>
          </w:rPr>
          <w:t>https://planalto.gov.br/ccivil_03/_ato2011-2014/2013/lei/l12790.htm</w:t>
        </w:r>
      </w:hyperlink>
      <w:r w:rsidRPr="00E66EA5">
        <w:t xml:space="preserve"> (Accessed: 3 August 2026).</w:t>
      </w:r>
    </w:p>
    <w:p w14:paraId="378B9F7A" w14:textId="77777777" w:rsidR="004576E0" w:rsidRPr="00E66EA5" w:rsidRDefault="004576E0" w:rsidP="004576E0">
      <w:r w:rsidRPr="00E66EA5">
        <w:t xml:space="preserve">Brouthers, K.D. (2002) ‘Institutional, cultural and transaction cost influences on entry mode choice and performance’, </w:t>
      </w:r>
      <w:r w:rsidRPr="00E66EA5">
        <w:rPr>
          <w:i/>
          <w:iCs/>
        </w:rPr>
        <w:t>Journal of International Business Studies</w:t>
      </w:r>
      <w:r w:rsidRPr="00E66EA5">
        <w:t>, 33(2), pp. 203–221. doi: 10.1057/palgrave.jibs.8491013.</w:t>
      </w:r>
    </w:p>
    <w:p w14:paraId="0271D474" w14:textId="77777777" w:rsidR="004576E0" w:rsidRPr="00E66EA5" w:rsidRDefault="004576E0" w:rsidP="004576E0">
      <w:r w:rsidRPr="00E66EA5">
        <w:t xml:space="preserve">Buckley, P.J. and Casson, M.C. (1976) </w:t>
      </w:r>
      <w:r w:rsidRPr="00E66EA5">
        <w:rPr>
          <w:i/>
          <w:iCs/>
        </w:rPr>
        <w:t>The future of the multinational enterprise</w:t>
      </w:r>
      <w:r w:rsidRPr="00E66EA5">
        <w:t>. London: Macmillan.</w:t>
      </w:r>
    </w:p>
    <w:p w14:paraId="63F02467" w14:textId="77777777" w:rsidR="004576E0" w:rsidRPr="00E66EA5" w:rsidRDefault="004576E0" w:rsidP="004576E0">
      <w:r w:rsidRPr="00E66EA5">
        <w:lastRenderedPageBreak/>
        <w:t xml:space="preserve">Costco Wholesale Corporation (2012) ‘Costco Wholesale Corporation and Controladora Comercial Mexicana agree to transaction concerning Costco de Mexico’, 14 June. Available at: </w:t>
      </w:r>
      <w:hyperlink r:id="rId18" w:history="1">
        <w:r w:rsidRPr="00E66EA5">
          <w:rPr>
            <w:rStyle w:val="Hyperlink"/>
          </w:rPr>
          <w:t>https://investor.costco.com/news/news-details/2012/Costco-Wholesale-Corporation-and-Controladora-Comercial-Mexicana-Agree-to-Transaction-Concerning-Costco-de-Mexico-06-14-2012/default.aspx</w:t>
        </w:r>
      </w:hyperlink>
      <w:r w:rsidRPr="00E66EA5">
        <w:t xml:space="preserve"> (Accessed: 5 August 2026).</w:t>
      </w:r>
    </w:p>
    <w:p w14:paraId="0EB18174" w14:textId="77777777" w:rsidR="004576E0" w:rsidRPr="00E66EA5" w:rsidRDefault="004576E0" w:rsidP="004576E0">
      <w:r w:rsidRPr="00E66EA5">
        <w:t xml:space="preserve">Costco Wholesale Corporation (2022) ‘Costco Wholesale Corporation acquires minority interest in Costco-Taiwan’, 30 June. Available at: </w:t>
      </w:r>
      <w:hyperlink r:id="rId19" w:history="1">
        <w:r w:rsidRPr="00E66EA5">
          <w:rPr>
            <w:rStyle w:val="Hyperlink"/>
          </w:rPr>
          <w:t>https://investor.costco.com/news/news-details/2022/Costco-Wholesale-Corporation-Acquires-Minority-Interest-in-Costco-Taiwan-06-30-2022/default.aspx</w:t>
        </w:r>
      </w:hyperlink>
      <w:r w:rsidRPr="00E66EA5">
        <w:t xml:space="preserve"> (Accessed: 5 August 2026).</w:t>
      </w:r>
    </w:p>
    <w:p w14:paraId="4ABFF730" w14:textId="77777777" w:rsidR="004576E0" w:rsidRPr="00E66EA5" w:rsidRDefault="004576E0" w:rsidP="004576E0">
      <w:r w:rsidRPr="00E66EA5">
        <w:t xml:space="preserve">Costco Wholesale Corporation (2025a) </w:t>
      </w:r>
      <w:r w:rsidRPr="00E66EA5">
        <w:rPr>
          <w:i/>
          <w:iCs/>
        </w:rPr>
        <w:t>Annual report 2025</w:t>
      </w:r>
      <w:r w:rsidRPr="00E66EA5">
        <w:t xml:space="preserve">. Issaquah, WA: Costco Wholesale Corporation. Available at: </w:t>
      </w:r>
      <w:hyperlink r:id="rId20" w:history="1">
        <w:r w:rsidRPr="00E66EA5">
          <w:rPr>
            <w:rStyle w:val="Hyperlink"/>
          </w:rPr>
          <w:t>https://investor.costco.com/financials/annual-reports-and-proxy-statements/default.aspx</w:t>
        </w:r>
      </w:hyperlink>
      <w:r w:rsidRPr="00E66EA5">
        <w:t xml:space="preserve"> (Accessed: 6 August 2026).</w:t>
      </w:r>
    </w:p>
    <w:p w14:paraId="417AC12E" w14:textId="77777777" w:rsidR="004576E0" w:rsidRPr="00E66EA5" w:rsidRDefault="004576E0" w:rsidP="004576E0">
      <w:r w:rsidRPr="00E66EA5">
        <w:t xml:space="preserve">Costco Wholesale Corporation (2025b) </w:t>
      </w:r>
      <w:r w:rsidRPr="00E66EA5">
        <w:rPr>
          <w:i/>
          <w:iCs/>
        </w:rPr>
        <w:t>Sustainability report 2025</w:t>
      </w:r>
      <w:r w:rsidRPr="00E66EA5">
        <w:t xml:space="preserve">. Issaquah, WA: Costco Wholesale Corporation. Available at: </w:t>
      </w:r>
      <w:hyperlink r:id="rId21" w:history="1">
        <w:r w:rsidRPr="00E66EA5">
          <w:rPr>
            <w:rStyle w:val="Hyperlink"/>
          </w:rPr>
          <w:t>https://investor.costco.com/financials/annual-reports-and-proxy-statements/default.aspx</w:t>
        </w:r>
      </w:hyperlink>
      <w:r w:rsidRPr="00E66EA5">
        <w:t xml:space="preserve"> (Accessed: 6 August 2026).</w:t>
      </w:r>
    </w:p>
    <w:p w14:paraId="1D51EC43" w14:textId="77777777" w:rsidR="004576E0" w:rsidRPr="00E66EA5" w:rsidRDefault="004576E0" w:rsidP="004576E0">
      <w:r w:rsidRPr="00E66EA5">
        <w:t xml:space="preserve">Costco Wholesale Corporation (2025c) ‘Costco Wholesale Corporation reports fourth-quarter and fiscal-year 2025 operating results’, 25 September. Available at: </w:t>
      </w:r>
      <w:hyperlink r:id="rId22" w:history="1">
        <w:r w:rsidRPr="00E66EA5">
          <w:rPr>
            <w:rStyle w:val="Hyperlink"/>
          </w:rPr>
          <w:t>https://investor.costco.com/news/news-details/2025/Costco-Wholesale-Corporation-Reports-Fourth-Quarter-and-Fiscal-Year-2025-Operating-Results/default.aspx</w:t>
        </w:r>
      </w:hyperlink>
      <w:r w:rsidRPr="00E66EA5">
        <w:t xml:space="preserve"> (Accessed: 7 August 2026).</w:t>
      </w:r>
    </w:p>
    <w:p w14:paraId="6AE1850D" w14:textId="77777777" w:rsidR="004576E0" w:rsidRPr="00E66EA5" w:rsidRDefault="004576E0" w:rsidP="004576E0">
      <w:r w:rsidRPr="00E66EA5">
        <w:t xml:space="preserve">Costco Wholesale Corporation (2026) ‘Costco Wholesale Corporation reports third-quarter and year-to-date operating results for fiscal 2026’, 28 May. Available at: </w:t>
      </w:r>
      <w:hyperlink r:id="rId23" w:history="1">
        <w:r w:rsidRPr="00E66EA5">
          <w:rPr>
            <w:rStyle w:val="Hyperlink"/>
          </w:rPr>
          <w:t>https://investor.costco.com/news/news-details/2026/Costco-Wholesale-Corporation-Reports-Third-Quarter-and-Year-To-Date-Operating-Results-For-Fiscal-2026/default.aspx</w:t>
        </w:r>
      </w:hyperlink>
      <w:r w:rsidRPr="00E66EA5">
        <w:t xml:space="preserve"> (Accessed: 7 August 2026).</w:t>
      </w:r>
    </w:p>
    <w:p w14:paraId="68BA4532" w14:textId="77777777" w:rsidR="004576E0" w:rsidRPr="00E66EA5" w:rsidRDefault="004576E0" w:rsidP="004576E0">
      <w:r w:rsidRPr="00E66EA5">
        <w:t xml:space="preserve">Dunning, J.H. (1988) ‘The eclectic paradigm of international production: A restatement and some possible extensions’, </w:t>
      </w:r>
      <w:r w:rsidRPr="00E66EA5">
        <w:rPr>
          <w:i/>
          <w:iCs/>
        </w:rPr>
        <w:t>Journal of International Business Studies</w:t>
      </w:r>
      <w:r w:rsidRPr="00E66EA5">
        <w:t>, 19(1), pp. 1–31. doi: 10.1057/palgrave.jibs.8490372.</w:t>
      </w:r>
    </w:p>
    <w:p w14:paraId="4CFD8A92" w14:textId="77777777" w:rsidR="004576E0" w:rsidRPr="00E66EA5" w:rsidRDefault="004576E0" w:rsidP="004576E0">
      <w:r w:rsidRPr="00E66EA5">
        <w:lastRenderedPageBreak/>
        <w:t xml:space="preserve">Dunning, J.H. (2000) ‘The eclectic paradigm as an envelope for economic and business theories of MNE activity’, </w:t>
      </w:r>
      <w:r w:rsidRPr="00E66EA5">
        <w:rPr>
          <w:i/>
          <w:iCs/>
        </w:rPr>
        <w:t>International Business Review</w:t>
      </w:r>
      <w:r w:rsidRPr="00E66EA5">
        <w:t>, 9(2), pp. 163–190. doi: 10.1016/S0969-5931(99)00035-9.</w:t>
      </w:r>
    </w:p>
    <w:p w14:paraId="35B9E319" w14:textId="77777777" w:rsidR="004576E0" w:rsidRPr="00E66EA5" w:rsidRDefault="004576E0" w:rsidP="004576E0">
      <w:r w:rsidRPr="00E66EA5">
        <w:t xml:space="preserve">Federal Revenue of Brazil (2026a) </w:t>
      </w:r>
      <w:r w:rsidRPr="00E66EA5">
        <w:rPr>
          <w:i/>
          <w:iCs/>
        </w:rPr>
        <w:t>Principais marcos regulatórios [Main regulatory milestones]</w:t>
      </w:r>
      <w:r w:rsidRPr="00E66EA5">
        <w:t xml:space="preserve">. Brasília: Receita Federal. Available at: </w:t>
      </w:r>
      <w:hyperlink r:id="rId24" w:history="1">
        <w:r w:rsidRPr="00E66EA5">
          <w:rPr>
            <w:rStyle w:val="Hyperlink"/>
          </w:rPr>
          <w:t>https://www.gov.br/receitafederal/pt-br/acesso-a-informacao/acoes-e-programas/programas-e-atividades/reforma-tributaria-do-consumo/marcos</w:t>
        </w:r>
      </w:hyperlink>
      <w:r w:rsidRPr="00E66EA5">
        <w:t xml:space="preserve"> (Accessed: 8 August 2026).</w:t>
      </w:r>
    </w:p>
    <w:p w14:paraId="374A0AAD" w14:textId="77777777" w:rsidR="004576E0" w:rsidRPr="00E66EA5" w:rsidRDefault="004576E0" w:rsidP="004576E0">
      <w:r w:rsidRPr="00E66EA5">
        <w:t xml:space="preserve">Federal Revenue of Brazil (2026b) </w:t>
      </w:r>
      <w:r w:rsidRPr="00E66EA5">
        <w:rPr>
          <w:i/>
          <w:iCs/>
        </w:rPr>
        <w:t>Orientações da Reforma Tributária para 2026 [Tax reform guidance for 2026]</w:t>
      </w:r>
      <w:r w:rsidRPr="00E66EA5">
        <w:t xml:space="preserve">. Brasília: Receita Federal. Available at: </w:t>
      </w:r>
      <w:hyperlink r:id="rId25" w:history="1">
        <w:r w:rsidRPr="00E66EA5">
          <w:rPr>
            <w:rStyle w:val="Hyperlink"/>
          </w:rPr>
          <w:t>https://www.gov.br/receitafederal/pt-br/acesso-a-informacao/acoes-e-programas/programas-e-atividades/reforma-tributaria-do-consumo/orientacoes-2026</w:t>
        </w:r>
      </w:hyperlink>
      <w:r w:rsidRPr="00E66EA5">
        <w:t xml:space="preserve"> (Accessed: 8 August 2026).</w:t>
      </w:r>
    </w:p>
    <w:p w14:paraId="2E886B76" w14:textId="77777777" w:rsidR="004576E0" w:rsidRPr="00E66EA5" w:rsidRDefault="004576E0" w:rsidP="004576E0">
      <w:r w:rsidRPr="00E66EA5">
        <w:t xml:space="preserve">Gibbs, G. (1988) </w:t>
      </w:r>
      <w:r w:rsidRPr="00E66EA5">
        <w:rPr>
          <w:i/>
          <w:iCs/>
        </w:rPr>
        <w:t>Learning by doing: A guide to teaching and learning methods</w:t>
      </w:r>
      <w:r w:rsidRPr="00E66EA5">
        <w:t>. Oxford: Further Education Unit, Oxford Polytechnic.</w:t>
      </w:r>
    </w:p>
    <w:p w14:paraId="428F54D3" w14:textId="77777777" w:rsidR="004576E0" w:rsidRPr="00E66EA5" w:rsidRDefault="004576E0" w:rsidP="004576E0">
      <w:r w:rsidRPr="00E66EA5">
        <w:t xml:space="preserve">Hill, C.W.L. (2022) </w:t>
      </w:r>
      <w:r w:rsidRPr="00E66EA5">
        <w:rPr>
          <w:i/>
          <w:iCs/>
        </w:rPr>
        <w:t>International business: Competing in the global marketplace</w:t>
      </w:r>
      <w:r w:rsidRPr="00E66EA5">
        <w:t>. 14th edn. New York: McGraw-Hill Education.</w:t>
      </w:r>
    </w:p>
    <w:p w14:paraId="0FB5FD05" w14:textId="77777777" w:rsidR="004576E0" w:rsidRPr="00E66EA5" w:rsidRDefault="004576E0" w:rsidP="004576E0">
      <w:r w:rsidRPr="00E66EA5">
        <w:t xml:space="preserve">Hofstede, G. (2001) </w:t>
      </w:r>
      <w:r w:rsidRPr="00E66EA5">
        <w:rPr>
          <w:i/>
          <w:iCs/>
        </w:rPr>
        <w:t>Culture's consequences: Comparing values, behaviours, institutions and organisations across nations</w:t>
      </w:r>
      <w:r w:rsidRPr="00E66EA5">
        <w:t>. 2nd edn. Thousand Oaks, CA: Sage.</w:t>
      </w:r>
    </w:p>
    <w:p w14:paraId="53B85E8A" w14:textId="77777777" w:rsidR="004576E0" w:rsidRPr="00E66EA5" w:rsidRDefault="004576E0" w:rsidP="004576E0">
      <w:r w:rsidRPr="00E66EA5">
        <w:t xml:space="preserve">Hofstede, G., Hofstede, G.J. and Minkov, M. (2010) </w:t>
      </w:r>
      <w:r w:rsidRPr="00E66EA5">
        <w:rPr>
          <w:i/>
          <w:iCs/>
        </w:rPr>
        <w:t>Cultures and organizations: Software of the mind</w:t>
      </w:r>
      <w:r w:rsidRPr="00E66EA5">
        <w:t>. 3rd edn. New York: McGraw-Hill.</w:t>
      </w:r>
    </w:p>
    <w:p w14:paraId="630FB709" w14:textId="77777777" w:rsidR="004576E0" w:rsidRPr="00E66EA5" w:rsidRDefault="004576E0" w:rsidP="004576E0">
      <w:r w:rsidRPr="00E66EA5">
        <w:t xml:space="preserve">Instituto Brasileiro de Geografia e Estatística (IBGE) (2025) ‘População estimada do país chega a 213,4 milhões de habitantes em 2025’. Available at: </w:t>
      </w:r>
      <w:hyperlink r:id="rId26" w:history="1">
        <w:r w:rsidRPr="00E66EA5">
          <w:rPr>
            <w:rStyle w:val="Hyperlink"/>
          </w:rPr>
          <w:t>https://www.ibge.gov.br/estatisticas/sociais/populacao/9103-estimativas-de-populacao.html</w:t>
        </w:r>
      </w:hyperlink>
      <w:r w:rsidRPr="00E66EA5">
        <w:t xml:space="preserve"> (Accessed: 4 August 2026).</w:t>
      </w:r>
    </w:p>
    <w:p w14:paraId="6CEDCB7A" w14:textId="77777777" w:rsidR="004576E0" w:rsidRPr="00E66EA5" w:rsidRDefault="004576E0" w:rsidP="004576E0">
      <w:r w:rsidRPr="00E66EA5">
        <w:t xml:space="preserve">Instituto Brasileiro de Geografia e Estatística (IBGE) (2026a) ‘GDP grows 2.3% in 2025 and closes the year at R$12.7 trillion’, 3 March. Available at: </w:t>
      </w:r>
      <w:hyperlink r:id="rId27" w:history="1">
        <w:r w:rsidRPr="00E66EA5">
          <w:rPr>
            <w:rStyle w:val="Hyperlink"/>
          </w:rPr>
          <w:t>https://agenciadenoticias.ibge.gov.br/en/agencia-press-room/2185-news-</w:t>
        </w:r>
        <w:r w:rsidRPr="00E66EA5">
          <w:rPr>
            <w:rStyle w:val="Hyperlink"/>
          </w:rPr>
          <w:lastRenderedPageBreak/>
          <w:t>agency/releases-en/45977-gdp-grows-2-3-in-2025-and-closes-the-year-at-r-12-7-trillion</w:t>
        </w:r>
      </w:hyperlink>
      <w:r w:rsidRPr="00E66EA5">
        <w:t xml:space="preserve"> (Accessed: 9 August 2026).</w:t>
      </w:r>
    </w:p>
    <w:p w14:paraId="79A40725" w14:textId="77777777" w:rsidR="004576E0" w:rsidRPr="00E66EA5" w:rsidRDefault="004576E0" w:rsidP="004576E0">
      <w:r w:rsidRPr="00E66EA5">
        <w:t xml:space="preserve">Instituto Brasileiro de Geografia e Estatística (IBGE) (2026b) ‘PIB cresce 1,1% no primeiro trimestre de 2026 [GDP grows 1.1% in the first quarter of 2026]’, 29 May. Available at: </w:t>
      </w:r>
      <w:hyperlink r:id="rId28" w:history="1">
        <w:r w:rsidRPr="00E66EA5">
          <w:rPr>
            <w:rStyle w:val="Hyperlink"/>
          </w:rPr>
          <w:t>https://agenciadenoticias.ibge.gov.br/agencia-sala-de-imprensa/2013-agencia-de-noticias/releases/46917-pib-cresce-1-1-no-primeiro-trimestre-de-2026</w:t>
        </w:r>
      </w:hyperlink>
      <w:r w:rsidRPr="00E66EA5">
        <w:t xml:space="preserve"> (Accessed: 9 August 2026).</w:t>
      </w:r>
    </w:p>
    <w:p w14:paraId="24B31226" w14:textId="6D849A9A" w:rsidR="004576E0" w:rsidRPr="00E66EA5" w:rsidRDefault="004576E0" w:rsidP="004576E0">
      <w:r w:rsidRPr="00E66EA5">
        <w:t xml:space="preserve">International Monetary Fund (IMF) (2026) ‘IMF staff completes 2026 Article IV visit to Brazil’, Press Release No. 26/179, 1 June. Washington, DC: International Monetary Fund. Available at: </w:t>
      </w:r>
      <w:hyperlink r:id="rId29" w:history="1">
        <w:r w:rsidRPr="00E66EA5">
          <w:rPr>
            <w:rStyle w:val="Hyperlink"/>
          </w:rPr>
          <w:t>https://www.imf.org/en/news/articles/2026/06/01/pr26179-brazil-imf-staff-completes-2026-article-iv</w:t>
        </w:r>
      </w:hyperlink>
      <w:r w:rsidRPr="00E66EA5">
        <w:t xml:space="preserve"> (Accessed: 7 August 2026).</w:t>
      </w:r>
    </w:p>
    <w:p w14:paraId="04CC1174" w14:textId="77777777" w:rsidR="004576E0" w:rsidRPr="00E66EA5" w:rsidRDefault="004576E0" w:rsidP="004576E0">
      <w:r w:rsidRPr="00E66EA5">
        <w:t xml:space="preserve">Johanson, J. and Vahlne, J.-E. (1977) ‘The internationalization process of the firm: A model of knowledge development and increasing foreign market commitments’, </w:t>
      </w:r>
      <w:r w:rsidRPr="00E66EA5">
        <w:rPr>
          <w:i/>
          <w:iCs/>
        </w:rPr>
        <w:t>Journal of International Business Studies</w:t>
      </w:r>
      <w:r w:rsidRPr="00E66EA5">
        <w:t>, 8(1), pp. 23–32. doi: 10.1057/palgrave.jibs.8490676.</w:t>
      </w:r>
    </w:p>
    <w:p w14:paraId="23C633DC" w14:textId="77777777" w:rsidR="004576E0" w:rsidRPr="00E66EA5" w:rsidRDefault="004576E0" w:rsidP="004576E0">
      <w:r w:rsidRPr="00E66EA5">
        <w:t xml:space="preserve">McSweeney, B. (2002) ‘Hofstede's model of national cultural differences and their consequences: A triumph of faith – a failure of analysis’, </w:t>
      </w:r>
      <w:r w:rsidRPr="00E66EA5">
        <w:rPr>
          <w:i/>
          <w:iCs/>
        </w:rPr>
        <w:t>Human Relations</w:t>
      </w:r>
      <w:r w:rsidRPr="00E66EA5">
        <w:t>, 55(1), pp. 89–118. doi: 10.1177/0018726702551004.</w:t>
      </w:r>
    </w:p>
    <w:p w14:paraId="05C0328D" w14:textId="7A36218F" w:rsidR="004576E0" w:rsidRPr="00E66EA5" w:rsidRDefault="004576E0" w:rsidP="004576E0">
      <w:r w:rsidRPr="00E66EA5">
        <w:t xml:space="preserve">MERCOSUR (2026) </w:t>
      </w:r>
      <w:r w:rsidRPr="00E66EA5">
        <w:rPr>
          <w:i/>
          <w:iCs/>
        </w:rPr>
        <w:t>Nomenclatura Común del MERCOSUR y Arancel Externo Común [MERCOSUR Common Nomenclature and Common External Tariff]</w:t>
      </w:r>
      <w:r w:rsidRPr="00E66EA5">
        <w:t xml:space="preserve">. Available at: </w:t>
      </w:r>
      <w:hyperlink r:id="rId30" w:history="1">
        <w:r w:rsidRPr="00E66EA5">
          <w:rPr>
            <w:rStyle w:val="Hyperlink"/>
          </w:rPr>
          <w:t>https://polcom.mercosur.int/public/ncm/vigente?lang=en</w:t>
        </w:r>
      </w:hyperlink>
      <w:r w:rsidRPr="00E66EA5">
        <w:t xml:space="preserve"> (Accessed: 6 August 2026).</w:t>
      </w:r>
    </w:p>
    <w:p w14:paraId="39600478" w14:textId="77777777" w:rsidR="004576E0" w:rsidRPr="00E66EA5" w:rsidRDefault="004576E0" w:rsidP="004576E0">
      <w:r w:rsidRPr="00E66EA5">
        <w:t xml:space="preserve">Meyer, K.E., Estrin, S., Bhaumik, S.K. and Peng, M.W. (2009) ‘Institutions, resources and entry strategies in emerging economies’, </w:t>
      </w:r>
      <w:r w:rsidRPr="00E66EA5">
        <w:rPr>
          <w:i/>
          <w:iCs/>
        </w:rPr>
        <w:t>Strategic Management Journal</w:t>
      </w:r>
      <w:r w:rsidRPr="00E66EA5">
        <w:t>, 30(1), pp. 61–80. doi: 10.1002/smj.720.</w:t>
      </w:r>
    </w:p>
    <w:p w14:paraId="339840BE" w14:textId="77777777" w:rsidR="004576E0" w:rsidRPr="00E66EA5" w:rsidRDefault="004576E0" w:rsidP="004576E0">
      <w:r w:rsidRPr="00E66EA5">
        <w:t xml:space="preserve">Ministry of Justice and Public Security of Brazil (1990) </w:t>
      </w:r>
      <w:r w:rsidRPr="00E66EA5">
        <w:rPr>
          <w:i/>
          <w:iCs/>
        </w:rPr>
        <w:t>Consumer Protection Code: Law No. 8,078 of 11 September 1990</w:t>
      </w:r>
      <w:r w:rsidRPr="00E66EA5">
        <w:t xml:space="preserve">. Brasília: Government of Brazil. Available at: </w:t>
      </w:r>
      <w:hyperlink r:id="rId31" w:history="1">
        <w:r w:rsidRPr="00E66EA5">
          <w:rPr>
            <w:rStyle w:val="Hyperlink"/>
          </w:rPr>
          <w:t>https://www.gov.br/mj/pt-br/assuntos/seus-direitos/consumidor/Anexos/guia-do-consumidor-estrangeiro-ingles.pdf</w:t>
        </w:r>
      </w:hyperlink>
      <w:r w:rsidRPr="00E66EA5">
        <w:t xml:space="preserve"> (Accessed: 1 August 2026).</w:t>
      </w:r>
    </w:p>
    <w:p w14:paraId="72F887FF" w14:textId="46CE8ABA" w:rsidR="004576E0" w:rsidRPr="00E66EA5" w:rsidRDefault="004576E0" w:rsidP="004576E0">
      <w:r w:rsidRPr="00E66EA5">
        <w:lastRenderedPageBreak/>
        <w:t xml:space="preserve">OECD (2025) </w:t>
      </w:r>
      <w:r w:rsidRPr="00E66EA5">
        <w:rPr>
          <w:i/>
          <w:iCs/>
        </w:rPr>
        <w:t>OECD Economic Outlook, Volume 2025 Issue 2: Resilient growth but with increasing fragilities</w:t>
      </w:r>
      <w:r w:rsidRPr="00E66EA5">
        <w:t xml:space="preserve">. Paris: OECD Publishing. doi: 10.1787/9f653ca1-en. Available at: </w:t>
      </w:r>
      <w:hyperlink r:id="rId32" w:history="1">
        <w:r w:rsidRPr="00E66EA5">
          <w:rPr>
            <w:rStyle w:val="Hyperlink"/>
          </w:rPr>
          <w:t>https://www.oecd.org/en/publications/oecd-economic-outlook-volume-2025-issue-2_9f653ca1-en/full-report/brazil_71db4eb2.html</w:t>
        </w:r>
      </w:hyperlink>
      <w:r w:rsidRPr="00E66EA5">
        <w:t xml:space="preserve"> (Accessed: 7 August 2026).</w:t>
      </w:r>
    </w:p>
    <w:p w14:paraId="43862CB6" w14:textId="7A0A73D9" w:rsidR="004576E0" w:rsidRPr="00E66EA5" w:rsidRDefault="004576E0" w:rsidP="004576E0">
      <w:r w:rsidRPr="00E66EA5">
        <w:t xml:space="preserve">OECD (2026) </w:t>
      </w:r>
      <w:r w:rsidRPr="00E66EA5">
        <w:rPr>
          <w:i/>
          <w:iCs/>
        </w:rPr>
        <w:t>Foundations for Growth and Competitiveness 2026</w:t>
      </w:r>
      <w:r w:rsidRPr="00E66EA5">
        <w:t xml:space="preserve">. Paris: OECD Publishing. doi: 10.1787/40a7532f-en. Available at: </w:t>
      </w:r>
      <w:hyperlink r:id="rId33" w:history="1">
        <w:r w:rsidRPr="00E66EA5">
          <w:rPr>
            <w:rStyle w:val="Hyperlink"/>
          </w:rPr>
          <w:t>https://www.oecd.org/en/publications/2026/04/foundations-for-growth-and-competitiveness-2026_f68a156b/full-report/brazil_7155911c.html</w:t>
        </w:r>
      </w:hyperlink>
      <w:r w:rsidRPr="00E66EA5">
        <w:t xml:space="preserve"> (Accessed: 8 August 2026).</w:t>
      </w:r>
    </w:p>
    <w:p w14:paraId="0D6E0B53" w14:textId="77777777" w:rsidR="004576E0" w:rsidRPr="00E66EA5" w:rsidRDefault="004576E0" w:rsidP="004576E0">
      <w:r w:rsidRPr="00E66EA5">
        <w:t xml:space="preserve">Peng, M.W. (2022) </w:t>
      </w:r>
      <w:r w:rsidRPr="00E66EA5">
        <w:rPr>
          <w:i/>
          <w:iCs/>
        </w:rPr>
        <w:t>Global business</w:t>
      </w:r>
      <w:r w:rsidRPr="00E66EA5">
        <w:t>. 5th edn. Boston, MA: Cengage Learning.</w:t>
      </w:r>
    </w:p>
    <w:p w14:paraId="51B53463" w14:textId="77777777" w:rsidR="004576E0" w:rsidRPr="00E66EA5" w:rsidRDefault="004576E0" w:rsidP="004576E0">
      <w:r w:rsidRPr="00E66EA5">
        <w:t xml:space="preserve">Rugman, A.M. and Verbeke, A. (2004) ‘A perspective on regional and global strategies of multinational enterprises’, </w:t>
      </w:r>
      <w:r w:rsidRPr="00E66EA5">
        <w:rPr>
          <w:i/>
          <w:iCs/>
        </w:rPr>
        <w:t>Journal of International Business Studies</w:t>
      </w:r>
      <w:r w:rsidRPr="00E66EA5">
        <w:t>, 35(1), pp. 3–18. doi: 10.1057/palgrave.jibs.8400073.</w:t>
      </w:r>
    </w:p>
    <w:p w14:paraId="2FA78D83" w14:textId="66BF9767" w:rsidR="004576E0" w:rsidRPr="00E66EA5" w:rsidRDefault="004576E0" w:rsidP="004576E0">
      <w:r w:rsidRPr="00E66EA5">
        <w:t xml:space="preserve">The Culture Factor Group (2025) </w:t>
      </w:r>
      <w:r w:rsidRPr="00E66EA5">
        <w:rPr>
          <w:i/>
          <w:iCs/>
        </w:rPr>
        <w:t>Country comparison tool: Brazil and the United States</w:t>
      </w:r>
      <w:r w:rsidRPr="00E66EA5">
        <w:t xml:space="preserve">. Available at: </w:t>
      </w:r>
      <w:hyperlink r:id="rId34" w:history="1">
        <w:r w:rsidRPr="00E66EA5">
          <w:rPr>
            <w:rStyle w:val="Hyperlink"/>
          </w:rPr>
          <w:t>https://www.theculturefactor.com/country-comparison-tool?countries=brazil%2Cthe-usa</w:t>
        </w:r>
      </w:hyperlink>
      <w:r w:rsidRPr="00E66EA5">
        <w:t xml:space="preserve"> (Accessed: 7 August 2026).</w:t>
      </w:r>
    </w:p>
    <w:p w14:paraId="49ECA25F" w14:textId="77777777" w:rsidR="004576E0" w:rsidRPr="00E66EA5" w:rsidRDefault="004576E0" w:rsidP="004576E0">
      <w:r w:rsidRPr="00E66EA5">
        <w:t xml:space="preserve">World Bank (2025) </w:t>
      </w:r>
      <w:r w:rsidRPr="00E66EA5">
        <w:rPr>
          <w:i/>
          <w:iCs/>
        </w:rPr>
        <w:t>Brazil overview</w:t>
      </w:r>
      <w:r w:rsidRPr="00E66EA5">
        <w:t xml:space="preserve">. Washington, DC: World Bank Group. Available at: </w:t>
      </w:r>
      <w:hyperlink r:id="rId35" w:history="1">
        <w:r w:rsidRPr="00E66EA5">
          <w:rPr>
            <w:rStyle w:val="Hyperlink"/>
          </w:rPr>
          <w:t>https://www.worldbank.org/en/country/brazil/overview</w:t>
        </w:r>
      </w:hyperlink>
      <w:r w:rsidRPr="00E66EA5">
        <w:t xml:space="preserve"> (Accessed: 28 July 2026).</w:t>
      </w:r>
    </w:p>
    <w:p w14:paraId="161DF0CE" w14:textId="68AEF0A9" w:rsidR="004576E0" w:rsidRPr="00E66EA5" w:rsidRDefault="004576E0" w:rsidP="004576E0">
      <w:r w:rsidRPr="00E66EA5">
        <w:t xml:space="preserve">World Bank (2026a) </w:t>
      </w:r>
      <w:r w:rsidRPr="00E66EA5">
        <w:rPr>
          <w:i/>
          <w:iCs/>
        </w:rPr>
        <w:t>Brazil</w:t>
      </w:r>
      <w:r w:rsidRPr="00E66EA5">
        <w:t xml:space="preserve">. Washington, DC: World Bank Group. Available at: </w:t>
      </w:r>
      <w:hyperlink r:id="rId36" w:history="1">
        <w:r w:rsidRPr="00E66EA5">
          <w:rPr>
            <w:rStyle w:val="Hyperlink"/>
          </w:rPr>
          <w:t>https://www.worldbank.org/ext/en/country/brazil</w:t>
        </w:r>
      </w:hyperlink>
      <w:r w:rsidRPr="00E66EA5">
        <w:t xml:space="preserve"> (Accessed: 9 August 2026).</w:t>
      </w:r>
    </w:p>
    <w:p w14:paraId="15ABBD98" w14:textId="4291CF42" w:rsidR="004576E0" w:rsidRPr="00E66EA5" w:rsidRDefault="004576E0" w:rsidP="004576E0">
      <w:r w:rsidRPr="00E66EA5">
        <w:t xml:space="preserve">World Bank (2026b) </w:t>
      </w:r>
      <w:r w:rsidRPr="00E66EA5">
        <w:rPr>
          <w:i/>
          <w:iCs/>
        </w:rPr>
        <w:t>Macro Poverty Outlook: Brazil, April 2026</w:t>
      </w:r>
      <w:r w:rsidRPr="00E66EA5">
        <w:t xml:space="preserve">. Washington, DC: World Bank Group. Available at: </w:t>
      </w:r>
      <w:hyperlink r:id="rId37" w:history="1">
        <w:r w:rsidRPr="00E66EA5">
          <w:rPr>
            <w:rStyle w:val="Hyperlink"/>
          </w:rPr>
          <w:t>https://thedocs.worldbank.org/en/doc/e408a7e21ba62d843bdd90dc37e61b57-0500032021/related/mpo-bra.pdf</w:t>
        </w:r>
      </w:hyperlink>
      <w:r w:rsidRPr="00E66EA5">
        <w:t xml:space="preserve"> (Accessed: 8 August 2026).</w:t>
      </w:r>
    </w:p>
    <w:p w14:paraId="445D07DC" w14:textId="6E780C3F" w:rsidR="001D4008" w:rsidRPr="004576E0" w:rsidRDefault="004576E0" w:rsidP="004576E0">
      <w:pPr>
        <w:rPr>
          <w:lang w:val="en-US"/>
        </w:rPr>
      </w:pPr>
      <w:r w:rsidRPr="00E66EA5">
        <w:t xml:space="preserve">World Bank (2026c) </w:t>
      </w:r>
      <w:r w:rsidRPr="00E66EA5">
        <w:rPr>
          <w:i/>
          <w:iCs/>
        </w:rPr>
        <w:t>Global Economic Prospects, January 2026: Latin America and the Caribbean</w:t>
      </w:r>
      <w:r w:rsidRPr="00E66EA5">
        <w:t xml:space="preserve">. Washington, DC: World Bank Group. Available at: </w:t>
      </w:r>
      <w:hyperlink r:id="rId38" w:history="1">
        <w:r w:rsidRPr="00E66EA5">
          <w:rPr>
            <w:rStyle w:val="Hyperlink"/>
          </w:rPr>
          <w:t>https://thedocs.worldbank.org/en/doc/7ce50b5aa95bef66048680bba9926ec8-0050012026/related/GEP-Jan-2026-Analysis-LAC.pdf</w:t>
        </w:r>
      </w:hyperlink>
      <w:r w:rsidRPr="00E66EA5">
        <w:t xml:space="preserve"> (Accessed: 9 August 2026).</w:t>
      </w:r>
    </w:p>
    <w:sectPr w:rsidR="001D4008" w:rsidRPr="004576E0" w:rsidSect="00251E77">
      <w:headerReference w:type="default" r:id="rId39"/>
      <w:footerReference w:type="default" r:id="rId4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BA019" w14:textId="77777777" w:rsidR="00D96998" w:rsidRPr="00E66EA5" w:rsidRDefault="00D96998" w:rsidP="00740351">
      <w:pPr>
        <w:spacing w:after="0" w:line="240" w:lineRule="auto"/>
      </w:pPr>
      <w:r w:rsidRPr="00E66EA5">
        <w:separator/>
      </w:r>
    </w:p>
  </w:endnote>
  <w:endnote w:type="continuationSeparator" w:id="0">
    <w:p w14:paraId="116419FA" w14:textId="77777777" w:rsidR="00D96998" w:rsidRPr="00E66EA5" w:rsidRDefault="00D96998" w:rsidP="00740351">
      <w:pPr>
        <w:spacing w:after="0" w:line="240" w:lineRule="auto"/>
      </w:pPr>
      <w:r w:rsidRPr="00E66E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8601"/>
      <w:docPartObj>
        <w:docPartGallery w:val="Page Numbers (Bottom of Page)"/>
        <w:docPartUnique/>
      </w:docPartObj>
    </w:sdtPr>
    <w:sdtContent>
      <w:p w14:paraId="46711240" w14:textId="77777777" w:rsidR="002B0A64" w:rsidRPr="00E66EA5" w:rsidRDefault="002B0A64">
        <w:pPr>
          <w:pStyle w:val="Footer"/>
        </w:pPr>
      </w:p>
      <w:p w14:paraId="6CE632F7" w14:textId="77777777" w:rsidR="002B0A64" w:rsidRPr="00E66EA5" w:rsidRDefault="002B0A64">
        <w:pPr>
          <w:pStyle w:val="Footer"/>
        </w:pPr>
      </w:p>
      <w:p w14:paraId="278568A7" w14:textId="73D3E5F6" w:rsidR="00740351" w:rsidRPr="00E66EA5" w:rsidRDefault="00740351">
        <w:pPr>
          <w:pStyle w:val="Footer"/>
        </w:pPr>
        <w:r w:rsidRPr="00E66EA5">
          <w:fldChar w:fldCharType="begin"/>
        </w:r>
        <w:r w:rsidRPr="00E66EA5">
          <w:instrText xml:space="preserve"> PAGE   \* MERGEFORMAT </w:instrText>
        </w:r>
        <w:r w:rsidRPr="00E66EA5">
          <w:fldChar w:fldCharType="separate"/>
        </w:r>
        <w:r w:rsidRPr="00E66EA5">
          <w:t>2</w:t>
        </w:r>
        <w:r w:rsidRPr="00E66EA5">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363F9" w14:textId="77777777" w:rsidR="00D96998" w:rsidRPr="00E66EA5" w:rsidRDefault="00D96998" w:rsidP="00740351">
      <w:pPr>
        <w:spacing w:after="0" w:line="240" w:lineRule="auto"/>
      </w:pPr>
      <w:r w:rsidRPr="00E66EA5">
        <w:separator/>
      </w:r>
    </w:p>
  </w:footnote>
  <w:footnote w:type="continuationSeparator" w:id="0">
    <w:p w14:paraId="725A4801" w14:textId="77777777" w:rsidR="00D96998" w:rsidRPr="00E66EA5" w:rsidRDefault="00D96998" w:rsidP="00740351">
      <w:pPr>
        <w:spacing w:after="0" w:line="240" w:lineRule="auto"/>
      </w:pPr>
      <w:r w:rsidRPr="00E66EA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E334E" w14:textId="5AD602A6" w:rsidR="002A5F92" w:rsidRPr="00E66EA5" w:rsidRDefault="00360F27">
    <w:pPr>
      <w:pStyle w:val="Header"/>
    </w:pPr>
    <w:r w:rsidRPr="00E66EA5">
      <w:t>Costco Wholesale Corporation entering Brazil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4325C"/>
    <w:multiLevelType w:val="multilevel"/>
    <w:tmpl w:val="6AB64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84E29"/>
    <w:multiLevelType w:val="multilevel"/>
    <w:tmpl w:val="64964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E4E33"/>
    <w:multiLevelType w:val="multilevel"/>
    <w:tmpl w:val="961A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251975"/>
    <w:multiLevelType w:val="multilevel"/>
    <w:tmpl w:val="AAE0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B35E3"/>
    <w:multiLevelType w:val="multilevel"/>
    <w:tmpl w:val="1BA62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A97360"/>
    <w:multiLevelType w:val="multilevel"/>
    <w:tmpl w:val="E402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BD0B18"/>
    <w:multiLevelType w:val="multilevel"/>
    <w:tmpl w:val="AF0A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1C0840"/>
    <w:multiLevelType w:val="multilevel"/>
    <w:tmpl w:val="7192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DE2862"/>
    <w:multiLevelType w:val="multilevel"/>
    <w:tmpl w:val="CAE8A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6022D4"/>
    <w:multiLevelType w:val="multilevel"/>
    <w:tmpl w:val="D18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270303">
    <w:abstractNumId w:val="2"/>
  </w:num>
  <w:num w:numId="2" w16cid:durableId="830175389">
    <w:abstractNumId w:val="5"/>
  </w:num>
  <w:num w:numId="3" w16cid:durableId="1783841237">
    <w:abstractNumId w:val="8"/>
  </w:num>
  <w:num w:numId="4" w16cid:durableId="1714116626">
    <w:abstractNumId w:val="7"/>
  </w:num>
  <w:num w:numId="5" w16cid:durableId="1242638918">
    <w:abstractNumId w:val="9"/>
  </w:num>
  <w:num w:numId="6" w16cid:durableId="122971367">
    <w:abstractNumId w:val="0"/>
  </w:num>
  <w:num w:numId="7" w16cid:durableId="577205644">
    <w:abstractNumId w:val="3"/>
  </w:num>
  <w:num w:numId="8" w16cid:durableId="1962109689">
    <w:abstractNumId w:val="6"/>
  </w:num>
  <w:num w:numId="9" w16cid:durableId="699626368">
    <w:abstractNumId w:val="1"/>
  </w:num>
  <w:num w:numId="10" w16cid:durableId="19068404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FD3"/>
    <w:rsid w:val="00025FD3"/>
    <w:rsid w:val="00043170"/>
    <w:rsid w:val="00061BFD"/>
    <w:rsid w:val="00071F90"/>
    <w:rsid w:val="00091B88"/>
    <w:rsid w:val="00097046"/>
    <w:rsid w:val="000C41A2"/>
    <w:rsid w:val="000F5EA4"/>
    <w:rsid w:val="00122EF5"/>
    <w:rsid w:val="0013269B"/>
    <w:rsid w:val="00176636"/>
    <w:rsid w:val="001A7829"/>
    <w:rsid w:val="001C754E"/>
    <w:rsid w:val="001D00F0"/>
    <w:rsid w:val="001D4008"/>
    <w:rsid w:val="001E6BD0"/>
    <w:rsid w:val="002201C5"/>
    <w:rsid w:val="00225209"/>
    <w:rsid w:val="00251E77"/>
    <w:rsid w:val="002607E0"/>
    <w:rsid w:val="002637DD"/>
    <w:rsid w:val="002A5F92"/>
    <w:rsid w:val="002B0A64"/>
    <w:rsid w:val="002C2E9C"/>
    <w:rsid w:val="002D02E9"/>
    <w:rsid w:val="002E0DAB"/>
    <w:rsid w:val="003156C2"/>
    <w:rsid w:val="00323F4F"/>
    <w:rsid w:val="00326FA1"/>
    <w:rsid w:val="00360F27"/>
    <w:rsid w:val="00376071"/>
    <w:rsid w:val="00404618"/>
    <w:rsid w:val="00423430"/>
    <w:rsid w:val="004569A9"/>
    <w:rsid w:val="004576E0"/>
    <w:rsid w:val="00461B80"/>
    <w:rsid w:val="00485C1D"/>
    <w:rsid w:val="004A1B79"/>
    <w:rsid w:val="004B5B24"/>
    <w:rsid w:val="004D482C"/>
    <w:rsid w:val="004E438C"/>
    <w:rsid w:val="00541F17"/>
    <w:rsid w:val="005A1497"/>
    <w:rsid w:val="005C3F2B"/>
    <w:rsid w:val="005E589C"/>
    <w:rsid w:val="005F59F8"/>
    <w:rsid w:val="00607F01"/>
    <w:rsid w:val="006316E9"/>
    <w:rsid w:val="00661299"/>
    <w:rsid w:val="006C48F6"/>
    <w:rsid w:val="00732B98"/>
    <w:rsid w:val="00740351"/>
    <w:rsid w:val="007A721A"/>
    <w:rsid w:val="007E6553"/>
    <w:rsid w:val="007F273E"/>
    <w:rsid w:val="00821B2B"/>
    <w:rsid w:val="00826CD0"/>
    <w:rsid w:val="0083686A"/>
    <w:rsid w:val="0084262E"/>
    <w:rsid w:val="008442A7"/>
    <w:rsid w:val="008542D2"/>
    <w:rsid w:val="00874444"/>
    <w:rsid w:val="0089015E"/>
    <w:rsid w:val="008901DF"/>
    <w:rsid w:val="00893CA3"/>
    <w:rsid w:val="00942E79"/>
    <w:rsid w:val="009638E6"/>
    <w:rsid w:val="009A3E56"/>
    <w:rsid w:val="009D4F25"/>
    <w:rsid w:val="009D6374"/>
    <w:rsid w:val="009F13F7"/>
    <w:rsid w:val="00A07D70"/>
    <w:rsid w:val="00A45100"/>
    <w:rsid w:val="00AC72B7"/>
    <w:rsid w:val="00B0764D"/>
    <w:rsid w:val="00B2493E"/>
    <w:rsid w:val="00B37AC2"/>
    <w:rsid w:val="00B80ADF"/>
    <w:rsid w:val="00B870DB"/>
    <w:rsid w:val="00BB3C2D"/>
    <w:rsid w:val="00BC2EBA"/>
    <w:rsid w:val="00BE6536"/>
    <w:rsid w:val="00C32B32"/>
    <w:rsid w:val="00C4012B"/>
    <w:rsid w:val="00C64FDE"/>
    <w:rsid w:val="00CB0EFB"/>
    <w:rsid w:val="00CB386F"/>
    <w:rsid w:val="00CE16C1"/>
    <w:rsid w:val="00D3554C"/>
    <w:rsid w:val="00D4386A"/>
    <w:rsid w:val="00D62533"/>
    <w:rsid w:val="00D73F17"/>
    <w:rsid w:val="00D96998"/>
    <w:rsid w:val="00DB0BD4"/>
    <w:rsid w:val="00E07DBB"/>
    <w:rsid w:val="00E17318"/>
    <w:rsid w:val="00E66EA5"/>
    <w:rsid w:val="00E72892"/>
    <w:rsid w:val="00ED0AF5"/>
    <w:rsid w:val="00ED42C3"/>
    <w:rsid w:val="00EE7520"/>
    <w:rsid w:val="00EF6E1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BED91"/>
  <w15:chartTrackingRefBased/>
  <w15:docId w15:val="{29B9D94E-3CC5-4B4A-B96F-F7778D64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008"/>
    <w:pPr>
      <w:spacing w:line="360" w:lineRule="auto"/>
      <w:jc w:val="both"/>
    </w:pPr>
    <w:rPr>
      <w:rFonts w:ascii="Arial" w:hAnsi="Arial"/>
      <w:lang w:val="en-GB"/>
    </w:rPr>
  </w:style>
  <w:style w:type="paragraph" w:styleId="Heading1">
    <w:name w:val="heading 1"/>
    <w:basedOn w:val="Normal"/>
    <w:next w:val="Normal"/>
    <w:link w:val="Heading1Char"/>
    <w:uiPriority w:val="9"/>
    <w:qFormat/>
    <w:rsid w:val="00AC72B7"/>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E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C72B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5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51E7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AC72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25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FD3"/>
    <w:rPr>
      <w:rFonts w:eastAsiaTheme="majorEastAsia" w:cstheme="majorBidi"/>
      <w:color w:val="272727" w:themeColor="text1" w:themeTint="D8"/>
    </w:rPr>
  </w:style>
  <w:style w:type="paragraph" w:styleId="Title">
    <w:name w:val="Title"/>
    <w:basedOn w:val="Normal"/>
    <w:next w:val="Normal"/>
    <w:link w:val="TitleChar"/>
    <w:uiPriority w:val="10"/>
    <w:qFormat/>
    <w:rsid w:val="00740351"/>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0351"/>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025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FD3"/>
    <w:pPr>
      <w:spacing w:before="160"/>
      <w:jc w:val="center"/>
    </w:pPr>
    <w:rPr>
      <w:i/>
      <w:iCs/>
      <w:color w:val="404040" w:themeColor="text1" w:themeTint="BF"/>
    </w:rPr>
  </w:style>
  <w:style w:type="character" w:customStyle="1" w:styleId="QuoteChar">
    <w:name w:val="Quote Char"/>
    <w:basedOn w:val="DefaultParagraphFont"/>
    <w:link w:val="Quote"/>
    <w:uiPriority w:val="29"/>
    <w:rsid w:val="00025FD3"/>
    <w:rPr>
      <w:i/>
      <w:iCs/>
      <w:color w:val="404040" w:themeColor="text1" w:themeTint="BF"/>
    </w:rPr>
  </w:style>
  <w:style w:type="paragraph" w:styleId="ListParagraph">
    <w:name w:val="List Paragraph"/>
    <w:basedOn w:val="Normal"/>
    <w:uiPriority w:val="34"/>
    <w:qFormat/>
    <w:rsid w:val="00025FD3"/>
    <w:pPr>
      <w:ind w:left="720"/>
      <w:contextualSpacing/>
    </w:pPr>
  </w:style>
  <w:style w:type="character" w:styleId="IntenseEmphasis">
    <w:name w:val="Intense Emphasis"/>
    <w:basedOn w:val="DefaultParagraphFont"/>
    <w:uiPriority w:val="21"/>
    <w:qFormat/>
    <w:rsid w:val="00025FD3"/>
    <w:rPr>
      <w:i/>
      <w:iCs/>
      <w:color w:val="0F4761" w:themeColor="accent1" w:themeShade="BF"/>
    </w:rPr>
  </w:style>
  <w:style w:type="paragraph" w:styleId="IntenseQuote">
    <w:name w:val="Intense Quote"/>
    <w:basedOn w:val="Normal"/>
    <w:next w:val="Normal"/>
    <w:link w:val="IntenseQuoteChar"/>
    <w:uiPriority w:val="30"/>
    <w:qFormat/>
    <w:rsid w:val="00025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FD3"/>
    <w:rPr>
      <w:i/>
      <w:iCs/>
      <w:color w:val="0F4761" w:themeColor="accent1" w:themeShade="BF"/>
    </w:rPr>
  </w:style>
  <w:style w:type="character" w:styleId="IntenseReference">
    <w:name w:val="Intense Reference"/>
    <w:basedOn w:val="DefaultParagraphFont"/>
    <w:uiPriority w:val="32"/>
    <w:qFormat/>
    <w:rsid w:val="00025FD3"/>
    <w:rPr>
      <w:b/>
      <w:bCs/>
      <w:smallCaps/>
      <w:color w:val="0F4761" w:themeColor="accent1" w:themeShade="BF"/>
      <w:spacing w:val="5"/>
    </w:rPr>
  </w:style>
  <w:style w:type="paragraph" w:styleId="NoSpacing">
    <w:name w:val="No Spacing"/>
    <w:uiPriority w:val="1"/>
    <w:qFormat/>
    <w:rsid w:val="00251E77"/>
    <w:pPr>
      <w:spacing w:after="0" w:line="240" w:lineRule="auto"/>
    </w:pPr>
  </w:style>
  <w:style w:type="paragraph" w:styleId="Header">
    <w:name w:val="header"/>
    <w:basedOn w:val="Normal"/>
    <w:link w:val="HeaderChar"/>
    <w:uiPriority w:val="99"/>
    <w:unhideWhenUsed/>
    <w:rsid w:val="00740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351"/>
    <w:rPr>
      <w:rFonts w:ascii="Arial" w:hAnsi="Arial"/>
    </w:rPr>
  </w:style>
  <w:style w:type="paragraph" w:styleId="Footer">
    <w:name w:val="footer"/>
    <w:basedOn w:val="Normal"/>
    <w:link w:val="FooterChar"/>
    <w:uiPriority w:val="99"/>
    <w:unhideWhenUsed/>
    <w:rsid w:val="00740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351"/>
    <w:rPr>
      <w:rFonts w:ascii="Arial" w:hAnsi="Arial"/>
    </w:rPr>
  </w:style>
  <w:style w:type="paragraph" w:styleId="TOCHeading">
    <w:name w:val="TOC Heading"/>
    <w:basedOn w:val="Heading1"/>
    <w:next w:val="Normal"/>
    <w:uiPriority w:val="39"/>
    <w:unhideWhenUsed/>
    <w:qFormat/>
    <w:rsid w:val="001D4008"/>
    <w:pPr>
      <w:spacing w:before="240" w:after="0" w:line="259" w:lineRule="auto"/>
      <w:jc w:val="left"/>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D4008"/>
    <w:pPr>
      <w:spacing w:after="100"/>
    </w:pPr>
  </w:style>
  <w:style w:type="character" w:styleId="Hyperlink">
    <w:name w:val="Hyperlink"/>
    <w:basedOn w:val="DefaultParagraphFont"/>
    <w:uiPriority w:val="99"/>
    <w:unhideWhenUsed/>
    <w:rsid w:val="001D4008"/>
    <w:rPr>
      <w:color w:val="467886" w:themeColor="hyperlink"/>
      <w:u w:val="single"/>
    </w:rPr>
  </w:style>
  <w:style w:type="character" w:styleId="UnresolvedMention">
    <w:name w:val="Unresolved Mention"/>
    <w:basedOn w:val="DefaultParagraphFont"/>
    <w:uiPriority w:val="99"/>
    <w:semiHidden/>
    <w:unhideWhenUsed/>
    <w:rsid w:val="00826CD0"/>
    <w:rPr>
      <w:color w:val="605E5C"/>
      <w:shd w:val="clear" w:color="auto" w:fill="E1DFDD"/>
    </w:rPr>
  </w:style>
  <w:style w:type="paragraph" w:styleId="TOC2">
    <w:name w:val="toc 2"/>
    <w:basedOn w:val="Normal"/>
    <w:next w:val="Normal"/>
    <w:autoRedefine/>
    <w:uiPriority w:val="39"/>
    <w:unhideWhenUsed/>
    <w:rsid w:val="00893CA3"/>
    <w:pPr>
      <w:spacing w:after="100"/>
      <w:ind w:left="240"/>
    </w:pPr>
  </w:style>
  <w:style w:type="paragraph" w:styleId="TOC3">
    <w:name w:val="toc 3"/>
    <w:basedOn w:val="Normal"/>
    <w:next w:val="Normal"/>
    <w:autoRedefine/>
    <w:uiPriority w:val="39"/>
    <w:unhideWhenUsed/>
    <w:rsid w:val="00CE16C1"/>
    <w:pPr>
      <w:spacing w:after="100"/>
      <w:ind w:left="480"/>
    </w:pPr>
  </w:style>
  <w:style w:type="table" w:styleId="TableGrid">
    <w:name w:val="Table Grid"/>
    <w:basedOn w:val="TableNormal"/>
    <w:uiPriority w:val="39"/>
    <w:rsid w:val="00A4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2E9C"/>
    <w:pPr>
      <w:spacing w:after="200" w:line="240" w:lineRule="auto"/>
    </w:pPr>
    <w:rPr>
      <w:i/>
      <w:iCs/>
      <w:color w:val="0E2841" w:themeColor="text2"/>
      <w:sz w:val="18"/>
      <w:szCs w:val="18"/>
    </w:rPr>
  </w:style>
  <w:style w:type="paragraph" w:styleId="NormalWeb">
    <w:name w:val="Normal (Web)"/>
    <w:basedOn w:val="Normal"/>
    <w:uiPriority w:val="99"/>
    <w:semiHidden/>
    <w:unhideWhenUsed/>
    <w:rsid w:val="002C2E9C"/>
    <w:rPr>
      <w:rFonts w:ascii="Times New Roman" w:hAnsi="Times New Roman" w:cs="Times New Roman"/>
    </w:rPr>
  </w:style>
  <w:style w:type="character" w:styleId="Strong">
    <w:name w:val="Strong"/>
    <w:basedOn w:val="DefaultParagraphFont"/>
    <w:uiPriority w:val="22"/>
    <w:qFormat/>
    <w:rsid w:val="009D4F25"/>
    <w:rPr>
      <w:b/>
      <w:bCs/>
    </w:rPr>
  </w:style>
  <w:style w:type="paragraph" w:styleId="TableofFigures">
    <w:name w:val="table of figures"/>
    <w:basedOn w:val="Normal"/>
    <w:next w:val="Normal"/>
    <w:uiPriority w:val="99"/>
    <w:unhideWhenUsed/>
    <w:rsid w:val="000C41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dn.cade.gov.br/portal-ingles/topics/leniency%20program/Applicable%20Laws/law-no-12529-2011-english-version-from-18-05-2012.pdf" TargetMode="External"/><Relationship Id="rId18" Type="http://schemas.openxmlformats.org/officeDocument/2006/relationships/hyperlink" Target="https://investor.costco.com/news/news-details/2012/Costco-Wholesale-Corporation-and-Controladora-Comercial-Mexicana-Agree-to-Transaction-Concerning-Costco-de-Mexico-06-14-2012/default.aspx" TargetMode="External"/><Relationship Id="rId26" Type="http://schemas.openxmlformats.org/officeDocument/2006/relationships/hyperlink" Target="https://www.ibge.gov.br/estatisticas/sociais/populacao/9103-estimativas-de-populacao.html" TargetMode="External"/><Relationship Id="rId39" Type="http://schemas.openxmlformats.org/officeDocument/2006/relationships/header" Target="header1.xml"/><Relationship Id="rId21" Type="http://schemas.openxmlformats.org/officeDocument/2006/relationships/hyperlink" Target="https://investor.costco.com/financials/annual-reports-and-proxy-statements/default.aspx" TargetMode="External"/><Relationship Id="rId34" Type="http://schemas.openxmlformats.org/officeDocument/2006/relationships/hyperlink" Target="https://www.theculturefactor.com/country-comparison-tool?countries=brazil%2Cthe-usa"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cb.gov.br/en/monetarypolicy/copomstatements/2658" TargetMode="External"/><Relationship Id="rId20" Type="http://schemas.openxmlformats.org/officeDocument/2006/relationships/hyperlink" Target="https://investor.costco.com/financials/annual-reports-and-proxy-statements/default.aspx" TargetMode="External"/><Relationship Id="rId29" Type="http://schemas.openxmlformats.org/officeDocument/2006/relationships/hyperlink" Target="https://www.imf.org/en/news/articles/2026/06/01/pr26179-brazil-imf-staff-completes-2026-article-iv"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br/receitafederal/pt-br/acesso-a-informacao/acoes-e-programas/programas-e-atividades/reforma-tributaria-do-consumo/marcos" TargetMode="External"/><Relationship Id="rId32" Type="http://schemas.openxmlformats.org/officeDocument/2006/relationships/hyperlink" Target="https://www.oecd.org/en/publications/oecd-economic-outlook-volume-2025-issue-2_9f653ca1-en/full-report/brazil_71db4eb2.html" TargetMode="External"/><Relationship Id="rId37" Type="http://schemas.openxmlformats.org/officeDocument/2006/relationships/hyperlink" Target="https://thedocs.worldbank.org/en/doc/e408a7e21ba62d843bdd90dc37e61b57-0500032021/related/mpo-bra.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cb.gov.br/meubc/faqs/p/um-investidor-estrangeiro-pode-participar-de-empresa-no-brasil" TargetMode="External"/><Relationship Id="rId23" Type="http://schemas.openxmlformats.org/officeDocument/2006/relationships/hyperlink" Target="https://investor.costco.com/news/news-details/2026/Costco-Wholesale-Corporation-Reports-Third-Quarter-and-Year-To-Date-Operating-Results-For-Fiscal-2026/default.aspx" TargetMode="External"/><Relationship Id="rId28" Type="http://schemas.openxmlformats.org/officeDocument/2006/relationships/hyperlink" Target="https://agenciadenoticias.ibge.gov.br/agencia-sala-de-imprensa/2013-agencia-de-noticias/releases/46917-pib-cresce-1-1-no-primeiro-trimestre-de-2026" TargetMode="External"/><Relationship Id="rId36" Type="http://schemas.openxmlformats.org/officeDocument/2006/relationships/hyperlink" Target="https://www.worldbank.org/ext/en/country/brazil" TargetMode="External"/><Relationship Id="rId10" Type="http://schemas.openxmlformats.org/officeDocument/2006/relationships/image" Target="media/image3.png"/><Relationship Id="rId19" Type="http://schemas.openxmlformats.org/officeDocument/2006/relationships/hyperlink" Target="https://investor.costco.com/news/news-details/2022/Costco-Wholesale-Corporation-Acquires-Minority-Interest-in-Costco-Taiwan-06-30-2022/default.aspx" TargetMode="External"/><Relationship Id="rId31" Type="http://schemas.openxmlformats.org/officeDocument/2006/relationships/hyperlink" Target="https://www.gov.br/mj/pt-br/assuntos/seus-direitos/consumidor/Anexos/guia-do-consumidor-estrangeiro-ingl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br/anpd/pt-br/centrais-de-conteudo/outros-documentos-e-publicacoes-institucionais/lgpd-en-lei-no-13-709-capa.pdf" TargetMode="External"/><Relationship Id="rId22" Type="http://schemas.openxmlformats.org/officeDocument/2006/relationships/hyperlink" Target="https://investor.costco.com/news/news-details/2025/Costco-Wholesale-Corporation-Reports-Fourth-Quarter-and-Fiscal-Year-2025-Operating-Results/default.aspx" TargetMode="External"/><Relationship Id="rId27" Type="http://schemas.openxmlformats.org/officeDocument/2006/relationships/hyperlink" Target="https://agenciadenoticias.ibge.gov.br/en/agencia-press-room/2185-news-agency/releases-en/45977-gdp-grows-2-3-in-2025-and-closes-the-year-at-r-12-7-trillion" TargetMode="External"/><Relationship Id="rId30" Type="http://schemas.openxmlformats.org/officeDocument/2006/relationships/hyperlink" Target="https://polcom.mercosur.int/public/ncm/vigente?lang=en" TargetMode="External"/><Relationship Id="rId35" Type="http://schemas.openxmlformats.org/officeDocument/2006/relationships/hyperlink" Target="https://www.worldbank.org/en/country/brazil/overvie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lanalto.gov.br/ccivil_03/_ato2011-2014/2013/lei/l12790.htm" TargetMode="External"/><Relationship Id="rId25" Type="http://schemas.openxmlformats.org/officeDocument/2006/relationships/hyperlink" Target="https://www.gov.br/receitafederal/pt-br/acesso-a-informacao/acoes-e-programas/programas-e-atividades/reforma-tributaria-do-consumo/orientacoes-2026" TargetMode="External"/><Relationship Id="rId33" Type="http://schemas.openxmlformats.org/officeDocument/2006/relationships/hyperlink" Target="https://www.oecd.org/en/publications/2026/04/foundations-for-growth-and-competitiveness-2026_f68a156b/full-report/brazil_7155911c.html" TargetMode="External"/><Relationship Id="rId38" Type="http://schemas.openxmlformats.org/officeDocument/2006/relationships/hyperlink" Target="https://thedocs.worldbank.org/en/doc/7ce50b5aa95bef66048680bba9926ec8-0050012026/related/GEP-Jan-2026-Analysis-LA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1611</TotalTime>
  <Pages>33</Pages>
  <Words>9237</Words>
  <Characters>52657</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Riyaben J. Prajapati</dc:creator>
  <cp:keywords/>
  <dc:description/>
  <cp:lastModifiedBy>Mitkumar Prajapati</cp:lastModifiedBy>
  <cp:revision>113</cp:revision>
  <dcterms:created xsi:type="dcterms:W3CDTF">2026-03-19T13:47:00Z</dcterms:created>
  <dcterms:modified xsi:type="dcterms:W3CDTF">2026-08-13T15:18:00Z</dcterms:modified>
</cp:coreProperties>
</file>