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45AE" w:rsidRPr="000C4076" w:rsidRDefault="007F45AE" w:rsidP="000C4076">
      <w:pPr>
        <w:pStyle w:val="NormalWeb"/>
        <w:spacing w:line="360" w:lineRule="auto"/>
        <w:rPr>
          <w:rFonts w:ascii="Arial" w:hAnsi="Arial" w:cs="Arial"/>
          <w:u w:val="single"/>
        </w:rPr>
      </w:pPr>
      <w:r w:rsidRPr="000C4076">
        <w:rPr>
          <w:rFonts w:ascii="Arial" w:hAnsi="Arial" w:cs="Arial"/>
          <w:u w:val="single"/>
        </w:rPr>
        <w:t xml:space="preserve">Introduction </w:t>
      </w:r>
    </w:p>
    <w:p w:rsidR="007F45AE" w:rsidRPr="000C4076" w:rsidRDefault="007F45AE" w:rsidP="000C4076">
      <w:pPr>
        <w:pStyle w:val="NormalWeb"/>
        <w:spacing w:line="360" w:lineRule="auto"/>
        <w:rPr>
          <w:rFonts w:ascii="Arial" w:hAnsi="Arial" w:cs="Arial"/>
        </w:rPr>
      </w:pPr>
      <w:r w:rsidRPr="000C4076">
        <w:rPr>
          <w:rFonts w:ascii="Arial" w:hAnsi="Arial" w:cs="Arial"/>
        </w:rPr>
        <w:t>Storytelling is a vital part of human life, offering a way to communicate ideas, values, and emotions, whilst also helping understand experiences and making sense of the world. In early childhood, from pre-birth to around seven years of age, storytelling is particularly impactful as it lays the foundation for essential developmental skills. During these formative years, storytelling not only enhances children’s literacy but also promotes cognitive, social, and emotional growth. Additionally, in today’s digital age, storytelling serves as a bridge to digital literacy, helping young children navigate and understand technology in a meaningful way.</w:t>
      </w:r>
    </w:p>
    <w:p w:rsidR="007F45AE" w:rsidRPr="000C4076" w:rsidRDefault="007F45AE" w:rsidP="000C4076">
      <w:pPr>
        <w:pStyle w:val="NormalWeb"/>
        <w:spacing w:line="360" w:lineRule="auto"/>
        <w:rPr>
          <w:rFonts w:ascii="Arial" w:hAnsi="Arial" w:cs="Arial"/>
        </w:rPr>
      </w:pPr>
      <w:r w:rsidRPr="000C4076">
        <w:rPr>
          <w:rFonts w:ascii="Arial" w:hAnsi="Arial" w:cs="Arial"/>
        </w:rPr>
        <w:t>This exploration will highlight the numerous benefits of storytelling in early childhood and discuss its powerful role in nurturing literacy and supporting early digital literacy development. Furthermore, it will analyse storytelling practices observed during presentations, examining differences between traditional storytelling methods and digital storytelling approaches. This comparison will shed light on how each approach influences children’s engagement and learning experiences.</w:t>
      </w:r>
    </w:p>
    <w:p w:rsidR="00E26043" w:rsidRPr="000C4076" w:rsidRDefault="00E26043" w:rsidP="000C4076">
      <w:pPr>
        <w:pStyle w:val="NormalWeb"/>
        <w:spacing w:line="360" w:lineRule="auto"/>
        <w:rPr>
          <w:rFonts w:ascii="Arial" w:hAnsi="Arial" w:cs="Arial"/>
          <w:u w:val="single"/>
        </w:rPr>
      </w:pPr>
      <w:r w:rsidRPr="000C4076">
        <w:rPr>
          <w:rFonts w:ascii="Arial" w:hAnsi="Arial" w:cs="Arial"/>
          <w:u w:val="single"/>
        </w:rPr>
        <w:t>Benefits of storytelling.</w:t>
      </w:r>
    </w:p>
    <w:p w:rsidR="00EA4211" w:rsidRPr="000C4076" w:rsidRDefault="00EA4211" w:rsidP="000C4076">
      <w:pPr>
        <w:pStyle w:val="NormalWeb"/>
        <w:spacing w:line="360" w:lineRule="auto"/>
        <w:rPr>
          <w:rFonts w:ascii="Arial" w:hAnsi="Arial" w:cs="Arial"/>
        </w:rPr>
      </w:pPr>
      <w:r w:rsidRPr="000C4076">
        <w:rPr>
          <w:rFonts w:ascii="Arial" w:hAnsi="Arial" w:cs="Arial"/>
        </w:rPr>
        <w:t xml:space="preserve">Research consistently shows that early exposure to books plays a vital role in cognitive, language, and social development in children. </w:t>
      </w:r>
      <w:r w:rsidR="00C01F83" w:rsidRPr="000C4076">
        <w:rPr>
          <w:rFonts w:ascii="Arial" w:hAnsi="Arial" w:cs="Arial"/>
        </w:rPr>
        <w:t xml:space="preserve">Introducing </w:t>
      </w:r>
      <w:r w:rsidRPr="000C4076">
        <w:rPr>
          <w:rFonts w:ascii="Arial" w:hAnsi="Arial" w:cs="Arial"/>
        </w:rPr>
        <w:t>books early in life not only boosts vocabulary and comprehension but also fosters emotional bonding and social skills.</w:t>
      </w:r>
      <w:r w:rsidRPr="000C4076">
        <w:rPr>
          <w:rFonts w:ascii="Arial" w:hAnsi="Arial" w:cs="Arial"/>
        </w:rPr>
        <w:br/>
        <w:t xml:space="preserve">According to the American Academy of </w:t>
      </w:r>
      <w:r w:rsidR="00C01F83" w:rsidRPr="000C4076">
        <w:rPr>
          <w:rFonts w:ascii="Arial" w:hAnsi="Arial" w:cs="Arial"/>
        </w:rPr>
        <w:t>Paediatrics</w:t>
      </w:r>
      <w:r w:rsidRPr="000C4076">
        <w:rPr>
          <w:rFonts w:ascii="Arial" w:hAnsi="Arial" w:cs="Arial"/>
        </w:rPr>
        <w:t>, reading aloud to infants and toddlers significantly enhances language acquisition, literacy skills, and attention span. When caregivers and children read together, children develop a strong association between reading and pleasure, which fosters a positive attitude toward books and learning (High et al., 2014). Furthermore, early exposure to books helps in building a rich vocabulary and improving linguistic comprehension (</w:t>
      </w:r>
      <w:proofErr w:type="spellStart"/>
      <w:r w:rsidRPr="000C4076">
        <w:rPr>
          <w:rFonts w:ascii="Arial" w:hAnsi="Arial" w:cs="Arial"/>
        </w:rPr>
        <w:t>Mol</w:t>
      </w:r>
      <w:proofErr w:type="spellEnd"/>
      <w:r w:rsidRPr="000C4076">
        <w:rPr>
          <w:rFonts w:ascii="Arial" w:hAnsi="Arial" w:cs="Arial"/>
        </w:rPr>
        <w:t xml:space="preserve"> &amp; Bus, 2011). Studies show that children exposed to reading at a young age tend to perform better in language-related tasks when they enter school, as their brains are primed for understanding sounds, letters, and meaning. Social-emotionally, early book exposure aids in empathy development. Stories allow children to experience perspectives beyond their own, supporting empathy and emotional regulation (Aram </w:t>
      </w:r>
      <w:r w:rsidRPr="000C4076">
        <w:rPr>
          <w:rFonts w:ascii="Arial" w:hAnsi="Arial" w:cs="Arial"/>
        </w:rPr>
        <w:lastRenderedPageBreak/>
        <w:t xml:space="preserve">&amp; </w:t>
      </w:r>
      <w:proofErr w:type="spellStart"/>
      <w:r w:rsidRPr="000C4076">
        <w:rPr>
          <w:rFonts w:ascii="Arial" w:hAnsi="Arial" w:cs="Arial"/>
        </w:rPr>
        <w:t>Aviram</w:t>
      </w:r>
      <w:proofErr w:type="spellEnd"/>
      <w:r w:rsidRPr="000C4076">
        <w:rPr>
          <w:rFonts w:ascii="Arial" w:hAnsi="Arial" w:cs="Arial"/>
        </w:rPr>
        <w:t xml:space="preserve">, 2009). The American Psychological Association notes that these early reading experiences create a platform for children to understand and name emotions, ultimately enhancing their social skills and confidence in interactions. In education, storytelling </w:t>
      </w:r>
      <w:proofErr w:type="gramStart"/>
      <w:r w:rsidRPr="000C4076">
        <w:rPr>
          <w:rFonts w:ascii="Arial" w:hAnsi="Arial" w:cs="Arial"/>
        </w:rPr>
        <w:t>has been shown</w:t>
      </w:r>
      <w:proofErr w:type="gramEnd"/>
      <w:r w:rsidRPr="000C4076">
        <w:rPr>
          <w:rFonts w:ascii="Arial" w:hAnsi="Arial" w:cs="Arial"/>
        </w:rPr>
        <w:t xml:space="preserve"> to enhance children’s language skills, critical thinking, and comprehension. For example, Isbell et al. (2004) found that storytelling in early education settings improved children’s oral language complexity and story comprehension compared to traditional story reading (Isbell et </w:t>
      </w:r>
      <w:r w:rsidR="00C01F83" w:rsidRPr="000C4076">
        <w:rPr>
          <w:rFonts w:ascii="Arial" w:hAnsi="Arial" w:cs="Arial"/>
        </w:rPr>
        <w:t xml:space="preserve">al., 2004). Storytelling </w:t>
      </w:r>
      <w:proofErr w:type="gramStart"/>
      <w:r w:rsidR="00C01F83" w:rsidRPr="000C4076">
        <w:rPr>
          <w:rFonts w:ascii="Arial" w:hAnsi="Arial" w:cs="Arial"/>
        </w:rPr>
        <w:t>is</w:t>
      </w:r>
      <w:r w:rsidRPr="000C4076">
        <w:rPr>
          <w:rFonts w:ascii="Arial" w:hAnsi="Arial" w:cs="Arial"/>
        </w:rPr>
        <w:t xml:space="preserve"> seen</w:t>
      </w:r>
      <w:proofErr w:type="gramEnd"/>
      <w:r w:rsidRPr="000C4076">
        <w:rPr>
          <w:rFonts w:ascii="Arial" w:hAnsi="Arial" w:cs="Arial"/>
        </w:rPr>
        <w:t xml:space="preserve"> as a valuable pedagogical tool for literacy development, helping young </w:t>
      </w:r>
      <w:r w:rsidR="00C01F83" w:rsidRPr="000C4076">
        <w:rPr>
          <w:rFonts w:ascii="Arial" w:hAnsi="Arial" w:cs="Arial"/>
        </w:rPr>
        <w:t>learner’s</w:t>
      </w:r>
      <w:r w:rsidRPr="000C4076">
        <w:rPr>
          <w:rFonts w:ascii="Arial" w:hAnsi="Arial" w:cs="Arial"/>
        </w:rPr>
        <w:t xml:space="preserve"> gain emotional understanding and social competence (Cooper, 2005).</w:t>
      </w:r>
    </w:p>
    <w:p w:rsidR="00EA4211" w:rsidRPr="000C4076" w:rsidRDefault="00EA4211" w:rsidP="000C4076">
      <w:pPr>
        <w:pStyle w:val="NormalWeb"/>
        <w:spacing w:line="360" w:lineRule="auto"/>
        <w:rPr>
          <w:rFonts w:ascii="Arial" w:hAnsi="Arial" w:cs="Arial"/>
        </w:rPr>
      </w:pPr>
      <w:r w:rsidRPr="000C4076">
        <w:rPr>
          <w:rFonts w:ascii="Arial" w:hAnsi="Arial" w:cs="Arial"/>
        </w:rPr>
        <w:t xml:space="preserve">Therapeutically, storytelling </w:t>
      </w:r>
      <w:proofErr w:type="gramStart"/>
      <w:r w:rsidRPr="000C4076">
        <w:rPr>
          <w:rFonts w:ascii="Arial" w:hAnsi="Arial" w:cs="Arial"/>
        </w:rPr>
        <w:t>has been applied</w:t>
      </w:r>
      <w:proofErr w:type="gramEnd"/>
      <w:r w:rsidRPr="000C4076">
        <w:rPr>
          <w:rFonts w:ascii="Arial" w:hAnsi="Arial" w:cs="Arial"/>
        </w:rPr>
        <w:t xml:space="preserve"> in mental health to aid in processing trauma, reducing anxiety, and increasing self-esteem. </w:t>
      </w:r>
      <w:proofErr w:type="spellStart"/>
      <w:r w:rsidRPr="000C4076">
        <w:rPr>
          <w:rFonts w:ascii="Arial" w:hAnsi="Arial" w:cs="Arial"/>
        </w:rPr>
        <w:t>Pennebaker</w:t>
      </w:r>
      <w:proofErr w:type="spellEnd"/>
      <w:r w:rsidRPr="000C4076">
        <w:rPr>
          <w:rFonts w:ascii="Arial" w:hAnsi="Arial" w:cs="Arial"/>
        </w:rPr>
        <w:t xml:space="preserve"> and </w:t>
      </w:r>
      <w:proofErr w:type="spellStart"/>
      <w:r w:rsidRPr="000C4076">
        <w:rPr>
          <w:rFonts w:ascii="Arial" w:hAnsi="Arial" w:cs="Arial"/>
        </w:rPr>
        <w:t>Seagal</w:t>
      </w:r>
      <w:proofErr w:type="spellEnd"/>
      <w:r w:rsidRPr="000C4076">
        <w:rPr>
          <w:rFonts w:ascii="Arial" w:hAnsi="Arial" w:cs="Arial"/>
        </w:rPr>
        <w:t xml:space="preserve"> (1999) demonstrated that narrative formation </w:t>
      </w:r>
      <w:proofErr w:type="gramStart"/>
      <w:r w:rsidRPr="000C4076">
        <w:rPr>
          <w:rFonts w:ascii="Arial" w:hAnsi="Arial" w:cs="Arial"/>
        </w:rPr>
        <w:t>can</w:t>
      </w:r>
      <w:proofErr w:type="gramEnd"/>
      <w:r w:rsidRPr="000C4076">
        <w:rPr>
          <w:rFonts w:ascii="Arial" w:hAnsi="Arial" w:cs="Arial"/>
        </w:rPr>
        <w:t xml:space="preserve"> provide substantial health benefits, such as reducing stress and enhancing emotional regulation (</w:t>
      </w:r>
      <w:proofErr w:type="spellStart"/>
      <w:r w:rsidRPr="000C4076">
        <w:rPr>
          <w:rFonts w:ascii="Arial" w:hAnsi="Arial" w:cs="Arial"/>
        </w:rPr>
        <w:t>Pennebaker</w:t>
      </w:r>
      <w:proofErr w:type="spellEnd"/>
      <w:r w:rsidRPr="000C4076">
        <w:rPr>
          <w:rFonts w:ascii="Arial" w:hAnsi="Arial" w:cs="Arial"/>
        </w:rPr>
        <w:t xml:space="preserve"> &amp; </w:t>
      </w:r>
      <w:proofErr w:type="spellStart"/>
      <w:r w:rsidRPr="000C4076">
        <w:rPr>
          <w:rFonts w:ascii="Arial" w:hAnsi="Arial" w:cs="Arial"/>
        </w:rPr>
        <w:t>Seagal</w:t>
      </w:r>
      <w:proofErr w:type="spellEnd"/>
      <w:r w:rsidRPr="000C4076">
        <w:rPr>
          <w:rFonts w:ascii="Arial" w:hAnsi="Arial" w:cs="Arial"/>
        </w:rPr>
        <w:t xml:space="preserve">, 1999). White and </w:t>
      </w:r>
      <w:proofErr w:type="spellStart"/>
      <w:r w:rsidRPr="000C4076">
        <w:rPr>
          <w:rFonts w:ascii="Arial" w:hAnsi="Arial" w:cs="Arial"/>
        </w:rPr>
        <w:t>Epston’s</w:t>
      </w:r>
      <w:proofErr w:type="spellEnd"/>
      <w:r w:rsidRPr="000C4076">
        <w:rPr>
          <w:rFonts w:ascii="Arial" w:hAnsi="Arial" w:cs="Arial"/>
        </w:rPr>
        <w:t xml:space="preserve"> work (1990) also emphasized storytelling’s role in narrative therapy, helping individuals reconstruct identities in empowering ways by reshaping their personal narratives (White &amp; </w:t>
      </w:r>
      <w:proofErr w:type="spellStart"/>
      <w:r w:rsidRPr="000C4076">
        <w:rPr>
          <w:rFonts w:ascii="Arial" w:hAnsi="Arial" w:cs="Arial"/>
        </w:rPr>
        <w:t>Epston</w:t>
      </w:r>
      <w:proofErr w:type="spellEnd"/>
      <w:r w:rsidRPr="000C4076">
        <w:rPr>
          <w:rFonts w:ascii="Arial" w:hAnsi="Arial" w:cs="Arial"/>
        </w:rPr>
        <w:t>, 1990).</w:t>
      </w:r>
    </w:p>
    <w:p w:rsidR="00EA4211" w:rsidRPr="000C4076" w:rsidRDefault="00EA4211" w:rsidP="000C4076">
      <w:pPr>
        <w:pStyle w:val="NormalWeb"/>
        <w:spacing w:line="360" w:lineRule="auto"/>
        <w:rPr>
          <w:rFonts w:ascii="Arial" w:hAnsi="Arial" w:cs="Arial"/>
        </w:rPr>
      </w:pPr>
      <w:r w:rsidRPr="000C4076">
        <w:rPr>
          <w:rFonts w:ascii="Arial" w:hAnsi="Arial" w:cs="Arial"/>
        </w:rPr>
        <w:t xml:space="preserve">In organizational contexts, storytelling </w:t>
      </w:r>
      <w:proofErr w:type="gramStart"/>
      <w:r w:rsidRPr="000C4076">
        <w:rPr>
          <w:rFonts w:ascii="Arial" w:hAnsi="Arial" w:cs="Arial"/>
        </w:rPr>
        <w:t>is used</w:t>
      </w:r>
      <w:proofErr w:type="gramEnd"/>
      <w:r w:rsidRPr="000C4076">
        <w:rPr>
          <w:rFonts w:ascii="Arial" w:hAnsi="Arial" w:cs="Arial"/>
        </w:rPr>
        <w:t xml:space="preserve"> to build trust, clarify goals, and improve team cohesion. Denning (2005) argued that storytelling is essential for effective leadership, helping leaders communicate values and inspire action within their teams (Denning, 2005). Simmons (2001) further explored storytelling as a tool in leadership strategy, noting its value in fostering empathy and establishing a shared purpose among team members (Simmons, 2001).</w:t>
      </w:r>
    </w:p>
    <w:p w:rsidR="00E26043" w:rsidRPr="000C4076" w:rsidRDefault="00E26043" w:rsidP="000C4076">
      <w:pPr>
        <w:spacing w:line="360" w:lineRule="auto"/>
        <w:rPr>
          <w:rFonts w:ascii="Arial" w:hAnsi="Arial" w:cs="Arial"/>
          <w:sz w:val="24"/>
          <w:szCs w:val="24"/>
          <w:u w:val="single"/>
        </w:rPr>
      </w:pPr>
      <w:r w:rsidRPr="000C4076">
        <w:rPr>
          <w:rFonts w:ascii="Arial" w:hAnsi="Arial" w:cs="Arial"/>
          <w:sz w:val="24"/>
          <w:szCs w:val="24"/>
          <w:u w:val="single"/>
        </w:rPr>
        <w:t xml:space="preserve">Children’s literacy in storytelling. </w:t>
      </w:r>
    </w:p>
    <w:p w:rsidR="00271EAE" w:rsidRPr="000C4076" w:rsidRDefault="00271EAE" w:rsidP="000C4076">
      <w:pPr>
        <w:pStyle w:val="NormalWeb"/>
        <w:spacing w:line="360" w:lineRule="auto"/>
        <w:rPr>
          <w:rFonts w:ascii="Arial" w:hAnsi="Arial" w:cs="Arial"/>
        </w:rPr>
      </w:pPr>
      <w:r w:rsidRPr="000C4076">
        <w:rPr>
          <w:rFonts w:ascii="Arial" w:hAnsi="Arial" w:cs="Arial"/>
        </w:rPr>
        <w:t xml:space="preserve">Children's literacy development </w:t>
      </w:r>
      <w:proofErr w:type="gramStart"/>
      <w:r w:rsidRPr="000C4076">
        <w:rPr>
          <w:rFonts w:ascii="Arial" w:hAnsi="Arial" w:cs="Arial"/>
        </w:rPr>
        <w:t>is significantly enhanced</w:t>
      </w:r>
      <w:proofErr w:type="gramEnd"/>
      <w:r w:rsidRPr="000C4076">
        <w:rPr>
          <w:rFonts w:ascii="Arial" w:hAnsi="Arial" w:cs="Arial"/>
        </w:rPr>
        <w:t xml:space="preserve"> through storytelling. Engaging with narratives fosters a range of skills that are critical for literacy. For instance, storytelling introduces new vocabulary in context, which helps children grasp the meanings and uses of words (Fisher, 2004). This exposure leads to vocabulary expansion, a key component of literacy development (</w:t>
      </w:r>
      <w:proofErr w:type="spellStart"/>
      <w:r w:rsidRPr="000C4076">
        <w:rPr>
          <w:rFonts w:ascii="Arial" w:hAnsi="Arial" w:cs="Arial"/>
        </w:rPr>
        <w:t>Nippold</w:t>
      </w:r>
      <w:proofErr w:type="spellEnd"/>
      <w:r w:rsidRPr="000C4076">
        <w:rPr>
          <w:rFonts w:ascii="Arial" w:hAnsi="Arial" w:cs="Arial"/>
        </w:rPr>
        <w:t xml:space="preserve">, 2007). Additionally picture books help develop visual literacy skills, allowing children to interpret and analyse images. The illustrations often provide context clues that enhance understanding and help children make assumptions about the story </w:t>
      </w:r>
      <w:r w:rsidRPr="000C4076">
        <w:rPr>
          <w:rFonts w:ascii="Arial" w:hAnsi="Arial" w:cs="Arial"/>
        </w:rPr>
        <w:lastRenderedPageBreak/>
        <w:t>(</w:t>
      </w:r>
      <w:proofErr w:type="spellStart"/>
      <w:r w:rsidRPr="000C4076">
        <w:rPr>
          <w:rFonts w:ascii="Arial" w:hAnsi="Arial" w:cs="Arial"/>
        </w:rPr>
        <w:t>Serafini</w:t>
      </w:r>
      <w:proofErr w:type="spellEnd"/>
      <w:r w:rsidRPr="000C4076">
        <w:rPr>
          <w:rFonts w:ascii="Arial" w:hAnsi="Arial" w:cs="Arial"/>
        </w:rPr>
        <w:t>, 2011). This ability in understanding visual information is increasingly important in a world where visual media is common.</w:t>
      </w:r>
      <w:r w:rsidR="00CC6A09" w:rsidRPr="000C4076">
        <w:rPr>
          <w:rFonts w:ascii="Arial" w:hAnsi="Arial" w:cs="Arial"/>
        </w:rPr>
        <w:t xml:space="preserve"> </w:t>
      </w:r>
      <w:r w:rsidRPr="000C4076">
        <w:rPr>
          <w:rFonts w:ascii="Arial" w:hAnsi="Arial" w:cs="Arial"/>
        </w:rPr>
        <w:t>Additionally, storytelling enhances comprehension skills. As children engage with stories, they think critically about characters, plots, and settings, improving their understanding (</w:t>
      </w:r>
      <w:proofErr w:type="gramStart"/>
      <w:r w:rsidRPr="000C4076">
        <w:rPr>
          <w:rFonts w:ascii="Arial" w:hAnsi="Arial" w:cs="Arial"/>
        </w:rPr>
        <w:t>Duke &amp;</w:t>
      </w:r>
      <w:proofErr w:type="gramEnd"/>
      <w:r w:rsidRPr="000C4076">
        <w:rPr>
          <w:rFonts w:ascii="Arial" w:hAnsi="Arial" w:cs="Arial"/>
        </w:rPr>
        <w:t xml:space="preserve"> Pearson, 2002). Listening and attention skills </w:t>
      </w:r>
      <w:proofErr w:type="gramStart"/>
      <w:r w:rsidRPr="000C4076">
        <w:rPr>
          <w:rFonts w:ascii="Arial" w:hAnsi="Arial" w:cs="Arial"/>
        </w:rPr>
        <w:t>are also developed</w:t>
      </w:r>
      <w:proofErr w:type="gramEnd"/>
      <w:r w:rsidRPr="000C4076">
        <w:rPr>
          <w:rFonts w:ascii="Arial" w:hAnsi="Arial" w:cs="Arial"/>
        </w:rPr>
        <w:t xml:space="preserve"> through storytelling, as children learn to focus on narratives, which is essential for later reading comprehension (Baker et al., 2008).</w:t>
      </w:r>
      <w:r w:rsidR="00CC6A09" w:rsidRPr="000C4076">
        <w:rPr>
          <w:rFonts w:ascii="Arial" w:hAnsi="Arial" w:cs="Arial"/>
        </w:rPr>
        <w:t xml:space="preserve"> </w:t>
      </w:r>
      <w:r w:rsidRPr="000C4076">
        <w:rPr>
          <w:rFonts w:ascii="Arial" w:hAnsi="Arial" w:cs="Arial"/>
        </w:rPr>
        <w:t xml:space="preserve">Storytelling teaches children about narrative structure, including elements such as the beginning, middle, and end (Berk &amp; </w:t>
      </w:r>
      <w:proofErr w:type="spellStart"/>
      <w:r w:rsidRPr="000C4076">
        <w:rPr>
          <w:rFonts w:ascii="Arial" w:hAnsi="Arial" w:cs="Arial"/>
        </w:rPr>
        <w:t>Winsler</w:t>
      </w:r>
      <w:proofErr w:type="spellEnd"/>
      <w:r w:rsidRPr="000C4076">
        <w:rPr>
          <w:rFonts w:ascii="Arial" w:hAnsi="Arial" w:cs="Arial"/>
        </w:rPr>
        <w:t>, 1995). This knowledge is foundational for their writing and storytelling abilities. Furthermore, stories stimulate creativity and imagination, allowing children to envision various scenarios, characters, and outcomes, which can inspire their own writing (Lindgren, 2005).</w:t>
      </w:r>
      <w:r w:rsidR="00CC6A09" w:rsidRPr="000C4076">
        <w:rPr>
          <w:rFonts w:ascii="Arial" w:hAnsi="Arial" w:cs="Arial"/>
        </w:rPr>
        <w:t xml:space="preserve"> </w:t>
      </w:r>
      <w:r w:rsidRPr="000C4076">
        <w:rPr>
          <w:rFonts w:ascii="Arial" w:hAnsi="Arial" w:cs="Arial"/>
        </w:rPr>
        <w:t>Moreover, storytelling often reflects cultural backgrounds and experiences, providing children with insights into different perspectives and fostering empathy (</w:t>
      </w:r>
      <w:proofErr w:type="spellStart"/>
      <w:r w:rsidRPr="000C4076">
        <w:rPr>
          <w:rFonts w:ascii="Arial" w:hAnsi="Arial" w:cs="Arial"/>
        </w:rPr>
        <w:t>Nicolopoulou</w:t>
      </w:r>
      <w:proofErr w:type="spellEnd"/>
      <w:r w:rsidRPr="000C4076">
        <w:rPr>
          <w:rFonts w:ascii="Arial" w:hAnsi="Arial" w:cs="Arial"/>
        </w:rPr>
        <w:t>, 1993). Engaging with stories fosters a love for reading and literature, encouraging children to explore books and narratives independently (Vygotsky, 1978).</w:t>
      </w:r>
      <w:r w:rsidR="00CC6A09" w:rsidRPr="000C4076">
        <w:rPr>
          <w:rFonts w:ascii="Arial" w:hAnsi="Arial" w:cs="Arial"/>
        </w:rPr>
        <w:t xml:space="preserve"> </w:t>
      </w:r>
      <w:r w:rsidRPr="000C4076">
        <w:rPr>
          <w:rFonts w:ascii="Arial" w:hAnsi="Arial" w:cs="Arial"/>
        </w:rPr>
        <w:t>Storytelling also creates opportunities for shared experiences between adults and children, promoting bonding and discussion about the content, which further enhances comprehension and critical thinking (</w:t>
      </w:r>
      <w:proofErr w:type="spellStart"/>
      <w:r w:rsidRPr="000C4076">
        <w:rPr>
          <w:rFonts w:ascii="Arial" w:hAnsi="Arial" w:cs="Arial"/>
        </w:rPr>
        <w:t>Hargrave</w:t>
      </w:r>
      <w:proofErr w:type="spellEnd"/>
      <w:r w:rsidRPr="000C4076">
        <w:rPr>
          <w:rFonts w:ascii="Arial" w:hAnsi="Arial" w:cs="Arial"/>
        </w:rPr>
        <w:t xml:space="preserve"> &amp; </w:t>
      </w:r>
      <w:proofErr w:type="spellStart"/>
      <w:r w:rsidRPr="000C4076">
        <w:rPr>
          <w:rFonts w:ascii="Arial" w:hAnsi="Arial" w:cs="Arial"/>
        </w:rPr>
        <w:t>Sénéchal</w:t>
      </w:r>
      <w:proofErr w:type="spellEnd"/>
      <w:r w:rsidRPr="000C4076">
        <w:rPr>
          <w:rFonts w:ascii="Arial" w:hAnsi="Arial" w:cs="Arial"/>
        </w:rPr>
        <w:t>, 2000).</w:t>
      </w:r>
      <w:r w:rsidR="00CC6A09" w:rsidRPr="000C4076">
        <w:rPr>
          <w:rFonts w:ascii="Arial" w:hAnsi="Arial" w:cs="Arial"/>
        </w:rPr>
        <w:t xml:space="preserve"> </w:t>
      </w:r>
      <w:r w:rsidRPr="000C4076">
        <w:rPr>
          <w:rFonts w:ascii="Arial" w:hAnsi="Arial" w:cs="Arial"/>
        </w:rPr>
        <w:t>Incorporating storytelling into daily routines can significantly benefit children's literacy development while making the learning process enjoyable and interactive.</w:t>
      </w:r>
    </w:p>
    <w:p w:rsidR="00E26043" w:rsidRPr="000C4076" w:rsidRDefault="00E26043" w:rsidP="000C4076">
      <w:pPr>
        <w:spacing w:line="360" w:lineRule="auto"/>
        <w:rPr>
          <w:rFonts w:ascii="Arial" w:hAnsi="Arial" w:cs="Arial"/>
          <w:sz w:val="24"/>
          <w:szCs w:val="24"/>
          <w:u w:val="single"/>
        </w:rPr>
      </w:pPr>
    </w:p>
    <w:p w:rsidR="00E26043" w:rsidRPr="000C4076" w:rsidRDefault="00E26043" w:rsidP="000C4076">
      <w:pPr>
        <w:spacing w:line="360" w:lineRule="auto"/>
        <w:rPr>
          <w:rFonts w:ascii="Arial" w:hAnsi="Arial" w:cs="Arial"/>
          <w:sz w:val="24"/>
          <w:szCs w:val="24"/>
          <w:u w:val="single"/>
        </w:rPr>
      </w:pPr>
      <w:r w:rsidRPr="000C4076">
        <w:rPr>
          <w:rFonts w:ascii="Arial" w:hAnsi="Arial" w:cs="Arial"/>
          <w:sz w:val="24"/>
          <w:szCs w:val="24"/>
          <w:u w:val="single"/>
        </w:rPr>
        <w:t>Development of digital literacy.</w:t>
      </w:r>
    </w:p>
    <w:p w:rsidR="00CC6A09" w:rsidRPr="000C4076" w:rsidRDefault="00CC6A09" w:rsidP="000C4076">
      <w:pPr>
        <w:pStyle w:val="NormalWeb"/>
        <w:spacing w:line="360" w:lineRule="auto"/>
        <w:rPr>
          <w:rFonts w:ascii="Arial" w:hAnsi="Arial" w:cs="Arial"/>
        </w:rPr>
      </w:pPr>
      <w:r w:rsidRPr="000C4076">
        <w:rPr>
          <w:rFonts w:ascii="Arial" w:hAnsi="Arial" w:cs="Arial"/>
        </w:rPr>
        <w:t xml:space="preserve">The development of digital literacy in children aged 0 to 7 involves several key aspects. Digital literacy encompasses skills such as accessing, managing, evaluating, and creating information using digital technologies, as defined by Hague and Payton (2010). Engaging with digital content can enhance cognitive and social skills, including critical thinking, </w:t>
      </w:r>
      <w:proofErr w:type="gramStart"/>
      <w:r w:rsidRPr="000C4076">
        <w:rPr>
          <w:rFonts w:ascii="Arial" w:hAnsi="Arial" w:cs="Arial"/>
        </w:rPr>
        <w:t>problem-solving</w:t>
      </w:r>
      <w:proofErr w:type="gramEnd"/>
      <w:r w:rsidRPr="000C4076">
        <w:rPr>
          <w:rFonts w:ascii="Arial" w:hAnsi="Arial" w:cs="Arial"/>
        </w:rPr>
        <w:t xml:space="preserve">, and communication, according to Marsh et al. (2015). Play is an essential part of early learning, and digital play supports literacy and numeracy while encouraging creativity. This type of play should complement traditional play experiences to maximize learning outcomes. Equity in access to technology is also significant. Disparities in technology access can </w:t>
      </w:r>
      <w:proofErr w:type="gramStart"/>
      <w:r w:rsidRPr="000C4076">
        <w:rPr>
          <w:rFonts w:ascii="Arial" w:hAnsi="Arial" w:cs="Arial"/>
        </w:rPr>
        <w:t>impact</w:t>
      </w:r>
      <w:proofErr w:type="gramEnd"/>
      <w:r w:rsidRPr="000C4076">
        <w:rPr>
          <w:rFonts w:ascii="Arial" w:hAnsi="Arial" w:cs="Arial"/>
        </w:rPr>
        <w:t xml:space="preserve"> </w:t>
      </w:r>
      <w:r w:rsidRPr="000C4076">
        <w:rPr>
          <w:rFonts w:ascii="Arial" w:hAnsi="Arial" w:cs="Arial"/>
        </w:rPr>
        <w:lastRenderedPageBreak/>
        <w:t xml:space="preserve">the development of digital literacy, as highlighted by Livingstone et al. (2017). Selecting appropriate and educational resources is </w:t>
      </w:r>
      <w:proofErr w:type="gramStart"/>
      <w:r w:rsidRPr="000C4076">
        <w:rPr>
          <w:rFonts w:ascii="Arial" w:hAnsi="Arial" w:cs="Arial"/>
        </w:rPr>
        <w:t>essential,</w:t>
      </w:r>
      <w:proofErr w:type="gramEnd"/>
      <w:r w:rsidRPr="000C4076">
        <w:rPr>
          <w:rFonts w:ascii="Arial" w:hAnsi="Arial" w:cs="Arial"/>
        </w:rPr>
        <w:t xml:space="preserve"> furthermore, teaching young children about online safety is critical, as outlined by Common Sense Media (2018). To foster digital literacy effectively, educators should integrate digital literacy into the curriculum across all subject areas, as recommended by the International Society for Technology in Education (2017). Additionally, teachers need professional development to learn how </w:t>
      </w:r>
      <w:proofErr w:type="gramStart"/>
      <w:r w:rsidRPr="000C4076">
        <w:rPr>
          <w:rFonts w:ascii="Arial" w:hAnsi="Arial" w:cs="Arial"/>
        </w:rPr>
        <w:t>to effectively use</w:t>
      </w:r>
      <w:proofErr w:type="gramEnd"/>
      <w:r w:rsidRPr="000C4076">
        <w:rPr>
          <w:rFonts w:ascii="Arial" w:hAnsi="Arial" w:cs="Arial"/>
        </w:rPr>
        <w:t xml:space="preserve"> digital tools and resources in their teaching practices (Berk, 2016).</w:t>
      </w:r>
    </w:p>
    <w:p w:rsidR="00933046" w:rsidRPr="000C4076" w:rsidRDefault="00C52790" w:rsidP="000C4076">
      <w:pPr>
        <w:pStyle w:val="NormalWeb"/>
        <w:spacing w:line="360" w:lineRule="auto"/>
        <w:rPr>
          <w:rFonts w:ascii="Arial" w:hAnsi="Arial" w:cs="Arial"/>
        </w:rPr>
      </w:pPr>
      <w:r w:rsidRPr="000C4076">
        <w:rPr>
          <w:rFonts w:ascii="Arial" w:hAnsi="Arial" w:cs="Arial"/>
        </w:rPr>
        <w:t xml:space="preserve">Here are three practices observed during the two presentations, beginning with visual appeal </w:t>
      </w:r>
      <w:r w:rsidR="00BF6631" w:rsidRPr="000C4076">
        <w:rPr>
          <w:rFonts w:ascii="Arial" w:hAnsi="Arial" w:cs="Arial"/>
        </w:rPr>
        <w:t>- I</w:t>
      </w:r>
      <w:r w:rsidR="00933046" w:rsidRPr="000C4076">
        <w:rPr>
          <w:rFonts w:ascii="Arial" w:hAnsi="Arial" w:cs="Arial"/>
        </w:rPr>
        <w:t xml:space="preserve"> find that physical books often have a stronger visual appeal compared to digital ones, particularly when it comes t</w:t>
      </w:r>
      <w:r w:rsidRPr="000C4076">
        <w:rPr>
          <w:rFonts w:ascii="Arial" w:hAnsi="Arial" w:cs="Arial"/>
        </w:rPr>
        <w:t>o image vibrancy</w:t>
      </w:r>
      <w:r w:rsidR="00933046" w:rsidRPr="000C4076">
        <w:rPr>
          <w:rFonts w:ascii="Arial" w:hAnsi="Arial" w:cs="Arial"/>
        </w:rPr>
        <w:t xml:space="preserve">. Research in digital media aesthetics supports this observation, noting that physical books—with their stable, </w:t>
      </w:r>
      <w:r w:rsidRPr="000C4076">
        <w:rPr>
          <w:rFonts w:ascii="Arial" w:hAnsi="Arial" w:cs="Arial"/>
        </w:rPr>
        <w:t xml:space="preserve">high-quality </w:t>
      </w:r>
      <w:r w:rsidR="00BF6631" w:rsidRPr="000C4076">
        <w:rPr>
          <w:rFonts w:ascii="Arial" w:hAnsi="Arial" w:cs="Arial"/>
        </w:rPr>
        <w:t>colour</w:t>
      </w:r>
      <w:r w:rsidRPr="000C4076">
        <w:rPr>
          <w:rFonts w:ascii="Arial" w:hAnsi="Arial" w:cs="Arial"/>
        </w:rPr>
        <w:t xml:space="preserve"> </w:t>
      </w:r>
      <w:r w:rsidR="00933046" w:rsidRPr="000C4076">
        <w:rPr>
          <w:rFonts w:ascii="Arial" w:hAnsi="Arial" w:cs="Arial"/>
        </w:rPr>
        <w:t xml:space="preserve">offer a more engaging visual experience (Smith, 2020). In contrast, e-books can suffer from screen limitations, like brightness and </w:t>
      </w:r>
      <w:r w:rsidR="00BF6631" w:rsidRPr="000C4076">
        <w:rPr>
          <w:rFonts w:ascii="Arial" w:hAnsi="Arial" w:cs="Arial"/>
        </w:rPr>
        <w:t>colour</w:t>
      </w:r>
      <w:r w:rsidR="00933046" w:rsidRPr="000C4076">
        <w:rPr>
          <w:rFonts w:ascii="Arial" w:hAnsi="Arial" w:cs="Arial"/>
        </w:rPr>
        <w:t xml:space="preserve"> </w:t>
      </w:r>
      <w:r w:rsidR="00BF6631" w:rsidRPr="000C4076">
        <w:rPr>
          <w:rFonts w:ascii="Arial" w:hAnsi="Arial" w:cs="Arial"/>
        </w:rPr>
        <w:t>accuracy that</w:t>
      </w:r>
      <w:r w:rsidR="00933046" w:rsidRPr="000C4076">
        <w:rPr>
          <w:rFonts w:ascii="Arial" w:hAnsi="Arial" w:cs="Arial"/>
        </w:rPr>
        <w:t xml:space="preserve"> vary across devices and reduce the overall appeal (Jones &amp; Patel, 2019). </w:t>
      </w:r>
      <w:r w:rsidR="00BF6631" w:rsidRPr="000C4076">
        <w:rPr>
          <w:rFonts w:ascii="Arial" w:hAnsi="Arial" w:cs="Arial"/>
        </w:rPr>
        <w:t>I have</w:t>
      </w:r>
      <w:r w:rsidR="00933046" w:rsidRPr="000C4076">
        <w:rPr>
          <w:rFonts w:ascii="Arial" w:hAnsi="Arial" w:cs="Arial"/>
        </w:rPr>
        <w:t xml:space="preserve"> also noticed that not all books are available in digital form, as publishing rights and formatting challenges can limit accessibility (Lee, 2018).</w:t>
      </w:r>
      <w:r w:rsidR="00CC6A09" w:rsidRPr="000C4076">
        <w:rPr>
          <w:rFonts w:ascii="Arial" w:hAnsi="Arial" w:cs="Arial"/>
        </w:rPr>
        <w:t xml:space="preserve"> </w:t>
      </w:r>
      <w:r w:rsidR="00933046" w:rsidRPr="000C4076">
        <w:rPr>
          <w:rFonts w:ascii="Arial" w:hAnsi="Arial" w:cs="Arial"/>
        </w:rPr>
        <w:t xml:space="preserve">When I attempted to recreate the experience of a physical book digitally, using video demonstrations, the limitations became even clearer. Differences in device compatibility and display settings led to noticeable quality loss, making it difficult to capture the richness of the original content (Lee, 2018). For these reasons, I still prefer physical books; they offer a reliable, vibrant visual experience that digital formats often </w:t>
      </w:r>
      <w:r w:rsidR="00BF6631" w:rsidRPr="000C4076">
        <w:rPr>
          <w:rFonts w:ascii="Arial" w:hAnsi="Arial" w:cs="Arial"/>
        </w:rPr>
        <w:t>cannot</w:t>
      </w:r>
      <w:r w:rsidR="00933046" w:rsidRPr="000C4076">
        <w:rPr>
          <w:rFonts w:ascii="Arial" w:hAnsi="Arial" w:cs="Arial"/>
        </w:rPr>
        <w:t xml:space="preserve"> replicate.</w:t>
      </w:r>
    </w:p>
    <w:p w:rsidR="00BF6631" w:rsidRPr="000C4076" w:rsidRDefault="00C52790" w:rsidP="000C4076">
      <w:pPr>
        <w:pStyle w:val="NormalWeb"/>
        <w:spacing w:line="360" w:lineRule="auto"/>
        <w:rPr>
          <w:rFonts w:ascii="Arial" w:hAnsi="Arial" w:cs="Arial"/>
        </w:rPr>
      </w:pPr>
      <w:r w:rsidRPr="000C4076">
        <w:rPr>
          <w:rFonts w:ascii="Arial" w:hAnsi="Arial" w:cs="Arial"/>
        </w:rPr>
        <w:t xml:space="preserve">The </w:t>
      </w:r>
      <w:r w:rsidR="00BF6631" w:rsidRPr="000C4076">
        <w:rPr>
          <w:rFonts w:ascii="Arial" w:hAnsi="Arial" w:cs="Arial"/>
        </w:rPr>
        <w:t>second practice observed</w:t>
      </w:r>
      <w:r w:rsidRPr="000C4076">
        <w:rPr>
          <w:rFonts w:ascii="Arial" w:hAnsi="Arial" w:cs="Arial"/>
        </w:rPr>
        <w:t xml:space="preserve"> </w:t>
      </w:r>
      <w:r w:rsidR="00BF6631" w:rsidRPr="000C4076">
        <w:rPr>
          <w:rFonts w:ascii="Arial" w:hAnsi="Arial" w:cs="Arial"/>
        </w:rPr>
        <w:t>in both storytelling presentations, is the frequent use of hand gestures and movements, which are crucial for engaging listeners. According to Pie Corbett, an influential figure in educational storytelling, gestures are an essential component for helping children internalize language and connect with narrative structures. Corbett’s "Talk for Writing" approach highlights how gestures anchor the meaning of language, making stories more memorable and encouraging children in actively participating in storytelling (Corbett, 2008).</w:t>
      </w:r>
      <w:r w:rsidR="00CC6A09" w:rsidRPr="000C4076">
        <w:rPr>
          <w:rFonts w:ascii="Arial" w:hAnsi="Arial" w:cs="Arial"/>
        </w:rPr>
        <w:t xml:space="preserve"> </w:t>
      </w:r>
      <w:r w:rsidR="00BF6631" w:rsidRPr="000C4076">
        <w:rPr>
          <w:rFonts w:ascii="Arial" w:hAnsi="Arial" w:cs="Arial"/>
        </w:rPr>
        <w:t xml:space="preserve">When using a digital book, I find it much easier to gesture freely since both hands are free from holding a physical book. This allows for greater expression, making it possible to embody </w:t>
      </w:r>
      <w:r w:rsidR="00BF6631" w:rsidRPr="000C4076">
        <w:rPr>
          <w:rFonts w:ascii="Arial" w:hAnsi="Arial" w:cs="Arial"/>
        </w:rPr>
        <w:lastRenderedPageBreak/>
        <w:t xml:space="preserve">characters, emphasize actions, and highlight emotions. With a physical book, however, one hand </w:t>
      </w:r>
      <w:proofErr w:type="gramStart"/>
      <w:r w:rsidR="00BF6631" w:rsidRPr="000C4076">
        <w:rPr>
          <w:rFonts w:ascii="Arial" w:hAnsi="Arial" w:cs="Arial"/>
        </w:rPr>
        <w:t>is often occupied</w:t>
      </w:r>
      <w:proofErr w:type="gramEnd"/>
      <w:r w:rsidR="00BF6631" w:rsidRPr="000C4076">
        <w:rPr>
          <w:rFonts w:ascii="Arial" w:hAnsi="Arial" w:cs="Arial"/>
        </w:rPr>
        <w:t>, which can restrict the range of movements. This limitation can reduce the potential for an interactive and immersive storytelling experience, as gestures are a key tool in keeping listeners engaged and enhancing comprehension.</w:t>
      </w:r>
    </w:p>
    <w:p w:rsidR="00C52790" w:rsidRPr="000C4076" w:rsidRDefault="00C01F83" w:rsidP="000C4076">
      <w:pPr>
        <w:pStyle w:val="NormalWeb"/>
        <w:spacing w:line="360" w:lineRule="auto"/>
        <w:rPr>
          <w:rFonts w:ascii="Arial" w:hAnsi="Arial" w:cs="Arial"/>
        </w:rPr>
      </w:pPr>
      <w:r w:rsidRPr="000C4076">
        <w:rPr>
          <w:rFonts w:ascii="Arial" w:hAnsi="Arial" w:cs="Arial"/>
        </w:rPr>
        <w:t>Lastly,</w:t>
      </w:r>
      <w:r w:rsidR="00BF6631" w:rsidRPr="000C4076">
        <w:rPr>
          <w:rFonts w:ascii="Arial" w:hAnsi="Arial" w:cs="Arial"/>
        </w:rPr>
        <w:t xml:space="preserve"> the third and final practice observed is </w:t>
      </w:r>
      <w:r w:rsidRPr="000C4076">
        <w:rPr>
          <w:rFonts w:ascii="Arial" w:hAnsi="Arial" w:cs="Arial"/>
        </w:rPr>
        <w:t xml:space="preserve">the significant use </w:t>
      </w:r>
      <w:r w:rsidR="002663FD" w:rsidRPr="000C4076">
        <w:rPr>
          <w:rFonts w:ascii="Arial" w:hAnsi="Arial" w:cs="Arial"/>
        </w:rPr>
        <w:t>of intonation in both presentations. I foun</w:t>
      </w:r>
      <w:r w:rsidRPr="000C4076">
        <w:rPr>
          <w:rFonts w:ascii="Arial" w:hAnsi="Arial" w:cs="Arial"/>
        </w:rPr>
        <w:t>d that changes in intonation fr</w:t>
      </w:r>
      <w:r w:rsidR="002663FD" w:rsidRPr="000C4076">
        <w:rPr>
          <w:rFonts w:ascii="Arial" w:hAnsi="Arial" w:cs="Arial"/>
        </w:rPr>
        <w:t xml:space="preserve">equently used to express and emphasize the characters' thoughts, feelings, and emotions. For example, rising intonation often indicated excitement, while falling intonation conveyed </w:t>
      </w:r>
      <w:r w:rsidRPr="000C4076">
        <w:rPr>
          <w:rFonts w:ascii="Arial" w:hAnsi="Arial" w:cs="Arial"/>
        </w:rPr>
        <w:t>fear</w:t>
      </w:r>
      <w:r w:rsidR="002663FD" w:rsidRPr="000C4076">
        <w:rPr>
          <w:rFonts w:ascii="Arial" w:hAnsi="Arial" w:cs="Arial"/>
        </w:rPr>
        <w:t xml:space="preserve">. </w:t>
      </w:r>
      <w:r w:rsidRPr="000C4076">
        <w:rPr>
          <w:rFonts w:ascii="Arial" w:hAnsi="Arial" w:cs="Arial"/>
        </w:rPr>
        <w:t xml:space="preserve">I feel I </w:t>
      </w:r>
      <w:r w:rsidR="002663FD" w:rsidRPr="000C4076">
        <w:rPr>
          <w:rFonts w:ascii="Arial" w:hAnsi="Arial" w:cs="Arial"/>
        </w:rPr>
        <w:t xml:space="preserve">effectively illustrated how varying pitch and stress brought depth to character portrayal, enhancing the audience's emotional connection. According to Roach (2009), intonation not only helps convey meaning but also plays a crucial role in engaging listeners (p. 54). By </w:t>
      </w:r>
      <w:r w:rsidRPr="000C4076">
        <w:rPr>
          <w:rFonts w:ascii="Arial" w:hAnsi="Arial" w:cs="Arial"/>
        </w:rPr>
        <w:t>employing these techniques, it gives a clearer</w:t>
      </w:r>
      <w:r w:rsidR="002663FD" w:rsidRPr="000C4076">
        <w:rPr>
          <w:rFonts w:ascii="Arial" w:hAnsi="Arial" w:cs="Arial"/>
        </w:rPr>
        <w:t xml:space="preserve"> understanding of the characters' inner worlds, as highlighted by </w:t>
      </w:r>
      <w:proofErr w:type="spellStart"/>
      <w:r w:rsidR="002663FD" w:rsidRPr="000C4076">
        <w:rPr>
          <w:rFonts w:ascii="Arial" w:hAnsi="Arial" w:cs="Arial"/>
        </w:rPr>
        <w:t>Gussenhoven</w:t>
      </w:r>
      <w:proofErr w:type="spellEnd"/>
      <w:r w:rsidR="002663FD" w:rsidRPr="000C4076">
        <w:rPr>
          <w:rFonts w:ascii="Arial" w:hAnsi="Arial" w:cs="Arial"/>
        </w:rPr>
        <w:t xml:space="preserve"> (2004), who emphasizes the importance of intonation in expressive speech (p. 85).</w:t>
      </w:r>
    </w:p>
    <w:p w:rsidR="00E26043" w:rsidRPr="000C4076" w:rsidRDefault="001F244C" w:rsidP="000C4076">
      <w:pPr>
        <w:spacing w:line="360" w:lineRule="auto"/>
        <w:rPr>
          <w:rFonts w:ascii="Arial" w:hAnsi="Arial" w:cs="Arial"/>
          <w:sz w:val="24"/>
          <w:szCs w:val="24"/>
        </w:rPr>
      </w:pPr>
      <w:r>
        <w:rPr>
          <w:rFonts w:ascii="Arial" w:hAnsi="Arial" w:cs="Arial"/>
          <w:sz w:val="24"/>
          <w:szCs w:val="24"/>
        </w:rPr>
        <w:t>There are some noticeable</w:t>
      </w:r>
      <w:r w:rsidR="002001DC" w:rsidRPr="000C4076">
        <w:rPr>
          <w:rFonts w:ascii="Arial" w:hAnsi="Arial" w:cs="Arial"/>
          <w:sz w:val="24"/>
          <w:szCs w:val="24"/>
        </w:rPr>
        <w:t xml:space="preserve"> differences between the approaches of storytelling with both presentations starting with the digital book;</w:t>
      </w:r>
      <w:r w:rsidR="00271EAE" w:rsidRPr="000C4076">
        <w:rPr>
          <w:rFonts w:ascii="Arial" w:hAnsi="Arial" w:cs="Arial"/>
          <w:sz w:val="24"/>
          <w:szCs w:val="24"/>
        </w:rPr>
        <w:t xml:space="preserve"> as mentioned above in my observation of practice</w:t>
      </w:r>
      <w:r w:rsidR="002001DC" w:rsidRPr="000C4076">
        <w:rPr>
          <w:rFonts w:ascii="Arial" w:hAnsi="Arial" w:cs="Arial"/>
          <w:sz w:val="24"/>
          <w:szCs w:val="24"/>
        </w:rPr>
        <w:t xml:space="preserve"> I feel </w:t>
      </w:r>
      <w:r w:rsidR="00271EAE" w:rsidRPr="000C4076">
        <w:rPr>
          <w:rFonts w:ascii="Arial" w:hAnsi="Arial" w:cs="Arial"/>
          <w:sz w:val="24"/>
          <w:szCs w:val="24"/>
        </w:rPr>
        <w:t xml:space="preserve">digital books </w:t>
      </w:r>
      <w:r w:rsidR="002001DC" w:rsidRPr="000C4076">
        <w:rPr>
          <w:rFonts w:ascii="Arial" w:hAnsi="Arial" w:cs="Arial"/>
          <w:sz w:val="24"/>
          <w:szCs w:val="24"/>
        </w:rPr>
        <w:t xml:space="preserve">gives the reader freedom to use both </w:t>
      </w:r>
      <w:r w:rsidR="00933046" w:rsidRPr="000C4076">
        <w:rPr>
          <w:rFonts w:ascii="Arial" w:hAnsi="Arial" w:cs="Arial"/>
          <w:sz w:val="24"/>
          <w:szCs w:val="24"/>
        </w:rPr>
        <w:t>hands, which</w:t>
      </w:r>
      <w:r w:rsidR="002001DC" w:rsidRPr="000C4076">
        <w:rPr>
          <w:rFonts w:ascii="Arial" w:hAnsi="Arial" w:cs="Arial"/>
          <w:sz w:val="24"/>
          <w:szCs w:val="24"/>
        </w:rPr>
        <w:t xml:space="preserve"> enables a more expressive storytelling style. Gestures can flow naturally without the need to keep one hand occupied holding a book, allowing the reader </w:t>
      </w:r>
      <w:proofErr w:type="gramStart"/>
      <w:r w:rsidR="002001DC" w:rsidRPr="000C4076">
        <w:rPr>
          <w:rFonts w:ascii="Arial" w:hAnsi="Arial" w:cs="Arial"/>
          <w:sz w:val="24"/>
          <w:szCs w:val="24"/>
        </w:rPr>
        <w:t>to better engage</w:t>
      </w:r>
      <w:proofErr w:type="gramEnd"/>
      <w:r w:rsidR="002001DC" w:rsidRPr="000C4076">
        <w:rPr>
          <w:rFonts w:ascii="Arial" w:hAnsi="Arial" w:cs="Arial"/>
          <w:sz w:val="24"/>
          <w:szCs w:val="24"/>
        </w:rPr>
        <w:t xml:space="preserve"> with the audience. This freedom also makes it easier to use hand movements to illustrate elements of the story, such as mimicking actions of characters or emphasizing emotional tones, which can captivate listeners and add a dynamic, interactive layer to the experience. </w:t>
      </w:r>
      <w:proofErr w:type="gramStart"/>
      <w:r w:rsidR="002001DC" w:rsidRPr="000C4076">
        <w:rPr>
          <w:rFonts w:ascii="Arial" w:hAnsi="Arial" w:cs="Arial"/>
          <w:sz w:val="24"/>
          <w:szCs w:val="24"/>
        </w:rPr>
        <w:t xml:space="preserve">Additionally, the ability to adjust the </w:t>
      </w:r>
      <w:r w:rsidR="00BF6631" w:rsidRPr="000C4076">
        <w:rPr>
          <w:rFonts w:ascii="Arial" w:hAnsi="Arial" w:cs="Arial"/>
          <w:sz w:val="24"/>
          <w:szCs w:val="24"/>
        </w:rPr>
        <w:t>eBook</w:t>
      </w:r>
      <w:r w:rsidR="002001DC" w:rsidRPr="000C4076">
        <w:rPr>
          <w:rFonts w:ascii="Arial" w:hAnsi="Arial" w:cs="Arial"/>
          <w:sz w:val="24"/>
          <w:szCs w:val="24"/>
        </w:rPr>
        <w:t xml:space="preserve"> page with a quick tap rather than turning physical pages can keep the storytelling smooth and uninterrupted, enhancing the flow, in contrast to this I feel that a physical book can add excitement and build anticipation when turning the pages as the reader could use tone and wondered to captivate the audience as seen in my physical book presentation.</w:t>
      </w:r>
      <w:proofErr w:type="gramEnd"/>
      <w:r w:rsidR="002001DC" w:rsidRPr="000C4076">
        <w:rPr>
          <w:rFonts w:ascii="Arial" w:hAnsi="Arial" w:cs="Arial"/>
          <w:sz w:val="24"/>
          <w:szCs w:val="24"/>
        </w:rPr>
        <w:t xml:space="preserve"> </w:t>
      </w:r>
    </w:p>
    <w:p w:rsidR="002001DC" w:rsidRPr="001F244C" w:rsidRDefault="002001DC" w:rsidP="001F244C">
      <w:pPr>
        <w:spacing w:line="360" w:lineRule="auto"/>
        <w:rPr>
          <w:rFonts w:ascii="Arial" w:hAnsi="Arial" w:cs="Arial"/>
          <w:sz w:val="24"/>
          <w:szCs w:val="24"/>
        </w:rPr>
      </w:pPr>
      <w:proofErr w:type="gramStart"/>
      <w:r w:rsidRPr="001F244C">
        <w:rPr>
          <w:rFonts w:ascii="Arial" w:hAnsi="Arial" w:cs="Arial"/>
          <w:sz w:val="24"/>
          <w:szCs w:val="24"/>
        </w:rPr>
        <w:t xml:space="preserve">Secondly </w:t>
      </w:r>
      <w:r w:rsidR="001F244C" w:rsidRPr="001F244C">
        <w:rPr>
          <w:rFonts w:ascii="Arial" w:hAnsi="Arial" w:cs="Arial"/>
          <w:sz w:val="24"/>
          <w:szCs w:val="24"/>
        </w:rPr>
        <w:t xml:space="preserve"> I</w:t>
      </w:r>
      <w:proofErr w:type="gramEnd"/>
      <w:r w:rsidR="001F244C" w:rsidRPr="001F244C">
        <w:rPr>
          <w:rFonts w:ascii="Arial" w:hAnsi="Arial" w:cs="Arial"/>
          <w:sz w:val="24"/>
          <w:szCs w:val="24"/>
        </w:rPr>
        <w:t xml:space="preserve"> feel that the video quality for the digital book is poor. I left myself with little time to complete my work due to personal reasons, which affected my presentation. In my digital presentation, the lighting was poor because of device </w:t>
      </w:r>
      <w:r w:rsidR="001F244C" w:rsidRPr="001F244C">
        <w:rPr>
          <w:rFonts w:ascii="Arial" w:hAnsi="Arial" w:cs="Arial"/>
          <w:sz w:val="24"/>
          <w:szCs w:val="24"/>
        </w:rPr>
        <w:lastRenderedPageBreak/>
        <w:t xml:space="preserve">compatibility issues. I </w:t>
      </w:r>
      <w:proofErr w:type="gramStart"/>
      <w:r w:rsidR="001F244C" w:rsidRPr="001F244C">
        <w:rPr>
          <w:rFonts w:ascii="Arial" w:hAnsi="Arial" w:cs="Arial"/>
          <w:sz w:val="24"/>
          <w:szCs w:val="24"/>
        </w:rPr>
        <w:t>don't</w:t>
      </w:r>
      <w:proofErr w:type="gramEnd"/>
      <w:r w:rsidR="001F244C" w:rsidRPr="001F244C">
        <w:rPr>
          <w:rFonts w:ascii="Arial" w:hAnsi="Arial" w:cs="Arial"/>
          <w:sz w:val="24"/>
          <w:szCs w:val="24"/>
        </w:rPr>
        <w:t xml:space="preserve"> think the readers were able to see the images on the screen clearly, and the background sound I added to the video was also unheard. Overall, I feel the digital presentation could have gone better in regards to time management and device usage, but I do believe I portrayed the story well and used plenty of gestures and changes in intonation to captivate the audience better.</w:t>
      </w:r>
    </w:p>
    <w:p w:rsidR="00E26043" w:rsidRPr="000C4076" w:rsidRDefault="00E26043" w:rsidP="000C4076">
      <w:pPr>
        <w:spacing w:line="360" w:lineRule="auto"/>
        <w:rPr>
          <w:rFonts w:ascii="Arial" w:hAnsi="Arial" w:cs="Arial"/>
          <w:sz w:val="24"/>
          <w:szCs w:val="24"/>
          <w:u w:val="single"/>
        </w:rPr>
      </w:pPr>
    </w:p>
    <w:p w:rsidR="00E26043" w:rsidRPr="000C4076" w:rsidRDefault="00E26043" w:rsidP="000C4076">
      <w:pPr>
        <w:spacing w:line="360" w:lineRule="auto"/>
        <w:rPr>
          <w:rFonts w:ascii="Arial" w:hAnsi="Arial" w:cs="Arial"/>
          <w:sz w:val="24"/>
          <w:szCs w:val="24"/>
          <w:u w:val="single"/>
        </w:rPr>
      </w:pPr>
    </w:p>
    <w:p w:rsidR="00E26043" w:rsidRPr="000C4076" w:rsidRDefault="00E26043" w:rsidP="000C4076">
      <w:pPr>
        <w:spacing w:line="360" w:lineRule="auto"/>
        <w:rPr>
          <w:rFonts w:ascii="Arial" w:hAnsi="Arial" w:cs="Arial"/>
          <w:sz w:val="24"/>
          <w:szCs w:val="24"/>
          <w:u w:val="single"/>
        </w:rPr>
      </w:pPr>
      <w:r w:rsidRPr="000C4076">
        <w:rPr>
          <w:rFonts w:ascii="Arial" w:hAnsi="Arial" w:cs="Arial"/>
          <w:sz w:val="24"/>
          <w:szCs w:val="24"/>
          <w:u w:val="single"/>
        </w:rPr>
        <w:t xml:space="preserve">Conclusion </w:t>
      </w:r>
    </w:p>
    <w:p w:rsidR="003624CF" w:rsidRPr="000C4076" w:rsidRDefault="003624CF" w:rsidP="000C4076">
      <w:pPr>
        <w:spacing w:line="360" w:lineRule="auto"/>
        <w:rPr>
          <w:rFonts w:ascii="Arial" w:hAnsi="Arial" w:cs="Arial"/>
          <w:sz w:val="24"/>
          <w:szCs w:val="24"/>
        </w:rPr>
      </w:pPr>
      <w:r w:rsidRPr="000C4076">
        <w:rPr>
          <w:rFonts w:ascii="Arial" w:hAnsi="Arial" w:cs="Arial"/>
          <w:sz w:val="24"/>
          <w:szCs w:val="24"/>
        </w:rPr>
        <w:t>In conclusion, both storytelling methods offer unique benefits, especially as the world becomes increasingly digital. For early year’s practitioners, the choice ultimately depends on personal preference, the age and engagement level of the audience and individual storytelling skills. Selecting the most suitable approach allows for a more effective and enjoyable storytelling experience, whether embracing traditional methods or incorporating digital tools.</w:t>
      </w:r>
    </w:p>
    <w:p w:rsidR="00C52790" w:rsidRPr="000C4076" w:rsidRDefault="00C52790" w:rsidP="000C4076">
      <w:pPr>
        <w:spacing w:line="360" w:lineRule="auto"/>
        <w:rPr>
          <w:rFonts w:ascii="Arial" w:hAnsi="Arial" w:cs="Arial"/>
          <w:sz w:val="24"/>
          <w:szCs w:val="24"/>
        </w:rPr>
      </w:pPr>
    </w:p>
    <w:p w:rsidR="00C52790" w:rsidRPr="000C4076" w:rsidRDefault="00C52790" w:rsidP="000C4076">
      <w:pPr>
        <w:spacing w:line="360" w:lineRule="auto"/>
        <w:rPr>
          <w:rFonts w:ascii="Arial" w:hAnsi="Arial" w:cs="Arial"/>
          <w:sz w:val="24"/>
          <w:szCs w:val="24"/>
          <w:u w:val="single"/>
        </w:rPr>
      </w:pPr>
      <w:r w:rsidRPr="000C4076">
        <w:rPr>
          <w:rFonts w:ascii="Arial" w:hAnsi="Arial" w:cs="Arial"/>
          <w:sz w:val="24"/>
          <w:szCs w:val="24"/>
          <w:u w:val="single"/>
        </w:rPr>
        <w:t xml:space="preserve">References </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Aram, D., &amp; </w:t>
      </w:r>
      <w:proofErr w:type="spellStart"/>
      <w:r w:rsidRPr="000C4076">
        <w:rPr>
          <w:rFonts w:ascii="Arial" w:hAnsi="Arial" w:cs="Arial"/>
          <w:sz w:val="24"/>
          <w:szCs w:val="24"/>
        </w:rPr>
        <w:t>Aviram</w:t>
      </w:r>
      <w:proofErr w:type="spellEnd"/>
      <w:r w:rsidRPr="000C4076">
        <w:rPr>
          <w:rFonts w:ascii="Arial" w:hAnsi="Arial" w:cs="Arial"/>
          <w:sz w:val="24"/>
          <w:szCs w:val="24"/>
        </w:rPr>
        <w:t xml:space="preserve">, S. (2009). Parent-child shared book reading and children’s language, literacy, and emotional development. </w:t>
      </w:r>
      <w:r w:rsidRPr="000C4076">
        <w:rPr>
          <w:rFonts w:ascii="Arial" w:hAnsi="Arial" w:cs="Arial"/>
          <w:i/>
          <w:iCs/>
          <w:sz w:val="24"/>
          <w:szCs w:val="24"/>
        </w:rPr>
        <w:t>Early Childhood Research Quarterly</w:t>
      </w:r>
      <w:r w:rsidRPr="000C4076">
        <w:rPr>
          <w:rFonts w:ascii="Arial" w:hAnsi="Arial" w:cs="Arial"/>
          <w:sz w:val="24"/>
          <w:szCs w:val="24"/>
        </w:rPr>
        <w:t>, 24(1), 27–35. doi:10.1016/j.ecresq.2008.12.001</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Baker, L., </w:t>
      </w:r>
      <w:proofErr w:type="spellStart"/>
      <w:r w:rsidRPr="000C4076">
        <w:rPr>
          <w:rFonts w:ascii="Arial" w:hAnsi="Arial" w:cs="Arial"/>
          <w:sz w:val="24"/>
          <w:szCs w:val="24"/>
        </w:rPr>
        <w:t>Mackenthun</w:t>
      </w:r>
      <w:proofErr w:type="spellEnd"/>
      <w:r w:rsidRPr="000C4076">
        <w:rPr>
          <w:rFonts w:ascii="Arial" w:hAnsi="Arial" w:cs="Arial"/>
          <w:sz w:val="24"/>
          <w:szCs w:val="24"/>
        </w:rPr>
        <w:t xml:space="preserve">, K., &amp; </w:t>
      </w:r>
      <w:proofErr w:type="spellStart"/>
      <w:r w:rsidRPr="000C4076">
        <w:rPr>
          <w:rFonts w:ascii="Arial" w:hAnsi="Arial" w:cs="Arial"/>
          <w:sz w:val="24"/>
          <w:szCs w:val="24"/>
        </w:rPr>
        <w:t>Rieg</w:t>
      </w:r>
      <w:proofErr w:type="spellEnd"/>
      <w:r w:rsidRPr="000C4076">
        <w:rPr>
          <w:rFonts w:ascii="Arial" w:hAnsi="Arial" w:cs="Arial"/>
          <w:sz w:val="24"/>
          <w:szCs w:val="24"/>
        </w:rPr>
        <w:t xml:space="preserve">, S. (2008). </w:t>
      </w:r>
      <w:r w:rsidRPr="000C4076">
        <w:rPr>
          <w:rFonts w:ascii="Arial" w:hAnsi="Arial" w:cs="Arial"/>
          <w:i/>
          <w:iCs/>
          <w:sz w:val="24"/>
          <w:szCs w:val="24"/>
        </w:rPr>
        <w:t>Engaging Young Readers: Promoting Reading Development through Storytelling</w:t>
      </w:r>
      <w:r w:rsidRPr="000C4076">
        <w:rPr>
          <w:rFonts w:ascii="Arial" w:hAnsi="Arial" w:cs="Arial"/>
          <w:sz w:val="24"/>
          <w:szCs w:val="24"/>
        </w:rPr>
        <w:t>. The Reading Teacher, 61(5), 448-457.</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Berk, L. E., &amp; </w:t>
      </w:r>
      <w:proofErr w:type="spellStart"/>
      <w:r w:rsidRPr="000C4076">
        <w:rPr>
          <w:rFonts w:ascii="Arial" w:hAnsi="Arial" w:cs="Arial"/>
          <w:sz w:val="24"/>
          <w:szCs w:val="24"/>
        </w:rPr>
        <w:t>Winsler</w:t>
      </w:r>
      <w:proofErr w:type="spellEnd"/>
      <w:r w:rsidRPr="000C4076">
        <w:rPr>
          <w:rFonts w:ascii="Arial" w:hAnsi="Arial" w:cs="Arial"/>
          <w:sz w:val="24"/>
          <w:szCs w:val="24"/>
        </w:rPr>
        <w:t xml:space="preserve">, A. (1995). </w:t>
      </w:r>
      <w:r w:rsidRPr="000C4076">
        <w:rPr>
          <w:rFonts w:ascii="Arial" w:hAnsi="Arial" w:cs="Arial"/>
          <w:i/>
          <w:iCs/>
          <w:sz w:val="24"/>
          <w:szCs w:val="24"/>
        </w:rPr>
        <w:t>Scaffolding Children’s Learning: Vygotsky and Early Childhood Education</w:t>
      </w:r>
      <w:r w:rsidRPr="000C4076">
        <w:rPr>
          <w:rFonts w:ascii="Arial" w:hAnsi="Arial" w:cs="Arial"/>
          <w:sz w:val="24"/>
          <w:szCs w:val="24"/>
        </w:rPr>
        <w:t>. National Association for the Education of Young Children.</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Cooper, P. (2005). </w:t>
      </w:r>
      <w:r w:rsidRPr="000C4076">
        <w:rPr>
          <w:rFonts w:ascii="Arial" w:hAnsi="Arial" w:cs="Arial"/>
          <w:i/>
          <w:iCs/>
          <w:sz w:val="24"/>
          <w:szCs w:val="24"/>
        </w:rPr>
        <w:t>Literacy, learning and pedagogical drama: Educational drama and storytelling in the early years</w:t>
      </w:r>
      <w:r w:rsidRPr="000C4076">
        <w:rPr>
          <w:rFonts w:ascii="Arial" w:hAnsi="Arial" w:cs="Arial"/>
          <w:sz w:val="24"/>
          <w:szCs w:val="24"/>
        </w:rPr>
        <w:t xml:space="preserve">. </w:t>
      </w:r>
      <w:r w:rsidRPr="000C4076">
        <w:rPr>
          <w:rFonts w:ascii="Arial" w:hAnsi="Arial" w:cs="Arial"/>
          <w:bCs/>
          <w:sz w:val="24"/>
          <w:szCs w:val="24"/>
        </w:rPr>
        <w:t>Journal of Educational Psychology</w:t>
      </w:r>
      <w:r w:rsidRPr="000C4076">
        <w:rPr>
          <w:rFonts w:ascii="Arial" w:hAnsi="Arial" w:cs="Arial"/>
          <w:sz w:val="24"/>
          <w:szCs w:val="24"/>
        </w:rPr>
        <w:t>, 97(1), 1–10. doi:10.1037/0022-0663.97.1.1</w:t>
      </w:r>
    </w:p>
    <w:p w:rsidR="0069573C" w:rsidRPr="000C4076" w:rsidRDefault="0069573C" w:rsidP="000C4076">
      <w:pPr>
        <w:spacing w:line="360" w:lineRule="auto"/>
        <w:rPr>
          <w:rFonts w:ascii="Arial" w:hAnsi="Arial" w:cs="Arial"/>
          <w:sz w:val="24"/>
          <w:szCs w:val="24"/>
        </w:rPr>
      </w:pPr>
      <w:bookmarkStart w:id="0" w:name="_GoBack"/>
      <w:bookmarkEnd w:id="0"/>
      <w:r w:rsidRPr="000C4076">
        <w:rPr>
          <w:rFonts w:ascii="Arial" w:hAnsi="Arial" w:cs="Arial"/>
          <w:sz w:val="24"/>
          <w:szCs w:val="24"/>
        </w:rPr>
        <w:t xml:space="preserve">Corbett, P. (2008). </w:t>
      </w:r>
      <w:r w:rsidRPr="000C4076">
        <w:rPr>
          <w:rStyle w:val="Emphasis"/>
          <w:rFonts w:ascii="Arial" w:hAnsi="Arial" w:cs="Arial"/>
          <w:sz w:val="24"/>
          <w:szCs w:val="24"/>
        </w:rPr>
        <w:t>Talk for Writing</w:t>
      </w:r>
      <w:r w:rsidRPr="000C4076">
        <w:rPr>
          <w:rFonts w:ascii="Arial" w:hAnsi="Arial" w:cs="Arial"/>
          <w:sz w:val="24"/>
          <w:szCs w:val="24"/>
        </w:rPr>
        <w:t>. Primary Literacy, 12(2), 4-8.</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lastRenderedPageBreak/>
        <w:t xml:space="preserve">Denning, S. (2005). </w:t>
      </w:r>
      <w:r w:rsidRPr="000C4076">
        <w:rPr>
          <w:rFonts w:ascii="Arial" w:hAnsi="Arial" w:cs="Arial"/>
          <w:i/>
          <w:iCs/>
          <w:sz w:val="24"/>
          <w:szCs w:val="24"/>
        </w:rPr>
        <w:t>The Leader’s Guide to Storytelling: Mastering the Art and Discipline of Business Narrative</w:t>
      </w:r>
      <w:r w:rsidRPr="000C4076">
        <w:rPr>
          <w:rFonts w:ascii="Arial" w:hAnsi="Arial" w:cs="Arial"/>
          <w:sz w:val="24"/>
          <w:szCs w:val="24"/>
        </w:rPr>
        <w:t xml:space="preserve">. </w:t>
      </w:r>
      <w:r w:rsidRPr="000C4076">
        <w:rPr>
          <w:rFonts w:ascii="Arial" w:hAnsi="Arial" w:cs="Arial"/>
          <w:bCs/>
          <w:sz w:val="24"/>
          <w:szCs w:val="24"/>
        </w:rPr>
        <w:t>Journal of Business Communication</w:t>
      </w:r>
      <w:r w:rsidRPr="000C4076">
        <w:rPr>
          <w:rFonts w:ascii="Arial" w:hAnsi="Arial" w:cs="Arial"/>
          <w:sz w:val="24"/>
          <w:szCs w:val="24"/>
        </w:rPr>
        <w:t xml:space="preserve">, reviewed in vol. 43, 69–83. </w:t>
      </w:r>
      <w:proofErr w:type="gramStart"/>
      <w:r w:rsidRPr="000C4076">
        <w:rPr>
          <w:rFonts w:ascii="Arial" w:hAnsi="Arial" w:cs="Arial"/>
          <w:sz w:val="24"/>
          <w:szCs w:val="24"/>
        </w:rPr>
        <w:t>doi:</w:t>
      </w:r>
      <w:proofErr w:type="gramEnd"/>
      <w:r w:rsidRPr="000C4076">
        <w:rPr>
          <w:rFonts w:ascii="Arial" w:hAnsi="Arial" w:cs="Arial"/>
          <w:sz w:val="24"/>
          <w:szCs w:val="24"/>
        </w:rPr>
        <w:t>10.1177/0021943605283779</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Duke, N. K., &amp; Pearson, P. D. (2002). </w:t>
      </w:r>
      <w:r w:rsidRPr="000C4076">
        <w:rPr>
          <w:rFonts w:ascii="Arial" w:hAnsi="Arial" w:cs="Arial"/>
          <w:i/>
          <w:iCs/>
          <w:sz w:val="24"/>
          <w:szCs w:val="24"/>
        </w:rPr>
        <w:t>Effective Practices for Developing Reading Comprehension</w:t>
      </w:r>
      <w:r w:rsidRPr="000C4076">
        <w:rPr>
          <w:rFonts w:ascii="Arial" w:hAnsi="Arial" w:cs="Arial"/>
          <w:sz w:val="24"/>
          <w:szCs w:val="24"/>
        </w:rPr>
        <w:t xml:space="preserve">. In A. E. </w:t>
      </w:r>
      <w:proofErr w:type="spellStart"/>
      <w:r w:rsidRPr="000C4076">
        <w:rPr>
          <w:rFonts w:ascii="Arial" w:hAnsi="Arial" w:cs="Arial"/>
          <w:sz w:val="24"/>
          <w:szCs w:val="24"/>
        </w:rPr>
        <w:t>Farstrup</w:t>
      </w:r>
      <w:proofErr w:type="spellEnd"/>
      <w:r w:rsidRPr="000C4076">
        <w:rPr>
          <w:rFonts w:ascii="Arial" w:hAnsi="Arial" w:cs="Arial"/>
          <w:sz w:val="24"/>
          <w:szCs w:val="24"/>
        </w:rPr>
        <w:t xml:space="preserve"> &amp; S. J. Samuels (Eds.), </w:t>
      </w:r>
      <w:r w:rsidRPr="000C4076">
        <w:rPr>
          <w:rFonts w:ascii="Arial" w:hAnsi="Arial" w:cs="Arial"/>
          <w:i/>
          <w:iCs/>
          <w:sz w:val="24"/>
          <w:szCs w:val="24"/>
        </w:rPr>
        <w:t>What Research Has to Say About Reading Instruction</w:t>
      </w:r>
      <w:r w:rsidRPr="000C4076">
        <w:rPr>
          <w:rFonts w:ascii="Arial" w:hAnsi="Arial" w:cs="Arial"/>
          <w:sz w:val="24"/>
          <w:szCs w:val="24"/>
        </w:rPr>
        <w:t xml:space="preserve"> (pp. 205-242)</w:t>
      </w:r>
      <w:proofErr w:type="gramStart"/>
      <w:r w:rsidRPr="000C4076">
        <w:rPr>
          <w:rFonts w:ascii="Arial" w:hAnsi="Arial" w:cs="Arial"/>
          <w:sz w:val="24"/>
          <w:szCs w:val="24"/>
        </w:rPr>
        <w:t>.</w:t>
      </w:r>
      <w:proofErr w:type="gramEnd"/>
      <w:r w:rsidRPr="000C4076">
        <w:rPr>
          <w:rFonts w:ascii="Arial" w:hAnsi="Arial" w:cs="Arial"/>
          <w:sz w:val="24"/>
          <w:szCs w:val="24"/>
        </w:rPr>
        <w:t xml:space="preserve"> International Reading Association.</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Fisher, D. (2004). </w:t>
      </w:r>
      <w:r w:rsidRPr="000C4076">
        <w:rPr>
          <w:rFonts w:ascii="Arial" w:hAnsi="Arial" w:cs="Arial"/>
          <w:i/>
          <w:iCs/>
          <w:sz w:val="24"/>
          <w:szCs w:val="24"/>
        </w:rPr>
        <w:t>What Is the Role of Storytelling in Literacy Development?</w:t>
      </w:r>
      <w:r w:rsidRPr="000C4076">
        <w:rPr>
          <w:rFonts w:ascii="Arial" w:hAnsi="Arial" w:cs="Arial"/>
          <w:sz w:val="24"/>
          <w:szCs w:val="24"/>
        </w:rPr>
        <w:t xml:space="preserve"> In T. L. R. McMahon &amp; J. D. Wiggins (Eds.), </w:t>
      </w:r>
      <w:r w:rsidRPr="000C4076">
        <w:rPr>
          <w:rFonts w:ascii="Arial" w:hAnsi="Arial" w:cs="Arial"/>
          <w:i/>
          <w:iCs/>
          <w:sz w:val="24"/>
          <w:szCs w:val="24"/>
        </w:rPr>
        <w:t>Connecting Literacy and the Arts</w:t>
      </w:r>
      <w:r w:rsidRPr="000C4076">
        <w:rPr>
          <w:rFonts w:ascii="Arial" w:hAnsi="Arial" w:cs="Arial"/>
          <w:sz w:val="24"/>
          <w:szCs w:val="24"/>
        </w:rPr>
        <w:t xml:space="preserve"> (pp. 83-91). </w:t>
      </w:r>
      <w:proofErr w:type="spellStart"/>
      <w:r w:rsidRPr="000C4076">
        <w:rPr>
          <w:rFonts w:ascii="Arial" w:hAnsi="Arial" w:cs="Arial"/>
          <w:sz w:val="24"/>
          <w:szCs w:val="24"/>
        </w:rPr>
        <w:t>Allyn</w:t>
      </w:r>
      <w:proofErr w:type="spellEnd"/>
      <w:r w:rsidRPr="000C4076">
        <w:rPr>
          <w:rFonts w:ascii="Arial" w:hAnsi="Arial" w:cs="Arial"/>
          <w:sz w:val="24"/>
          <w:szCs w:val="24"/>
        </w:rPr>
        <w:t xml:space="preserve"> &amp; Bacon.</w:t>
      </w:r>
    </w:p>
    <w:p w:rsidR="0069573C" w:rsidRPr="000C4076" w:rsidRDefault="0069573C" w:rsidP="000C4076">
      <w:pPr>
        <w:pStyle w:val="NormalWeb"/>
        <w:spacing w:line="360" w:lineRule="auto"/>
        <w:rPr>
          <w:rFonts w:ascii="Arial" w:hAnsi="Arial" w:cs="Arial"/>
        </w:rPr>
      </w:pPr>
      <w:proofErr w:type="spellStart"/>
      <w:r w:rsidRPr="000C4076">
        <w:rPr>
          <w:rFonts w:ascii="Arial" w:hAnsi="Arial" w:cs="Arial"/>
        </w:rPr>
        <w:t>Gussenhoven</w:t>
      </w:r>
      <w:proofErr w:type="spellEnd"/>
      <w:r w:rsidRPr="000C4076">
        <w:rPr>
          <w:rFonts w:ascii="Arial" w:hAnsi="Arial" w:cs="Arial"/>
        </w:rPr>
        <w:t xml:space="preserve">, C. (2004). </w:t>
      </w:r>
      <w:r w:rsidRPr="000C4076">
        <w:rPr>
          <w:rStyle w:val="Emphasis"/>
          <w:rFonts w:ascii="Arial" w:hAnsi="Arial" w:cs="Arial"/>
        </w:rPr>
        <w:t>The Phonology of Tone and Intonation</w:t>
      </w:r>
      <w:r w:rsidRPr="000C4076">
        <w:rPr>
          <w:rFonts w:ascii="Arial" w:hAnsi="Arial" w:cs="Arial"/>
        </w:rPr>
        <w:t>. Cambridge University Press.</w:t>
      </w:r>
    </w:p>
    <w:p w:rsidR="0069573C" w:rsidRPr="000C4076" w:rsidRDefault="0069573C" w:rsidP="000C4076">
      <w:pPr>
        <w:spacing w:line="360" w:lineRule="auto"/>
        <w:rPr>
          <w:rFonts w:ascii="Arial" w:hAnsi="Arial" w:cs="Arial"/>
          <w:sz w:val="24"/>
          <w:szCs w:val="24"/>
        </w:rPr>
      </w:pPr>
      <w:proofErr w:type="spellStart"/>
      <w:r w:rsidRPr="000C4076">
        <w:rPr>
          <w:rFonts w:ascii="Arial" w:hAnsi="Arial" w:cs="Arial"/>
          <w:sz w:val="24"/>
          <w:szCs w:val="24"/>
        </w:rPr>
        <w:t>Hargrave</w:t>
      </w:r>
      <w:proofErr w:type="spellEnd"/>
      <w:r w:rsidRPr="000C4076">
        <w:rPr>
          <w:rFonts w:ascii="Arial" w:hAnsi="Arial" w:cs="Arial"/>
          <w:sz w:val="24"/>
          <w:szCs w:val="24"/>
        </w:rPr>
        <w:t xml:space="preserve">, A. C., &amp; </w:t>
      </w:r>
      <w:proofErr w:type="spellStart"/>
      <w:r w:rsidRPr="000C4076">
        <w:rPr>
          <w:rFonts w:ascii="Arial" w:hAnsi="Arial" w:cs="Arial"/>
          <w:sz w:val="24"/>
          <w:szCs w:val="24"/>
        </w:rPr>
        <w:t>Sénéchal</w:t>
      </w:r>
      <w:proofErr w:type="spellEnd"/>
      <w:r w:rsidRPr="000C4076">
        <w:rPr>
          <w:rFonts w:ascii="Arial" w:hAnsi="Arial" w:cs="Arial"/>
          <w:sz w:val="24"/>
          <w:szCs w:val="24"/>
        </w:rPr>
        <w:t xml:space="preserve">, M. (2000). </w:t>
      </w:r>
      <w:r w:rsidRPr="000C4076">
        <w:rPr>
          <w:rFonts w:ascii="Arial" w:hAnsi="Arial" w:cs="Arial"/>
          <w:i/>
          <w:iCs/>
          <w:sz w:val="24"/>
          <w:szCs w:val="24"/>
        </w:rPr>
        <w:t>A Book Reading Intervention with Preschool Children Who Have Limited Vocabularies: The Benefits of Regular Reading and the Role of Parents</w:t>
      </w:r>
      <w:r w:rsidRPr="000C4076">
        <w:rPr>
          <w:rFonts w:ascii="Arial" w:hAnsi="Arial" w:cs="Arial"/>
          <w:sz w:val="24"/>
          <w:szCs w:val="24"/>
        </w:rPr>
        <w:t>. Early Childhood Research Quarterly, 15(1), 53-72.</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High, P. C., </w:t>
      </w:r>
      <w:proofErr w:type="spellStart"/>
      <w:r w:rsidRPr="000C4076">
        <w:rPr>
          <w:rFonts w:ascii="Arial" w:hAnsi="Arial" w:cs="Arial"/>
          <w:sz w:val="24"/>
          <w:szCs w:val="24"/>
        </w:rPr>
        <w:t>Klass</w:t>
      </w:r>
      <w:proofErr w:type="spellEnd"/>
      <w:r w:rsidRPr="000C4076">
        <w:rPr>
          <w:rFonts w:ascii="Arial" w:hAnsi="Arial" w:cs="Arial"/>
          <w:sz w:val="24"/>
          <w:szCs w:val="24"/>
        </w:rPr>
        <w:t xml:space="preserve">, P., &amp; Donoghue, E. (2014). Literacy promotion: An essential component of primary care </w:t>
      </w:r>
      <w:proofErr w:type="spellStart"/>
      <w:r w:rsidRPr="000C4076">
        <w:rPr>
          <w:rFonts w:ascii="Arial" w:hAnsi="Arial" w:cs="Arial"/>
          <w:sz w:val="24"/>
          <w:szCs w:val="24"/>
        </w:rPr>
        <w:t>pediatric</w:t>
      </w:r>
      <w:proofErr w:type="spellEnd"/>
      <w:r w:rsidRPr="000C4076">
        <w:rPr>
          <w:rFonts w:ascii="Arial" w:hAnsi="Arial" w:cs="Arial"/>
          <w:sz w:val="24"/>
          <w:szCs w:val="24"/>
        </w:rPr>
        <w:t xml:space="preserve"> practice. </w:t>
      </w:r>
      <w:proofErr w:type="spellStart"/>
      <w:r w:rsidRPr="000C4076">
        <w:rPr>
          <w:rFonts w:ascii="Arial" w:hAnsi="Arial" w:cs="Arial"/>
          <w:i/>
          <w:iCs/>
          <w:sz w:val="24"/>
          <w:szCs w:val="24"/>
        </w:rPr>
        <w:t>Pediatrics</w:t>
      </w:r>
      <w:proofErr w:type="spellEnd"/>
      <w:r w:rsidRPr="000C4076">
        <w:rPr>
          <w:rFonts w:ascii="Arial" w:hAnsi="Arial" w:cs="Arial"/>
          <w:sz w:val="24"/>
          <w:szCs w:val="24"/>
        </w:rPr>
        <w:t>, 134(2), 404-409. doi:10.1542/peds.2014-1384</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Isbell, R. T., </w:t>
      </w:r>
      <w:proofErr w:type="spellStart"/>
      <w:r w:rsidRPr="000C4076">
        <w:rPr>
          <w:rFonts w:ascii="Arial" w:hAnsi="Arial" w:cs="Arial"/>
          <w:sz w:val="24"/>
          <w:szCs w:val="24"/>
        </w:rPr>
        <w:t>Sobol</w:t>
      </w:r>
      <w:proofErr w:type="spellEnd"/>
      <w:r w:rsidRPr="000C4076">
        <w:rPr>
          <w:rFonts w:ascii="Arial" w:hAnsi="Arial" w:cs="Arial"/>
          <w:sz w:val="24"/>
          <w:szCs w:val="24"/>
        </w:rPr>
        <w:t xml:space="preserve">, J., </w:t>
      </w:r>
      <w:proofErr w:type="spellStart"/>
      <w:r w:rsidRPr="000C4076">
        <w:rPr>
          <w:rFonts w:ascii="Arial" w:hAnsi="Arial" w:cs="Arial"/>
          <w:sz w:val="24"/>
          <w:szCs w:val="24"/>
        </w:rPr>
        <w:t>Lindauer</w:t>
      </w:r>
      <w:proofErr w:type="spellEnd"/>
      <w:r w:rsidRPr="000C4076">
        <w:rPr>
          <w:rFonts w:ascii="Arial" w:hAnsi="Arial" w:cs="Arial"/>
          <w:sz w:val="24"/>
          <w:szCs w:val="24"/>
        </w:rPr>
        <w:t xml:space="preserve">, L., &amp; </w:t>
      </w:r>
      <w:proofErr w:type="spellStart"/>
      <w:r w:rsidRPr="000C4076">
        <w:rPr>
          <w:rFonts w:ascii="Arial" w:hAnsi="Arial" w:cs="Arial"/>
          <w:sz w:val="24"/>
          <w:szCs w:val="24"/>
        </w:rPr>
        <w:t>Lowrance</w:t>
      </w:r>
      <w:proofErr w:type="spellEnd"/>
      <w:r w:rsidRPr="000C4076">
        <w:rPr>
          <w:rFonts w:ascii="Arial" w:hAnsi="Arial" w:cs="Arial"/>
          <w:sz w:val="24"/>
          <w:szCs w:val="24"/>
        </w:rPr>
        <w:t xml:space="preserve">, A. (2004). The effects of storytelling and story reading on the oral language complexity and story comprehension of young children. </w:t>
      </w:r>
      <w:r w:rsidRPr="000C4076">
        <w:rPr>
          <w:rFonts w:ascii="Arial" w:hAnsi="Arial" w:cs="Arial"/>
          <w:bCs/>
          <w:sz w:val="24"/>
          <w:szCs w:val="24"/>
        </w:rPr>
        <w:t>Early Childhood Education Journal</w:t>
      </w:r>
      <w:r w:rsidRPr="000C4076">
        <w:rPr>
          <w:rFonts w:ascii="Arial" w:hAnsi="Arial" w:cs="Arial"/>
          <w:sz w:val="24"/>
          <w:szCs w:val="24"/>
        </w:rPr>
        <w:t>, 32(3), 157-163. doi:10.1023/B.0000048967.94189.a3</w:t>
      </w:r>
    </w:p>
    <w:p w:rsidR="0069573C" w:rsidRPr="000C4076" w:rsidRDefault="0069573C" w:rsidP="000C4076">
      <w:pPr>
        <w:spacing w:after="0" w:line="360" w:lineRule="auto"/>
        <w:rPr>
          <w:rFonts w:ascii="Arial" w:eastAsia="Times New Roman" w:hAnsi="Arial" w:cs="Arial"/>
          <w:sz w:val="24"/>
          <w:szCs w:val="24"/>
          <w:lang w:eastAsia="en-GB"/>
        </w:rPr>
      </w:pPr>
      <w:r w:rsidRPr="00C52790">
        <w:rPr>
          <w:rFonts w:ascii="Arial" w:eastAsia="Times New Roman" w:hAnsi="Arial" w:cs="Arial"/>
          <w:sz w:val="24"/>
          <w:szCs w:val="24"/>
          <w:lang w:eastAsia="en-GB"/>
        </w:rPr>
        <w:t xml:space="preserve">Jones, A., &amp; Patel, R. (2019). </w:t>
      </w:r>
      <w:r w:rsidRPr="00C52790">
        <w:rPr>
          <w:rFonts w:ascii="Arial" w:eastAsia="Times New Roman" w:hAnsi="Arial" w:cs="Arial"/>
          <w:i/>
          <w:iCs/>
          <w:sz w:val="24"/>
          <w:szCs w:val="24"/>
          <w:lang w:eastAsia="en-GB"/>
        </w:rPr>
        <w:t>Digital Media Aesthetics and Reader Engagement</w:t>
      </w:r>
      <w:r w:rsidRPr="00C52790">
        <w:rPr>
          <w:rFonts w:ascii="Arial" w:eastAsia="Times New Roman" w:hAnsi="Arial" w:cs="Arial"/>
          <w:sz w:val="24"/>
          <w:szCs w:val="24"/>
          <w:lang w:eastAsia="en-GB"/>
        </w:rPr>
        <w:t>. Cambridge University Press.</w:t>
      </w:r>
    </w:p>
    <w:p w:rsidR="0069573C" w:rsidRPr="000C4076" w:rsidRDefault="0069573C" w:rsidP="000C4076">
      <w:pPr>
        <w:spacing w:line="360" w:lineRule="auto"/>
        <w:rPr>
          <w:rFonts w:ascii="Arial" w:eastAsia="Times New Roman" w:hAnsi="Arial" w:cs="Arial"/>
          <w:sz w:val="24"/>
          <w:szCs w:val="24"/>
          <w:lang w:eastAsia="en-GB"/>
        </w:rPr>
      </w:pPr>
      <w:r w:rsidRPr="00C52790">
        <w:rPr>
          <w:rFonts w:ascii="Arial" w:eastAsia="Times New Roman" w:hAnsi="Arial" w:cs="Arial"/>
          <w:sz w:val="24"/>
          <w:szCs w:val="24"/>
          <w:lang w:eastAsia="en-GB"/>
        </w:rPr>
        <w:t xml:space="preserve">Lee, T. (2018). </w:t>
      </w:r>
      <w:r w:rsidRPr="00C52790">
        <w:rPr>
          <w:rFonts w:ascii="Arial" w:eastAsia="Times New Roman" w:hAnsi="Arial" w:cs="Arial"/>
          <w:i/>
          <w:iCs/>
          <w:sz w:val="24"/>
          <w:szCs w:val="24"/>
          <w:lang w:eastAsia="en-GB"/>
        </w:rPr>
        <w:t>The Accessibility of E-Books: Challenges and Opportunities</w:t>
      </w:r>
      <w:r w:rsidRPr="00C52790">
        <w:rPr>
          <w:rFonts w:ascii="Arial" w:eastAsia="Times New Roman" w:hAnsi="Arial" w:cs="Arial"/>
          <w:sz w:val="24"/>
          <w:szCs w:val="24"/>
          <w:lang w:eastAsia="en-GB"/>
        </w:rPr>
        <w:t>. Oxford University Press.</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Lindgren, C. (2005). </w:t>
      </w:r>
      <w:r w:rsidRPr="000C4076">
        <w:rPr>
          <w:rFonts w:ascii="Arial" w:hAnsi="Arial" w:cs="Arial"/>
          <w:i/>
          <w:iCs/>
          <w:sz w:val="24"/>
          <w:szCs w:val="24"/>
        </w:rPr>
        <w:t>Storytelling and Story Acting: A Multi-dimensional Approach to Narrative Development</w:t>
      </w:r>
      <w:r w:rsidRPr="000C4076">
        <w:rPr>
          <w:rFonts w:ascii="Arial" w:hAnsi="Arial" w:cs="Arial"/>
          <w:sz w:val="24"/>
          <w:szCs w:val="24"/>
        </w:rPr>
        <w:t xml:space="preserve">. In K. M. K. Williams (Ed.), </w:t>
      </w:r>
      <w:r w:rsidRPr="000C4076">
        <w:rPr>
          <w:rFonts w:ascii="Arial" w:hAnsi="Arial" w:cs="Arial"/>
          <w:i/>
          <w:iCs/>
          <w:sz w:val="24"/>
          <w:szCs w:val="24"/>
        </w:rPr>
        <w:t>Literacy Development in the Early Years: Helping Children Read and Write</w:t>
      </w:r>
      <w:r w:rsidRPr="000C4076">
        <w:rPr>
          <w:rFonts w:ascii="Arial" w:hAnsi="Arial" w:cs="Arial"/>
          <w:sz w:val="24"/>
          <w:szCs w:val="24"/>
        </w:rPr>
        <w:t xml:space="preserve"> (pp. 193-218). Pearson.</w:t>
      </w:r>
    </w:p>
    <w:p w:rsidR="0069573C" w:rsidRPr="000C4076" w:rsidRDefault="0069573C" w:rsidP="000C4076">
      <w:pPr>
        <w:spacing w:line="360" w:lineRule="auto"/>
        <w:rPr>
          <w:rFonts w:ascii="Arial" w:hAnsi="Arial" w:cs="Arial"/>
          <w:sz w:val="24"/>
          <w:szCs w:val="24"/>
        </w:rPr>
      </w:pPr>
      <w:proofErr w:type="spellStart"/>
      <w:r w:rsidRPr="000C4076">
        <w:rPr>
          <w:rFonts w:ascii="Arial" w:hAnsi="Arial" w:cs="Arial"/>
          <w:sz w:val="24"/>
          <w:szCs w:val="24"/>
        </w:rPr>
        <w:lastRenderedPageBreak/>
        <w:t>Mol</w:t>
      </w:r>
      <w:proofErr w:type="spellEnd"/>
      <w:r w:rsidRPr="000C4076">
        <w:rPr>
          <w:rFonts w:ascii="Arial" w:hAnsi="Arial" w:cs="Arial"/>
          <w:sz w:val="24"/>
          <w:szCs w:val="24"/>
        </w:rPr>
        <w:t xml:space="preserve">, S. E., &amp; Bus, A. G. (2011). To read or not to </w:t>
      </w:r>
      <w:proofErr w:type="gramStart"/>
      <w:r w:rsidRPr="000C4076">
        <w:rPr>
          <w:rFonts w:ascii="Arial" w:hAnsi="Arial" w:cs="Arial"/>
          <w:sz w:val="24"/>
          <w:szCs w:val="24"/>
        </w:rPr>
        <w:t>read:</w:t>
      </w:r>
      <w:proofErr w:type="gramEnd"/>
      <w:r w:rsidRPr="000C4076">
        <w:rPr>
          <w:rFonts w:ascii="Arial" w:hAnsi="Arial" w:cs="Arial"/>
          <w:sz w:val="24"/>
          <w:szCs w:val="24"/>
        </w:rPr>
        <w:t xml:space="preserve"> A meta-analysis of print exposure from infancy to early adulthood. </w:t>
      </w:r>
      <w:r w:rsidRPr="000C4076">
        <w:rPr>
          <w:rFonts w:ascii="Arial" w:hAnsi="Arial" w:cs="Arial"/>
          <w:i/>
          <w:iCs/>
          <w:sz w:val="24"/>
          <w:szCs w:val="24"/>
        </w:rPr>
        <w:t>Psychological Bulletin</w:t>
      </w:r>
      <w:r w:rsidRPr="000C4076">
        <w:rPr>
          <w:rFonts w:ascii="Arial" w:hAnsi="Arial" w:cs="Arial"/>
          <w:sz w:val="24"/>
          <w:szCs w:val="24"/>
        </w:rPr>
        <w:t xml:space="preserve">, 137(2), 267–296. </w:t>
      </w:r>
      <w:proofErr w:type="gramStart"/>
      <w:r w:rsidRPr="000C4076">
        <w:rPr>
          <w:rFonts w:ascii="Arial" w:hAnsi="Arial" w:cs="Arial"/>
          <w:sz w:val="24"/>
          <w:szCs w:val="24"/>
        </w:rPr>
        <w:t>doi:</w:t>
      </w:r>
      <w:proofErr w:type="gramEnd"/>
      <w:r w:rsidRPr="000C4076">
        <w:rPr>
          <w:rFonts w:ascii="Arial" w:hAnsi="Arial" w:cs="Arial"/>
          <w:sz w:val="24"/>
          <w:szCs w:val="24"/>
        </w:rPr>
        <w:t>10.1037/a0021890</w:t>
      </w:r>
    </w:p>
    <w:p w:rsidR="0069573C" w:rsidRPr="000C4076" w:rsidRDefault="0069573C" w:rsidP="000C4076">
      <w:pPr>
        <w:spacing w:line="360" w:lineRule="auto"/>
        <w:rPr>
          <w:rFonts w:ascii="Arial" w:hAnsi="Arial" w:cs="Arial"/>
          <w:sz w:val="24"/>
          <w:szCs w:val="24"/>
        </w:rPr>
      </w:pPr>
      <w:proofErr w:type="spellStart"/>
      <w:r w:rsidRPr="000C4076">
        <w:rPr>
          <w:rFonts w:ascii="Arial" w:hAnsi="Arial" w:cs="Arial"/>
          <w:sz w:val="24"/>
          <w:szCs w:val="24"/>
        </w:rPr>
        <w:t>Nicolopoulou</w:t>
      </w:r>
      <w:proofErr w:type="spellEnd"/>
      <w:r w:rsidRPr="000C4076">
        <w:rPr>
          <w:rFonts w:ascii="Arial" w:hAnsi="Arial" w:cs="Arial"/>
          <w:sz w:val="24"/>
          <w:szCs w:val="24"/>
        </w:rPr>
        <w:t xml:space="preserve">, A. (1993). </w:t>
      </w:r>
      <w:r w:rsidRPr="000C4076">
        <w:rPr>
          <w:rFonts w:ascii="Arial" w:hAnsi="Arial" w:cs="Arial"/>
          <w:i/>
          <w:iCs/>
          <w:sz w:val="24"/>
          <w:szCs w:val="24"/>
        </w:rPr>
        <w:t>The Role of Storytelling in the Development of Narrative Competence: A Review of Research and Its Implications for Education</w:t>
      </w:r>
      <w:r w:rsidRPr="000C4076">
        <w:rPr>
          <w:rFonts w:ascii="Arial" w:hAnsi="Arial" w:cs="Arial"/>
          <w:sz w:val="24"/>
          <w:szCs w:val="24"/>
        </w:rPr>
        <w:t xml:space="preserve">. In E. H. H. Wu &amp; M. H. K. W. Lee (Eds.), </w:t>
      </w:r>
      <w:r w:rsidRPr="000C4076">
        <w:rPr>
          <w:rFonts w:ascii="Arial" w:hAnsi="Arial" w:cs="Arial"/>
          <w:i/>
          <w:iCs/>
          <w:sz w:val="24"/>
          <w:szCs w:val="24"/>
        </w:rPr>
        <w:t>Narrative Development in Children</w:t>
      </w:r>
      <w:r w:rsidRPr="000C4076">
        <w:rPr>
          <w:rFonts w:ascii="Arial" w:hAnsi="Arial" w:cs="Arial"/>
          <w:sz w:val="24"/>
          <w:szCs w:val="24"/>
        </w:rPr>
        <w:t xml:space="preserve"> (pp. 125-146). Lawrence Erlbaum Associates.</w:t>
      </w:r>
    </w:p>
    <w:p w:rsidR="0069573C" w:rsidRPr="000C4076" w:rsidRDefault="0069573C" w:rsidP="000C4076">
      <w:pPr>
        <w:spacing w:line="360" w:lineRule="auto"/>
        <w:rPr>
          <w:rFonts w:ascii="Arial" w:hAnsi="Arial" w:cs="Arial"/>
          <w:sz w:val="24"/>
          <w:szCs w:val="24"/>
        </w:rPr>
      </w:pPr>
      <w:proofErr w:type="spellStart"/>
      <w:r w:rsidRPr="000C4076">
        <w:rPr>
          <w:rFonts w:ascii="Arial" w:hAnsi="Arial" w:cs="Arial"/>
          <w:sz w:val="24"/>
          <w:szCs w:val="24"/>
        </w:rPr>
        <w:t>Nippold</w:t>
      </w:r>
      <w:proofErr w:type="spellEnd"/>
      <w:r w:rsidRPr="000C4076">
        <w:rPr>
          <w:rFonts w:ascii="Arial" w:hAnsi="Arial" w:cs="Arial"/>
          <w:sz w:val="24"/>
          <w:szCs w:val="24"/>
        </w:rPr>
        <w:t xml:space="preserve">, M. A. (2007). </w:t>
      </w:r>
      <w:r w:rsidRPr="000C4076">
        <w:rPr>
          <w:rFonts w:ascii="Arial" w:hAnsi="Arial" w:cs="Arial"/>
          <w:i/>
          <w:iCs/>
          <w:sz w:val="24"/>
          <w:szCs w:val="24"/>
        </w:rPr>
        <w:t>Later Language Development: School-Age Children, Adolescents, and Young Adults</w:t>
      </w:r>
      <w:r w:rsidRPr="000C4076">
        <w:rPr>
          <w:rFonts w:ascii="Arial" w:hAnsi="Arial" w:cs="Arial"/>
          <w:sz w:val="24"/>
          <w:szCs w:val="24"/>
        </w:rPr>
        <w:t>. Pro-Ed.</w:t>
      </w:r>
    </w:p>
    <w:p w:rsidR="0069573C" w:rsidRPr="000C4076" w:rsidRDefault="0069573C" w:rsidP="000C4076">
      <w:pPr>
        <w:spacing w:line="360" w:lineRule="auto"/>
        <w:rPr>
          <w:rFonts w:ascii="Arial" w:hAnsi="Arial" w:cs="Arial"/>
          <w:sz w:val="24"/>
          <w:szCs w:val="24"/>
        </w:rPr>
      </w:pPr>
      <w:proofErr w:type="spellStart"/>
      <w:r w:rsidRPr="000C4076">
        <w:rPr>
          <w:rFonts w:ascii="Arial" w:hAnsi="Arial" w:cs="Arial"/>
          <w:sz w:val="24"/>
          <w:szCs w:val="24"/>
        </w:rPr>
        <w:t>Pennebaker</w:t>
      </w:r>
      <w:proofErr w:type="spellEnd"/>
      <w:r w:rsidRPr="000C4076">
        <w:rPr>
          <w:rFonts w:ascii="Arial" w:hAnsi="Arial" w:cs="Arial"/>
          <w:sz w:val="24"/>
          <w:szCs w:val="24"/>
        </w:rPr>
        <w:t xml:space="preserve">, J. W., &amp; </w:t>
      </w:r>
      <w:proofErr w:type="spellStart"/>
      <w:r w:rsidRPr="000C4076">
        <w:rPr>
          <w:rFonts w:ascii="Arial" w:hAnsi="Arial" w:cs="Arial"/>
          <w:sz w:val="24"/>
          <w:szCs w:val="24"/>
        </w:rPr>
        <w:t>Seagal</w:t>
      </w:r>
      <w:proofErr w:type="spellEnd"/>
      <w:r w:rsidRPr="000C4076">
        <w:rPr>
          <w:rFonts w:ascii="Arial" w:hAnsi="Arial" w:cs="Arial"/>
          <w:sz w:val="24"/>
          <w:szCs w:val="24"/>
        </w:rPr>
        <w:t xml:space="preserve">, J. D. (1999). Forming a story: The health benefits of narrative. </w:t>
      </w:r>
      <w:r w:rsidRPr="000C4076">
        <w:rPr>
          <w:rFonts w:ascii="Arial" w:hAnsi="Arial" w:cs="Arial"/>
          <w:bCs/>
          <w:sz w:val="24"/>
          <w:szCs w:val="24"/>
        </w:rPr>
        <w:t>Journal of Clinical Psychology</w:t>
      </w:r>
      <w:r w:rsidRPr="000C4076">
        <w:rPr>
          <w:rFonts w:ascii="Arial" w:hAnsi="Arial" w:cs="Arial"/>
          <w:sz w:val="24"/>
          <w:szCs w:val="24"/>
        </w:rPr>
        <w:t xml:space="preserve">, 55(10), 1243–1254. </w:t>
      </w:r>
      <w:proofErr w:type="gramStart"/>
      <w:r w:rsidRPr="000C4076">
        <w:rPr>
          <w:rFonts w:ascii="Arial" w:hAnsi="Arial" w:cs="Arial"/>
          <w:sz w:val="24"/>
          <w:szCs w:val="24"/>
        </w:rPr>
        <w:t>doi:</w:t>
      </w:r>
      <w:proofErr w:type="gramEnd"/>
      <w:r w:rsidRPr="000C4076">
        <w:rPr>
          <w:rFonts w:ascii="Arial" w:hAnsi="Arial" w:cs="Arial"/>
          <w:sz w:val="24"/>
          <w:szCs w:val="24"/>
        </w:rPr>
        <w:t>10.1002/(SICI)1097-4679(199910)55:10&lt;1243::AID-JCLP6&gt;3.0.CO;2-N</w:t>
      </w:r>
    </w:p>
    <w:p w:rsidR="0069573C" w:rsidRPr="000C4076" w:rsidRDefault="0069573C" w:rsidP="000C4076">
      <w:pPr>
        <w:pStyle w:val="NormalWeb"/>
        <w:spacing w:line="360" w:lineRule="auto"/>
        <w:rPr>
          <w:rFonts w:ascii="Arial" w:hAnsi="Arial" w:cs="Arial"/>
        </w:rPr>
      </w:pPr>
      <w:r w:rsidRPr="000C4076">
        <w:rPr>
          <w:rFonts w:ascii="Arial" w:hAnsi="Arial" w:cs="Arial"/>
        </w:rPr>
        <w:t xml:space="preserve">Roach, P. (2009). </w:t>
      </w:r>
      <w:r w:rsidRPr="000C4076">
        <w:rPr>
          <w:rStyle w:val="Emphasis"/>
          <w:rFonts w:ascii="Arial" w:hAnsi="Arial" w:cs="Arial"/>
        </w:rPr>
        <w:t>English Phonetics and Phonology: A Practical Course</w:t>
      </w:r>
      <w:r w:rsidRPr="000C4076">
        <w:rPr>
          <w:rFonts w:ascii="Arial" w:hAnsi="Arial" w:cs="Arial"/>
        </w:rPr>
        <w:t>. Cambridge University Press.</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Simmons, A. (2001). Storytelling as a Leadership Tool: Strategy and Scenarios in Business. </w:t>
      </w:r>
      <w:r w:rsidRPr="000C4076">
        <w:rPr>
          <w:rFonts w:ascii="Arial" w:hAnsi="Arial" w:cs="Arial"/>
          <w:bCs/>
          <w:sz w:val="24"/>
          <w:szCs w:val="24"/>
        </w:rPr>
        <w:t>Journal of Applied Communication Research</w:t>
      </w:r>
      <w:r w:rsidRPr="000C4076">
        <w:rPr>
          <w:rFonts w:ascii="Arial" w:hAnsi="Arial" w:cs="Arial"/>
          <w:sz w:val="24"/>
          <w:szCs w:val="24"/>
        </w:rPr>
        <w:t xml:space="preserve">, 29(2), 103–113. </w:t>
      </w:r>
      <w:proofErr w:type="gramStart"/>
      <w:r w:rsidRPr="000C4076">
        <w:rPr>
          <w:rFonts w:ascii="Arial" w:hAnsi="Arial" w:cs="Arial"/>
          <w:sz w:val="24"/>
          <w:szCs w:val="24"/>
        </w:rPr>
        <w:t>doi:</w:t>
      </w:r>
      <w:proofErr w:type="gramEnd"/>
      <w:r w:rsidRPr="000C4076">
        <w:rPr>
          <w:rFonts w:ascii="Arial" w:hAnsi="Arial" w:cs="Arial"/>
          <w:sz w:val="24"/>
          <w:szCs w:val="24"/>
        </w:rPr>
        <w:t>10.1080/00909880128098</w:t>
      </w:r>
    </w:p>
    <w:p w:rsidR="0069573C" w:rsidRPr="000C4076" w:rsidRDefault="0069573C" w:rsidP="000C4076">
      <w:pPr>
        <w:spacing w:after="0" w:line="360" w:lineRule="auto"/>
        <w:rPr>
          <w:rFonts w:ascii="Arial" w:eastAsia="Times New Roman" w:hAnsi="Arial" w:cs="Arial"/>
          <w:sz w:val="24"/>
          <w:szCs w:val="24"/>
          <w:lang w:eastAsia="en-GB"/>
        </w:rPr>
      </w:pPr>
      <w:r w:rsidRPr="000C4076">
        <w:rPr>
          <w:rFonts w:ascii="Arial" w:eastAsia="Times New Roman" w:hAnsi="Arial" w:cs="Arial"/>
          <w:sz w:val="24"/>
          <w:szCs w:val="24"/>
          <w:lang w:eastAsia="en-GB"/>
        </w:rPr>
        <w:t xml:space="preserve">Smith, L. (2020). </w:t>
      </w:r>
      <w:r w:rsidRPr="000C4076">
        <w:rPr>
          <w:rFonts w:ascii="Arial" w:eastAsia="Times New Roman" w:hAnsi="Arial" w:cs="Arial"/>
          <w:i/>
          <w:iCs/>
          <w:sz w:val="24"/>
          <w:szCs w:val="24"/>
          <w:lang w:eastAsia="en-GB"/>
        </w:rPr>
        <w:t>The Aesthetics of Printed Media vs. Digital Media</w:t>
      </w:r>
      <w:r w:rsidRPr="000C4076">
        <w:rPr>
          <w:rFonts w:ascii="Arial" w:eastAsia="Times New Roman" w:hAnsi="Arial" w:cs="Arial"/>
          <w:sz w:val="24"/>
          <w:szCs w:val="24"/>
          <w:lang w:eastAsia="en-GB"/>
        </w:rPr>
        <w:t>. Routledge.</w:t>
      </w:r>
    </w:p>
    <w:p w:rsidR="0069573C" w:rsidRPr="000C4076" w:rsidRDefault="0069573C" w:rsidP="000C4076">
      <w:pPr>
        <w:pStyle w:val="NormalWeb"/>
        <w:spacing w:line="360" w:lineRule="auto"/>
        <w:rPr>
          <w:rFonts w:ascii="Arial" w:hAnsi="Arial" w:cs="Arial"/>
        </w:rPr>
      </w:pPr>
      <w:r w:rsidRPr="000C4076">
        <w:rPr>
          <w:rFonts w:ascii="Arial" w:hAnsi="Arial" w:cs="Arial"/>
        </w:rPr>
        <w:t xml:space="preserve">Vygotsky, L. S. (1978). </w:t>
      </w:r>
      <w:r w:rsidRPr="000C4076">
        <w:rPr>
          <w:rFonts w:ascii="Arial" w:hAnsi="Arial" w:cs="Arial"/>
          <w:i/>
          <w:iCs/>
        </w:rPr>
        <w:t>Mind in Society: The Development of Higher Psychological Processes</w:t>
      </w:r>
      <w:r w:rsidRPr="000C4076">
        <w:rPr>
          <w:rFonts w:ascii="Arial" w:hAnsi="Arial" w:cs="Arial"/>
        </w:rPr>
        <w:t>. Harvard University Press.</w:t>
      </w:r>
    </w:p>
    <w:p w:rsidR="0069573C" w:rsidRPr="000C4076" w:rsidRDefault="0069573C" w:rsidP="000C4076">
      <w:pPr>
        <w:spacing w:line="360" w:lineRule="auto"/>
        <w:rPr>
          <w:rFonts w:ascii="Arial" w:hAnsi="Arial" w:cs="Arial"/>
          <w:sz w:val="24"/>
          <w:szCs w:val="24"/>
        </w:rPr>
      </w:pPr>
      <w:r w:rsidRPr="000C4076">
        <w:rPr>
          <w:rFonts w:ascii="Arial" w:hAnsi="Arial" w:cs="Arial"/>
          <w:sz w:val="24"/>
          <w:szCs w:val="24"/>
        </w:rPr>
        <w:t xml:space="preserve">White, M., &amp; </w:t>
      </w:r>
      <w:proofErr w:type="spellStart"/>
      <w:r w:rsidRPr="000C4076">
        <w:rPr>
          <w:rFonts w:ascii="Arial" w:hAnsi="Arial" w:cs="Arial"/>
          <w:sz w:val="24"/>
          <w:szCs w:val="24"/>
        </w:rPr>
        <w:t>Epston</w:t>
      </w:r>
      <w:proofErr w:type="spellEnd"/>
      <w:r w:rsidRPr="000C4076">
        <w:rPr>
          <w:rFonts w:ascii="Arial" w:hAnsi="Arial" w:cs="Arial"/>
          <w:sz w:val="24"/>
          <w:szCs w:val="24"/>
        </w:rPr>
        <w:t xml:space="preserve">, D. (1990). </w:t>
      </w:r>
      <w:r w:rsidRPr="000C4076">
        <w:rPr>
          <w:rFonts w:ascii="Arial" w:hAnsi="Arial" w:cs="Arial"/>
          <w:i/>
          <w:iCs/>
          <w:sz w:val="24"/>
          <w:szCs w:val="24"/>
        </w:rPr>
        <w:t>Narrative Means to Therapeutic Ends</w:t>
      </w:r>
      <w:r w:rsidRPr="000C4076">
        <w:rPr>
          <w:rFonts w:ascii="Arial" w:hAnsi="Arial" w:cs="Arial"/>
          <w:sz w:val="24"/>
          <w:szCs w:val="24"/>
        </w:rPr>
        <w:t>. New York: W.W. Norton &amp; Company.</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 xml:space="preserve">Berk, L. E. (2016). </w:t>
      </w:r>
      <w:r w:rsidRPr="000C4076">
        <w:rPr>
          <w:rFonts w:ascii="Arial" w:hAnsi="Arial" w:cs="Arial"/>
          <w:i/>
          <w:iCs/>
          <w:sz w:val="24"/>
          <w:szCs w:val="24"/>
        </w:rPr>
        <w:t>Development through the lifespan</w:t>
      </w:r>
      <w:r w:rsidRPr="000C4076">
        <w:rPr>
          <w:rFonts w:ascii="Arial" w:hAnsi="Arial" w:cs="Arial"/>
          <w:sz w:val="24"/>
          <w:szCs w:val="24"/>
        </w:rPr>
        <w:t xml:space="preserve"> (7th </w:t>
      </w:r>
      <w:proofErr w:type="gramStart"/>
      <w:r w:rsidRPr="000C4076">
        <w:rPr>
          <w:rFonts w:ascii="Arial" w:hAnsi="Arial" w:cs="Arial"/>
          <w:sz w:val="24"/>
          <w:szCs w:val="24"/>
        </w:rPr>
        <w:t>ed</w:t>
      </w:r>
      <w:proofErr w:type="gramEnd"/>
      <w:r w:rsidRPr="000C4076">
        <w:rPr>
          <w:rFonts w:ascii="Arial" w:hAnsi="Arial" w:cs="Arial"/>
          <w:sz w:val="24"/>
          <w:szCs w:val="24"/>
        </w:rPr>
        <w:t>.). Pearson.</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Common Sense Media. (2018). Digital safety and citizenship: Teaching kids how to be safe and responsible online.</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 xml:space="preserve">Hague, C., &amp; Payton, S. (2010). Digital literacy across the curriculum. </w:t>
      </w:r>
      <w:proofErr w:type="spellStart"/>
      <w:r w:rsidRPr="000C4076">
        <w:rPr>
          <w:rFonts w:ascii="Arial" w:hAnsi="Arial" w:cs="Arial"/>
          <w:i/>
          <w:iCs/>
          <w:sz w:val="24"/>
          <w:szCs w:val="24"/>
        </w:rPr>
        <w:t>Futurelab</w:t>
      </w:r>
      <w:proofErr w:type="spellEnd"/>
      <w:r w:rsidRPr="000C4076">
        <w:rPr>
          <w:rFonts w:ascii="Arial" w:hAnsi="Arial" w:cs="Arial"/>
          <w:sz w:val="24"/>
          <w:szCs w:val="24"/>
        </w:rPr>
        <w:t>.</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 xml:space="preserve">Holloway, D., Green, L., &amp; Livingstone, S. (2013). Zero to eight: Young children and their internet use. </w:t>
      </w:r>
      <w:r w:rsidRPr="000C4076">
        <w:rPr>
          <w:rFonts w:ascii="Arial" w:hAnsi="Arial" w:cs="Arial"/>
          <w:i/>
          <w:iCs/>
          <w:sz w:val="24"/>
          <w:szCs w:val="24"/>
        </w:rPr>
        <w:t>LSE Research Online</w:t>
      </w:r>
      <w:r w:rsidRPr="000C4076">
        <w:rPr>
          <w:rFonts w:ascii="Arial" w:hAnsi="Arial" w:cs="Arial"/>
          <w:sz w:val="24"/>
          <w:szCs w:val="24"/>
        </w:rPr>
        <w:t>.</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lastRenderedPageBreak/>
        <w:t xml:space="preserve">International Society for Technology in Education. (2017). </w:t>
      </w:r>
      <w:r w:rsidRPr="000C4076">
        <w:rPr>
          <w:rFonts w:ascii="Arial" w:hAnsi="Arial" w:cs="Arial"/>
          <w:i/>
          <w:iCs/>
          <w:sz w:val="24"/>
          <w:szCs w:val="24"/>
        </w:rPr>
        <w:t>ISTE standards for educators</w:t>
      </w:r>
      <w:r w:rsidRPr="000C4076">
        <w:rPr>
          <w:rFonts w:ascii="Arial" w:hAnsi="Arial" w:cs="Arial"/>
          <w:sz w:val="24"/>
          <w:szCs w:val="24"/>
        </w:rPr>
        <w:t>.</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 xml:space="preserve">Livingstone, S., Haddon, L., </w:t>
      </w:r>
      <w:proofErr w:type="spellStart"/>
      <w:r w:rsidRPr="000C4076">
        <w:rPr>
          <w:rFonts w:ascii="Arial" w:hAnsi="Arial" w:cs="Arial"/>
          <w:sz w:val="24"/>
          <w:szCs w:val="24"/>
        </w:rPr>
        <w:t>Görzig</w:t>
      </w:r>
      <w:proofErr w:type="spellEnd"/>
      <w:r w:rsidRPr="000C4076">
        <w:rPr>
          <w:rFonts w:ascii="Arial" w:hAnsi="Arial" w:cs="Arial"/>
          <w:sz w:val="24"/>
          <w:szCs w:val="24"/>
        </w:rPr>
        <w:t xml:space="preserve">, A., &amp; </w:t>
      </w:r>
      <w:proofErr w:type="spellStart"/>
      <w:r w:rsidRPr="000C4076">
        <w:rPr>
          <w:rFonts w:ascii="Arial" w:hAnsi="Arial" w:cs="Arial"/>
          <w:sz w:val="24"/>
          <w:szCs w:val="24"/>
        </w:rPr>
        <w:t>Ólafsson</w:t>
      </w:r>
      <w:proofErr w:type="spellEnd"/>
      <w:r w:rsidRPr="000C4076">
        <w:rPr>
          <w:rFonts w:ascii="Arial" w:hAnsi="Arial" w:cs="Arial"/>
          <w:sz w:val="24"/>
          <w:szCs w:val="24"/>
        </w:rPr>
        <w:t xml:space="preserve">, K. (2017). Risks and safety on the internet: The perspective of European children. </w:t>
      </w:r>
      <w:r w:rsidRPr="000C4076">
        <w:rPr>
          <w:rFonts w:ascii="Arial" w:hAnsi="Arial" w:cs="Arial"/>
          <w:i/>
          <w:iCs/>
          <w:sz w:val="24"/>
          <w:szCs w:val="24"/>
        </w:rPr>
        <w:t>EU Kids Online</w:t>
      </w:r>
      <w:r w:rsidRPr="000C4076">
        <w:rPr>
          <w:rFonts w:ascii="Arial" w:hAnsi="Arial" w:cs="Arial"/>
          <w:sz w:val="24"/>
          <w:szCs w:val="24"/>
        </w:rPr>
        <w:t>.</w:t>
      </w:r>
    </w:p>
    <w:p w:rsidR="00CC6A09" w:rsidRPr="000C4076" w:rsidRDefault="00CC6A09" w:rsidP="000C4076">
      <w:pPr>
        <w:spacing w:line="360" w:lineRule="auto"/>
        <w:rPr>
          <w:rFonts w:ascii="Arial" w:hAnsi="Arial" w:cs="Arial"/>
          <w:sz w:val="24"/>
          <w:szCs w:val="24"/>
        </w:rPr>
      </w:pPr>
      <w:r w:rsidRPr="000C4076">
        <w:rPr>
          <w:rFonts w:ascii="Arial" w:hAnsi="Arial" w:cs="Arial"/>
          <w:sz w:val="24"/>
          <w:szCs w:val="24"/>
        </w:rPr>
        <w:t xml:space="preserve">Marsh, J., </w:t>
      </w:r>
      <w:proofErr w:type="spellStart"/>
      <w:r w:rsidRPr="000C4076">
        <w:rPr>
          <w:rFonts w:ascii="Arial" w:hAnsi="Arial" w:cs="Arial"/>
          <w:sz w:val="24"/>
          <w:szCs w:val="24"/>
        </w:rPr>
        <w:t>Plowman</w:t>
      </w:r>
      <w:proofErr w:type="spellEnd"/>
      <w:r w:rsidRPr="000C4076">
        <w:rPr>
          <w:rFonts w:ascii="Arial" w:hAnsi="Arial" w:cs="Arial"/>
          <w:sz w:val="24"/>
          <w:szCs w:val="24"/>
        </w:rPr>
        <w:t xml:space="preserve">, L., Yamada-Rice, D., Bishop, J., &amp; David, T. (2015). Exploring play and creativity in pre-schoolers' use of digital technologies. </w:t>
      </w:r>
      <w:r w:rsidRPr="000C4076">
        <w:rPr>
          <w:rFonts w:ascii="Arial" w:hAnsi="Arial" w:cs="Arial"/>
          <w:i/>
          <w:iCs/>
          <w:sz w:val="24"/>
          <w:szCs w:val="24"/>
        </w:rPr>
        <w:t>Computers &amp; Education</w:t>
      </w:r>
      <w:r w:rsidRPr="000C4076">
        <w:rPr>
          <w:rFonts w:ascii="Arial" w:hAnsi="Arial" w:cs="Arial"/>
          <w:sz w:val="24"/>
          <w:szCs w:val="24"/>
        </w:rPr>
        <w:t>, 87, 158-169.</w:t>
      </w:r>
    </w:p>
    <w:p w:rsidR="00CC6A09" w:rsidRPr="000C4076" w:rsidRDefault="00CC6A09" w:rsidP="000C4076">
      <w:pPr>
        <w:spacing w:line="360" w:lineRule="auto"/>
        <w:rPr>
          <w:rFonts w:ascii="Arial" w:hAnsi="Arial" w:cs="Arial"/>
          <w:sz w:val="24"/>
          <w:szCs w:val="24"/>
        </w:rPr>
      </w:pPr>
      <w:proofErr w:type="spellStart"/>
      <w:r w:rsidRPr="000C4076">
        <w:rPr>
          <w:rFonts w:ascii="Arial" w:hAnsi="Arial" w:cs="Arial"/>
          <w:sz w:val="24"/>
          <w:szCs w:val="24"/>
        </w:rPr>
        <w:t>McPake</w:t>
      </w:r>
      <w:proofErr w:type="spellEnd"/>
      <w:r w:rsidRPr="000C4076">
        <w:rPr>
          <w:rFonts w:ascii="Arial" w:hAnsi="Arial" w:cs="Arial"/>
          <w:sz w:val="24"/>
          <w:szCs w:val="24"/>
        </w:rPr>
        <w:t xml:space="preserve">, J., </w:t>
      </w:r>
      <w:proofErr w:type="spellStart"/>
      <w:r w:rsidRPr="000C4076">
        <w:rPr>
          <w:rFonts w:ascii="Arial" w:hAnsi="Arial" w:cs="Arial"/>
          <w:sz w:val="24"/>
          <w:szCs w:val="24"/>
        </w:rPr>
        <w:t>Plowman</w:t>
      </w:r>
      <w:proofErr w:type="spellEnd"/>
      <w:r w:rsidRPr="000C4076">
        <w:rPr>
          <w:rFonts w:ascii="Arial" w:hAnsi="Arial" w:cs="Arial"/>
          <w:sz w:val="24"/>
          <w:szCs w:val="24"/>
        </w:rPr>
        <w:t xml:space="preserve">, L., &amp; </w:t>
      </w:r>
      <w:proofErr w:type="spellStart"/>
      <w:r w:rsidRPr="000C4076">
        <w:rPr>
          <w:rFonts w:ascii="Arial" w:hAnsi="Arial" w:cs="Arial"/>
          <w:sz w:val="24"/>
          <w:szCs w:val="24"/>
        </w:rPr>
        <w:t>Brough</w:t>
      </w:r>
      <w:proofErr w:type="spellEnd"/>
      <w:r w:rsidRPr="000C4076">
        <w:rPr>
          <w:rFonts w:ascii="Arial" w:hAnsi="Arial" w:cs="Arial"/>
          <w:sz w:val="24"/>
          <w:szCs w:val="24"/>
        </w:rPr>
        <w:t xml:space="preserve">, J. (2013). The role of digital play in children's development. </w:t>
      </w:r>
      <w:r w:rsidRPr="000C4076">
        <w:rPr>
          <w:rFonts w:ascii="Arial" w:hAnsi="Arial" w:cs="Arial"/>
          <w:i/>
          <w:iCs/>
          <w:sz w:val="24"/>
          <w:szCs w:val="24"/>
        </w:rPr>
        <w:t>Children's Geographies</w:t>
      </w:r>
      <w:r w:rsidRPr="000C4076">
        <w:rPr>
          <w:rFonts w:ascii="Arial" w:hAnsi="Arial" w:cs="Arial"/>
          <w:sz w:val="24"/>
          <w:szCs w:val="24"/>
        </w:rPr>
        <w:t>, 11(1), 25-36.</w:t>
      </w:r>
    </w:p>
    <w:p w:rsidR="008623E5" w:rsidRDefault="008623E5" w:rsidP="00C52790">
      <w:pPr>
        <w:spacing w:after="0" w:line="240" w:lineRule="auto"/>
        <w:rPr>
          <w:rFonts w:ascii="Times New Roman" w:eastAsia="Times New Roman" w:hAnsi="Times New Roman" w:cs="Times New Roman"/>
          <w:sz w:val="24"/>
          <w:szCs w:val="24"/>
          <w:lang w:eastAsia="en-GB"/>
        </w:rPr>
      </w:pPr>
    </w:p>
    <w:p w:rsidR="008623E5" w:rsidRPr="008623E5" w:rsidRDefault="008623E5"/>
    <w:sectPr w:rsidR="008623E5" w:rsidRPr="008623E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27D3" w:rsidRDefault="002927D3" w:rsidP="007F45AE">
      <w:pPr>
        <w:spacing w:after="0" w:line="240" w:lineRule="auto"/>
      </w:pPr>
      <w:r>
        <w:separator/>
      </w:r>
    </w:p>
  </w:endnote>
  <w:endnote w:type="continuationSeparator" w:id="0">
    <w:p w:rsidR="002927D3" w:rsidRDefault="002927D3" w:rsidP="007F4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889" w:rsidRDefault="00196889">
    <w:pPr>
      <w:pStyle w:val="Footer"/>
    </w:pPr>
    <w:r>
      <w:t>Word count - 1848</w:t>
    </w:r>
  </w:p>
  <w:p w:rsidR="00196889" w:rsidRDefault="00196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27D3" w:rsidRDefault="002927D3" w:rsidP="007F45AE">
      <w:pPr>
        <w:spacing w:after="0" w:line="240" w:lineRule="auto"/>
      </w:pPr>
      <w:r>
        <w:separator/>
      </w:r>
    </w:p>
  </w:footnote>
  <w:footnote w:type="continuationSeparator" w:id="0">
    <w:p w:rsidR="002927D3" w:rsidRDefault="002927D3" w:rsidP="007F45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5AE" w:rsidRDefault="007F45AE">
    <w:pPr>
      <w:pStyle w:val="Header"/>
    </w:pPr>
    <w:r>
      <w:t>Rachel Thomas</w:t>
    </w:r>
    <w:r>
      <w:tab/>
      <w:t>2312291</w:t>
    </w:r>
    <w:r>
      <w:tab/>
    </w:r>
    <w:r w:rsidR="00CF5D66">
      <w:t>ECEY5004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F1DF7"/>
    <w:multiLevelType w:val="hybridMultilevel"/>
    <w:tmpl w:val="99FA90C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F7DBE"/>
    <w:multiLevelType w:val="hybridMultilevel"/>
    <w:tmpl w:val="65D4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56DC3"/>
    <w:multiLevelType w:val="hybridMultilevel"/>
    <w:tmpl w:val="62AA6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B11D6B"/>
    <w:multiLevelType w:val="hybridMultilevel"/>
    <w:tmpl w:val="B2444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C75784"/>
    <w:multiLevelType w:val="hybridMultilevel"/>
    <w:tmpl w:val="F62EF03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5A6576"/>
    <w:multiLevelType w:val="hybridMultilevel"/>
    <w:tmpl w:val="8A4C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0F4CD9"/>
    <w:multiLevelType w:val="hybridMultilevel"/>
    <w:tmpl w:val="B4269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ED0801"/>
    <w:multiLevelType w:val="hybridMultilevel"/>
    <w:tmpl w:val="A11EA75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2E5440"/>
    <w:multiLevelType w:val="hybridMultilevel"/>
    <w:tmpl w:val="B1E4E5A4"/>
    <w:lvl w:ilvl="0" w:tplc="51881E52">
      <w:start w:val="1"/>
      <w:numFmt w:val="bullet"/>
      <w:lvlText w:val="-"/>
      <w:lvlJc w:val="left"/>
      <w:pPr>
        <w:tabs>
          <w:tab w:val="num" w:pos="720"/>
        </w:tabs>
        <w:ind w:left="720" w:hanging="360"/>
      </w:pPr>
      <w:rPr>
        <w:rFonts w:ascii="Times New Roman" w:hAnsi="Times New Roman" w:hint="default"/>
      </w:rPr>
    </w:lvl>
    <w:lvl w:ilvl="1" w:tplc="8D9078EE" w:tentative="1">
      <w:start w:val="1"/>
      <w:numFmt w:val="bullet"/>
      <w:lvlText w:val="-"/>
      <w:lvlJc w:val="left"/>
      <w:pPr>
        <w:tabs>
          <w:tab w:val="num" w:pos="1440"/>
        </w:tabs>
        <w:ind w:left="1440" w:hanging="360"/>
      </w:pPr>
      <w:rPr>
        <w:rFonts w:ascii="Times New Roman" w:hAnsi="Times New Roman" w:hint="default"/>
      </w:rPr>
    </w:lvl>
    <w:lvl w:ilvl="2" w:tplc="9E26C852" w:tentative="1">
      <w:start w:val="1"/>
      <w:numFmt w:val="bullet"/>
      <w:lvlText w:val="-"/>
      <w:lvlJc w:val="left"/>
      <w:pPr>
        <w:tabs>
          <w:tab w:val="num" w:pos="2160"/>
        </w:tabs>
        <w:ind w:left="2160" w:hanging="360"/>
      </w:pPr>
      <w:rPr>
        <w:rFonts w:ascii="Times New Roman" w:hAnsi="Times New Roman" w:hint="default"/>
      </w:rPr>
    </w:lvl>
    <w:lvl w:ilvl="3" w:tplc="72583522" w:tentative="1">
      <w:start w:val="1"/>
      <w:numFmt w:val="bullet"/>
      <w:lvlText w:val="-"/>
      <w:lvlJc w:val="left"/>
      <w:pPr>
        <w:tabs>
          <w:tab w:val="num" w:pos="2880"/>
        </w:tabs>
        <w:ind w:left="2880" w:hanging="360"/>
      </w:pPr>
      <w:rPr>
        <w:rFonts w:ascii="Times New Roman" w:hAnsi="Times New Roman" w:hint="default"/>
      </w:rPr>
    </w:lvl>
    <w:lvl w:ilvl="4" w:tplc="A104BF08" w:tentative="1">
      <w:start w:val="1"/>
      <w:numFmt w:val="bullet"/>
      <w:lvlText w:val="-"/>
      <w:lvlJc w:val="left"/>
      <w:pPr>
        <w:tabs>
          <w:tab w:val="num" w:pos="3600"/>
        </w:tabs>
        <w:ind w:left="3600" w:hanging="360"/>
      </w:pPr>
      <w:rPr>
        <w:rFonts w:ascii="Times New Roman" w:hAnsi="Times New Roman" w:hint="default"/>
      </w:rPr>
    </w:lvl>
    <w:lvl w:ilvl="5" w:tplc="3580DDA0" w:tentative="1">
      <w:start w:val="1"/>
      <w:numFmt w:val="bullet"/>
      <w:lvlText w:val="-"/>
      <w:lvlJc w:val="left"/>
      <w:pPr>
        <w:tabs>
          <w:tab w:val="num" w:pos="4320"/>
        </w:tabs>
        <w:ind w:left="4320" w:hanging="360"/>
      </w:pPr>
      <w:rPr>
        <w:rFonts w:ascii="Times New Roman" w:hAnsi="Times New Roman" w:hint="default"/>
      </w:rPr>
    </w:lvl>
    <w:lvl w:ilvl="6" w:tplc="E1C4BD9A" w:tentative="1">
      <w:start w:val="1"/>
      <w:numFmt w:val="bullet"/>
      <w:lvlText w:val="-"/>
      <w:lvlJc w:val="left"/>
      <w:pPr>
        <w:tabs>
          <w:tab w:val="num" w:pos="5040"/>
        </w:tabs>
        <w:ind w:left="5040" w:hanging="360"/>
      </w:pPr>
      <w:rPr>
        <w:rFonts w:ascii="Times New Roman" w:hAnsi="Times New Roman" w:hint="default"/>
      </w:rPr>
    </w:lvl>
    <w:lvl w:ilvl="7" w:tplc="687A9EC8" w:tentative="1">
      <w:start w:val="1"/>
      <w:numFmt w:val="bullet"/>
      <w:lvlText w:val="-"/>
      <w:lvlJc w:val="left"/>
      <w:pPr>
        <w:tabs>
          <w:tab w:val="num" w:pos="5760"/>
        </w:tabs>
        <w:ind w:left="5760" w:hanging="360"/>
      </w:pPr>
      <w:rPr>
        <w:rFonts w:ascii="Times New Roman" w:hAnsi="Times New Roman" w:hint="default"/>
      </w:rPr>
    </w:lvl>
    <w:lvl w:ilvl="8" w:tplc="C9A6919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70613AA"/>
    <w:multiLevelType w:val="hybridMultilevel"/>
    <w:tmpl w:val="06BA8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0A58DA"/>
    <w:multiLevelType w:val="hybridMultilevel"/>
    <w:tmpl w:val="F01E3458"/>
    <w:lvl w:ilvl="0" w:tplc="9E3E3DD0">
      <w:start w:val="1"/>
      <w:numFmt w:val="bullet"/>
      <w:lvlText w:val="•"/>
      <w:lvlJc w:val="left"/>
      <w:pPr>
        <w:tabs>
          <w:tab w:val="num" w:pos="720"/>
        </w:tabs>
        <w:ind w:left="720" w:hanging="360"/>
      </w:pPr>
      <w:rPr>
        <w:rFonts w:ascii="Arial" w:hAnsi="Arial" w:hint="default"/>
      </w:rPr>
    </w:lvl>
    <w:lvl w:ilvl="1" w:tplc="9FFC14E8" w:tentative="1">
      <w:start w:val="1"/>
      <w:numFmt w:val="bullet"/>
      <w:lvlText w:val="•"/>
      <w:lvlJc w:val="left"/>
      <w:pPr>
        <w:tabs>
          <w:tab w:val="num" w:pos="1440"/>
        </w:tabs>
        <w:ind w:left="1440" w:hanging="360"/>
      </w:pPr>
      <w:rPr>
        <w:rFonts w:ascii="Arial" w:hAnsi="Arial" w:hint="default"/>
      </w:rPr>
    </w:lvl>
    <w:lvl w:ilvl="2" w:tplc="6F30F980" w:tentative="1">
      <w:start w:val="1"/>
      <w:numFmt w:val="bullet"/>
      <w:lvlText w:val="•"/>
      <w:lvlJc w:val="left"/>
      <w:pPr>
        <w:tabs>
          <w:tab w:val="num" w:pos="2160"/>
        </w:tabs>
        <w:ind w:left="2160" w:hanging="360"/>
      </w:pPr>
      <w:rPr>
        <w:rFonts w:ascii="Arial" w:hAnsi="Arial" w:hint="default"/>
      </w:rPr>
    </w:lvl>
    <w:lvl w:ilvl="3" w:tplc="6BA40164" w:tentative="1">
      <w:start w:val="1"/>
      <w:numFmt w:val="bullet"/>
      <w:lvlText w:val="•"/>
      <w:lvlJc w:val="left"/>
      <w:pPr>
        <w:tabs>
          <w:tab w:val="num" w:pos="2880"/>
        </w:tabs>
        <w:ind w:left="2880" w:hanging="360"/>
      </w:pPr>
      <w:rPr>
        <w:rFonts w:ascii="Arial" w:hAnsi="Arial" w:hint="default"/>
      </w:rPr>
    </w:lvl>
    <w:lvl w:ilvl="4" w:tplc="A948E056" w:tentative="1">
      <w:start w:val="1"/>
      <w:numFmt w:val="bullet"/>
      <w:lvlText w:val="•"/>
      <w:lvlJc w:val="left"/>
      <w:pPr>
        <w:tabs>
          <w:tab w:val="num" w:pos="3600"/>
        </w:tabs>
        <w:ind w:left="3600" w:hanging="360"/>
      </w:pPr>
      <w:rPr>
        <w:rFonts w:ascii="Arial" w:hAnsi="Arial" w:hint="default"/>
      </w:rPr>
    </w:lvl>
    <w:lvl w:ilvl="5" w:tplc="E4CA9552" w:tentative="1">
      <w:start w:val="1"/>
      <w:numFmt w:val="bullet"/>
      <w:lvlText w:val="•"/>
      <w:lvlJc w:val="left"/>
      <w:pPr>
        <w:tabs>
          <w:tab w:val="num" w:pos="4320"/>
        </w:tabs>
        <w:ind w:left="4320" w:hanging="360"/>
      </w:pPr>
      <w:rPr>
        <w:rFonts w:ascii="Arial" w:hAnsi="Arial" w:hint="default"/>
      </w:rPr>
    </w:lvl>
    <w:lvl w:ilvl="6" w:tplc="E81E63B2" w:tentative="1">
      <w:start w:val="1"/>
      <w:numFmt w:val="bullet"/>
      <w:lvlText w:val="•"/>
      <w:lvlJc w:val="left"/>
      <w:pPr>
        <w:tabs>
          <w:tab w:val="num" w:pos="5040"/>
        </w:tabs>
        <w:ind w:left="5040" w:hanging="360"/>
      </w:pPr>
      <w:rPr>
        <w:rFonts w:ascii="Arial" w:hAnsi="Arial" w:hint="default"/>
      </w:rPr>
    </w:lvl>
    <w:lvl w:ilvl="7" w:tplc="1F10296A" w:tentative="1">
      <w:start w:val="1"/>
      <w:numFmt w:val="bullet"/>
      <w:lvlText w:val="•"/>
      <w:lvlJc w:val="left"/>
      <w:pPr>
        <w:tabs>
          <w:tab w:val="num" w:pos="5760"/>
        </w:tabs>
        <w:ind w:left="5760" w:hanging="360"/>
      </w:pPr>
      <w:rPr>
        <w:rFonts w:ascii="Arial" w:hAnsi="Arial" w:hint="default"/>
      </w:rPr>
    </w:lvl>
    <w:lvl w:ilvl="8" w:tplc="191CA5C4"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8"/>
  </w:num>
  <w:num w:numId="3">
    <w:abstractNumId w:val="2"/>
  </w:num>
  <w:num w:numId="4">
    <w:abstractNumId w:val="6"/>
  </w:num>
  <w:num w:numId="5">
    <w:abstractNumId w:val="0"/>
  </w:num>
  <w:num w:numId="6">
    <w:abstractNumId w:val="1"/>
  </w:num>
  <w:num w:numId="7">
    <w:abstractNumId w:val="5"/>
  </w:num>
  <w:num w:numId="8">
    <w:abstractNumId w:val="9"/>
  </w:num>
  <w:num w:numId="9">
    <w:abstractNumId w:val="4"/>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5AE"/>
    <w:rsid w:val="000C4076"/>
    <w:rsid w:val="00196889"/>
    <w:rsid w:val="001F244C"/>
    <w:rsid w:val="002001DC"/>
    <w:rsid w:val="002663FD"/>
    <w:rsid w:val="00271EAE"/>
    <w:rsid w:val="002927D3"/>
    <w:rsid w:val="002A0442"/>
    <w:rsid w:val="003624CF"/>
    <w:rsid w:val="0038106C"/>
    <w:rsid w:val="00511755"/>
    <w:rsid w:val="0069573C"/>
    <w:rsid w:val="007F45AE"/>
    <w:rsid w:val="008623E5"/>
    <w:rsid w:val="00880442"/>
    <w:rsid w:val="008E4265"/>
    <w:rsid w:val="00933046"/>
    <w:rsid w:val="00B53411"/>
    <w:rsid w:val="00BF6631"/>
    <w:rsid w:val="00C01F83"/>
    <w:rsid w:val="00C52790"/>
    <w:rsid w:val="00CB1800"/>
    <w:rsid w:val="00CC6A09"/>
    <w:rsid w:val="00CF5D66"/>
    <w:rsid w:val="00E26043"/>
    <w:rsid w:val="00E60605"/>
    <w:rsid w:val="00E6381A"/>
    <w:rsid w:val="00EA4211"/>
    <w:rsid w:val="00ED42FA"/>
    <w:rsid w:val="00F5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9814B"/>
  <w15:chartTrackingRefBased/>
  <w15:docId w15:val="{A5492CEF-338D-4515-89AD-7AC2243AE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45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F4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5AE"/>
  </w:style>
  <w:style w:type="paragraph" w:styleId="Footer">
    <w:name w:val="footer"/>
    <w:basedOn w:val="Normal"/>
    <w:link w:val="FooterChar"/>
    <w:uiPriority w:val="99"/>
    <w:unhideWhenUsed/>
    <w:rsid w:val="007F4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5AE"/>
  </w:style>
  <w:style w:type="paragraph" w:styleId="ListParagraph">
    <w:name w:val="List Paragraph"/>
    <w:basedOn w:val="Normal"/>
    <w:uiPriority w:val="34"/>
    <w:qFormat/>
    <w:rsid w:val="00E26043"/>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D42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163204">
      <w:bodyDiv w:val="1"/>
      <w:marLeft w:val="0"/>
      <w:marRight w:val="0"/>
      <w:marTop w:val="0"/>
      <w:marBottom w:val="0"/>
      <w:divBdr>
        <w:top w:val="none" w:sz="0" w:space="0" w:color="auto"/>
        <w:left w:val="none" w:sz="0" w:space="0" w:color="auto"/>
        <w:bottom w:val="none" w:sz="0" w:space="0" w:color="auto"/>
        <w:right w:val="none" w:sz="0" w:space="0" w:color="auto"/>
      </w:divBdr>
    </w:div>
    <w:div w:id="477264913">
      <w:bodyDiv w:val="1"/>
      <w:marLeft w:val="0"/>
      <w:marRight w:val="0"/>
      <w:marTop w:val="0"/>
      <w:marBottom w:val="0"/>
      <w:divBdr>
        <w:top w:val="none" w:sz="0" w:space="0" w:color="auto"/>
        <w:left w:val="none" w:sz="0" w:space="0" w:color="auto"/>
        <w:bottom w:val="none" w:sz="0" w:space="0" w:color="auto"/>
        <w:right w:val="none" w:sz="0" w:space="0" w:color="auto"/>
      </w:divBdr>
    </w:div>
    <w:div w:id="610167578">
      <w:bodyDiv w:val="1"/>
      <w:marLeft w:val="0"/>
      <w:marRight w:val="0"/>
      <w:marTop w:val="0"/>
      <w:marBottom w:val="0"/>
      <w:divBdr>
        <w:top w:val="none" w:sz="0" w:space="0" w:color="auto"/>
        <w:left w:val="none" w:sz="0" w:space="0" w:color="auto"/>
        <w:bottom w:val="none" w:sz="0" w:space="0" w:color="auto"/>
        <w:right w:val="none" w:sz="0" w:space="0" w:color="auto"/>
      </w:divBdr>
    </w:div>
    <w:div w:id="712315824">
      <w:bodyDiv w:val="1"/>
      <w:marLeft w:val="0"/>
      <w:marRight w:val="0"/>
      <w:marTop w:val="0"/>
      <w:marBottom w:val="0"/>
      <w:divBdr>
        <w:top w:val="none" w:sz="0" w:space="0" w:color="auto"/>
        <w:left w:val="none" w:sz="0" w:space="0" w:color="auto"/>
        <w:bottom w:val="none" w:sz="0" w:space="0" w:color="auto"/>
        <w:right w:val="none" w:sz="0" w:space="0" w:color="auto"/>
      </w:divBdr>
    </w:div>
    <w:div w:id="723914185">
      <w:bodyDiv w:val="1"/>
      <w:marLeft w:val="0"/>
      <w:marRight w:val="0"/>
      <w:marTop w:val="0"/>
      <w:marBottom w:val="0"/>
      <w:divBdr>
        <w:top w:val="none" w:sz="0" w:space="0" w:color="auto"/>
        <w:left w:val="none" w:sz="0" w:space="0" w:color="auto"/>
        <w:bottom w:val="none" w:sz="0" w:space="0" w:color="auto"/>
        <w:right w:val="none" w:sz="0" w:space="0" w:color="auto"/>
      </w:divBdr>
    </w:div>
    <w:div w:id="759132811">
      <w:bodyDiv w:val="1"/>
      <w:marLeft w:val="0"/>
      <w:marRight w:val="0"/>
      <w:marTop w:val="0"/>
      <w:marBottom w:val="0"/>
      <w:divBdr>
        <w:top w:val="none" w:sz="0" w:space="0" w:color="auto"/>
        <w:left w:val="none" w:sz="0" w:space="0" w:color="auto"/>
        <w:bottom w:val="none" w:sz="0" w:space="0" w:color="auto"/>
        <w:right w:val="none" w:sz="0" w:space="0" w:color="auto"/>
      </w:divBdr>
    </w:div>
    <w:div w:id="781611979">
      <w:bodyDiv w:val="1"/>
      <w:marLeft w:val="0"/>
      <w:marRight w:val="0"/>
      <w:marTop w:val="0"/>
      <w:marBottom w:val="0"/>
      <w:divBdr>
        <w:top w:val="none" w:sz="0" w:space="0" w:color="auto"/>
        <w:left w:val="none" w:sz="0" w:space="0" w:color="auto"/>
        <w:bottom w:val="none" w:sz="0" w:space="0" w:color="auto"/>
        <w:right w:val="none" w:sz="0" w:space="0" w:color="auto"/>
      </w:divBdr>
    </w:div>
    <w:div w:id="839581836">
      <w:bodyDiv w:val="1"/>
      <w:marLeft w:val="0"/>
      <w:marRight w:val="0"/>
      <w:marTop w:val="0"/>
      <w:marBottom w:val="0"/>
      <w:divBdr>
        <w:top w:val="none" w:sz="0" w:space="0" w:color="auto"/>
        <w:left w:val="none" w:sz="0" w:space="0" w:color="auto"/>
        <w:bottom w:val="none" w:sz="0" w:space="0" w:color="auto"/>
        <w:right w:val="none" w:sz="0" w:space="0" w:color="auto"/>
      </w:divBdr>
    </w:div>
    <w:div w:id="851534968">
      <w:bodyDiv w:val="1"/>
      <w:marLeft w:val="0"/>
      <w:marRight w:val="0"/>
      <w:marTop w:val="0"/>
      <w:marBottom w:val="0"/>
      <w:divBdr>
        <w:top w:val="none" w:sz="0" w:space="0" w:color="auto"/>
        <w:left w:val="none" w:sz="0" w:space="0" w:color="auto"/>
        <w:bottom w:val="none" w:sz="0" w:space="0" w:color="auto"/>
        <w:right w:val="none" w:sz="0" w:space="0" w:color="auto"/>
      </w:divBdr>
    </w:div>
    <w:div w:id="874151587">
      <w:bodyDiv w:val="1"/>
      <w:marLeft w:val="0"/>
      <w:marRight w:val="0"/>
      <w:marTop w:val="0"/>
      <w:marBottom w:val="0"/>
      <w:divBdr>
        <w:top w:val="none" w:sz="0" w:space="0" w:color="auto"/>
        <w:left w:val="none" w:sz="0" w:space="0" w:color="auto"/>
        <w:bottom w:val="none" w:sz="0" w:space="0" w:color="auto"/>
        <w:right w:val="none" w:sz="0" w:space="0" w:color="auto"/>
      </w:divBdr>
      <w:divsChild>
        <w:div w:id="1791974558">
          <w:marLeft w:val="0"/>
          <w:marRight w:val="0"/>
          <w:marTop w:val="0"/>
          <w:marBottom w:val="0"/>
          <w:divBdr>
            <w:top w:val="none" w:sz="0" w:space="0" w:color="auto"/>
            <w:left w:val="none" w:sz="0" w:space="0" w:color="auto"/>
            <w:bottom w:val="none" w:sz="0" w:space="0" w:color="auto"/>
            <w:right w:val="none" w:sz="0" w:space="0" w:color="auto"/>
          </w:divBdr>
          <w:divsChild>
            <w:div w:id="1913612154">
              <w:marLeft w:val="0"/>
              <w:marRight w:val="0"/>
              <w:marTop w:val="0"/>
              <w:marBottom w:val="0"/>
              <w:divBdr>
                <w:top w:val="none" w:sz="0" w:space="0" w:color="auto"/>
                <w:left w:val="none" w:sz="0" w:space="0" w:color="auto"/>
                <w:bottom w:val="none" w:sz="0" w:space="0" w:color="auto"/>
                <w:right w:val="none" w:sz="0" w:space="0" w:color="auto"/>
              </w:divBdr>
              <w:divsChild>
                <w:div w:id="294141082">
                  <w:marLeft w:val="0"/>
                  <w:marRight w:val="0"/>
                  <w:marTop w:val="0"/>
                  <w:marBottom w:val="0"/>
                  <w:divBdr>
                    <w:top w:val="none" w:sz="0" w:space="0" w:color="auto"/>
                    <w:left w:val="none" w:sz="0" w:space="0" w:color="auto"/>
                    <w:bottom w:val="none" w:sz="0" w:space="0" w:color="auto"/>
                    <w:right w:val="none" w:sz="0" w:space="0" w:color="auto"/>
                  </w:divBdr>
                  <w:divsChild>
                    <w:div w:id="1133018575">
                      <w:marLeft w:val="0"/>
                      <w:marRight w:val="0"/>
                      <w:marTop w:val="0"/>
                      <w:marBottom w:val="0"/>
                      <w:divBdr>
                        <w:top w:val="none" w:sz="0" w:space="0" w:color="auto"/>
                        <w:left w:val="none" w:sz="0" w:space="0" w:color="auto"/>
                        <w:bottom w:val="none" w:sz="0" w:space="0" w:color="auto"/>
                        <w:right w:val="none" w:sz="0" w:space="0" w:color="auto"/>
                      </w:divBdr>
                      <w:divsChild>
                        <w:div w:id="1598368576">
                          <w:marLeft w:val="0"/>
                          <w:marRight w:val="0"/>
                          <w:marTop w:val="0"/>
                          <w:marBottom w:val="0"/>
                          <w:divBdr>
                            <w:top w:val="none" w:sz="0" w:space="0" w:color="auto"/>
                            <w:left w:val="none" w:sz="0" w:space="0" w:color="auto"/>
                            <w:bottom w:val="none" w:sz="0" w:space="0" w:color="auto"/>
                            <w:right w:val="none" w:sz="0" w:space="0" w:color="auto"/>
                          </w:divBdr>
                          <w:divsChild>
                            <w:div w:id="189831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130796">
      <w:bodyDiv w:val="1"/>
      <w:marLeft w:val="0"/>
      <w:marRight w:val="0"/>
      <w:marTop w:val="0"/>
      <w:marBottom w:val="0"/>
      <w:divBdr>
        <w:top w:val="none" w:sz="0" w:space="0" w:color="auto"/>
        <w:left w:val="none" w:sz="0" w:space="0" w:color="auto"/>
        <w:bottom w:val="none" w:sz="0" w:space="0" w:color="auto"/>
        <w:right w:val="none" w:sz="0" w:space="0" w:color="auto"/>
      </w:divBdr>
    </w:div>
    <w:div w:id="1074546699">
      <w:bodyDiv w:val="1"/>
      <w:marLeft w:val="0"/>
      <w:marRight w:val="0"/>
      <w:marTop w:val="0"/>
      <w:marBottom w:val="0"/>
      <w:divBdr>
        <w:top w:val="none" w:sz="0" w:space="0" w:color="auto"/>
        <w:left w:val="none" w:sz="0" w:space="0" w:color="auto"/>
        <w:bottom w:val="none" w:sz="0" w:space="0" w:color="auto"/>
        <w:right w:val="none" w:sz="0" w:space="0" w:color="auto"/>
      </w:divBdr>
      <w:divsChild>
        <w:div w:id="1557005371">
          <w:marLeft w:val="360"/>
          <w:marRight w:val="0"/>
          <w:marTop w:val="200"/>
          <w:marBottom w:val="0"/>
          <w:divBdr>
            <w:top w:val="none" w:sz="0" w:space="0" w:color="auto"/>
            <w:left w:val="none" w:sz="0" w:space="0" w:color="auto"/>
            <w:bottom w:val="none" w:sz="0" w:space="0" w:color="auto"/>
            <w:right w:val="none" w:sz="0" w:space="0" w:color="auto"/>
          </w:divBdr>
        </w:div>
        <w:div w:id="1024556060">
          <w:marLeft w:val="360"/>
          <w:marRight w:val="0"/>
          <w:marTop w:val="200"/>
          <w:marBottom w:val="0"/>
          <w:divBdr>
            <w:top w:val="none" w:sz="0" w:space="0" w:color="auto"/>
            <w:left w:val="none" w:sz="0" w:space="0" w:color="auto"/>
            <w:bottom w:val="none" w:sz="0" w:space="0" w:color="auto"/>
            <w:right w:val="none" w:sz="0" w:space="0" w:color="auto"/>
          </w:divBdr>
        </w:div>
        <w:div w:id="541214883">
          <w:marLeft w:val="360"/>
          <w:marRight w:val="0"/>
          <w:marTop w:val="200"/>
          <w:marBottom w:val="0"/>
          <w:divBdr>
            <w:top w:val="none" w:sz="0" w:space="0" w:color="auto"/>
            <w:left w:val="none" w:sz="0" w:space="0" w:color="auto"/>
            <w:bottom w:val="none" w:sz="0" w:space="0" w:color="auto"/>
            <w:right w:val="none" w:sz="0" w:space="0" w:color="auto"/>
          </w:divBdr>
        </w:div>
      </w:divsChild>
    </w:div>
    <w:div w:id="1641837994">
      <w:bodyDiv w:val="1"/>
      <w:marLeft w:val="0"/>
      <w:marRight w:val="0"/>
      <w:marTop w:val="0"/>
      <w:marBottom w:val="0"/>
      <w:divBdr>
        <w:top w:val="none" w:sz="0" w:space="0" w:color="auto"/>
        <w:left w:val="none" w:sz="0" w:space="0" w:color="auto"/>
        <w:bottom w:val="none" w:sz="0" w:space="0" w:color="auto"/>
        <w:right w:val="none" w:sz="0" w:space="0" w:color="auto"/>
      </w:divBdr>
    </w:div>
    <w:div w:id="1791044031">
      <w:bodyDiv w:val="1"/>
      <w:marLeft w:val="0"/>
      <w:marRight w:val="0"/>
      <w:marTop w:val="0"/>
      <w:marBottom w:val="0"/>
      <w:divBdr>
        <w:top w:val="none" w:sz="0" w:space="0" w:color="auto"/>
        <w:left w:val="none" w:sz="0" w:space="0" w:color="auto"/>
        <w:bottom w:val="none" w:sz="0" w:space="0" w:color="auto"/>
        <w:right w:val="none" w:sz="0" w:space="0" w:color="auto"/>
      </w:divBdr>
    </w:div>
    <w:div w:id="204921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E33B6-AD4F-44E9-8280-E1BFD5895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3230</TotalTime>
  <Pages>9</Pages>
  <Words>2702</Words>
  <Characters>15404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5</cp:revision>
  <dcterms:created xsi:type="dcterms:W3CDTF">2024-10-25T10:29:00Z</dcterms:created>
  <dcterms:modified xsi:type="dcterms:W3CDTF">2024-10-27T20:41:00Z</dcterms:modified>
</cp:coreProperties>
</file>