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C25588" w14:textId="77777777" w:rsidR="0018181A" w:rsidRPr="00503456" w:rsidRDefault="0018181A" w:rsidP="0018181A">
      <w:pPr>
        <w:pStyle w:val="Title"/>
        <w:jc w:val="center"/>
        <w:rPr>
          <w:sz w:val="144"/>
          <w:szCs w:val="144"/>
        </w:rPr>
      </w:pPr>
      <w:bookmarkStart w:id="0" w:name="_Hlk193926538"/>
      <w:bookmarkEnd w:id="0"/>
      <w:r w:rsidRPr="00503456">
        <w:rPr>
          <w:sz w:val="144"/>
          <w:szCs w:val="144"/>
        </w:rPr>
        <w:t xml:space="preserve">Teaching for Change: Creating an Inclusive S.T.E.P Tool </w:t>
      </w:r>
    </w:p>
    <w:p w14:paraId="78582023" w14:textId="77777777" w:rsidR="0018181A" w:rsidRDefault="0018181A" w:rsidP="0018181A">
      <w:pPr>
        <w:pStyle w:val="Title"/>
        <w:jc w:val="center"/>
      </w:pPr>
    </w:p>
    <w:p w14:paraId="67D5E7D5" w14:textId="77777777" w:rsidR="0018181A" w:rsidRDefault="0018181A" w:rsidP="0018181A">
      <w:pPr>
        <w:pStyle w:val="Title"/>
        <w:jc w:val="center"/>
      </w:pPr>
      <w:r>
        <w:t>James Dillon</w:t>
      </w:r>
    </w:p>
    <w:p w14:paraId="011BD81E" w14:textId="77777777" w:rsidR="0058589E" w:rsidRDefault="0058589E"/>
    <w:p w14:paraId="6D6A0B1D" w14:textId="77777777" w:rsidR="0018181A" w:rsidRDefault="0018181A"/>
    <w:p w14:paraId="68DC96F1" w14:textId="77777777" w:rsidR="0018181A" w:rsidRDefault="0018181A"/>
    <w:p w14:paraId="5EA3FF47" w14:textId="77777777" w:rsidR="0018181A" w:rsidRDefault="0018181A"/>
    <w:p w14:paraId="1447213F" w14:textId="77777777" w:rsidR="0018181A" w:rsidRDefault="0018181A"/>
    <w:p w14:paraId="4D73D343" w14:textId="77777777" w:rsidR="0018181A" w:rsidRDefault="0018181A"/>
    <w:p w14:paraId="18952E25" w14:textId="77777777" w:rsidR="0018181A" w:rsidRDefault="0018181A"/>
    <w:p w14:paraId="67F92E98" w14:textId="77777777" w:rsidR="0018181A" w:rsidRDefault="0018181A"/>
    <w:p w14:paraId="418456DF" w14:textId="77777777" w:rsidR="0018181A" w:rsidRDefault="0018181A" w:rsidP="0018181A">
      <w:pPr>
        <w:jc w:val="center"/>
        <w:rPr>
          <w:b/>
        </w:rPr>
      </w:pPr>
      <w:r>
        <w:rPr>
          <w:b/>
        </w:rPr>
        <w:lastRenderedPageBreak/>
        <w:t>Undergraduate Dissertation Certificate</w:t>
      </w:r>
    </w:p>
    <w:p w14:paraId="0D057ECF" w14:textId="77777777" w:rsidR="0018181A" w:rsidRDefault="0018181A" w:rsidP="0018181A">
      <w:pPr>
        <w:rPr>
          <w:b/>
          <w:sz w:val="28"/>
          <w:szCs w:val="28"/>
          <w:u w:val="single"/>
        </w:rPr>
      </w:pPr>
    </w:p>
    <w:p w14:paraId="26DE8951" w14:textId="77777777" w:rsidR="0018181A" w:rsidRPr="009A231D" w:rsidRDefault="0018181A" w:rsidP="0018181A">
      <w:pPr>
        <w:jc w:val="center"/>
        <w:rPr>
          <w:b/>
          <w:sz w:val="28"/>
          <w:szCs w:val="28"/>
          <w:u w:val="single"/>
        </w:rPr>
      </w:pPr>
      <w:r>
        <w:rPr>
          <w:rFonts w:ascii="Open Sans" w:hAnsi="Open Sans"/>
          <w:noProof/>
          <w:color w:val="777777"/>
          <w:sz w:val="21"/>
          <w:szCs w:val="21"/>
        </w:rPr>
        <w:drawing>
          <wp:inline distT="0" distB="0" distL="0" distR="0" wp14:anchorId="7F2E9A52" wp14:editId="39E3394B">
            <wp:extent cx="2952750" cy="7620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4246B228" w14:textId="77777777" w:rsidR="0018181A" w:rsidRDefault="0018181A" w:rsidP="0018181A">
      <w:pPr>
        <w:rPr>
          <w:b/>
        </w:rPr>
      </w:pPr>
    </w:p>
    <w:p w14:paraId="2D2D782E" w14:textId="77777777" w:rsidR="0018181A" w:rsidRDefault="0018181A" w:rsidP="0018181A">
      <w:pPr>
        <w:rPr>
          <w:b/>
        </w:rPr>
      </w:pPr>
      <w:r>
        <w:rPr>
          <w:b/>
        </w:rPr>
        <w:t>Name of the Programme of Study: PHYSICAL EDUCATION</w:t>
      </w:r>
    </w:p>
    <w:p w14:paraId="446859C6" w14:textId="77777777" w:rsidR="0018181A" w:rsidRDefault="0018181A" w:rsidP="0018181A">
      <w:pPr>
        <w:rPr>
          <w:b/>
        </w:rPr>
      </w:pPr>
    </w:p>
    <w:p w14:paraId="7248CB55" w14:textId="77777777" w:rsidR="0018181A" w:rsidRDefault="0018181A" w:rsidP="0018181A">
      <w:pPr>
        <w:rPr>
          <w:b/>
        </w:rPr>
      </w:pPr>
      <w:r>
        <w:rPr>
          <w:b/>
        </w:rPr>
        <w:t>Name of Student (Capital Letters): JAMES DILLON</w:t>
      </w:r>
    </w:p>
    <w:p w14:paraId="6DAD63E0" w14:textId="77777777" w:rsidR="0018181A" w:rsidRDefault="0018181A" w:rsidP="0018181A">
      <w:pPr>
        <w:rPr>
          <w:b/>
        </w:rPr>
      </w:pPr>
    </w:p>
    <w:p w14:paraId="2FDD8D13" w14:textId="77777777" w:rsidR="0018181A" w:rsidRDefault="0018181A" w:rsidP="0018181A">
      <w:pPr>
        <w:rPr>
          <w:b/>
        </w:rPr>
      </w:pPr>
      <w:r>
        <w:rPr>
          <w:b/>
        </w:rPr>
        <w:t>DECLARATION</w:t>
      </w:r>
    </w:p>
    <w:p w14:paraId="6179DFC0" w14:textId="77777777" w:rsidR="0018181A" w:rsidRDefault="0018181A" w:rsidP="0018181A">
      <w:pPr>
        <w:rPr>
          <w:b/>
        </w:rPr>
      </w:pPr>
    </w:p>
    <w:p w14:paraId="1B89BE64" w14:textId="77777777" w:rsidR="0018181A" w:rsidRPr="00886D9C" w:rsidRDefault="0018181A" w:rsidP="0018181A">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0E59BC8D" w14:textId="77777777" w:rsidR="0018181A" w:rsidRPr="00886D9C" w:rsidRDefault="0018181A" w:rsidP="0018181A">
      <w:pPr>
        <w:rPr>
          <w:b/>
        </w:rPr>
      </w:pPr>
    </w:p>
    <w:p w14:paraId="23A325DF" w14:textId="77777777" w:rsidR="0018181A" w:rsidRDefault="0018181A" w:rsidP="0018181A">
      <w:pPr>
        <w:rPr>
          <w:b/>
        </w:rPr>
      </w:pPr>
      <w:r w:rsidRPr="00886D9C">
        <w:rPr>
          <w:b/>
        </w:rPr>
        <w:t>Signed</w:t>
      </w:r>
      <w:r>
        <w:rPr>
          <w:b/>
        </w:rPr>
        <w:t>:</w:t>
      </w:r>
      <w:r w:rsidRPr="00886D9C">
        <w:rPr>
          <w:b/>
        </w:rPr>
        <w:t xml:space="preserve"> </w:t>
      </w:r>
      <w:r>
        <w:rPr>
          <w:b/>
        </w:rPr>
        <w:t>James Dillon (Student)</w:t>
      </w:r>
    </w:p>
    <w:p w14:paraId="44F09BC7" w14:textId="77777777" w:rsidR="0018181A" w:rsidRDefault="0018181A" w:rsidP="0018181A">
      <w:pPr>
        <w:rPr>
          <w:b/>
        </w:rPr>
      </w:pPr>
    </w:p>
    <w:p w14:paraId="5D94EADF" w14:textId="77777777" w:rsidR="0018181A" w:rsidRDefault="0018181A" w:rsidP="0018181A">
      <w:pPr>
        <w:rPr>
          <w:b/>
        </w:rPr>
      </w:pPr>
      <w:r>
        <w:rPr>
          <w:b/>
        </w:rPr>
        <w:t>Date:  03/04/2025</w:t>
      </w:r>
    </w:p>
    <w:p w14:paraId="35035517" w14:textId="77777777" w:rsidR="0018181A" w:rsidRDefault="0018181A" w:rsidP="0018181A">
      <w:pPr>
        <w:rPr>
          <w:b/>
        </w:rPr>
      </w:pPr>
    </w:p>
    <w:p w14:paraId="5BE4124B" w14:textId="77777777" w:rsidR="0018181A" w:rsidRDefault="0018181A" w:rsidP="0018181A">
      <w:pPr>
        <w:rPr>
          <w:b/>
        </w:rPr>
      </w:pPr>
      <w:r>
        <w:rPr>
          <w:b/>
        </w:rPr>
        <w:t>DECLARATION</w:t>
      </w:r>
    </w:p>
    <w:p w14:paraId="579EB743" w14:textId="77777777" w:rsidR="0018181A" w:rsidRDefault="0018181A" w:rsidP="0018181A">
      <w:pPr>
        <w:rPr>
          <w:b/>
        </w:rPr>
      </w:pPr>
    </w:p>
    <w:p w14:paraId="7EE97461" w14:textId="77777777" w:rsidR="0018181A" w:rsidRPr="00886D9C" w:rsidRDefault="0018181A" w:rsidP="0018181A">
      <w:pPr>
        <w:rPr>
          <w:b/>
        </w:rPr>
      </w:pPr>
      <w:r w:rsidRPr="00886D9C">
        <w:rPr>
          <w:b/>
        </w:rPr>
        <w:t xml:space="preserve">I am satisfied that this work is the result of the </w:t>
      </w:r>
      <w:proofErr w:type="gramStart"/>
      <w:r w:rsidRPr="00886D9C">
        <w:rPr>
          <w:b/>
        </w:rPr>
        <w:t>Student’s</w:t>
      </w:r>
      <w:proofErr w:type="gramEnd"/>
      <w:r w:rsidRPr="00886D9C">
        <w:rPr>
          <w:b/>
        </w:rPr>
        <w:t xml:space="preserve"> effort.</w:t>
      </w:r>
    </w:p>
    <w:p w14:paraId="5D22B4C8" w14:textId="77777777" w:rsidR="0018181A" w:rsidRDefault="0018181A" w:rsidP="0018181A">
      <w:pPr>
        <w:rPr>
          <w:b/>
        </w:rPr>
      </w:pPr>
    </w:p>
    <w:p w14:paraId="177E4D20" w14:textId="77777777" w:rsidR="0018181A" w:rsidRDefault="0018181A" w:rsidP="0018181A">
      <w:pPr>
        <w:rPr>
          <w:b/>
        </w:rPr>
      </w:pPr>
      <w:r>
        <w:rPr>
          <w:b/>
        </w:rPr>
        <w:t>Signed .............................................................. (Lecturer)</w:t>
      </w:r>
    </w:p>
    <w:p w14:paraId="636190C0" w14:textId="77777777" w:rsidR="0018181A" w:rsidRDefault="0018181A" w:rsidP="0018181A">
      <w:pPr>
        <w:rPr>
          <w:b/>
        </w:rPr>
      </w:pPr>
    </w:p>
    <w:p w14:paraId="30FB0492" w14:textId="77777777" w:rsidR="0018181A" w:rsidRDefault="0018181A" w:rsidP="0018181A">
      <w:pPr>
        <w:rPr>
          <w:b/>
        </w:rPr>
      </w:pPr>
      <w:r>
        <w:rPr>
          <w:b/>
        </w:rPr>
        <w:t>Date     ..............................................................</w:t>
      </w:r>
    </w:p>
    <w:p w14:paraId="28EB2151" w14:textId="77777777" w:rsidR="0018181A" w:rsidRDefault="0018181A" w:rsidP="0018181A">
      <w:pPr>
        <w:rPr>
          <w:rStyle w:val="SubtleEmphasis"/>
        </w:rPr>
      </w:pPr>
    </w:p>
    <w:p w14:paraId="5F69F6D1" w14:textId="77777777" w:rsidR="0018181A" w:rsidRDefault="0018181A" w:rsidP="0018181A">
      <w:pPr>
        <w:rPr>
          <w:rStyle w:val="SubtleEmphasis"/>
        </w:rPr>
      </w:pPr>
      <w:r w:rsidRPr="00DE07A2">
        <w:rPr>
          <w:i/>
          <w:iCs/>
          <w:color w:val="404040" w:themeColor="text1" w:themeTint="BF"/>
        </w:rPr>
        <w:t>I confirm that I have not used any AI tools in the research and creation of this </w:t>
      </w:r>
      <w:r w:rsidRPr="00DE07A2">
        <w:rPr>
          <w:i/>
          <w:iCs/>
          <w:color w:val="404040" w:themeColor="text1" w:themeTint="BF"/>
        </w:rPr>
        <w:br/>
        <w:t>assignment. I confirm that I have not presented any AI generated materials as my own </w:t>
      </w:r>
      <w:r w:rsidRPr="00DE07A2">
        <w:rPr>
          <w:i/>
          <w:iCs/>
          <w:color w:val="404040" w:themeColor="text1" w:themeTint="BF"/>
        </w:rPr>
        <w:br/>
        <w:t>work. I confirm I have copies of my drafts, notes, and other resources I used, which I </w:t>
      </w:r>
      <w:r w:rsidRPr="00DE07A2">
        <w:rPr>
          <w:i/>
          <w:iCs/>
          <w:color w:val="404040" w:themeColor="text1" w:themeTint="BF"/>
        </w:rPr>
        <w:br/>
        <w:t>may be asked to provide in evidence.</w:t>
      </w:r>
    </w:p>
    <w:p w14:paraId="2E19D9C2" w14:textId="77777777" w:rsidR="0018181A" w:rsidRDefault="0018181A"/>
    <w:p w14:paraId="4327291C" w14:textId="2ACF7A60" w:rsidR="0018181A" w:rsidRDefault="0018181A" w:rsidP="0018181A">
      <w:pPr>
        <w:pStyle w:val="Heading1"/>
      </w:pPr>
      <w:r>
        <w:lastRenderedPageBreak/>
        <w:t>Contents</w:t>
      </w:r>
    </w:p>
    <w:p w14:paraId="4D38E7CF" w14:textId="77777777" w:rsidR="0018181A" w:rsidRDefault="0018181A" w:rsidP="0018181A"/>
    <w:p w14:paraId="6D5452CA" w14:textId="77777777" w:rsidR="00CA1C7C" w:rsidRDefault="00CA1C7C" w:rsidP="0018181A"/>
    <w:p w14:paraId="2AC102CA" w14:textId="464408D5" w:rsidR="00CA1C7C" w:rsidRDefault="00CA1C7C" w:rsidP="0018181A">
      <w:pPr>
        <w:rPr>
          <w:rStyle w:val="IntenseEmphasis"/>
        </w:rPr>
      </w:pPr>
      <w:r>
        <w:rPr>
          <w:rStyle w:val="IntenseEmphasis"/>
        </w:rPr>
        <w:t>Abstract</w:t>
      </w:r>
      <w:r w:rsidR="00D20CB7">
        <w:rPr>
          <w:rStyle w:val="IntenseEmphasis"/>
        </w:rPr>
        <w:t xml:space="preserve">                                                                                                                                                                                   </w:t>
      </w:r>
      <w:r w:rsidR="00052D74">
        <w:rPr>
          <w:rStyle w:val="IntenseEmphasis"/>
        </w:rPr>
        <w:t xml:space="preserve"> </w:t>
      </w:r>
      <w:r w:rsidR="00D20CB7">
        <w:rPr>
          <w:rStyle w:val="IntenseEmphasis"/>
        </w:rPr>
        <w:t xml:space="preserve"> 4</w:t>
      </w:r>
    </w:p>
    <w:p w14:paraId="1A22039E" w14:textId="31D9B62B" w:rsidR="00CA1C7C" w:rsidRDefault="00CA1C7C" w:rsidP="0018181A">
      <w:pPr>
        <w:rPr>
          <w:rStyle w:val="IntenseEmphasis"/>
        </w:rPr>
      </w:pPr>
      <w:r>
        <w:rPr>
          <w:rStyle w:val="IntenseEmphasis"/>
        </w:rPr>
        <w:t>Introduction</w:t>
      </w:r>
      <w:r w:rsidR="00E95658">
        <w:rPr>
          <w:rStyle w:val="IntenseEmphasis"/>
        </w:rPr>
        <w:t xml:space="preserve">                                                                                                                                                                           </w:t>
      </w:r>
      <w:r w:rsidR="00052D74">
        <w:rPr>
          <w:rStyle w:val="IntenseEmphasis"/>
        </w:rPr>
        <w:t xml:space="preserve"> </w:t>
      </w:r>
      <w:r w:rsidR="00E95658">
        <w:rPr>
          <w:rStyle w:val="IntenseEmphasis"/>
        </w:rPr>
        <w:t xml:space="preserve"> 5</w:t>
      </w:r>
    </w:p>
    <w:p w14:paraId="7124654A" w14:textId="7CA9D1DB" w:rsidR="00CA1C7C" w:rsidRDefault="00CA1C7C" w:rsidP="0018181A">
      <w:pPr>
        <w:rPr>
          <w:rStyle w:val="IntenseEmphasis"/>
        </w:rPr>
      </w:pPr>
      <w:r>
        <w:rPr>
          <w:rStyle w:val="IntenseEmphasis"/>
        </w:rPr>
        <w:t xml:space="preserve">What Does the Literature </w:t>
      </w:r>
      <w:r w:rsidR="002823BA">
        <w:rPr>
          <w:rStyle w:val="IntenseEmphasis"/>
        </w:rPr>
        <w:t>tell us</w:t>
      </w:r>
      <w:r>
        <w:rPr>
          <w:rStyle w:val="IntenseEmphasis"/>
        </w:rPr>
        <w:t>?</w:t>
      </w:r>
      <w:r w:rsidR="00E95658">
        <w:rPr>
          <w:rStyle w:val="IntenseEmphasis"/>
        </w:rPr>
        <w:t xml:space="preserve">                                                                                                                                </w:t>
      </w:r>
      <w:r w:rsidR="00052D74">
        <w:rPr>
          <w:rStyle w:val="IntenseEmphasis"/>
        </w:rPr>
        <w:t xml:space="preserve"> </w:t>
      </w:r>
      <w:r w:rsidR="00E95658">
        <w:rPr>
          <w:rStyle w:val="IntenseEmphasis"/>
        </w:rPr>
        <w:t xml:space="preserve"> 7</w:t>
      </w:r>
    </w:p>
    <w:p w14:paraId="1C114869" w14:textId="0C3D787A" w:rsidR="002823BA" w:rsidRDefault="00F6226C" w:rsidP="002823BA">
      <w:pPr>
        <w:ind w:left="720"/>
        <w:rPr>
          <w:rStyle w:val="IntenseEmphasis"/>
        </w:rPr>
      </w:pPr>
      <w:r>
        <w:rPr>
          <w:rStyle w:val="IntenseEmphasis"/>
        </w:rPr>
        <w:t>Teacher Knowledge and Student’s Voice</w:t>
      </w:r>
      <w:r w:rsidR="00052D74">
        <w:rPr>
          <w:rStyle w:val="IntenseEmphasis"/>
        </w:rPr>
        <w:t xml:space="preserve">                                                                                                  7</w:t>
      </w:r>
    </w:p>
    <w:p w14:paraId="0E159A83" w14:textId="62D6A05D" w:rsidR="008C480B" w:rsidRDefault="00F6226C" w:rsidP="002823BA">
      <w:pPr>
        <w:ind w:left="720"/>
        <w:rPr>
          <w:rStyle w:val="IntenseEmphasis"/>
        </w:rPr>
      </w:pPr>
      <w:r>
        <w:rPr>
          <w:rStyle w:val="IntenseEmphasis"/>
        </w:rPr>
        <w:t>Motivation</w:t>
      </w:r>
      <w:r w:rsidR="00A715FF">
        <w:rPr>
          <w:rStyle w:val="IntenseEmphasis"/>
        </w:rPr>
        <w:t xml:space="preserve">                                                                                                                                                                8</w:t>
      </w:r>
    </w:p>
    <w:p w14:paraId="2945492A" w14:textId="3E489D00" w:rsidR="008C480B" w:rsidRDefault="009F0657" w:rsidP="002823BA">
      <w:pPr>
        <w:ind w:left="720"/>
        <w:rPr>
          <w:rStyle w:val="IntenseEmphasis"/>
        </w:rPr>
      </w:pPr>
      <w:r>
        <w:rPr>
          <w:rStyle w:val="IntenseEmphasis"/>
        </w:rPr>
        <w:t>Teaching Style and S.T.E.P</w:t>
      </w:r>
      <w:r w:rsidR="00A715FF">
        <w:rPr>
          <w:rStyle w:val="IntenseEmphasis"/>
        </w:rPr>
        <w:t xml:space="preserve">                                                                                                                              10</w:t>
      </w:r>
    </w:p>
    <w:p w14:paraId="4ADD34A3" w14:textId="6530A45B" w:rsidR="008C480B" w:rsidRDefault="00AB6BC0" w:rsidP="002823BA">
      <w:pPr>
        <w:ind w:left="720"/>
        <w:rPr>
          <w:rStyle w:val="IntenseEmphasis"/>
        </w:rPr>
      </w:pPr>
      <w:r>
        <w:rPr>
          <w:rStyle w:val="IntenseEmphasis"/>
        </w:rPr>
        <w:t>Teaching PE for SEND</w:t>
      </w:r>
      <w:r w:rsidR="00A715FF">
        <w:rPr>
          <w:rStyle w:val="IntenseEmphasis"/>
        </w:rPr>
        <w:t xml:space="preserve">                                                                                                                                       11</w:t>
      </w:r>
    </w:p>
    <w:p w14:paraId="1373E38B" w14:textId="25982638" w:rsidR="00CA1C7C" w:rsidRDefault="00CA1C7C" w:rsidP="0018181A">
      <w:pPr>
        <w:rPr>
          <w:rStyle w:val="IntenseEmphasis"/>
        </w:rPr>
      </w:pPr>
      <w:r>
        <w:rPr>
          <w:rStyle w:val="IntenseEmphasis"/>
        </w:rPr>
        <w:t>Methodology</w:t>
      </w:r>
      <w:r w:rsidR="00164CD9">
        <w:rPr>
          <w:rStyle w:val="IntenseEmphasis"/>
        </w:rPr>
        <w:t xml:space="preserve">                                                                                                                                                                         13</w:t>
      </w:r>
    </w:p>
    <w:p w14:paraId="3628D700" w14:textId="2D5DBB3C" w:rsidR="00CA1C7C" w:rsidRDefault="00CA1C7C" w:rsidP="0018181A">
      <w:pPr>
        <w:rPr>
          <w:rStyle w:val="IntenseEmphasis"/>
        </w:rPr>
      </w:pPr>
      <w:r>
        <w:rPr>
          <w:rStyle w:val="IntenseEmphasis"/>
        </w:rPr>
        <w:t>Analysis of Resource</w:t>
      </w:r>
      <w:r w:rsidR="00164CD9">
        <w:rPr>
          <w:rStyle w:val="IntenseEmphasis"/>
        </w:rPr>
        <w:t xml:space="preserve">                                                                                                                                                        </w:t>
      </w:r>
      <w:r w:rsidR="000F54D1">
        <w:rPr>
          <w:rStyle w:val="IntenseEmphasis"/>
        </w:rPr>
        <w:t>15</w:t>
      </w:r>
    </w:p>
    <w:p w14:paraId="63F900F6" w14:textId="0260DE09" w:rsidR="008C480B" w:rsidRDefault="00AB6BC0" w:rsidP="008C480B">
      <w:pPr>
        <w:ind w:left="720"/>
        <w:rPr>
          <w:rStyle w:val="IntenseEmphasis"/>
        </w:rPr>
      </w:pPr>
      <w:r>
        <w:rPr>
          <w:rStyle w:val="IntenseEmphasis"/>
        </w:rPr>
        <w:t>Overview of Analysis</w:t>
      </w:r>
      <w:r w:rsidR="000F54D1">
        <w:rPr>
          <w:rStyle w:val="IntenseEmphasis"/>
        </w:rPr>
        <w:t xml:space="preserve">                                                                                                                                       </w:t>
      </w:r>
      <w:r w:rsidR="00797DEC">
        <w:rPr>
          <w:rStyle w:val="IntenseEmphasis"/>
        </w:rPr>
        <w:t xml:space="preserve"> </w:t>
      </w:r>
      <w:r w:rsidR="000F54D1">
        <w:rPr>
          <w:rStyle w:val="IntenseEmphasis"/>
        </w:rPr>
        <w:t>15</w:t>
      </w:r>
    </w:p>
    <w:p w14:paraId="34BD50AA" w14:textId="2ADC7CC1" w:rsidR="008C480B" w:rsidRDefault="00055186" w:rsidP="008C480B">
      <w:pPr>
        <w:ind w:left="720"/>
        <w:rPr>
          <w:rStyle w:val="IntenseEmphasis"/>
        </w:rPr>
      </w:pPr>
      <w:r>
        <w:rPr>
          <w:rStyle w:val="IntenseEmphasis"/>
        </w:rPr>
        <w:t>Compliments of Resources</w:t>
      </w:r>
      <w:r w:rsidR="00797DEC">
        <w:rPr>
          <w:rStyle w:val="IntenseEmphasis"/>
        </w:rPr>
        <w:t xml:space="preserve">                                                                                                                          16</w:t>
      </w:r>
    </w:p>
    <w:p w14:paraId="0194DE9C" w14:textId="24F31C2C" w:rsidR="008C480B" w:rsidRDefault="00055186" w:rsidP="008C480B">
      <w:pPr>
        <w:ind w:left="720"/>
        <w:rPr>
          <w:rStyle w:val="IntenseEmphasis"/>
        </w:rPr>
      </w:pPr>
      <w:r>
        <w:rPr>
          <w:rStyle w:val="IntenseEmphasis"/>
        </w:rPr>
        <w:t>Improvements that could be made</w:t>
      </w:r>
      <w:r w:rsidR="00797DEC">
        <w:rPr>
          <w:rStyle w:val="IntenseEmphasis"/>
        </w:rPr>
        <w:t xml:space="preserve">                                                                                                           17</w:t>
      </w:r>
    </w:p>
    <w:p w14:paraId="1713F654" w14:textId="2151BF67" w:rsidR="008C480B" w:rsidRDefault="00055186" w:rsidP="008C480B">
      <w:pPr>
        <w:ind w:left="720"/>
        <w:rPr>
          <w:rStyle w:val="IntenseEmphasis"/>
        </w:rPr>
      </w:pPr>
      <w:r>
        <w:rPr>
          <w:rStyle w:val="IntenseEmphasis"/>
        </w:rPr>
        <w:t>Influence on Resource created</w:t>
      </w:r>
      <w:r w:rsidR="002E0185">
        <w:rPr>
          <w:rStyle w:val="IntenseEmphasis"/>
        </w:rPr>
        <w:t xml:space="preserve">                                                                                                                   18</w:t>
      </w:r>
    </w:p>
    <w:p w14:paraId="604F66ED" w14:textId="04A0F9F8" w:rsidR="00CA1C7C" w:rsidRDefault="00CA1C7C" w:rsidP="0018181A">
      <w:pPr>
        <w:rPr>
          <w:rStyle w:val="IntenseEmphasis"/>
        </w:rPr>
      </w:pPr>
      <w:r>
        <w:rPr>
          <w:rStyle w:val="IntenseEmphasis"/>
        </w:rPr>
        <w:t>Resource Created</w:t>
      </w:r>
      <w:r w:rsidR="002E0185">
        <w:rPr>
          <w:rStyle w:val="IntenseEmphasis"/>
        </w:rPr>
        <w:t xml:space="preserve">                                                                                                                                                              19</w:t>
      </w:r>
    </w:p>
    <w:p w14:paraId="1CCCC70E" w14:textId="107146C7" w:rsidR="008C480B" w:rsidRDefault="00055186" w:rsidP="008C480B">
      <w:pPr>
        <w:ind w:left="720"/>
        <w:rPr>
          <w:rStyle w:val="IntenseEmphasis"/>
        </w:rPr>
      </w:pPr>
      <w:r>
        <w:rPr>
          <w:rStyle w:val="IntenseEmphasis"/>
        </w:rPr>
        <w:t>Rationale for Resource Content</w:t>
      </w:r>
      <w:r w:rsidR="002E0185">
        <w:rPr>
          <w:rStyle w:val="IntenseEmphasis"/>
        </w:rPr>
        <w:t xml:space="preserve">                                                                                                                  21</w:t>
      </w:r>
    </w:p>
    <w:p w14:paraId="54542C13" w14:textId="0A37F0F0" w:rsidR="00CA1C7C" w:rsidRDefault="00CA1C7C" w:rsidP="0018181A">
      <w:pPr>
        <w:rPr>
          <w:rStyle w:val="IntenseEmphasis"/>
        </w:rPr>
      </w:pPr>
      <w:r>
        <w:rPr>
          <w:rStyle w:val="IntenseEmphasis"/>
        </w:rPr>
        <w:t>Discussion</w:t>
      </w:r>
      <w:r w:rsidR="002E0185">
        <w:rPr>
          <w:rStyle w:val="IntenseEmphasis"/>
        </w:rPr>
        <w:t xml:space="preserve">                                                                                                                                                                             23</w:t>
      </w:r>
    </w:p>
    <w:p w14:paraId="69749ED7" w14:textId="2DF5FEF4" w:rsidR="008C480B" w:rsidRDefault="00055186" w:rsidP="00F6226C">
      <w:pPr>
        <w:ind w:left="720"/>
        <w:rPr>
          <w:rStyle w:val="IntenseEmphasis"/>
        </w:rPr>
      </w:pPr>
      <w:r>
        <w:rPr>
          <w:rStyle w:val="IntenseEmphasis"/>
        </w:rPr>
        <w:t>Evidence-Based</w:t>
      </w:r>
      <w:r w:rsidR="002E0185">
        <w:rPr>
          <w:rStyle w:val="IntenseEmphasis"/>
        </w:rPr>
        <w:t xml:space="preserve">                                                                                                                                                  23</w:t>
      </w:r>
    </w:p>
    <w:p w14:paraId="5FF041CC" w14:textId="00BA2C01" w:rsidR="00055186" w:rsidRDefault="00055186" w:rsidP="00F6226C">
      <w:pPr>
        <w:ind w:left="720"/>
        <w:rPr>
          <w:rStyle w:val="IntenseEmphasis"/>
        </w:rPr>
      </w:pPr>
      <w:r>
        <w:rPr>
          <w:rStyle w:val="IntenseEmphasis"/>
        </w:rPr>
        <w:t>Context Based</w:t>
      </w:r>
      <w:r w:rsidR="00485843">
        <w:rPr>
          <w:rStyle w:val="IntenseEmphasis"/>
        </w:rPr>
        <w:t xml:space="preserve">                                                                                                                                                     25</w:t>
      </w:r>
    </w:p>
    <w:p w14:paraId="4F07C6E7" w14:textId="661628A9" w:rsidR="00055186" w:rsidRDefault="00055186" w:rsidP="00F6226C">
      <w:pPr>
        <w:ind w:left="720"/>
        <w:rPr>
          <w:rStyle w:val="IntenseEmphasis"/>
        </w:rPr>
      </w:pPr>
      <w:r>
        <w:rPr>
          <w:rStyle w:val="IntenseEmphasis"/>
        </w:rPr>
        <w:t>Limitations</w:t>
      </w:r>
      <w:r w:rsidR="00485843">
        <w:rPr>
          <w:rStyle w:val="IntenseEmphasis"/>
        </w:rPr>
        <w:t xml:space="preserve">                                                                                                                                                            </w:t>
      </w:r>
      <w:r w:rsidR="005F5B03">
        <w:rPr>
          <w:rStyle w:val="IntenseEmphasis"/>
        </w:rPr>
        <w:t xml:space="preserve"> </w:t>
      </w:r>
      <w:r w:rsidR="00485843">
        <w:rPr>
          <w:rStyle w:val="IntenseEmphasis"/>
        </w:rPr>
        <w:t>26</w:t>
      </w:r>
    </w:p>
    <w:p w14:paraId="60A5B7AD" w14:textId="6A94B5FA" w:rsidR="00CA1C7C" w:rsidRDefault="00CA1C7C" w:rsidP="0018181A">
      <w:pPr>
        <w:rPr>
          <w:rStyle w:val="IntenseEmphasis"/>
        </w:rPr>
      </w:pPr>
      <w:r>
        <w:rPr>
          <w:rStyle w:val="IntenseEmphasis"/>
        </w:rPr>
        <w:t>Conclusion</w:t>
      </w:r>
      <w:r w:rsidR="00485843">
        <w:rPr>
          <w:rStyle w:val="IntenseEmphasis"/>
        </w:rPr>
        <w:t xml:space="preserve">                                                                                                                                                                           </w:t>
      </w:r>
      <w:r w:rsidR="005F5B03">
        <w:rPr>
          <w:rStyle w:val="IntenseEmphasis"/>
        </w:rPr>
        <w:t xml:space="preserve"> </w:t>
      </w:r>
      <w:r w:rsidR="00485843">
        <w:rPr>
          <w:rStyle w:val="IntenseEmphasis"/>
        </w:rPr>
        <w:t>27</w:t>
      </w:r>
    </w:p>
    <w:p w14:paraId="28F501F9" w14:textId="77777777" w:rsidR="00CA1C7C" w:rsidRDefault="00CA1C7C" w:rsidP="0018181A">
      <w:pPr>
        <w:rPr>
          <w:rStyle w:val="IntenseEmphasis"/>
        </w:rPr>
      </w:pPr>
    </w:p>
    <w:p w14:paraId="36916CD4" w14:textId="77777777" w:rsidR="00CA1C7C" w:rsidRDefault="00CA1C7C" w:rsidP="0018181A">
      <w:pPr>
        <w:rPr>
          <w:rStyle w:val="IntenseEmphasis"/>
        </w:rPr>
      </w:pPr>
    </w:p>
    <w:p w14:paraId="444797F3" w14:textId="3FEBC556" w:rsidR="00CA1C7C" w:rsidRDefault="00CA1C7C" w:rsidP="0018181A">
      <w:pPr>
        <w:rPr>
          <w:rStyle w:val="IntenseEmphasis"/>
        </w:rPr>
      </w:pPr>
      <w:r>
        <w:rPr>
          <w:rStyle w:val="IntenseEmphasis"/>
        </w:rPr>
        <w:t xml:space="preserve">Reference List </w:t>
      </w:r>
      <w:r w:rsidR="004679FA">
        <w:rPr>
          <w:rStyle w:val="IntenseEmphasis"/>
        </w:rPr>
        <w:t xml:space="preserve">                                                                                                                                                                     30</w:t>
      </w:r>
    </w:p>
    <w:p w14:paraId="3EEB8E55" w14:textId="31DA0847" w:rsidR="00CA1C7C" w:rsidRPr="00CA1C7C" w:rsidRDefault="00CA1C7C" w:rsidP="0018181A">
      <w:pPr>
        <w:rPr>
          <w:rStyle w:val="IntenseEmphasis"/>
        </w:rPr>
      </w:pPr>
      <w:r>
        <w:rPr>
          <w:rStyle w:val="IntenseEmphasis"/>
        </w:rPr>
        <w:t>Appendices</w:t>
      </w:r>
      <w:r w:rsidR="004679FA">
        <w:rPr>
          <w:rStyle w:val="IntenseEmphasis"/>
        </w:rPr>
        <w:t xml:space="preserve">                                                                                                                                                                          </w:t>
      </w:r>
      <w:r w:rsidR="005F5B03">
        <w:rPr>
          <w:rStyle w:val="IntenseEmphasis"/>
        </w:rPr>
        <w:t xml:space="preserve"> </w:t>
      </w:r>
      <w:r w:rsidR="004679FA">
        <w:rPr>
          <w:rStyle w:val="IntenseEmphasis"/>
        </w:rPr>
        <w:t>3</w:t>
      </w:r>
      <w:r w:rsidR="008E13FA">
        <w:rPr>
          <w:rStyle w:val="IntenseEmphasis"/>
        </w:rPr>
        <w:t>3</w:t>
      </w:r>
    </w:p>
    <w:p w14:paraId="7C281E18" w14:textId="77777777" w:rsidR="0018181A" w:rsidRDefault="0018181A" w:rsidP="0018181A"/>
    <w:p w14:paraId="5ECF5F1F" w14:textId="77777777" w:rsidR="0018181A" w:rsidRDefault="0018181A" w:rsidP="0018181A"/>
    <w:p w14:paraId="78989ECE" w14:textId="77777777" w:rsidR="0018181A" w:rsidRDefault="0018181A" w:rsidP="0018181A"/>
    <w:p w14:paraId="0F1FA468" w14:textId="77777777" w:rsidR="0018181A" w:rsidRDefault="0018181A" w:rsidP="0018181A"/>
    <w:p w14:paraId="72652260" w14:textId="77777777" w:rsidR="0018181A" w:rsidRDefault="0018181A" w:rsidP="0018181A">
      <w:pPr>
        <w:pStyle w:val="Heading1"/>
        <w:rPr>
          <w:rStyle w:val="SubtleEmphasis"/>
        </w:rPr>
      </w:pPr>
      <w:r>
        <w:rPr>
          <w:rStyle w:val="SubtleEmphasis"/>
        </w:rPr>
        <w:lastRenderedPageBreak/>
        <w:t>Abstract</w:t>
      </w:r>
    </w:p>
    <w:p w14:paraId="2CE4AE3E" w14:textId="77777777" w:rsidR="0018181A" w:rsidRDefault="0018181A" w:rsidP="0018181A"/>
    <w:p w14:paraId="5BFD539E" w14:textId="52E82E21" w:rsidR="0018181A" w:rsidRPr="00B966A5" w:rsidRDefault="0018181A" w:rsidP="0018181A">
      <w:pPr>
        <w:spacing w:line="360" w:lineRule="auto"/>
      </w:pPr>
      <w:r>
        <w:t xml:space="preserve">Since the COVID-19 pandemic participatory roles have significantly decreased for students with Special Educational Needs and Disabilities (SEND) have significantly reduced (O’Connor and McNabb, 2021; Niemi, 2021). Therefore, invalidating the United Nations </w:t>
      </w:r>
      <w:r w:rsidR="000945B6">
        <w:t xml:space="preserve">(1989) </w:t>
      </w:r>
      <w:r>
        <w:t xml:space="preserve">Rights of Child, who set this as basic right for EVERY child. With barriers identifying this as a result of lack of teacher education and knowledge making them ill-prepared for their role in teaching students with SEND (Allen et al., 2022). This paper outlines the importance of providing teachers with the necessary resources in order to equip them in their position. By analysing patterns in current resources available and identifying potential gaps in them. This paper then goes on to create an inclusive perspective of the S.T.E.P Tool to assist teachers in implementing strategies to aid the learning of students with SEND. Going further to acknowledge that whilst a one-size-fits-all approach is not what is required but affirming that within the right curriculum. This resource could prove a pivotal tool for teaching students with SEND in PE. </w:t>
      </w:r>
    </w:p>
    <w:p w14:paraId="42357B15" w14:textId="77777777" w:rsidR="0018181A" w:rsidRDefault="0018181A" w:rsidP="0018181A"/>
    <w:p w14:paraId="071AC86B" w14:textId="77777777" w:rsidR="0018181A" w:rsidRDefault="0018181A" w:rsidP="0018181A"/>
    <w:p w14:paraId="4A01DD6D" w14:textId="77777777" w:rsidR="0018181A" w:rsidRDefault="0018181A" w:rsidP="0018181A"/>
    <w:p w14:paraId="294B471C" w14:textId="77777777" w:rsidR="0018181A" w:rsidRDefault="0018181A" w:rsidP="0018181A"/>
    <w:p w14:paraId="6E7E576D" w14:textId="77777777" w:rsidR="0018181A" w:rsidRDefault="0018181A" w:rsidP="0018181A"/>
    <w:p w14:paraId="3DD671B4" w14:textId="77777777" w:rsidR="0018181A" w:rsidRDefault="0018181A" w:rsidP="0018181A"/>
    <w:p w14:paraId="0E80168F" w14:textId="77777777" w:rsidR="0018181A" w:rsidRDefault="0018181A" w:rsidP="0018181A"/>
    <w:p w14:paraId="65241FAA" w14:textId="77777777" w:rsidR="0018181A" w:rsidRDefault="0018181A" w:rsidP="0018181A"/>
    <w:p w14:paraId="5EA9B15B" w14:textId="77777777" w:rsidR="0018181A" w:rsidRDefault="0018181A" w:rsidP="0018181A"/>
    <w:p w14:paraId="0CBA873F" w14:textId="77777777" w:rsidR="0018181A" w:rsidRDefault="0018181A" w:rsidP="0018181A"/>
    <w:p w14:paraId="29B0C80B" w14:textId="77777777" w:rsidR="0018181A" w:rsidRDefault="0018181A" w:rsidP="0018181A"/>
    <w:p w14:paraId="0BE8A3A1" w14:textId="77777777" w:rsidR="0018181A" w:rsidRDefault="0018181A" w:rsidP="0018181A"/>
    <w:p w14:paraId="23A49145" w14:textId="77777777" w:rsidR="0018181A" w:rsidRDefault="0018181A" w:rsidP="0018181A"/>
    <w:p w14:paraId="0AFC819E" w14:textId="77777777" w:rsidR="0018181A" w:rsidRDefault="0018181A" w:rsidP="0018181A"/>
    <w:p w14:paraId="26E19A88" w14:textId="77777777" w:rsidR="0018181A" w:rsidRDefault="0018181A" w:rsidP="0018181A"/>
    <w:p w14:paraId="60DB5A43" w14:textId="77777777" w:rsidR="0018181A" w:rsidRDefault="0018181A" w:rsidP="0018181A"/>
    <w:p w14:paraId="59600BA1" w14:textId="77777777" w:rsidR="0018181A" w:rsidRDefault="0018181A" w:rsidP="0018181A"/>
    <w:p w14:paraId="71835137" w14:textId="77777777" w:rsidR="0018181A" w:rsidRPr="005B1625" w:rsidRDefault="0018181A" w:rsidP="0018181A">
      <w:pPr>
        <w:pStyle w:val="Heading1"/>
        <w:rPr>
          <w:i/>
          <w:iCs/>
        </w:rPr>
      </w:pPr>
      <w:r>
        <w:rPr>
          <w:i/>
          <w:iCs/>
        </w:rPr>
        <w:lastRenderedPageBreak/>
        <w:t>Introduction</w:t>
      </w:r>
    </w:p>
    <w:p w14:paraId="55CF9168" w14:textId="77777777" w:rsidR="0018181A" w:rsidRPr="00F07558" w:rsidRDefault="0018181A" w:rsidP="0018181A">
      <w:pPr>
        <w:spacing w:line="360" w:lineRule="auto"/>
      </w:pPr>
      <w:r w:rsidRPr="00F07558">
        <w:t xml:space="preserve">The core element to inclusive education is the presence of opportunities to learn. In 1989, the United Nations identified ‘The Rights of a Child’. </w:t>
      </w:r>
      <w:r>
        <w:t xml:space="preserve">In </w:t>
      </w:r>
      <w:r w:rsidRPr="00F07558">
        <w:t>Article 19a</w:t>
      </w:r>
      <w:r>
        <w:t xml:space="preserve"> (</w:t>
      </w:r>
      <w:r w:rsidRPr="00F07558">
        <w:t>United Nations, 1989</w:t>
      </w:r>
      <w:r>
        <w:t>)</w:t>
      </w:r>
      <w:r w:rsidRPr="00F07558">
        <w:t xml:space="preserve"> </w:t>
      </w:r>
      <w:r>
        <w:t xml:space="preserve">it </w:t>
      </w:r>
      <w:proofErr w:type="gramStart"/>
      <w:r w:rsidRPr="00F07558">
        <w:t>states</w:t>
      </w:r>
      <w:proofErr w:type="gramEnd"/>
      <w:r w:rsidRPr="00F07558">
        <w:t xml:space="preserve"> “That the education of the child shall be directed to: (a) The development of the child’s personality, talents and mental and physical abilities to their fullest potential” (p.9). This </w:t>
      </w:r>
      <w:r>
        <w:t>means</w:t>
      </w:r>
      <w:r w:rsidRPr="00F07558">
        <w:t xml:space="preserve"> that in any form of education</w:t>
      </w:r>
      <w:r>
        <w:t xml:space="preserve">, </w:t>
      </w:r>
      <w:r w:rsidRPr="00F07558">
        <w:t>opportunities to learn should be afforded to EVERY child.</w:t>
      </w:r>
      <w:r>
        <w:t xml:space="preserve"> This especially prevalent in a post-COVID-19 world where we saw the closing of schools in 132 different countries effecting </w:t>
      </w:r>
      <w:r w:rsidRPr="00FC50EE">
        <w:t>“59.9% of total enrolled learners worldwide, deepening the existing gap in learning opportunities” (</w:t>
      </w:r>
      <w:r>
        <w:t xml:space="preserve">UIS, 2019 cited in </w:t>
      </w:r>
      <w:r w:rsidRPr="00FC50EE">
        <w:t>Niemi, 2021, p.20)</w:t>
      </w:r>
      <w:r>
        <w:t>. Meaning that less opportunities would be offered to students worldwide, directly contradicting what the United Nations had outlined.</w:t>
      </w:r>
    </w:p>
    <w:p w14:paraId="170A2850" w14:textId="77777777" w:rsidR="0018181A" w:rsidRDefault="0018181A" w:rsidP="0018181A">
      <w:pPr>
        <w:spacing w:line="360" w:lineRule="auto"/>
      </w:pPr>
      <w:r w:rsidRPr="00F07558">
        <w:t>In the case of inclusive</w:t>
      </w:r>
      <w:r>
        <w:t>ness in Physical Education (PE), teachers already have to break down the perceived barriers that inhibit children accessing PE. Studies have shown that students with Special Educational Needs and Disabilities (SEND) have a ‘fewer participatory sporting options than their peers’ (O’Connor and McNabb, 2021, p.575), coupled with a ‘narrow sphere of participatory options’ could lead to up 10% of students with SEND not experiencing any form of PE (O’Connor and McNabb, 2021, p.578). When comparing this to the World Health Organization’s (WHO) guidance for Physical Activity of “60 minutes of moderate aerobic physical activity for children and adolescents” (WHO, 2020, p.1) it paints dim picture of inclusivity in PE. Especially when it is previously acknowledged that PE Lessons aren’t already a full hour of Physical Activity due to time constraints (Allen et al., 2022) meaning less time is being made for students with SEND to participate in Sport or Physical Activity during PE.</w:t>
      </w:r>
    </w:p>
    <w:p w14:paraId="7BB93D41" w14:textId="77777777" w:rsidR="0018181A" w:rsidRPr="002C3FB5" w:rsidRDefault="0018181A" w:rsidP="0018181A">
      <w:pPr>
        <w:spacing w:line="360" w:lineRule="auto"/>
      </w:pPr>
      <w:r>
        <w:t>In some cases, PE Teachers are just ill-prepared for teaching for SEND. Whilst studies mention the ‘cultural hegemony’ of PE as being the problem for students with SEND (Allen et al, 2022). Others highlight teachers’</w:t>
      </w:r>
      <w:r w:rsidRPr="00351F52">
        <w:t xml:space="preserve"> “lack of inclusive skills training, lack of support infrastructures, inadequate resources, unfamiliarity with specialised equipment, and limited understanding of SEND” (O’Connor and McNabb, 2021, p. 578)</w:t>
      </w:r>
      <w:r>
        <w:t xml:space="preserve"> as contributing barriers in PE for students with SEND. Whilst departments of education and government sectors are trying to use more holistic approaches, such as teachers designing their own curriculums to meet the student’s needs (Welsh Government, 2020). Clear guidance is needed, in order to support students throughout their education and for teachers, in effort to keep up with increasing demands. This prevalent throughout the research conducted by Allen et al (2022), where they identified staff receiving </w:t>
      </w:r>
      <w:r>
        <w:lastRenderedPageBreak/>
        <w:t xml:space="preserve">“no training or continued professional development” (p.352) meaning that an ever increasing workload for PE teachers is unsupported with relevant training. </w:t>
      </w:r>
    </w:p>
    <w:p w14:paraId="0C6FEFA9" w14:textId="77777777" w:rsidR="0018181A" w:rsidRDefault="0018181A" w:rsidP="0018181A">
      <w:pPr>
        <w:spacing w:line="360" w:lineRule="auto"/>
      </w:pPr>
      <w:r>
        <w:t xml:space="preserve">This is particularly concerning off the back of the COVID-19 Pandemic, where it was highlighted that children with disabilities were often disregarded when it came to PE. As outlined in a study by Activity Alliance (2021 cited in Hayton, 2022) which showed that opportunities to be physically active for disabled people were significantly reduced from 59% to 38% (p.1-2).  And with many National Governing Bodies moving to online learning and PE teachers using online influences in PE. This came with significant challenges, with Fitzgerald et al. (2022) stating that “This </w:t>
      </w:r>
      <w:r w:rsidRPr="00D9394E">
        <w:t>time of lockdown therefore continues to magnify the differences between non-disabled and disabled people in sport.</w:t>
      </w:r>
      <w:r>
        <w:t>” (p.29) shining a light on the further need for clarity on inclusive education. The COVID-19 Lockdown wasn’t all bad for students with additional needs, with some regression there was some progress. The challenge highlighted by Fitzgerald et al. (2022) was to build on this progress, stating that “</w:t>
      </w:r>
      <w:r w:rsidRPr="005E79D1">
        <w:t>The challenge post-lockdown is to more firmly embed the kind of thinking found in these resources in the minds of all those charged with promoting and delivering sport and physical activity.</w:t>
      </w:r>
      <w:r>
        <w:t>” (p.30). By allowing these resources to flourish in a post-lockdown world, it allowed teachers to build a ‘bank of knowledge’ to rely on.</w:t>
      </w:r>
    </w:p>
    <w:p w14:paraId="3D49E26A" w14:textId="77777777" w:rsidR="0018181A" w:rsidRDefault="0018181A" w:rsidP="0018181A">
      <w:pPr>
        <w:spacing w:line="360" w:lineRule="auto"/>
      </w:pPr>
      <w:r>
        <w:t>Whilst it is clear that progress was made, there are still challenges ahead in implementing inclusive education in PE. O’Connor and McNabb (2021) state that “</w:t>
      </w:r>
      <w:r w:rsidRPr="005E79D1">
        <w:t>research shows that young people with special educational needs disabilities (SEND) in mainstream schools continue to experience fewer participatory sporting options than their peers.” (p.574-575)</w:t>
      </w:r>
      <w:r>
        <w:t>. However, more optimistic outlooks in the post-COVID world such as Fitzgerald et al. (2020), highlight “</w:t>
      </w:r>
      <w:r w:rsidRPr="00977031">
        <w:t>we are hopeful that the creativity and innovation displayed by individuals during lockdown might instil them with confidence to be curators in facilitating sport and physical activity opportunities for others in the future.</w:t>
      </w:r>
      <w:r>
        <w:t xml:space="preserve">” (p.30). </w:t>
      </w:r>
    </w:p>
    <w:p w14:paraId="567FC2F0" w14:textId="77777777" w:rsidR="0018181A" w:rsidRDefault="0018181A" w:rsidP="0018181A">
      <w:pPr>
        <w:spacing w:line="360" w:lineRule="auto"/>
      </w:pPr>
      <w:r>
        <w:t>By identifying a key need for further resources to assist in the continued professional development (CPD) of teacher’s knowledge regarding students with SEND. This study aims to manufacture a resource relevant to PE teachers that will assist in the modification and adaptation of PE sessions, in a hope to narrow the already perceived gap of physical activity in PE. It will identify key literature that influence the production of the resource, analyse current resources then display a resource and the rationale behind it.</w:t>
      </w:r>
    </w:p>
    <w:p w14:paraId="403705A7" w14:textId="77777777" w:rsidR="0018181A" w:rsidRDefault="0018181A" w:rsidP="0018181A"/>
    <w:p w14:paraId="399D6C12" w14:textId="77777777" w:rsidR="0018181A" w:rsidRDefault="0018181A" w:rsidP="0018181A"/>
    <w:p w14:paraId="48DBF787" w14:textId="77777777" w:rsidR="0018181A" w:rsidRDefault="0018181A" w:rsidP="0018181A"/>
    <w:p w14:paraId="3024BF74" w14:textId="77777777" w:rsidR="0018181A" w:rsidRDefault="0018181A" w:rsidP="0018181A">
      <w:pPr>
        <w:pStyle w:val="Heading1"/>
        <w:rPr>
          <w:i/>
          <w:iCs/>
        </w:rPr>
      </w:pPr>
      <w:r>
        <w:rPr>
          <w:i/>
          <w:iCs/>
        </w:rPr>
        <w:lastRenderedPageBreak/>
        <w:t>What does the Literature tell us?</w:t>
      </w:r>
    </w:p>
    <w:p w14:paraId="0CD1A401" w14:textId="77777777" w:rsidR="0018181A" w:rsidRDefault="0018181A" w:rsidP="0018181A"/>
    <w:p w14:paraId="618D6C30" w14:textId="77777777" w:rsidR="0018181A" w:rsidRPr="00934D2F" w:rsidRDefault="0018181A" w:rsidP="0018181A">
      <w:pPr>
        <w:spacing w:line="360" w:lineRule="auto"/>
      </w:pPr>
      <w:r>
        <w:t xml:space="preserve">During the review of literature, it was found that most of the research came under 4 main categories. </w:t>
      </w:r>
      <w:r w:rsidRPr="007E1E24">
        <w:rPr>
          <w:i/>
          <w:iCs/>
        </w:rPr>
        <w:t xml:space="preserve">Teacher </w:t>
      </w:r>
      <w:r>
        <w:rPr>
          <w:i/>
          <w:iCs/>
        </w:rPr>
        <w:t>K</w:t>
      </w:r>
      <w:r w:rsidRPr="007E1E24">
        <w:rPr>
          <w:i/>
          <w:iCs/>
        </w:rPr>
        <w:t>nowledge and Student’s Voices</w:t>
      </w:r>
      <w:r>
        <w:t xml:space="preserve">, </w:t>
      </w:r>
      <w:r w:rsidRPr="007E1E24">
        <w:rPr>
          <w:i/>
          <w:iCs/>
        </w:rPr>
        <w:t>Motivation</w:t>
      </w:r>
      <w:r>
        <w:t xml:space="preserve">, </w:t>
      </w:r>
      <w:r w:rsidRPr="007E1E24">
        <w:rPr>
          <w:i/>
          <w:iCs/>
        </w:rPr>
        <w:t>Teaching Styles</w:t>
      </w:r>
      <w:r>
        <w:rPr>
          <w:i/>
          <w:iCs/>
        </w:rPr>
        <w:t xml:space="preserve"> and</w:t>
      </w:r>
      <w:r w:rsidRPr="007E1E24">
        <w:rPr>
          <w:i/>
          <w:iCs/>
        </w:rPr>
        <w:t xml:space="preserve"> S.T.E.P </w:t>
      </w:r>
      <w:r>
        <w:rPr>
          <w:i/>
          <w:iCs/>
        </w:rPr>
        <w:t xml:space="preserve">Tool </w:t>
      </w:r>
      <w:r>
        <w:t xml:space="preserve">and </w:t>
      </w:r>
      <w:r w:rsidRPr="00D043E0">
        <w:rPr>
          <w:i/>
          <w:iCs/>
        </w:rPr>
        <w:t xml:space="preserve">Teaching </w:t>
      </w:r>
      <w:r w:rsidRPr="00AD30EF">
        <w:rPr>
          <w:i/>
          <w:iCs/>
        </w:rPr>
        <w:t xml:space="preserve">PE </w:t>
      </w:r>
      <w:r>
        <w:rPr>
          <w:i/>
          <w:iCs/>
        </w:rPr>
        <w:t>for</w:t>
      </w:r>
      <w:r w:rsidRPr="00AD30EF">
        <w:rPr>
          <w:i/>
          <w:iCs/>
        </w:rPr>
        <w:t xml:space="preserve"> SEND</w:t>
      </w:r>
      <w:r>
        <w:t xml:space="preserve">. This would directly go on to impact the way in which the resource was created, it provided the necessary research and background knowledge of how the resource would be implemented as well as what to look out for in terms of what to include and what to avoid in its inception. </w:t>
      </w:r>
    </w:p>
    <w:p w14:paraId="097C65A0" w14:textId="77777777" w:rsidR="0018181A" w:rsidRPr="00705138" w:rsidRDefault="0018181A" w:rsidP="0018181A">
      <w:pPr>
        <w:pStyle w:val="Heading2"/>
        <w:rPr>
          <w:i/>
          <w:iCs/>
          <w:sz w:val="28"/>
          <w:szCs w:val="28"/>
        </w:rPr>
      </w:pPr>
      <w:r w:rsidRPr="00705138">
        <w:rPr>
          <w:i/>
          <w:iCs/>
          <w:color w:val="4C94D8" w:themeColor="text2" w:themeTint="80"/>
          <w:sz w:val="28"/>
          <w:szCs w:val="28"/>
        </w:rPr>
        <w:t xml:space="preserve">Teacher Knowledge and Student’s Voices </w:t>
      </w:r>
    </w:p>
    <w:p w14:paraId="04536C18" w14:textId="77777777" w:rsidR="0018181A" w:rsidRDefault="0018181A" w:rsidP="0018181A">
      <w:pPr>
        <w:spacing w:line="360" w:lineRule="auto"/>
      </w:pPr>
      <w:r>
        <w:t xml:space="preserve">Through several readings it was clear that one barrier to student’s full participation in PE is Teacher’s willingness to be flexible in their teaching (Vickerman et al, 2020; Vickerman and Hayes, 2013). This was something also highlighted in the student voice research by Allen et al (2022) who stated that teachers are ‘ill-prepared for teaching children with SEND’ due to the lack of correct teacher education in UK (p.344). Although this is prevalent problem, and highlighted as a must need by Maher and Fitzgerald (2020), this situation isn’t an immediate fix but with progression in key areas of teacher education it’s possible to improve attitudes and continued professional development throughout their careers. </w:t>
      </w:r>
    </w:p>
    <w:p w14:paraId="0F667457" w14:textId="558AB8C6" w:rsidR="0018181A" w:rsidRDefault="0018181A" w:rsidP="0018181A">
      <w:pPr>
        <w:spacing w:line="360" w:lineRule="auto"/>
      </w:pPr>
      <w:r>
        <w:t xml:space="preserve">Another topic that came up through research surrounded the use of adapted or modified games </w:t>
      </w:r>
      <w:r w:rsidR="00423531">
        <w:t>(1999 cited in PD Net, n.d.).</w:t>
      </w:r>
      <w:r>
        <w:t xml:space="preserve"> This was something that Allen et al. (2022) advocated for, stating “</w:t>
      </w:r>
      <w:r w:rsidRPr="009C2B45">
        <w:t>teachers should not shy away from offering adapted versions of these sports, as these sports have cultural value, and some pupils will enjoy these</w:t>
      </w:r>
      <w:r>
        <w:t xml:space="preserve">.” (p.355). Whilst showing that this appeals to most students, there are hidden benefits as identified by </w:t>
      </w:r>
      <w:proofErr w:type="spellStart"/>
      <w:r w:rsidRPr="006578C4">
        <w:t>Pressé</w:t>
      </w:r>
      <w:proofErr w:type="spellEnd"/>
      <w:r>
        <w:t xml:space="preserve"> et al. (2011) who shows that this would appeal to a more ‘traditional’ PE class as it has benefits through the interactions of students both neuro-typical and neuro-diverse (Students with Visual Impairments or Intellectual Disabilities/Autism). In addition, </w:t>
      </w:r>
      <w:proofErr w:type="spellStart"/>
      <w:r w:rsidRPr="005A32D1">
        <w:t>Pressé</w:t>
      </w:r>
      <w:proofErr w:type="spellEnd"/>
      <w:r>
        <w:t xml:space="preserve"> et al. (2011) also demonstrates a wide range of adaptations to games for a more inclusive experience for the learners (Figure 1), allowing for students with impairments to participate alongside their peers in modified games (within the Sport Education Model).</w:t>
      </w:r>
    </w:p>
    <w:p w14:paraId="6889FA1B" w14:textId="77777777" w:rsidR="0018181A" w:rsidRDefault="0018181A" w:rsidP="0018181A">
      <w:pPr>
        <w:spacing w:line="360" w:lineRule="auto"/>
      </w:pPr>
      <w:r>
        <w:t>As well as this, another topic that arose was the teachers need to be able to interpret up-to-date research to be able to stay relevant and reflect on their practice. This was shown in a few different papers, with Maher and Fitzgerald (2020) stating “</w:t>
      </w:r>
      <w:r w:rsidRPr="00F85888">
        <w:t>it was essential that professional development needed to be bespoke and tailored given the diversity of pupil needs and capabilities within and across special schools.</w:t>
      </w:r>
      <w:r>
        <w:t xml:space="preserve">” (p.31). Whilst </w:t>
      </w:r>
      <w:proofErr w:type="spellStart"/>
      <w:r>
        <w:t>Stidder</w:t>
      </w:r>
      <w:proofErr w:type="spellEnd"/>
      <w:r>
        <w:t xml:space="preserve"> (2013) stated “</w:t>
      </w:r>
      <w:r w:rsidRPr="00311891">
        <w:t xml:space="preserve">Critical </w:t>
      </w:r>
      <w:r w:rsidRPr="00311891">
        <w:lastRenderedPageBreak/>
        <w:t>self-ref</w:t>
      </w:r>
      <w:r>
        <w:t>l</w:t>
      </w:r>
      <w:r w:rsidRPr="00311891">
        <w:t>ection and pedagogy through the use of reflexivity in physical education can contextualise and illustrate various topics of educational debate as well as inform research and provide the impetus for innovation and change</w:t>
      </w:r>
      <w:r>
        <w:t>” (p.20). Both of statements show that an evidence-based perspective assists in the development of teaching in PE with SEND in unique situations. This is not the whole answer but to be used to assist in CPD, as alluded to by Maher and Fitzgerald (2020) who claim it is not a ‘one size fits all model’ as many will require situational-specific research to assist them in development.</w:t>
      </w:r>
    </w:p>
    <w:p w14:paraId="104CC91C" w14:textId="77777777" w:rsidR="0018181A" w:rsidRPr="00705138" w:rsidRDefault="0018181A" w:rsidP="0018181A">
      <w:pPr>
        <w:pStyle w:val="Heading2"/>
        <w:rPr>
          <w:i/>
          <w:iCs/>
          <w:color w:val="4C94D8" w:themeColor="text2" w:themeTint="80"/>
          <w:sz w:val="28"/>
          <w:szCs w:val="28"/>
        </w:rPr>
      </w:pPr>
      <w:r w:rsidRPr="00705138">
        <w:rPr>
          <w:i/>
          <w:iCs/>
          <w:color w:val="4C94D8" w:themeColor="text2" w:themeTint="80"/>
          <w:sz w:val="28"/>
          <w:szCs w:val="28"/>
        </w:rPr>
        <w:t xml:space="preserve">Motivation </w:t>
      </w:r>
    </w:p>
    <w:p w14:paraId="6CCBEED7" w14:textId="77777777" w:rsidR="0018181A" w:rsidRDefault="0018181A" w:rsidP="0018181A">
      <w:pPr>
        <w:spacing w:line="360" w:lineRule="auto"/>
      </w:pPr>
      <w:r>
        <w:t>It was important to consider the participants motivation, as this would make the sessions most effective for learning to take place. Self-Determination Theory (SDT) was something that was highlighted in the literature researched. Looking at how SDT could affect each session and how each session needs to be tailored to meet the needs of the participants. Initial research showed that children with SEND faced challenges being motivated in PE. In a chapter by Dunn and Zimmer (2020) it states, “</w:t>
      </w:r>
      <w:r w:rsidRPr="0074511C">
        <w:t>The relationships children have with teachers and paraprofessionals will affect the fulfilment of their three basic psychological needs, since teachers, and sometimes aides, control all aspects of the learning environment in physical education.</w:t>
      </w:r>
      <w:r>
        <w:t xml:space="preserve">” (p.309). With students in need of more support, more planning for each session was required. With teachers likely to be hesitant of shifting the ownership of participation to the individual as a matter of safeguarding, but as pointed out by Dunn and Zimmer (2020) this could have negative </w:t>
      </w:r>
      <w:proofErr w:type="gramStart"/>
      <w:r>
        <w:t>affects</w:t>
      </w:r>
      <w:proofErr w:type="gramEnd"/>
      <w:r>
        <w:t xml:space="preserve"> to a student’s motivation.</w:t>
      </w:r>
      <w:r w:rsidRPr="0074511C">
        <w:t xml:space="preserve"> </w:t>
      </w:r>
    </w:p>
    <w:p w14:paraId="6696ACBB" w14:textId="77777777" w:rsidR="0018181A" w:rsidRDefault="0018181A" w:rsidP="0018181A">
      <w:pPr>
        <w:spacing w:line="360" w:lineRule="auto"/>
      </w:pPr>
      <w:r>
        <w:t>With Adapted Physical Education (APE) lessons recommending being intrinsically focused, to foster a “sense of challenge and fun” (Dunn and Zimmer, 2020, p.307). This would mean require a focus on how we can get student to focus on a ‘exercise by choice approach’ as supported by Ryan and Deci (2017). In study by Orlick and Mosher (1978, cited in Ryan and Deci, 2017, p.483) it showed that the extrinsically motivated participants were reluctant to participate in physical activity in their ‘free-choice time’. This is something that this resource aimed to avoid, in order to encourage as much voluntary physical activity by the students in accordance with WHO Guidelines (2020).</w:t>
      </w:r>
    </w:p>
    <w:p w14:paraId="3D6D813D" w14:textId="77777777" w:rsidR="0018181A" w:rsidRDefault="0018181A" w:rsidP="0018181A">
      <w:pPr>
        <w:spacing w:line="360" w:lineRule="auto"/>
      </w:pPr>
      <w:r w:rsidRPr="0064173C">
        <w:rPr>
          <w:noProof/>
        </w:rPr>
        <w:lastRenderedPageBreak/>
        <w:drawing>
          <wp:inline distT="0" distB="0" distL="0" distR="0" wp14:anchorId="349D5F23" wp14:editId="14578F6B">
            <wp:extent cx="5731510" cy="3620770"/>
            <wp:effectExtent l="0" t="0" r="2540" b="0"/>
            <wp:docPr id="1973514248"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514248" name="Picture 1" descr="A close-up of a chart&#10;&#10;AI-generated content may be incorrect."/>
                    <pic:cNvPicPr/>
                  </pic:nvPicPr>
                  <pic:blipFill>
                    <a:blip r:embed="rId9"/>
                    <a:stretch>
                      <a:fillRect/>
                    </a:stretch>
                  </pic:blipFill>
                  <pic:spPr>
                    <a:xfrm>
                      <a:off x="0" y="0"/>
                      <a:ext cx="5731510" cy="3620770"/>
                    </a:xfrm>
                    <a:prstGeom prst="rect">
                      <a:avLst/>
                    </a:prstGeom>
                  </pic:spPr>
                </pic:pic>
              </a:graphicData>
            </a:graphic>
          </wp:inline>
        </w:drawing>
      </w:r>
      <w:r w:rsidRPr="00996DB8">
        <w:t xml:space="preserve"> </w:t>
      </w:r>
      <w:r>
        <w:t xml:space="preserve">Figure 1. </w:t>
      </w:r>
      <w:proofErr w:type="spellStart"/>
      <w:r w:rsidRPr="006578C4">
        <w:t>Pressé</w:t>
      </w:r>
      <w:proofErr w:type="spellEnd"/>
      <w:r>
        <w:t xml:space="preserve"> et al., 2011, p.35.</w:t>
      </w:r>
    </w:p>
    <w:p w14:paraId="2D03CBF1" w14:textId="77777777" w:rsidR="0018181A" w:rsidRDefault="0018181A" w:rsidP="0018181A">
      <w:pPr>
        <w:spacing w:line="360" w:lineRule="auto"/>
      </w:pPr>
      <w:r>
        <w:t xml:space="preserve">Another issue that arose from literature regarding motivation, is the teacher’s perceived views of students with needs and what could potentially be thwarting their motivation. With some teachers highlighting the students support, both from aids and people, during lessons could hinder a student’s autonomy (Dunn and Zimmer, 2020). Consequently, students who participate in a more ‘traditional’ PE class can feel feelings of being lost and struggle feel accepted by others around them which directly affects their relatedness (Dunn and Zimmer, 2020). In a study conducted by </w:t>
      </w:r>
      <w:proofErr w:type="spellStart"/>
      <w:r w:rsidRPr="00FB1D5A">
        <w:t>Asbjørnslett</w:t>
      </w:r>
      <w:proofErr w:type="spellEnd"/>
      <w:r w:rsidRPr="00FB1D5A">
        <w:t xml:space="preserve"> et al. </w:t>
      </w:r>
      <w:r>
        <w:t>(</w:t>
      </w:r>
      <w:r w:rsidRPr="00FB1D5A">
        <w:t>2015</w:t>
      </w:r>
      <w:r>
        <w:t>, cited in Dunn and Zimmer, 2020) participants highlighted the need for choice of how much or how little assistance was provided during their PE lessons. Students with SEND highlighted the need for blended support and independence during their lessons. With studies showing that finding the right balance, increases motivation in participation (</w:t>
      </w:r>
      <w:proofErr w:type="spellStart"/>
      <w:r w:rsidRPr="0063774A">
        <w:t>Behzadnia</w:t>
      </w:r>
      <w:proofErr w:type="spellEnd"/>
      <w:r>
        <w:t xml:space="preserve"> et al., 2022).  </w:t>
      </w:r>
    </w:p>
    <w:p w14:paraId="05B39AAC" w14:textId="77777777" w:rsidR="0018181A" w:rsidRDefault="0018181A" w:rsidP="0018181A">
      <w:pPr>
        <w:spacing w:line="360" w:lineRule="auto"/>
      </w:pPr>
    </w:p>
    <w:p w14:paraId="56415BD9" w14:textId="77777777" w:rsidR="0018181A" w:rsidRDefault="0018181A" w:rsidP="0018181A">
      <w:pPr>
        <w:spacing w:line="360" w:lineRule="auto"/>
      </w:pPr>
    </w:p>
    <w:p w14:paraId="246D89D9" w14:textId="77777777" w:rsidR="0018181A" w:rsidRDefault="0018181A" w:rsidP="0018181A">
      <w:pPr>
        <w:spacing w:line="360" w:lineRule="auto"/>
      </w:pPr>
    </w:p>
    <w:p w14:paraId="194E0088" w14:textId="77777777" w:rsidR="0018181A" w:rsidRDefault="0018181A" w:rsidP="0018181A">
      <w:pPr>
        <w:spacing w:line="360" w:lineRule="auto"/>
      </w:pPr>
    </w:p>
    <w:p w14:paraId="60772BCF" w14:textId="77777777" w:rsidR="0018181A" w:rsidRPr="00705138" w:rsidRDefault="0018181A" w:rsidP="0018181A">
      <w:pPr>
        <w:pStyle w:val="Heading2"/>
        <w:rPr>
          <w:i/>
          <w:iCs/>
          <w:color w:val="4C94D8" w:themeColor="text2" w:themeTint="80"/>
          <w:sz w:val="28"/>
          <w:szCs w:val="28"/>
        </w:rPr>
      </w:pPr>
      <w:r w:rsidRPr="00705138">
        <w:rPr>
          <w:i/>
          <w:iCs/>
          <w:color w:val="4C94D8" w:themeColor="text2" w:themeTint="80"/>
          <w:sz w:val="28"/>
          <w:szCs w:val="28"/>
        </w:rPr>
        <w:lastRenderedPageBreak/>
        <w:t xml:space="preserve">Teaching Styles and S.T.E.P Tool </w:t>
      </w:r>
    </w:p>
    <w:p w14:paraId="56D88C33" w14:textId="77777777" w:rsidR="0018181A" w:rsidRDefault="0018181A" w:rsidP="0018181A">
      <w:pPr>
        <w:spacing w:line="360" w:lineRule="auto"/>
      </w:pPr>
      <w:r>
        <w:t>Byra (2006) defines teaching styles in inclusive education as “</w:t>
      </w:r>
      <w:r w:rsidRPr="00F2171E">
        <w:t>a plan that can be used to design and arrange teacher–learner transactions in the physical education class/gymnasium setting</w:t>
      </w:r>
      <w:r>
        <w:t xml:space="preserve">” (p.450). As also identified by </w:t>
      </w:r>
      <w:proofErr w:type="spellStart"/>
      <w:r>
        <w:t>Mosston</w:t>
      </w:r>
      <w:proofErr w:type="spellEnd"/>
      <w:r>
        <w:t xml:space="preserve"> and Ashworth (2008) that it was important to be inclusive and that it needed to be identified early on in the pre-impact stage of the session (Figure 2) and would be sole ownership of the teacher. This would allow the teacher to be able to safeguard the student as much as possible, as well as allow for the student to then make informed decisions on their level of participation (</w:t>
      </w:r>
      <w:proofErr w:type="spellStart"/>
      <w:r>
        <w:t>Mosston</w:t>
      </w:r>
      <w:proofErr w:type="spellEnd"/>
      <w:r>
        <w:t xml:space="preserve"> and Ashworth, 2008). Byra (2006) goes further by advocating a more active learning dynamic between the teacher and the student. They champion a student-centred approach to learning to be able to change varying environmental factors to be able to consistently challenge the student and aid further learning (Byra, 2006). </w:t>
      </w:r>
    </w:p>
    <w:p w14:paraId="4C875EDD" w14:textId="77777777" w:rsidR="0018181A" w:rsidRDefault="0018181A" w:rsidP="0018181A">
      <w:pPr>
        <w:spacing w:line="360" w:lineRule="auto"/>
      </w:pPr>
      <w:r>
        <w:t>Further research highlights a need for teachers to understand and show more empathy for students with varying needs. Youth Sport Trust (n.d.) have included this in their resource for ‘Promoting inclusion for Neurodiverse people’. They provide a variety of different ways in which a teacher can reach out directly to the pupil in which to better understand them. This was something that Allen et al. (2022) also recognised. Stating that “</w:t>
      </w:r>
      <w:r w:rsidRPr="00103162">
        <w:t>Future research should seek to understand the unique experiences of children and young people from a range of different disabilities and impairments</w:t>
      </w:r>
      <w:r>
        <w:t xml:space="preserve">” (p.355). Vickerman and </w:t>
      </w:r>
      <w:proofErr w:type="spellStart"/>
      <w:r>
        <w:t>Stidder</w:t>
      </w:r>
      <w:proofErr w:type="spellEnd"/>
      <w:r>
        <w:t xml:space="preserve"> (2013) also supports this idea of understanding the uniqueness of a student’s situations and that time spent analysing and planning is crucial to being as inclusive as possible in PE.</w:t>
      </w:r>
    </w:p>
    <w:p w14:paraId="004F1211" w14:textId="77777777" w:rsidR="0018181A" w:rsidRDefault="0018181A" w:rsidP="0018181A">
      <w:pPr>
        <w:spacing w:line="360" w:lineRule="auto"/>
      </w:pPr>
      <w:r>
        <w:t xml:space="preserve">Across the literature surrounding the modification of games, one key principle kept coming up. The S.T.E.P Tool is the idea that manipulation of 4 key areas can help modify and adapt activities during sessions to allow for more inclusivity (Foster and Barber, 2021). Space, Task, Equipment and People (S.T.E.P) are the 4 areas highlighted. </w:t>
      </w:r>
      <w:proofErr w:type="spellStart"/>
      <w:r>
        <w:t>Kiuppis</w:t>
      </w:r>
      <w:proofErr w:type="spellEnd"/>
      <w:r>
        <w:t xml:space="preserve"> (2018) helps support the use of S.T.E.P by stating that “S</w:t>
      </w:r>
      <w:r w:rsidRPr="0041673B">
        <w:t>TEP</w:t>
      </w:r>
      <w:r>
        <w:t xml:space="preserve"> </w:t>
      </w:r>
      <w:r w:rsidRPr="0041673B">
        <w:t>can be used to ensure that participants with different abilities can be included in physical</w:t>
      </w:r>
      <w:r>
        <w:t xml:space="preserve"> </w:t>
      </w:r>
      <w:r w:rsidRPr="0041673B">
        <w:t>activities</w:t>
      </w:r>
      <w:r>
        <w:t xml:space="preserve">” (p.15). In application, S.T.E.P provides the necessary modifications to adapt activities to be inclusive for all. This supported further by Vickerman and </w:t>
      </w:r>
      <w:proofErr w:type="spellStart"/>
      <w:r>
        <w:t>Stidder</w:t>
      </w:r>
      <w:proofErr w:type="spellEnd"/>
      <w:r>
        <w:t xml:space="preserve"> (2013) who recognise the importance of modification and adaptation of “learning and teaching styles </w:t>
      </w:r>
      <w:r w:rsidRPr="009F2634">
        <w:t>in order to facilitate full access and entitlement to the curriculum</w:t>
      </w:r>
      <w:r>
        <w:t>” (p.63).</w:t>
      </w:r>
    </w:p>
    <w:p w14:paraId="7474B81E" w14:textId="77777777" w:rsidR="0018181A" w:rsidRDefault="0018181A" w:rsidP="0018181A">
      <w:pPr>
        <w:spacing w:line="360" w:lineRule="auto"/>
      </w:pPr>
    </w:p>
    <w:p w14:paraId="3CC83B9B" w14:textId="77777777" w:rsidR="0018181A" w:rsidRDefault="0018181A" w:rsidP="0018181A">
      <w:pPr>
        <w:spacing w:line="360" w:lineRule="auto"/>
        <w:jc w:val="center"/>
      </w:pPr>
      <w:r w:rsidRPr="001B4414">
        <w:rPr>
          <w:noProof/>
        </w:rPr>
        <w:lastRenderedPageBreak/>
        <w:drawing>
          <wp:inline distT="0" distB="0" distL="0" distR="0" wp14:anchorId="7E25BD35" wp14:editId="08D88315">
            <wp:extent cx="4229690" cy="1476581"/>
            <wp:effectExtent l="0" t="0" r="0" b="9525"/>
            <wp:docPr id="409618886" name="Picture 1" descr="A diagram of a number of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18886" name="Picture 1" descr="A diagram of a number of letters&#10;&#10;AI-generated content may be incorrect."/>
                    <pic:cNvPicPr/>
                  </pic:nvPicPr>
                  <pic:blipFill>
                    <a:blip r:embed="rId10"/>
                    <a:stretch>
                      <a:fillRect/>
                    </a:stretch>
                  </pic:blipFill>
                  <pic:spPr>
                    <a:xfrm>
                      <a:off x="0" y="0"/>
                      <a:ext cx="4229690" cy="1476581"/>
                    </a:xfrm>
                    <a:prstGeom prst="rect">
                      <a:avLst/>
                    </a:prstGeom>
                  </pic:spPr>
                </pic:pic>
              </a:graphicData>
            </a:graphic>
          </wp:inline>
        </w:drawing>
      </w:r>
    </w:p>
    <w:p w14:paraId="68A36FF7" w14:textId="77777777" w:rsidR="0018181A" w:rsidRDefault="0018181A" w:rsidP="0018181A">
      <w:pPr>
        <w:spacing w:line="360" w:lineRule="auto"/>
      </w:pPr>
      <w:r>
        <w:t xml:space="preserve">Figure 2. </w:t>
      </w:r>
      <w:proofErr w:type="spellStart"/>
      <w:r>
        <w:t>Mosston</w:t>
      </w:r>
      <w:proofErr w:type="spellEnd"/>
      <w:r>
        <w:t xml:space="preserve"> and Ashworth, 2008, p.159.</w:t>
      </w:r>
    </w:p>
    <w:p w14:paraId="610B3B95" w14:textId="77777777" w:rsidR="0018181A" w:rsidRDefault="0018181A" w:rsidP="0018181A"/>
    <w:p w14:paraId="06F9AFB4" w14:textId="77777777" w:rsidR="0018181A" w:rsidRPr="0066357F" w:rsidRDefault="0018181A" w:rsidP="0018181A">
      <w:pPr>
        <w:rPr>
          <w:i/>
          <w:iCs/>
          <w:color w:val="4C94D8" w:themeColor="text2" w:themeTint="80"/>
          <w:sz w:val="28"/>
          <w:szCs w:val="28"/>
        </w:rPr>
      </w:pPr>
      <w:r>
        <w:rPr>
          <w:i/>
          <w:iCs/>
          <w:color w:val="4C94D8" w:themeColor="text2" w:themeTint="80"/>
          <w:sz w:val="28"/>
          <w:szCs w:val="28"/>
        </w:rPr>
        <w:t>Teaching PE for SEND</w:t>
      </w:r>
    </w:p>
    <w:p w14:paraId="33D6476F" w14:textId="77777777" w:rsidR="0018181A" w:rsidRDefault="0018181A" w:rsidP="0018181A">
      <w:pPr>
        <w:spacing w:line="360" w:lineRule="auto"/>
      </w:pPr>
      <w:r>
        <w:t xml:space="preserve">This area of literature was identified as important due to the overall objective of the study. Having already identified Teachers as being ill-prepared due to lack of education (Allen et al, 2022), a review of literature surrounding </w:t>
      </w:r>
      <w:r>
        <w:rPr>
          <w:i/>
          <w:iCs/>
        </w:rPr>
        <w:t xml:space="preserve">Teaching PE for SEND </w:t>
      </w:r>
      <w:r>
        <w:t>was needed. Coates and Vickerman (2008 cited in Vickerman and Hayes, 2013) identified 3 areas teachers needed to address in inclusive education; “</w:t>
      </w:r>
      <w:r w:rsidRPr="00CC7B03">
        <w:t>Curriculum adaptation (changing what is taught); instructional modifications (changing how we teach); and human or people resources (looking at changing who teaches or supports adapted aspects of PE)</w:t>
      </w:r>
      <w:r>
        <w:t xml:space="preserve">” (p.53). Having already identified the need for change in resources, literature to address curriculum adaptation and instructional modifications were needed. Vickerman and Maher (2019) identified a focus on teaching in PE sessions to be able to identify a clear outcome during the initial planning stage was the first port of call in making provisions aligning itself with </w:t>
      </w:r>
      <w:proofErr w:type="spellStart"/>
      <w:r>
        <w:t>Mosston</w:t>
      </w:r>
      <w:proofErr w:type="spellEnd"/>
      <w:r>
        <w:t xml:space="preserve"> and Ashworth’s (2008) ‘Inclusion’ teaching style which puts ownership of the session on the teacher in pre-impact stage (Figure 2). Foster and Barber (2021) utilise a method derived from Black and Stevenson’s </w:t>
      </w:r>
      <w:r w:rsidRPr="007E2B7D">
        <w:rPr>
          <w:i/>
          <w:iCs/>
        </w:rPr>
        <w:t xml:space="preserve">Inclusion Spectrum </w:t>
      </w:r>
      <w:r>
        <w:t>(1999 cited in PD Net, n.d.), for the initial planning of PE sessions (Appendix A). This method utilises a 6-step process, rather than focusing on the outcomes of the session and includes a chance to reflect on the learning that has taken place. Reflective Pedagogy being something identified as important in teaching PE for children with SEND (</w:t>
      </w:r>
      <w:proofErr w:type="spellStart"/>
      <w:r>
        <w:t>Stidder</w:t>
      </w:r>
      <w:proofErr w:type="spellEnd"/>
      <w:r>
        <w:t xml:space="preserve"> and Hayes, 2013).</w:t>
      </w:r>
    </w:p>
    <w:p w14:paraId="3E7F4C42" w14:textId="77777777" w:rsidR="0018181A" w:rsidRDefault="0018181A" w:rsidP="0018181A">
      <w:pPr>
        <w:spacing w:line="360" w:lineRule="auto"/>
      </w:pPr>
      <w:r>
        <w:t xml:space="preserve">Another identified area of focus for </w:t>
      </w:r>
      <w:r w:rsidRPr="00DE75B3">
        <w:rPr>
          <w:i/>
          <w:iCs/>
        </w:rPr>
        <w:t>Teaching PE for SEND</w:t>
      </w:r>
      <w:r>
        <w:t xml:space="preserve"> was to make it as relevant to the student as possible. This was something that was advocated by the NCPE (2007 cited in Vickerman and </w:t>
      </w:r>
      <w:proofErr w:type="spellStart"/>
      <w:r>
        <w:t>Stidder</w:t>
      </w:r>
      <w:proofErr w:type="spellEnd"/>
      <w:r>
        <w:t>, 2013) who wanted a curriculum that was relevant to the students “</w:t>
      </w:r>
      <w:r w:rsidRPr="002A3244">
        <w:t>own experiences and aspirations and have sufficient opportunities to succeed in their learning to the highest standard</w:t>
      </w:r>
      <w:r>
        <w:t xml:space="preserve">”  (p.56). Allowing teachers to plan sessions and design curricula that not only addressed participation issues, raised by O’Connor and McNabb (2021), but allowed them to </w:t>
      </w:r>
      <w:r>
        <w:lastRenderedPageBreak/>
        <w:t>tailor a personalised curriculum that would allow students to “</w:t>
      </w:r>
      <w:r w:rsidRPr="00B12269">
        <w:t>open up new possibilities</w:t>
      </w:r>
      <w:r>
        <w:t>” and teachers to “</w:t>
      </w:r>
      <w:r w:rsidRPr="00B12269">
        <w:t>meet the needs of a greater number of pupils</w:t>
      </w:r>
      <w:r>
        <w:t>” (</w:t>
      </w:r>
      <w:proofErr w:type="spellStart"/>
      <w:r>
        <w:t>Theodoulides</w:t>
      </w:r>
      <w:proofErr w:type="spellEnd"/>
      <w:r>
        <w:t xml:space="preserve">, 2013, p.47). Whilst tailoring a whole curriculum does present with many positives, Maher et al (2022) showed that many teachers can see issues with catering to certain needs. When assessing pupils, some teachers stated that “(students) </w:t>
      </w:r>
      <w:r w:rsidRPr="00AD723A">
        <w:t>want to feel included with the rest of the group. They do not want to feel different.</w:t>
      </w:r>
      <w:r>
        <w:t>” and going further to say “</w:t>
      </w:r>
      <w:r w:rsidRPr="007F41AB">
        <w:t>why cannot they be graded, assessed in the same way as the other students? For me, it allows them to feel included.</w:t>
      </w:r>
      <w:r>
        <w:t>” (Maher et al., 2022, p.116). Whilst some students may feel like a pupil-centred assessment is something they don’t welcome, a study by Maher et al. (2022) identifies that MOST teachers would welcome a pupil-centred approach to assessment as it would “</w:t>
      </w:r>
      <w:r w:rsidRPr="00EA4785">
        <w:t>consider their needs and capabilities, which can be quite different from those of their age peers</w:t>
      </w:r>
      <w:r>
        <w:t>” (p.116). Whilst standardised testing may be able to foster a feeling of relatedness among their peers, a pupil-centred approach is also advocated by some professionals. However, student’s voices should trump them both. Maher et al. (2022) states students “</w:t>
      </w:r>
      <w:r w:rsidRPr="00132B6F">
        <w:t>have expert knowledge about the inclusivity of assessment arrangements in PE because they have lived and embodied them</w:t>
      </w:r>
      <w:r>
        <w:t>” (p.123). Although this research is centred around assessment in PE, it highlights a need to listen to student voice to understand their needs better. As this allows teachers to better understand and tailor sessions and curricula that supports them the best way possible, after all, who knows them better than themselves?</w:t>
      </w:r>
    </w:p>
    <w:p w14:paraId="454E7F57" w14:textId="77777777" w:rsidR="0018181A" w:rsidRDefault="0018181A" w:rsidP="0018181A"/>
    <w:p w14:paraId="526B05B8" w14:textId="77777777" w:rsidR="0018181A" w:rsidRDefault="0018181A" w:rsidP="0018181A"/>
    <w:p w14:paraId="6FBB1008" w14:textId="77777777" w:rsidR="0018181A" w:rsidRDefault="0018181A" w:rsidP="0018181A"/>
    <w:p w14:paraId="4EFCA09C" w14:textId="77777777" w:rsidR="0018181A" w:rsidRDefault="0018181A" w:rsidP="0018181A"/>
    <w:p w14:paraId="3DC9ABFD" w14:textId="77777777" w:rsidR="0018181A" w:rsidRDefault="0018181A" w:rsidP="0018181A"/>
    <w:p w14:paraId="7EB00D9D" w14:textId="77777777" w:rsidR="0018181A" w:rsidRDefault="0018181A" w:rsidP="0018181A"/>
    <w:p w14:paraId="04CE5D3A" w14:textId="77777777" w:rsidR="0018181A" w:rsidRDefault="0018181A" w:rsidP="0018181A"/>
    <w:p w14:paraId="216F510B" w14:textId="77777777" w:rsidR="0018181A" w:rsidRDefault="0018181A" w:rsidP="0018181A"/>
    <w:p w14:paraId="71E97D28" w14:textId="77777777" w:rsidR="0018181A" w:rsidRDefault="0018181A" w:rsidP="0018181A"/>
    <w:p w14:paraId="559EFD38" w14:textId="77777777" w:rsidR="0018181A" w:rsidRDefault="0018181A" w:rsidP="0018181A"/>
    <w:p w14:paraId="7632AC87" w14:textId="77777777" w:rsidR="0018181A" w:rsidRDefault="0018181A" w:rsidP="0018181A"/>
    <w:p w14:paraId="6F792003" w14:textId="77777777" w:rsidR="0018181A" w:rsidRDefault="0018181A" w:rsidP="0018181A"/>
    <w:p w14:paraId="40F21421" w14:textId="77777777" w:rsidR="0018181A" w:rsidRDefault="0018181A" w:rsidP="0018181A"/>
    <w:p w14:paraId="361CBAE4" w14:textId="77777777" w:rsidR="0018181A" w:rsidRDefault="0018181A" w:rsidP="0018181A"/>
    <w:p w14:paraId="3EA68F1A" w14:textId="77777777" w:rsidR="0018181A" w:rsidRDefault="0018181A" w:rsidP="0018181A">
      <w:pPr>
        <w:pStyle w:val="Heading1"/>
        <w:rPr>
          <w:i/>
          <w:iCs/>
        </w:rPr>
      </w:pPr>
      <w:r w:rsidRPr="00623375">
        <w:rPr>
          <w:i/>
          <w:iCs/>
        </w:rPr>
        <w:lastRenderedPageBreak/>
        <w:t>Methodology</w:t>
      </w:r>
    </w:p>
    <w:p w14:paraId="16CCBD60" w14:textId="77777777" w:rsidR="0018181A" w:rsidRDefault="0018181A" w:rsidP="0018181A"/>
    <w:p w14:paraId="4789D90D" w14:textId="2C37D116" w:rsidR="0018181A" w:rsidRDefault="0018181A" w:rsidP="0018181A">
      <w:pPr>
        <w:spacing w:line="360" w:lineRule="auto"/>
      </w:pPr>
      <w:r>
        <w:t xml:space="preserve">The methodology used in creating this resource was </w:t>
      </w:r>
      <w:r w:rsidR="00C35657">
        <w:t>multifarious but</w:t>
      </w:r>
      <w:r>
        <w:t xml:space="preserve"> can be closely aligned to some of the principles set out by </w:t>
      </w:r>
      <w:proofErr w:type="spellStart"/>
      <w:r>
        <w:t>Gliner</w:t>
      </w:r>
      <w:proofErr w:type="spellEnd"/>
      <w:r>
        <w:t xml:space="preserve"> and Morgan’s approach to research regarding Adapted PE </w:t>
      </w:r>
      <w:r w:rsidRPr="00766122">
        <w:t xml:space="preserve"> </w:t>
      </w:r>
      <w:r>
        <w:t>(2000 cited in Maher and Coates, 2020). Influencing how the research was conducted, looking at “</w:t>
      </w:r>
      <w:r w:rsidRPr="00EF4BE3">
        <w:t>identifying descriptions and patterns in data</w:t>
      </w:r>
      <w:r>
        <w:t xml:space="preserve"> …</w:t>
      </w:r>
      <w:r w:rsidRPr="00EF4BE3">
        <w:t xml:space="preserve"> exploring diversity</w:t>
      </w:r>
      <w:r>
        <w:t xml:space="preserve"> …</w:t>
      </w:r>
      <w:r w:rsidRPr="00EF4BE3">
        <w:t xml:space="preserve"> acquiring knowledge and constructing and advancing theory</w:t>
      </w:r>
      <w:r>
        <w:t>” (Maher and Coates, 2021, p.81). These principles of this approach were key to this papers research as well as creating the proposed resource.</w:t>
      </w:r>
    </w:p>
    <w:p w14:paraId="0E58A503" w14:textId="77777777" w:rsidR="0018181A" w:rsidRDefault="0018181A" w:rsidP="0018181A">
      <w:pPr>
        <w:spacing w:line="360" w:lineRule="auto"/>
      </w:pPr>
      <w:r>
        <w:t>Firstly, by ‘identifying descriptions and patterns in data’, this paper used common searches such as ‘… in adapted pe’ or ‘… in physical education’ allowing the research to focus on the topic of PE or adapted PE as the targeted audience was that of PE teachers and the adapted uses of PE. Secondly, the research for the ‘Rationale for Content of the Resource’ section of this paper focused on corelating data among theme of the S.T.E.P Tool, whilst researching how differing areas of SEND (Intellectual Disabilities, Visual Impairment, Physical Disabilities and Emotional Trauma) are affected in PE and how through the modification or adaptation surrounding the S.T.E.P tool. Finally, through acquisition of current knowledge (resources already available) and constructing (creating a new resource) and advancing theory (future implications from resource) it allowed for the progression from current resources whilst advancing and improving other resources by identifying their compliments and improvement areas.</w:t>
      </w:r>
    </w:p>
    <w:p w14:paraId="79BF1D08" w14:textId="77777777" w:rsidR="0018181A" w:rsidRDefault="0018181A" w:rsidP="0018181A">
      <w:pPr>
        <w:spacing w:line="360" w:lineRule="auto"/>
      </w:pPr>
      <w:r>
        <w:t>This paper also strived to collect data that would also contribute to evidence-based practice. By identifying several sources from previously acknowledged searches. It allowed this paper to then use gathered data to  inform practices and discuss alternatives to find individualised solutions as advocated by Hutzler (2020). Furthermore, Hutzler (2020) identified that “</w:t>
      </w:r>
      <w:r w:rsidRPr="00BC7175">
        <w:t>Inclusive strategies are an increasingly important area of research. However, the evidence supporting these practices is relatively scarce.</w:t>
      </w:r>
      <w:r>
        <w:t xml:space="preserve">” (p.107). So, for finding relevant information regarding specific strategies and pedagogies searches had to narrowed even further. By identifying this need ‘inclusive strategies/pedagogies for … in PE’ then became my primary research tool. </w:t>
      </w:r>
    </w:p>
    <w:p w14:paraId="33C9BDE8" w14:textId="2E107070" w:rsidR="0018181A" w:rsidRDefault="0018181A" w:rsidP="0018181A">
      <w:pPr>
        <w:spacing w:line="360" w:lineRule="auto"/>
      </w:pPr>
      <w:r>
        <w:t xml:space="preserve">Having previously identified that a requirement of this tool was to be well informed and </w:t>
      </w:r>
      <w:proofErr w:type="gramStart"/>
      <w:r>
        <w:t>up-to-date</w:t>
      </w:r>
      <w:proofErr w:type="gramEnd"/>
      <w:r>
        <w:t>, there was a need to identify the most relevant and up to date information available. This proved problematic, as some data collected was confusing and needed further clarification; by identifying clear patterns with certain authors with links to the subject matter it was easy to follow a patterns and authors. However, Hutzler (2020) does recommend that “</w:t>
      </w:r>
      <w:r w:rsidRPr="001D1545">
        <w:t xml:space="preserve">Continued </w:t>
      </w:r>
      <w:r w:rsidRPr="001D1545">
        <w:lastRenderedPageBreak/>
        <w:t>research in support of these and other emerging inclusive strategies is warranted for better establishing the inclusive approach in physical education.</w:t>
      </w:r>
      <w:r>
        <w:t xml:space="preserve">” (p.108), due to the many differing strategies and resources, identifying a </w:t>
      </w:r>
      <w:r w:rsidR="00C35657">
        <w:t>specific target group</w:t>
      </w:r>
      <w:r>
        <w:t xml:space="preserve"> and following relevant data that better informed the resource was chosen.</w:t>
      </w:r>
    </w:p>
    <w:p w14:paraId="5D874CD0" w14:textId="34E5809E" w:rsidR="0018181A" w:rsidRDefault="0018181A" w:rsidP="0018181A">
      <w:pPr>
        <w:spacing w:line="360" w:lineRule="auto"/>
      </w:pPr>
      <w:r>
        <w:t xml:space="preserve">This paper then set out the clear aim in which to develop a </w:t>
      </w:r>
      <w:r w:rsidR="00C35657">
        <w:t>well-informed</w:t>
      </w:r>
      <w:r>
        <w:t xml:space="preserve"> tool that would meet the needs of the students whilst also improving teacher knowledge. Yun and Case (2020) state that “</w:t>
      </w:r>
      <w:r w:rsidRPr="00841548">
        <w:t>Research within the context of APE should instead be defined as a systematic process and attempt to find solutions for a well-defined problem</w:t>
      </w:r>
      <w:r>
        <w:t>” (p.114). In order to improve on the previously identified aims of this study, this paper must provide a clear systematic approach. Looking at potential solutions to the previously identified problem, then consolidating research to one specific area of need, collecting relevant sources regarding this area of need then reviewing for potential gaps in resources, highlighting gaps in current resources and how this would impact the created resource then creating the resource itself.</w:t>
      </w:r>
    </w:p>
    <w:p w14:paraId="2A9AB81B" w14:textId="77777777" w:rsidR="0018181A" w:rsidRDefault="0018181A" w:rsidP="0018181A">
      <w:pPr>
        <w:spacing w:line="360" w:lineRule="auto"/>
      </w:pPr>
      <w:r>
        <w:t xml:space="preserve">As part of this an in-depth analysis of available resources was conducted to be able to analytically compare the literature previously collected and documents from key authors. In completing a document analysis, it allowed for a distinction between documented resources and literature articles. By doing this </w:t>
      </w:r>
      <w:proofErr w:type="spellStart"/>
      <w:r>
        <w:t>it</w:t>
      </w:r>
      <w:proofErr w:type="spellEnd"/>
      <w:r>
        <w:t xml:space="preserve"> allowed to clearly identify documents being written about “the </w:t>
      </w:r>
      <w:r w:rsidRPr="00462E45">
        <w:t>outside world in a more unmediated or authentic way</w:t>
      </w:r>
      <w:r>
        <w:t>” (Karppinen and Moe, 2012, p.181). This then informed my resource to be as accurate as it can to be applied in the ‘outside world’ for its intended purpose.</w:t>
      </w:r>
    </w:p>
    <w:p w14:paraId="69887FC5" w14:textId="77777777" w:rsidR="0018181A" w:rsidRDefault="0018181A" w:rsidP="0018181A"/>
    <w:p w14:paraId="1422EA1C" w14:textId="77777777" w:rsidR="0018181A" w:rsidRDefault="0018181A" w:rsidP="0018181A"/>
    <w:p w14:paraId="1F64121E" w14:textId="77777777" w:rsidR="0018181A" w:rsidRDefault="0018181A" w:rsidP="0018181A"/>
    <w:p w14:paraId="726EC2DF" w14:textId="77777777" w:rsidR="0018181A" w:rsidRDefault="0018181A" w:rsidP="0018181A"/>
    <w:p w14:paraId="3A9145E7" w14:textId="77777777" w:rsidR="0018181A" w:rsidRDefault="0018181A" w:rsidP="0018181A"/>
    <w:p w14:paraId="3B018F74" w14:textId="77777777" w:rsidR="0018181A" w:rsidRDefault="0018181A" w:rsidP="0018181A"/>
    <w:p w14:paraId="1F8DCFE8" w14:textId="77777777" w:rsidR="0018181A" w:rsidRDefault="0018181A" w:rsidP="0018181A"/>
    <w:p w14:paraId="739AFF59" w14:textId="77777777" w:rsidR="0018181A" w:rsidRDefault="0018181A" w:rsidP="0018181A"/>
    <w:p w14:paraId="4F0D1E4B" w14:textId="77777777" w:rsidR="0018181A" w:rsidRDefault="0018181A" w:rsidP="0018181A"/>
    <w:p w14:paraId="2A42546E" w14:textId="77777777" w:rsidR="0018181A" w:rsidRDefault="0018181A" w:rsidP="0018181A"/>
    <w:p w14:paraId="20A0899F" w14:textId="77777777" w:rsidR="0018181A" w:rsidRDefault="0018181A" w:rsidP="0018181A"/>
    <w:p w14:paraId="5AF39773" w14:textId="77777777" w:rsidR="0018181A" w:rsidRDefault="0018181A" w:rsidP="0018181A"/>
    <w:p w14:paraId="43F0984A" w14:textId="77777777" w:rsidR="0018181A" w:rsidRPr="003627B5" w:rsidRDefault="0018181A" w:rsidP="0018181A">
      <w:pPr>
        <w:pStyle w:val="Heading1"/>
        <w:rPr>
          <w:i/>
          <w:iCs/>
        </w:rPr>
      </w:pPr>
      <w:r>
        <w:rPr>
          <w:i/>
          <w:iCs/>
        </w:rPr>
        <w:lastRenderedPageBreak/>
        <w:t>Analysis of S.T.E.P resources</w:t>
      </w:r>
    </w:p>
    <w:p w14:paraId="000F30D1" w14:textId="77777777" w:rsidR="0018181A" w:rsidRPr="00963A4C" w:rsidRDefault="0018181A" w:rsidP="0018181A">
      <w:pPr>
        <w:rPr>
          <w:rStyle w:val="SubtleEmphasis"/>
          <w:color w:val="4C94D8" w:themeColor="text2" w:themeTint="80"/>
          <w:sz w:val="28"/>
          <w:szCs w:val="28"/>
        </w:rPr>
      </w:pPr>
      <w:r w:rsidRPr="00963A4C">
        <w:rPr>
          <w:i/>
          <w:iCs/>
          <w:color w:val="4C94D8" w:themeColor="text2" w:themeTint="80"/>
          <w:sz w:val="28"/>
          <w:szCs w:val="28"/>
        </w:rPr>
        <w:t>Overview of Analysis</w:t>
      </w:r>
    </w:p>
    <w:p w14:paraId="61D084E9" w14:textId="77777777" w:rsidR="0018181A" w:rsidRPr="001549D2" w:rsidRDefault="0018181A" w:rsidP="0018181A">
      <w:pPr>
        <w:spacing w:line="360" w:lineRule="auto"/>
        <w:rPr>
          <w:rStyle w:val="SubtleEmphasis"/>
          <w:i w:val="0"/>
          <w:iCs w:val="0"/>
        </w:rPr>
      </w:pPr>
      <w:r>
        <w:rPr>
          <w:rStyle w:val="SubtleEmphasis"/>
          <w:i w:val="0"/>
          <w:iCs w:val="0"/>
        </w:rPr>
        <w:t>Before creating a resource</w:t>
      </w:r>
      <w:r w:rsidRPr="001549D2">
        <w:rPr>
          <w:rStyle w:val="SubtleEmphasis"/>
        </w:rPr>
        <w:t>, it was important to complete analysis of current resources available. Therefore, several resources were analysed against criteria to show how effect they were as a resource.</w:t>
      </w:r>
      <w:r>
        <w:rPr>
          <w:rStyle w:val="SubtleEmphasis"/>
          <w:i w:val="0"/>
          <w:iCs w:val="0"/>
        </w:rPr>
        <w:t xml:space="preserve"> In order to establish</w:t>
      </w:r>
      <w:r w:rsidRPr="001549D2">
        <w:rPr>
          <w:rStyle w:val="SubtleEmphasis"/>
        </w:rPr>
        <w:t xml:space="preserve"> </w:t>
      </w:r>
      <w:r>
        <w:rPr>
          <w:rStyle w:val="SubtleEmphasis"/>
          <w:i w:val="0"/>
          <w:iCs w:val="0"/>
        </w:rPr>
        <w:t>the compliments of the resource</w:t>
      </w:r>
      <w:r w:rsidRPr="001549D2">
        <w:rPr>
          <w:rStyle w:val="SubtleEmphasis"/>
        </w:rPr>
        <w:t xml:space="preserve"> and what improvements could be made. The criteria used in analysis were as follows:</w:t>
      </w:r>
    </w:p>
    <w:p w14:paraId="1787C753" w14:textId="77777777" w:rsidR="0018181A" w:rsidRPr="001549D2" w:rsidRDefault="0018181A" w:rsidP="0018181A">
      <w:pPr>
        <w:pStyle w:val="ListParagraph"/>
        <w:numPr>
          <w:ilvl w:val="0"/>
          <w:numId w:val="1"/>
        </w:numPr>
        <w:spacing w:line="360" w:lineRule="auto"/>
        <w:rPr>
          <w:rStyle w:val="SubtleEmphasis"/>
          <w:i w:val="0"/>
          <w:iCs w:val="0"/>
        </w:rPr>
      </w:pPr>
      <w:r w:rsidRPr="001549D2">
        <w:rPr>
          <w:rStyle w:val="SubtleEmphasis"/>
        </w:rPr>
        <w:t>Clear overview of each section of S.T.E.P Tool</w:t>
      </w:r>
    </w:p>
    <w:p w14:paraId="4EF672C0" w14:textId="77777777" w:rsidR="0018181A" w:rsidRPr="001549D2" w:rsidRDefault="0018181A" w:rsidP="0018181A">
      <w:pPr>
        <w:pStyle w:val="ListParagraph"/>
        <w:numPr>
          <w:ilvl w:val="0"/>
          <w:numId w:val="1"/>
        </w:numPr>
        <w:spacing w:line="360" w:lineRule="auto"/>
        <w:rPr>
          <w:rStyle w:val="SubtleEmphasis"/>
          <w:i w:val="0"/>
          <w:iCs w:val="0"/>
        </w:rPr>
      </w:pPr>
      <w:r w:rsidRPr="001549D2">
        <w:rPr>
          <w:rStyle w:val="SubtleEmphasis"/>
        </w:rPr>
        <w:t>Sport Specific analogy to go with each section.</w:t>
      </w:r>
    </w:p>
    <w:p w14:paraId="5F9D010C" w14:textId="77777777" w:rsidR="0018181A" w:rsidRPr="001549D2" w:rsidRDefault="0018181A" w:rsidP="0018181A">
      <w:pPr>
        <w:pStyle w:val="ListParagraph"/>
        <w:numPr>
          <w:ilvl w:val="0"/>
          <w:numId w:val="1"/>
        </w:numPr>
        <w:spacing w:line="360" w:lineRule="auto"/>
        <w:rPr>
          <w:rStyle w:val="SubtleEmphasis"/>
          <w:i w:val="0"/>
          <w:iCs w:val="0"/>
        </w:rPr>
      </w:pPr>
      <w:r w:rsidRPr="001549D2">
        <w:rPr>
          <w:rStyle w:val="SubtleEmphasis"/>
        </w:rPr>
        <w:t>Explanation on how this can be used with participants with SEND</w:t>
      </w:r>
    </w:p>
    <w:p w14:paraId="253E0646" w14:textId="77777777" w:rsidR="0018181A" w:rsidRPr="001549D2" w:rsidRDefault="0018181A" w:rsidP="0018181A">
      <w:pPr>
        <w:pStyle w:val="ListParagraph"/>
        <w:numPr>
          <w:ilvl w:val="0"/>
          <w:numId w:val="1"/>
        </w:numPr>
        <w:spacing w:line="360" w:lineRule="auto"/>
        <w:rPr>
          <w:rStyle w:val="SubtleEmphasis"/>
          <w:i w:val="0"/>
          <w:iCs w:val="0"/>
        </w:rPr>
      </w:pPr>
      <w:r w:rsidRPr="001549D2">
        <w:rPr>
          <w:rStyle w:val="SubtleEmphasis"/>
        </w:rPr>
        <w:t>Use of Adaptations or Adaptive Equipment on resource.</w:t>
      </w:r>
    </w:p>
    <w:p w14:paraId="578367E5" w14:textId="77777777" w:rsidR="0018181A" w:rsidRDefault="0018181A" w:rsidP="0018181A">
      <w:pPr>
        <w:spacing w:line="360" w:lineRule="auto"/>
        <w:rPr>
          <w:rStyle w:val="SubtleEmphasis"/>
          <w:i w:val="0"/>
          <w:iCs w:val="0"/>
        </w:rPr>
      </w:pPr>
      <w:proofErr w:type="gramStart"/>
      <w:r>
        <w:rPr>
          <w:rStyle w:val="SubtleEmphasis"/>
          <w:i w:val="0"/>
          <w:iCs w:val="0"/>
        </w:rPr>
        <w:t>This criteria</w:t>
      </w:r>
      <w:proofErr w:type="gramEnd"/>
      <w:r>
        <w:rPr>
          <w:rStyle w:val="SubtleEmphasis"/>
          <w:i w:val="0"/>
          <w:iCs w:val="0"/>
        </w:rPr>
        <w:t xml:space="preserve"> allowed us to establish patterns across the resource and highlight potential gaps in the resources that the new resource could fill.</w:t>
      </w:r>
    </w:p>
    <w:p w14:paraId="6735AC6F" w14:textId="77777777" w:rsidR="0018181A" w:rsidRPr="00CA63BA" w:rsidRDefault="0018181A" w:rsidP="0018181A">
      <w:pPr>
        <w:spacing w:line="360" w:lineRule="auto"/>
        <w:rPr>
          <w:rStyle w:val="SubtleEmphasis"/>
          <w:i w:val="0"/>
          <w:iCs w:val="0"/>
        </w:rPr>
      </w:pPr>
    </w:p>
    <w:p w14:paraId="1124FBEA" w14:textId="77777777" w:rsidR="0018181A" w:rsidRPr="00CA63BA" w:rsidRDefault="0018181A" w:rsidP="0018181A">
      <w:pPr>
        <w:rPr>
          <w:rStyle w:val="SubtleEmphasis"/>
          <w:color w:val="4C94D8" w:themeColor="text2" w:themeTint="80"/>
          <w:sz w:val="28"/>
          <w:szCs w:val="28"/>
        </w:rPr>
      </w:pPr>
      <w:r w:rsidRPr="00963A4C">
        <w:rPr>
          <w:rStyle w:val="SubtleEmphasis"/>
          <w:color w:val="4C94D8" w:themeColor="text2" w:themeTint="80"/>
          <w:sz w:val="28"/>
          <w:szCs w:val="28"/>
        </w:rPr>
        <w:t>Table 1. Analysis of S.T.E.P</w:t>
      </w:r>
      <w:r>
        <w:rPr>
          <w:rStyle w:val="SubtleEmphasis"/>
          <w:color w:val="4C94D8" w:themeColor="text2" w:themeTint="80"/>
          <w:sz w:val="28"/>
          <w:szCs w:val="28"/>
        </w:rPr>
        <w:t xml:space="preserve"> Tool</w:t>
      </w:r>
      <w:r w:rsidRPr="00963A4C">
        <w:rPr>
          <w:rStyle w:val="SubtleEmphasis"/>
          <w:color w:val="4C94D8" w:themeColor="text2" w:themeTint="80"/>
          <w:sz w:val="28"/>
          <w:szCs w:val="28"/>
        </w:rPr>
        <w:t xml:space="preserve"> resources already available.</w:t>
      </w:r>
    </w:p>
    <w:tbl>
      <w:tblPr>
        <w:tblStyle w:val="TableGrid"/>
        <w:tblW w:w="9415" w:type="dxa"/>
        <w:tblLook w:val="04A0" w:firstRow="1" w:lastRow="0" w:firstColumn="1" w:lastColumn="0" w:noHBand="0" w:noVBand="1"/>
      </w:tblPr>
      <w:tblGrid>
        <w:gridCol w:w="3138"/>
        <w:gridCol w:w="3138"/>
        <w:gridCol w:w="3139"/>
      </w:tblGrid>
      <w:tr w:rsidR="0018181A" w:rsidRPr="00A3200C" w14:paraId="5505DF70" w14:textId="77777777" w:rsidTr="00EA461A">
        <w:trPr>
          <w:trHeight w:val="1176"/>
        </w:trPr>
        <w:tc>
          <w:tcPr>
            <w:tcW w:w="3138" w:type="dxa"/>
          </w:tcPr>
          <w:p w14:paraId="52E0EE76" w14:textId="77777777" w:rsidR="0018181A" w:rsidRPr="00A72C20" w:rsidRDefault="0018181A" w:rsidP="00EA461A">
            <w:pPr>
              <w:jc w:val="center"/>
              <w:rPr>
                <w:rStyle w:val="SubtleEmphasis"/>
                <w:b/>
                <w:bCs/>
                <w:sz w:val="24"/>
                <w:szCs w:val="24"/>
              </w:rPr>
            </w:pPr>
            <w:r w:rsidRPr="00A72C20">
              <w:rPr>
                <w:rStyle w:val="SubtleEmphasis"/>
                <w:b/>
                <w:bCs/>
                <w:sz w:val="24"/>
                <w:szCs w:val="24"/>
              </w:rPr>
              <w:t>Organization or Publisher</w:t>
            </w:r>
          </w:p>
        </w:tc>
        <w:tc>
          <w:tcPr>
            <w:tcW w:w="3138" w:type="dxa"/>
          </w:tcPr>
          <w:p w14:paraId="1A291663" w14:textId="77777777" w:rsidR="0018181A" w:rsidRPr="00A3200C" w:rsidRDefault="0018181A" w:rsidP="00EA461A">
            <w:pPr>
              <w:jc w:val="center"/>
              <w:rPr>
                <w:rStyle w:val="SubtleEmphasis"/>
                <w:b/>
                <w:bCs/>
                <w:i w:val="0"/>
                <w:iCs w:val="0"/>
                <w:sz w:val="24"/>
                <w:szCs w:val="24"/>
              </w:rPr>
            </w:pPr>
            <w:r w:rsidRPr="00A3200C">
              <w:rPr>
                <w:rStyle w:val="SubtleEmphasis"/>
                <w:b/>
                <w:bCs/>
                <w:sz w:val="24"/>
                <w:szCs w:val="24"/>
              </w:rPr>
              <w:t>Compliments of Resource</w:t>
            </w:r>
          </w:p>
        </w:tc>
        <w:tc>
          <w:tcPr>
            <w:tcW w:w="3139" w:type="dxa"/>
          </w:tcPr>
          <w:p w14:paraId="354C8E8F" w14:textId="77777777" w:rsidR="0018181A" w:rsidRPr="00A3200C" w:rsidRDefault="0018181A" w:rsidP="00EA461A">
            <w:pPr>
              <w:jc w:val="center"/>
              <w:rPr>
                <w:rStyle w:val="SubtleEmphasis"/>
                <w:b/>
                <w:bCs/>
                <w:i w:val="0"/>
                <w:iCs w:val="0"/>
                <w:sz w:val="24"/>
                <w:szCs w:val="24"/>
              </w:rPr>
            </w:pPr>
            <w:r w:rsidRPr="00A3200C">
              <w:rPr>
                <w:rStyle w:val="SubtleEmphasis"/>
                <w:b/>
                <w:bCs/>
                <w:sz w:val="24"/>
                <w:szCs w:val="24"/>
              </w:rPr>
              <w:t>Improvements that could be made</w:t>
            </w:r>
          </w:p>
        </w:tc>
      </w:tr>
      <w:tr w:rsidR="0018181A" w14:paraId="066D28BC" w14:textId="77777777" w:rsidTr="00EA461A">
        <w:trPr>
          <w:trHeight w:val="1176"/>
        </w:trPr>
        <w:tc>
          <w:tcPr>
            <w:tcW w:w="3138" w:type="dxa"/>
          </w:tcPr>
          <w:p w14:paraId="5D599D35" w14:textId="77777777" w:rsidR="0018181A" w:rsidRDefault="0018181A" w:rsidP="00EA461A">
            <w:pPr>
              <w:jc w:val="center"/>
              <w:rPr>
                <w:rStyle w:val="SubtleEmphasis"/>
                <w:i w:val="0"/>
                <w:iCs w:val="0"/>
              </w:rPr>
            </w:pPr>
            <w:r>
              <w:rPr>
                <w:rStyle w:val="SubtleEmphasis"/>
              </w:rPr>
              <w:t>Activity Alliance</w:t>
            </w:r>
          </w:p>
        </w:tc>
        <w:tc>
          <w:tcPr>
            <w:tcW w:w="3138" w:type="dxa"/>
          </w:tcPr>
          <w:p w14:paraId="51F0EC12" w14:textId="77777777" w:rsidR="0018181A" w:rsidRDefault="0018181A" w:rsidP="00EA461A">
            <w:pPr>
              <w:jc w:val="center"/>
              <w:rPr>
                <w:rStyle w:val="SubtleEmphasis"/>
                <w:i w:val="0"/>
                <w:iCs w:val="0"/>
              </w:rPr>
            </w:pPr>
            <w:r>
              <w:rPr>
                <w:rStyle w:val="SubtleEmphasis"/>
              </w:rPr>
              <w:t>Clear overview of S.T.E.P. Mentions use of differentiated equipment and make some sport specific movement references.</w:t>
            </w:r>
          </w:p>
        </w:tc>
        <w:tc>
          <w:tcPr>
            <w:tcW w:w="3139" w:type="dxa"/>
          </w:tcPr>
          <w:p w14:paraId="229D4502" w14:textId="77777777" w:rsidR="0018181A" w:rsidRDefault="0018181A" w:rsidP="00EA461A">
            <w:pPr>
              <w:jc w:val="center"/>
              <w:rPr>
                <w:rStyle w:val="SubtleEmphasis"/>
                <w:i w:val="0"/>
                <w:iCs w:val="0"/>
              </w:rPr>
            </w:pPr>
            <w:r>
              <w:rPr>
                <w:rStyle w:val="SubtleEmphasis"/>
              </w:rPr>
              <w:t>No mentions of how this can be used for students with SEND. Sport specific references could be made more concise.</w:t>
            </w:r>
          </w:p>
        </w:tc>
      </w:tr>
      <w:tr w:rsidR="0018181A" w14:paraId="03137006" w14:textId="77777777" w:rsidTr="00EA461A">
        <w:trPr>
          <w:trHeight w:val="1176"/>
        </w:trPr>
        <w:tc>
          <w:tcPr>
            <w:tcW w:w="3138" w:type="dxa"/>
          </w:tcPr>
          <w:p w14:paraId="24C060F5" w14:textId="77777777" w:rsidR="0018181A" w:rsidRDefault="0018181A" w:rsidP="00EA461A">
            <w:pPr>
              <w:jc w:val="center"/>
              <w:rPr>
                <w:rStyle w:val="SubtleEmphasis"/>
                <w:i w:val="0"/>
                <w:iCs w:val="0"/>
              </w:rPr>
            </w:pPr>
            <w:r>
              <w:rPr>
                <w:rStyle w:val="SubtleEmphasis"/>
              </w:rPr>
              <w:t>Sport Wales</w:t>
            </w:r>
          </w:p>
        </w:tc>
        <w:tc>
          <w:tcPr>
            <w:tcW w:w="3138" w:type="dxa"/>
          </w:tcPr>
          <w:p w14:paraId="03545460" w14:textId="77777777" w:rsidR="0018181A" w:rsidRDefault="0018181A" w:rsidP="00EA461A">
            <w:pPr>
              <w:tabs>
                <w:tab w:val="left" w:pos="2213"/>
              </w:tabs>
              <w:jc w:val="center"/>
              <w:rPr>
                <w:rStyle w:val="SubtleEmphasis"/>
                <w:i w:val="0"/>
                <w:iCs w:val="0"/>
              </w:rPr>
            </w:pPr>
            <w:r>
              <w:rPr>
                <w:rStyle w:val="SubtleEmphasis"/>
              </w:rPr>
              <w:t>Clear Overview of S.T.E.P. Some use of adaptations to equipment.</w:t>
            </w:r>
          </w:p>
        </w:tc>
        <w:tc>
          <w:tcPr>
            <w:tcW w:w="3139" w:type="dxa"/>
          </w:tcPr>
          <w:p w14:paraId="55359149" w14:textId="77777777" w:rsidR="0018181A" w:rsidRDefault="0018181A" w:rsidP="00EA461A">
            <w:pPr>
              <w:jc w:val="center"/>
              <w:rPr>
                <w:rStyle w:val="SubtleEmphasis"/>
                <w:i w:val="0"/>
                <w:iCs w:val="0"/>
              </w:rPr>
            </w:pPr>
            <w:r>
              <w:rPr>
                <w:rStyle w:val="SubtleEmphasis"/>
              </w:rPr>
              <w:t>No Sport specific analogies or how principles could be used for SEND students. Uses of adaptations were limited to equipment and no other principle.</w:t>
            </w:r>
          </w:p>
        </w:tc>
      </w:tr>
      <w:tr w:rsidR="0018181A" w14:paraId="2022F932" w14:textId="77777777" w:rsidTr="00EA461A">
        <w:trPr>
          <w:trHeight w:val="1176"/>
        </w:trPr>
        <w:tc>
          <w:tcPr>
            <w:tcW w:w="3138" w:type="dxa"/>
          </w:tcPr>
          <w:p w14:paraId="1BBD39C6" w14:textId="77777777" w:rsidR="0018181A" w:rsidRDefault="0018181A" w:rsidP="00EA461A">
            <w:pPr>
              <w:jc w:val="center"/>
              <w:rPr>
                <w:rStyle w:val="SubtleEmphasis"/>
                <w:i w:val="0"/>
                <w:iCs w:val="0"/>
              </w:rPr>
            </w:pPr>
            <w:r>
              <w:rPr>
                <w:rStyle w:val="SubtleEmphasis"/>
              </w:rPr>
              <w:t>The FA</w:t>
            </w:r>
          </w:p>
        </w:tc>
        <w:tc>
          <w:tcPr>
            <w:tcW w:w="3138" w:type="dxa"/>
          </w:tcPr>
          <w:p w14:paraId="455E1F1F" w14:textId="77777777" w:rsidR="0018181A" w:rsidRDefault="0018181A" w:rsidP="00EA461A">
            <w:pPr>
              <w:jc w:val="center"/>
              <w:rPr>
                <w:rStyle w:val="SubtleEmphasis"/>
                <w:i w:val="0"/>
                <w:iCs w:val="0"/>
              </w:rPr>
            </w:pPr>
            <w:r>
              <w:rPr>
                <w:rStyle w:val="SubtleEmphasis"/>
              </w:rPr>
              <w:t>Clear overview of S.T.E.P.  Clear and concise use of Sport Specific analogies.</w:t>
            </w:r>
          </w:p>
        </w:tc>
        <w:tc>
          <w:tcPr>
            <w:tcW w:w="3139" w:type="dxa"/>
          </w:tcPr>
          <w:p w14:paraId="46DCCFF6" w14:textId="77777777" w:rsidR="0018181A" w:rsidRDefault="0018181A" w:rsidP="00EA461A">
            <w:pPr>
              <w:jc w:val="center"/>
              <w:rPr>
                <w:rStyle w:val="SubtleEmphasis"/>
                <w:i w:val="0"/>
                <w:iCs w:val="0"/>
              </w:rPr>
            </w:pPr>
            <w:r>
              <w:rPr>
                <w:rStyle w:val="SubtleEmphasis"/>
              </w:rPr>
              <w:t>Very mild use of Adaptations or Adaptive equipment, responsibility put on coaches to get to know students rather than recommendations made.</w:t>
            </w:r>
          </w:p>
        </w:tc>
      </w:tr>
      <w:tr w:rsidR="0018181A" w14:paraId="6FDBF8A2" w14:textId="77777777" w:rsidTr="00EA461A">
        <w:trPr>
          <w:trHeight w:val="1114"/>
        </w:trPr>
        <w:tc>
          <w:tcPr>
            <w:tcW w:w="3138" w:type="dxa"/>
          </w:tcPr>
          <w:p w14:paraId="78BEAB0F" w14:textId="77777777" w:rsidR="0018181A" w:rsidRDefault="0018181A" w:rsidP="00EA461A">
            <w:pPr>
              <w:jc w:val="center"/>
              <w:rPr>
                <w:rStyle w:val="SubtleEmphasis"/>
                <w:i w:val="0"/>
                <w:iCs w:val="0"/>
              </w:rPr>
            </w:pPr>
            <w:r>
              <w:rPr>
                <w:rStyle w:val="SubtleEmphasis"/>
              </w:rPr>
              <w:t>UK Coaching</w:t>
            </w:r>
          </w:p>
        </w:tc>
        <w:tc>
          <w:tcPr>
            <w:tcW w:w="3138" w:type="dxa"/>
          </w:tcPr>
          <w:p w14:paraId="45B54B9F" w14:textId="77777777" w:rsidR="0018181A" w:rsidRDefault="0018181A" w:rsidP="00EA461A">
            <w:pPr>
              <w:jc w:val="center"/>
              <w:rPr>
                <w:rStyle w:val="SubtleEmphasis"/>
                <w:i w:val="0"/>
                <w:iCs w:val="0"/>
              </w:rPr>
            </w:pPr>
            <w:r>
              <w:rPr>
                <w:rStyle w:val="SubtleEmphasis"/>
              </w:rPr>
              <w:t>Brief overview of S.T.E.P. Some Sport Specific analogies and adaptations recommended.</w:t>
            </w:r>
          </w:p>
        </w:tc>
        <w:tc>
          <w:tcPr>
            <w:tcW w:w="3139" w:type="dxa"/>
          </w:tcPr>
          <w:p w14:paraId="5722DF43" w14:textId="77777777" w:rsidR="0018181A" w:rsidRDefault="0018181A" w:rsidP="00EA461A">
            <w:pPr>
              <w:jc w:val="center"/>
              <w:rPr>
                <w:rStyle w:val="SubtleEmphasis"/>
                <w:i w:val="0"/>
                <w:iCs w:val="0"/>
              </w:rPr>
            </w:pPr>
            <w:r>
              <w:rPr>
                <w:rStyle w:val="SubtleEmphasis"/>
              </w:rPr>
              <w:t xml:space="preserve">Clearer recommendations for adaptations or use of adaptive equipment. A better overview of S.T.E.P Principles rather than a brief explanation and image. Students with SEND </w:t>
            </w:r>
            <w:r>
              <w:rPr>
                <w:rStyle w:val="SubtleEmphasis"/>
              </w:rPr>
              <w:lastRenderedPageBreak/>
              <w:t>recommendations could also be added.</w:t>
            </w:r>
          </w:p>
        </w:tc>
      </w:tr>
      <w:tr w:rsidR="0018181A" w14:paraId="3049FC1F" w14:textId="77777777" w:rsidTr="00EA461A">
        <w:trPr>
          <w:trHeight w:val="1176"/>
        </w:trPr>
        <w:tc>
          <w:tcPr>
            <w:tcW w:w="3138" w:type="dxa"/>
          </w:tcPr>
          <w:p w14:paraId="64DE633F" w14:textId="77777777" w:rsidR="0018181A" w:rsidRDefault="0018181A" w:rsidP="00EA461A">
            <w:pPr>
              <w:jc w:val="center"/>
              <w:rPr>
                <w:rStyle w:val="SubtleEmphasis"/>
                <w:i w:val="0"/>
                <w:iCs w:val="0"/>
              </w:rPr>
            </w:pPr>
            <w:r>
              <w:rPr>
                <w:rStyle w:val="SubtleEmphasis"/>
              </w:rPr>
              <w:lastRenderedPageBreak/>
              <w:t>Scottish Disability Sport</w:t>
            </w:r>
          </w:p>
        </w:tc>
        <w:tc>
          <w:tcPr>
            <w:tcW w:w="3138" w:type="dxa"/>
          </w:tcPr>
          <w:p w14:paraId="42926697" w14:textId="77777777" w:rsidR="0018181A" w:rsidRDefault="0018181A" w:rsidP="00EA461A">
            <w:pPr>
              <w:jc w:val="center"/>
              <w:rPr>
                <w:rStyle w:val="SubtleEmphasis"/>
                <w:i w:val="0"/>
                <w:iCs w:val="0"/>
              </w:rPr>
            </w:pPr>
            <w:r>
              <w:rPr>
                <w:rStyle w:val="SubtleEmphasis"/>
              </w:rPr>
              <w:t>Clear overview of S.T.E.P with some recommendations for adaptations and adaptive equipment.</w:t>
            </w:r>
          </w:p>
        </w:tc>
        <w:tc>
          <w:tcPr>
            <w:tcW w:w="3139" w:type="dxa"/>
          </w:tcPr>
          <w:p w14:paraId="05768E9E" w14:textId="77777777" w:rsidR="0018181A" w:rsidRDefault="0018181A" w:rsidP="00EA461A">
            <w:pPr>
              <w:jc w:val="center"/>
              <w:rPr>
                <w:rStyle w:val="SubtleEmphasis"/>
                <w:i w:val="0"/>
                <w:iCs w:val="0"/>
              </w:rPr>
            </w:pPr>
            <w:r>
              <w:rPr>
                <w:rStyle w:val="SubtleEmphasis"/>
              </w:rPr>
              <w:t>In need of Sport Specific Analogies and how information could be used for students with SEND.</w:t>
            </w:r>
          </w:p>
        </w:tc>
      </w:tr>
      <w:tr w:rsidR="0018181A" w14:paraId="6B05DF66" w14:textId="77777777" w:rsidTr="00EA461A">
        <w:trPr>
          <w:trHeight w:val="1176"/>
        </w:trPr>
        <w:tc>
          <w:tcPr>
            <w:tcW w:w="3138" w:type="dxa"/>
          </w:tcPr>
          <w:p w14:paraId="2159F7FF" w14:textId="77777777" w:rsidR="0018181A" w:rsidRDefault="0018181A" w:rsidP="00EA461A">
            <w:pPr>
              <w:tabs>
                <w:tab w:val="left" w:pos="2147"/>
              </w:tabs>
              <w:jc w:val="center"/>
              <w:rPr>
                <w:rStyle w:val="SubtleEmphasis"/>
                <w:i w:val="0"/>
                <w:iCs w:val="0"/>
              </w:rPr>
            </w:pPr>
            <w:r>
              <w:rPr>
                <w:rStyle w:val="SubtleEmphasis"/>
              </w:rPr>
              <w:t>Rounders England</w:t>
            </w:r>
          </w:p>
        </w:tc>
        <w:tc>
          <w:tcPr>
            <w:tcW w:w="3138" w:type="dxa"/>
          </w:tcPr>
          <w:p w14:paraId="138BB719" w14:textId="77777777" w:rsidR="0018181A" w:rsidRDefault="0018181A" w:rsidP="00EA461A">
            <w:pPr>
              <w:jc w:val="center"/>
              <w:rPr>
                <w:rStyle w:val="SubtleEmphasis"/>
                <w:i w:val="0"/>
                <w:iCs w:val="0"/>
              </w:rPr>
            </w:pPr>
            <w:r>
              <w:rPr>
                <w:rStyle w:val="SubtleEmphasis"/>
              </w:rPr>
              <w:t>Clear overview of S.T.E.P.</w:t>
            </w:r>
          </w:p>
        </w:tc>
        <w:tc>
          <w:tcPr>
            <w:tcW w:w="3139" w:type="dxa"/>
          </w:tcPr>
          <w:p w14:paraId="71FBFC2B" w14:textId="77777777" w:rsidR="0018181A" w:rsidRDefault="0018181A" w:rsidP="00EA461A">
            <w:pPr>
              <w:jc w:val="center"/>
              <w:rPr>
                <w:rStyle w:val="SubtleEmphasis"/>
                <w:i w:val="0"/>
                <w:iCs w:val="0"/>
              </w:rPr>
            </w:pPr>
            <w:r>
              <w:rPr>
                <w:rStyle w:val="SubtleEmphasis"/>
              </w:rPr>
              <w:t>Not very informative, no clear sporting analogies. No uses of adaptations or adaptive equipment and no information of how S.T.E.P can be used SEND.</w:t>
            </w:r>
          </w:p>
        </w:tc>
      </w:tr>
      <w:tr w:rsidR="0018181A" w14:paraId="43B5973E" w14:textId="77777777" w:rsidTr="00EA461A">
        <w:trPr>
          <w:trHeight w:val="1176"/>
        </w:trPr>
        <w:tc>
          <w:tcPr>
            <w:tcW w:w="3138" w:type="dxa"/>
          </w:tcPr>
          <w:p w14:paraId="5B584DE7" w14:textId="77777777" w:rsidR="0018181A" w:rsidRDefault="0018181A" w:rsidP="00EA461A">
            <w:pPr>
              <w:jc w:val="center"/>
              <w:rPr>
                <w:rStyle w:val="SubtleEmphasis"/>
                <w:i w:val="0"/>
                <w:iCs w:val="0"/>
              </w:rPr>
            </w:pPr>
            <w:r>
              <w:rPr>
                <w:rStyle w:val="SubtleEmphasis"/>
              </w:rPr>
              <w:t>Physical and Health Education (PHE) Canada</w:t>
            </w:r>
          </w:p>
        </w:tc>
        <w:tc>
          <w:tcPr>
            <w:tcW w:w="3138" w:type="dxa"/>
          </w:tcPr>
          <w:p w14:paraId="65B18EE0" w14:textId="77777777" w:rsidR="0018181A" w:rsidRDefault="0018181A" w:rsidP="00EA461A">
            <w:pPr>
              <w:jc w:val="center"/>
              <w:rPr>
                <w:rStyle w:val="SubtleEmphasis"/>
                <w:i w:val="0"/>
                <w:iCs w:val="0"/>
              </w:rPr>
            </w:pPr>
            <w:r>
              <w:rPr>
                <w:rStyle w:val="SubtleEmphasis"/>
              </w:rPr>
              <w:t>Clear overview of S.T.E.P. Brief overview of how adaptations or modifications can be made. Some mentions of SEND on resource.</w:t>
            </w:r>
          </w:p>
        </w:tc>
        <w:tc>
          <w:tcPr>
            <w:tcW w:w="3139" w:type="dxa"/>
          </w:tcPr>
          <w:p w14:paraId="67C32028" w14:textId="77777777" w:rsidR="0018181A" w:rsidRDefault="0018181A" w:rsidP="00EA461A">
            <w:pPr>
              <w:jc w:val="center"/>
              <w:rPr>
                <w:rStyle w:val="SubtleEmphasis"/>
                <w:i w:val="0"/>
                <w:iCs w:val="0"/>
              </w:rPr>
            </w:pPr>
            <w:r>
              <w:rPr>
                <w:rStyle w:val="SubtleEmphasis"/>
              </w:rPr>
              <w:t>Adaptations need to be more concise. No Sport Specific analogies, responsibility of further research of how can be used with SEND on Teacher.</w:t>
            </w:r>
          </w:p>
        </w:tc>
      </w:tr>
      <w:tr w:rsidR="0018181A" w14:paraId="39246949" w14:textId="77777777" w:rsidTr="00EA461A">
        <w:trPr>
          <w:trHeight w:val="1176"/>
        </w:trPr>
        <w:tc>
          <w:tcPr>
            <w:tcW w:w="3138" w:type="dxa"/>
          </w:tcPr>
          <w:p w14:paraId="2877F0E7" w14:textId="77777777" w:rsidR="0018181A" w:rsidRDefault="0018181A" w:rsidP="00EA461A">
            <w:pPr>
              <w:jc w:val="center"/>
              <w:rPr>
                <w:rStyle w:val="SubtleEmphasis"/>
                <w:i w:val="0"/>
                <w:iCs w:val="0"/>
              </w:rPr>
            </w:pPr>
            <w:r>
              <w:rPr>
                <w:rStyle w:val="SubtleEmphasis"/>
              </w:rPr>
              <w:t xml:space="preserve">The PE Hub </w:t>
            </w:r>
          </w:p>
        </w:tc>
        <w:tc>
          <w:tcPr>
            <w:tcW w:w="3138" w:type="dxa"/>
          </w:tcPr>
          <w:p w14:paraId="1C619D6B" w14:textId="77777777" w:rsidR="0018181A" w:rsidRDefault="0018181A" w:rsidP="00EA461A">
            <w:pPr>
              <w:jc w:val="center"/>
              <w:rPr>
                <w:rStyle w:val="SubtleEmphasis"/>
                <w:i w:val="0"/>
                <w:iCs w:val="0"/>
              </w:rPr>
            </w:pPr>
            <w:r>
              <w:rPr>
                <w:rStyle w:val="SubtleEmphasis"/>
              </w:rPr>
              <w:t xml:space="preserve">Clear overview of S.T.E.P. Some adaptations made in analogies. Sport Specific analogy with each aspect of S.T.E.P. </w:t>
            </w:r>
          </w:p>
        </w:tc>
        <w:tc>
          <w:tcPr>
            <w:tcW w:w="3139" w:type="dxa"/>
          </w:tcPr>
          <w:p w14:paraId="67E0E0FE" w14:textId="77777777" w:rsidR="0018181A" w:rsidRDefault="0018181A" w:rsidP="00EA461A">
            <w:pPr>
              <w:jc w:val="center"/>
              <w:rPr>
                <w:rStyle w:val="SubtleEmphasis"/>
                <w:i w:val="0"/>
                <w:iCs w:val="0"/>
              </w:rPr>
            </w:pPr>
            <w:r>
              <w:rPr>
                <w:rStyle w:val="SubtleEmphasis"/>
              </w:rPr>
              <w:t>Adaptations need to be clearer. In need of information of how it can be used with students with SEND.</w:t>
            </w:r>
          </w:p>
        </w:tc>
      </w:tr>
      <w:tr w:rsidR="0018181A" w14:paraId="4D4496EE" w14:textId="77777777" w:rsidTr="00EA461A">
        <w:trPr>
          <w:trHeight w:val="1176"/>
        </w:trPr>
        <w:tc>
          <w:tcPr>
            <w:tcW w:w="3138" w:type="dxa"/>
          </w:tcPr>
          <w:p w14:paraId="44E7D668" w14:textId="77777777" w:rsidR="0018181A" w:rsidRDefault="0018181A" w:rsidP="00EA461A">
            <w:pPr>
              <w:jc w:val="center"/>
              <w:rPr>
                <w:rStyle w:val="SubtleEmphasis"/>
                <w:i w:val="0"/>
                <w:iCs w:val="0"/>
              </w:rPr>
            </w:pPr>
          </w:p>
          <w:p w14:paraId="0D19392A" w14:textId="77777777" w:rsidR="0018181A" w:rsidRPr="00424C75" w:rsidRDefault="0018181A" w:rsidP="00EA461A">
            <w:pPr>
              <w:jc w:val="center"/>
              <w:rPr>
                <w:rStyle w:val="SubtleEmphasis"/>
                <w:b/>
                <w:bCs/>
                <w:i w:val="0"/>
                <w:iCs w:val="0"/>
              </w:rPr>
            </w:pPr>
            <w:r w:rsidRPr="00424C75">
              <w:rPr>
                <w:rStyle w:val="SubtleEmphasis"/>
                <w:b/>
                <w:bCs/>
              </w:rPr>
              <w:t>Alternative Models:</w:t>
            </w:r>
          </w:p>
        </w:tc>
        <w:tc>
          <w:tcPr>
            <w:tcW w:w="3138" w:type="dxa"/>
          </w:tcPr>
          <w:p w14:paraId="1BB2AA85" w14:textId="77777777" w:rsidR="0018181A" w:rsidRDefault="0018181A" w:rsidP="00EA461A">
            <w:pPr>
              <w:jc w:val="center"/>
              <w:rPr>
                <w:rStyle w:val="SubtleEmphasis"/>
                <w:i w:val="0"/>
                <w:iCs w:val="0"/>
              </w:rPr>
            </w:pPr>
          </w:p>
        </w:tc>
        <w:tc>
          <w:tcPr>
            <w:tcW w:w="3139" w:type="dxa"/>
          </w:tcPr>
          <w:p w14:paraId="304474E1" w14:textId="77777777" w:rsidR="0018181A" w:rsidRDefault="0018181A" w:rsidP="00EA461A">
            <w:pPr>
              <w:jc w:val="center"/>
              <w:rPr>
                <w:rStyle w:val="SubtleEmphasis"/>
                <w:i w:val="0"/>
                <w:iCs w:val="0"/>
              </w:rPr>
            </w:pPr>
          </w:p>
        </w:tc>
      </w:tr>
      <w:tr w:rsidR="0018181A" w14:paraId="2E87DA4A" w14:textId="77777777" w:rsidTr="00EA461A">
        <w:trPr>
          <w:trHeight w:val="1176"/>
        </w:trPr>
        <w:tc>
          <w:tcPr>
            <w:tcW w:w="3138" w:type="dxa"/>
          </w:tcPr>
          <w:p w14:paraId="5B5F1555" w14:textId="77777777" w:rsidR="0018181A" w:rsidRDefault="0018181A" w:rsidP="00EA461A">
            <w:pPr>
              <w:jc w:val="center"/>
              <w:rPr>
                <w:rStyle w:val="SubtleEmphasis"/>
                <w:i w:val="0"/>
                <w:iCs w:val="0"/>
              </w:rPr>
            </w:pPr>
            <w:r>
              <w:rPr>
                <w:rStyle w:val="SubtleEmphasis"/>
              </w:rPr>
              <w:t>Australian Sports Commission</w:t>
            </w:r>
          </w:p>
          <w:p w14:paraId="69C234CB" w14:textId="77777777" w:rsidR="0018181A" w:rsidRDefault="0018181A" w:rsidP="00EA461A">
            <w:pPr>
              <w:jc w:val="center"/>
              <w:rPr>
                <w:rStyle w:val="SubtleEmphasis"/>
                <w:i w:val="0"/>
                <w:iCs w:val="0"/>
              </w:rPr>
            </w:pPr>
            <w:r>
              <w:rPr>
                <w:rStyle w:val="SubtleEmphasis"/>
              </w:rPr>
              <w:t>(TREE Model)</w:t>
            </w:r>
          </w:p>
        </w:tc>
        <w:tc>
          <w:tcPr>
            <w:tcW w:w="3138" w:type="dxa"/>
          </w:tcPr>
          <w:p w14:paraId="5A70448F" w14:textId="77777777" w:rsidR="0018181A" w:rsidRDefault="0018181A" w:rsidP="00EA461A">
            <w:pPr>
              <w:jc w:val="center"/>
              <w:rPr>
                <w:rStyle w:val="SubtleEmphasis"/>
                <w:i w:val="0"/>
                <w:iCs w:val="0"/>
              </w:rPr>
            </w:pPr>
            <w:r>
              <w:rPr>
                <w:rStyle w:val="SubtleEmphasis"/>
              </w:rPr>
              <w:t>Alternative to S.T.E.P. Clear out line of the stages of ‘TREE’ model. Sporting Specific analogies to go with each stage. Adaptations are clear and concise.</w:t>
            </w:r>
          </w:p>
        </w:tc>
        <w:tc>
          <w:tcPr>
            <w:tcW w:w="3139" w:type="dxa"/>
          </w:tcPr>
          <w:p w14:paraId="2003029C" w14:textId="77777777" w:rsidR="0018181A" w:rsidRDefault="0018181A" w:rsidP="00EA461A">
            <w:pPr>
              <w:jc w:val="center"/>
              <w:rPr>
                <w:rStyle w:val="SubtleEmphasis"/>
                <w:i w:val="0"/>
                <w:iCs w:val="0"/>
              </w:rPr>
            </w:pPr>
            <w:r>
              <w:rPr>
                <w:rStyle w:val="SubtleEmphasis"/>
              </w:rPr>
              <w:t>Mentions of how to use with students with SEND are brief. However, the adaptations are clear and there for Teachers to interpret.</w:t>
            </w:r>
          </w:p>
        </w:tc>
      </w:tr>
    </w:tbl>
    <w:p w14:paraId="2CCE0487" w14:textId="75DD8FAF" w:rsidR="0018181A" w:rsidRPr="00963A4C" w:rsidRDefault="0018181A" w:rsidP="0018181A">
      <w:pPr>
        <w:rPr>
          <w:rStyle w:val="SubtleEmphasis"/>
          <w:color w:val="4C94D8" w:themeColor="text2" w:themeTint="80"/>
          <w:sz w:val="28"/>
          <w:szCs w:val="28"/>
        </w:rPr>
      </w:pPr>
      <w:r w:rsidRPr="00963A4C">
        <w:rPr>
          <w:rStyle w:val="SubtleEmphasis"/>
          <w:color w:val="4C94D8" w:themeColor="text2" w:themeTint="80"/>
          <w:sz w:val="28"/>
          <w:szCs w:val="28"/>
        </w:rPr>
        <w:t xml:space="preserve">Compliments of </w:t>
      </w:r>
      <w:r w:rsidR="00055186">
        <w:rPr>
          <w:rStyle w:val="SubtleEmphasis"/>
          <w:color w:val="4C94D8" w:themeColor="text2" w:themeTint="80"/>
          <w:sz w:val="28"/>
          <w:szCs w:val="28"/>
        </w:rPr>
        <w:t xml:space="preserve">the </w:t>
      </w:r>
      <w:r w:rsidRPr="00963A4C">
        <w:rPr>
          <w:rStyle w:val="SubtleEmphasis"/>
          <w:color w:val="4C94D8" w:themeColor="text2" w:themeTint="80"/>
          <w:sz w:val="28"/>
          <w:szCs w:val="28"/>
        </w:rPr>
        <w:t>Resources</w:t>
      </w:r>
    </w:p>
    <w:p w14:paraId="769078FF" w14:textId="77777777" w:rsidR="0018181A" w:rsidRDefault="0018181A" w:rsidP="0018181A">
      <w:pPr>
        <w:spacing w:line="360" w:lineRule="auto"/>
        <w:rPr>
          <w:rStyle w:val="SubtleEmphasis"/>
          <w:i w:val="0"/>
          <w:iCs w:val="0"/>
        </w:rPr>
      </w:pPr>
      <w:r w:rsidRPr="001549D2">
        <w:rPr>
          <w:rStyle w:val="SubtleEmphasis"/>
        </w:rPr>
        <w:t>When researching to analyse these models it was clear that each of them would include some aspect of S.T.E.P. All resources had mentions of the section of the tool with some going as far to back it up with clear Sport Specific analogies (Australian Sports Commission</w:t>
      </w:r>
      <w:r>
        <w:rPr>
          <w:rStyle w:val="SubtleEmphasis"/>
          <w:i w:val="0"/>
          <w:iCs w:val="0"/>
        </w:rPr>
        <w:t xml:space="preserve"> and</w:t>
      </w:r>
      <w:r w:rsidRPr="001549D2">
        <w:rPr>
          <w:rStyle w:val="SubtleEmphasis"/>
        </w:rPr>
        <w:t xml:space="preserve"> </w:t>
      </w:r>
      <w:proofErr w:type="gramStart"/>
      <w:r w:rsidRPr="001549D2">
        <w:rPr>
          <w:rStyle w:val="SubtleEmphasis"/>
        </w:rPr>
        <w:t>The</w:t>
      </w:r>
      <w:proofErr w:type="gramEnd"/>
      <w:r w:rsidRPr="001549D2">
        <w:rPr>
          <w:rStyle w:val="SubtleEmphasis"/>
        </w:rPr>
        <w:t xml:space="preserve"> FA). Some used adaptations or uses of adaptive equipment (Activity Alliance,  Australian Sports Commission, The FA</w:t>
      </w:r>
      <w:r>
        <w:rPr>
          <w:rStyle w:val="SubtleEmphasis"/>
          <w:i w:val="0"/>
          <w:iCs w:val="0"/>
        </w:rPr>
        <w:t xml:space="preserve"> and </w:t>
      </w:r>
      <w:r w:rsidRPr="001549D2">
        <w:rPr>
          <w:rStyle w:val="SubtleEmphasis"/>
        </w:rPr>
        <w:t>Scottish Disability Sport)</w:t>
      </w:r>
      <w:r>
        <w:rPr>
          <w:rStyle w:val="SubtleEmphasis"/>
          <w:i w:val="0"/>
          <w:iCs w:val="0"/>
        </w:rPr>
        <w:t>,</w:t>
      </w:r>
      <w:r w:rsidRPr="001549D2">
        <w:rPr>
          <w:rStyle w:val="SubtleEmphasis"/>
        </w:rPr>
        <w:t xml:space="preserve">  which when doing initial research can be helpful for teachers doing initial research </w:t>
      </w:r>
      <w:r>
        <w:rPr>
          <w:rStyle w:val="SubtleEmphasis"/>
          <w:i w:val="0"/>
          <w:iCs w:val="0"/>
        </w:rPr>
        <w:t>to</w:t>
      </w:r>
      <w:r w:rsidRPr="001549D2">
        <w:rPr>
          <w:rStyle w:val="SubtleEmphasis"/>
        </w:rPr>
        <w:t xml:space="preserve"> improve knowledge. </w:t>
      </w:r>
      <w:r>
        <w:rPr>
          <w:rStyle w:val="SubtleEmphasis"/>
          <w:i w:val="0"/>
          <w:iCs w:val="0"/>
        </w:rPr>
        <w:t>Others</w:t>
      </w:r>
      <w:r w:rsidRPr="001549D2">
        <w:rPr>
          <w:rStyle w:val="SubtleEmphasis"/>
        </w:rPr>
        <w:t xml:space="preserve"> had mentions of how it can be used with students with SEND (PHE Canad</w:t>
      </w:r>
      <w:r>
        <w:rPr>
          <w:rStyle w:val="SubtleEmphasis"/>
          <w:i w:val="0"/>
          <w:iCs w:val="0"/>
        </w:rPr>
        <w:t>a</w:t>
      </w:r>
      <w:r w:rsidRPr="001549D2">
        <w:rPr>
          <w:rStyle w:val="SubtleEmphasis"/>
        </w:rPr>
        <w:t xml:space="preserve">) but weren’t clear and concise. Overall, resources did achieve the objective of S.T.E.P or TREE well, even going as far as using Sport Specific analogies and recommending adaptations or adaptive equipment. </w:t>
      </w:r>
    </w:p>
    <w:p w14:paraId="1F7EB331" w14:textId="77777777" w:rsidR="0018181A" w:rsidRPr="001549D2" w:rsidRDefault="0018181A" w:rsidP="0018181A">
      <w:pPr>
        <w:spacing w:line="360" w:lineRule="auto"/>
        <w:rPr>
          <w:rStyle w:val="SubtleEmphasis"/>
          <w:i w:val="0"/>
          <w:iCs w:val="0"/>
          <w:color w:val="4C94D8" w:themeColor="text2" w:themeTint="80"/>
          <w:sz w:val="28"/>
          <w:szCs w:val="28"/>
        </w:rPr>
      </w:pPr>
      <w:r w:rsidRPr="001549D2">
        <w:rPr>
          <w:rStyle w:val="SubtleEmphasis"/>
          <w:color w:val="4C94D8" w:themeColor="text2" w:themeTint="80"/>
          <w:sz w:val="28"/>
          <w:szCs w:val="28"/>
        </w:rPr>
        <w:lastRenderedPageBreak/>
        <w:t>Improvements that could be made</w:t>
      </w:r>
    </w:p>
    <w:p w14:paraId="5AAD2FA6" w14:textId="77777777" w:rsidR="0018181A" w:rsidRPr="001549D2" w:rsidRDefault="0018181A" w:rsidP="0018181A">
      <w:pPr>
        <w:spacing w:line="360" w:lineRule="auto"/>
        <w:rPr>
          <w:rStyle w:val="SubtleEmphasis"/>
          <w:i w:val="0"/>
          <w:iCs w:val="0"/>
        </w:rPr>
      </w:pPr>
      <w:r w:rsidRPr="001549D2">
        <w:rPr>
          <w:rStyle w:val="SubtleEmphasis"/>
        </w:rPr>
        <w:t>Some</w:t>
      </w:r>
      <w:r>
        <w:rPr>
          <w:rStyle w:val="SubtleEmphasis"/>
          <w:i w:val="0"/>
          <w:iCs w:val="0"/>
        </w:rPr>
        <w:t xml:space="preserve"> resources</w:t>
      </w:r>
      <w:r w:rsidRPr="001549D2">
        <w:rPr>
          <w:rStyle w:val="SubtleEmphasis"/>
        </w:rPr>
        <w:t xml:space="preserve"> fell short of the mark</w:t>
      </w:r>
      <w:r>
        <w:rPr>
          <w:rStyle w:val="SubtleEmphasis"/>
          <w:i w:val="0"/>
          <w:iCs w:val="0"/>
        </w:rPr>
        <w:t xml:space="preserve">, </w:t>
      </w:r>
      <w:r w:rsidRPr="001549D2">
        <w:rPr>
          <w:rStyle w:val="SubtleEmphasis"/>
        </w:rPr>
        <w:t>only a brief</w:t>
      </w:r>
      <w:r>
        <w:rPr>
          <w:rStyle w:val="SubtleEmphasis"/>
          <w:i w:val="0"/>
          <w:iCs w:val="0"/>
        </w:rPr>
        <w:t>ly</w:t>
      </w:r>
      <w:r w:rsidRPr="001549D2">
        <w:rPr>
          <w:rStyle w:val="SubtleEmphasis"/>
        </w:rPr>
        <w:t xml:space="preserve"> mention</w:t>
      </w:r>
      <w:r>
        <w:rPr>
          <w:rStyle w:val="SubtleEmphasis"/>
          <w:i w:val="0"/>
          <w:iCs w:val="0"/>
        </w:rPr>
        <w:t>ing</w:t>
      </w:r>
      <w:r w:rsidRPr="001549D2">
        <w:rPr>
          <w:rStyle w:val="SubtleEmphasis"/>
        </w:rPr>
        <w:t xml:space="preserve"> S.T.E.P a</w:t>
      </w:r>
      <w:r>
        <w:rPr>
          <w:rStyle w:val="SubtleEmphasis"/>
          <w:i w:val="0"/>
          <w:iCs w:val="0"/>
        </w:rPr>
        <w:t>s</w:t>
      </w:r>
      <w:r w:rsidRPr="001549D2">
        <w:rPr>
          <w:rStyle w:val="SubtleEmphasis"/>
        </w:rPr>
        <w:t xml:space="preserve"> a small graphic to show the </w:t>
      </w:r>
      <w:r>
        <w:rPr>
          <w:rStyle w:val="SubtleEmphasis"/>
          <w:i w:val="0"/>
          <w:iCs w:val="0"/>
        </w:rPr>
        <w:t>areas</w:t>
      </w:r>
      <w:r w:rsidRPr="001549D2">
        <w:rPr>
          <w:rStyle w:val="SubtleEmphasis"/>
        </w:rPr>
        <w:t xml:space="preserve"> interlinking (UK Coaching)</w:t>
      </w:r>
      <w:r>
        <w:rPr>
          <w:rStyle w:val="SubtleEmphasis"/>
          <w:i w:val="0"/>
          <w:iCs w:val="0"/>
        </w:rPr>
        <w:t>.</w:t>
      </w:r>
      <w:r w:rsidRPr="001549D2">
        <w:rPr>
          <w:rStyle w:val="SubtleEmphasis"/>
        </w:rPr>
        <w:t xml:space="preserve"> </w:t>
      </w:r>
      <w:r>
        <w:rPr>
          <w:rStyle w:val="SubtleEmphasis"/>
          <w:i w:val="0"/>
          <w:iCs w:val="0"/>
        </w:rPr>
        <w:t>P</w:t>
      </w:r>
      <w:r w:rsidRPr="001549D2">
        <w:rPr>
          <w:rStyle w:val="SubtleEmphasis"/>
        </w:rPr>
        <w:t xml:space="preserve">utting ownership of prior knowledge or acquisition of </w:t>
      </w:r>
      <w:r>
        <w:rPr>
          <w:rStyle w:val="SubtleEmphasis"/>
          <w:i w:val="0"/>
          <w:iCs w:val="0"/>
        </w:rPr>
        <w:t>S.T.E.P</w:t>
      </w:r>
      <w:r w:rsidRPr="001549D2">
        <w:rPr>
          <w:rStyle w:val="SubtleEmphasis"/>
        </w:rPr>
        <w:t xml:space="preserve"> before looking at the resource. Few had mentions of appl</w:t>
      </w:r>
      <w:r>
        <w:rPr>
          <w:rStyle w:val="SubtleEmphasis"/>
          <w:i w:val="0"/>
          <w:iCs w:val="0"/>
        </w:rPr>
        <w:t>ication</w:t>
      </w:r>
      <w:r w:rsidRPr="001549D2">
        <w:rPr>
          <w:rStyle w:val="SubtleEmphasis"/>
        </w:rPr>
        <w:t xml:space="preserve"> each </w:t>
      </w:r>
      <w:r>
        <w:rPr>
          <w:rStyle w:val="SubtleEmphasis"/>
          <w:i w:val="0"/>
          <w:iCs w:val="0"/>
        </w:rPr>
        <w:t>area</w:t>
      </w:r>
      <w:r w:rsidRPr="001549D2">
        <w:rPr>
          <w:rStyle w:val="SubtleEmphasis"/>
        </w:rPr>
        <w:t xml:space="preserve"> w</w:t>
      </w:r>
      <w:r>
        <w:rPr>
          <w:rStyle w:val="SubtleEmphasis"/>
          <w:i w:val="0"/>
          <w:iCs w:val="0"/>
        </w:rPr>
        <w:t>hen</w:t>
      </w:r>
      <w:r w:rsidRPr="001549D2">
        <w:rPr>
          <w:rStyle w:val="SubtleEmphasis"/>
        </w:rPr>
        <w:t xml:space="preserve"> working with students with SEND, with </w:t>
      </w:r>
      <w:r>
        <w:rPr>
          <w:rStyle w:val="SubtleEmphasis"/>
          <w:i w:val="0"/>
          <w:iCs w:val="0"/>
        </w:rPr>
        <w:t>some</w:t>
      </w:r>
      <w:r w:rsidRPr="001549D2">
        <w:rPr>
          <w:rStyle w:val="SubtleEmphasis"/>
        </w:rPr>
        <w:t xml:space="preserve"> </w:t>
      </w:r>
      <w:proofErr w:type="gramStart"/>
      <w:r w:rsidRPr="001549D2">
        <w:rPr>
          <w:rStyle w:val="SubtleEmphasis"/>
        </w:rPr>
        <w:t>making reference</w:t>
      </w:r>
      <w:proofErr w:type="gramEnd"/>
      <w:r w:rsidRPr="001549D2">
        <w:rPr>
          <w:rStyle w:val="SubtleEmphasis"/>
        </w:rPr>
        <w:t xml:space="preserve"> to ‘getting to know your students’. </w:t>
      </w:r>
      <w:r>
        <w:rPr>
          <w:rStyle w:val="SubtleEmphasis"/>
          <w:i w:val="0"/>
          <w:iCs w:val="0"/>
        </w:rPr>
        <w:t>M</w:t>
      </w:r>
      <w:r w:rsidRPr="001549D2">
        <w:rPr>
          <w:rStyle w:val="SubtleEmphasis"/>
        </w:rPr>
        <w:t xml:space="preserve">ore clear and concise information is needed, whilst </w:t>
      </w:r>
      <w:r>
        <w:rPr>
          <w:rStyle w:val="SubtleEmphasis"/>
          <w:i w:val="0"/>
          <w:iCs w:val="0"/>
        </w:rPr>
        <w:t>appreciating</w:t>
      </w:r>
      <w:r w:rsidRPr="001549D2">
        <w:rPr>
          <w:rStyle w:val="SubtleEmphasis"/>
        </w:rPr>
        <w:t xml:space="preserve"> it is not a one-size-fits-all approach, improving teacher’s knowledge is what is required from the resource. Many made Sport Specific analogies</w:t>
      </w:r>
      <w:r>
        <w:rPr>
          <w:rStyle w:val="SubtleEmphasis"/>
          <w:i w:val="0"/>
          <w:iCs w:val="0"/>
        </w:rPr>
        <w:t>. However</w:t>
      </w:r>
      <w:r w:rsidRPr="001549D2">
        <w:rPr>
          <w:rStyle w:val="SubtleEmphasis"/>
        </w:rPr>
        <w:t xml:space="preserve">, only few made these Sport Specific with adaptations </w:t>
      </w:r>
      <w:r>
        <w:rPr>
          <w:rStyle w:val="SubtleEmphasis"/>
          <w:i w:val="0"/>
          <w:iCs w:val="0"/>
        </w:rPr>
        <w:t xml:space="preserve">for SEND </w:t>
      </w:r>
      <w:r w:rsidRPr="001549D2">
        <w:rPr>
          <w:rStyle w:val="SubtleEmphasis"/>
        </w:rPr>
        <w:t>(Activity Alliance, Australian Sports Commission, The FA</w:t>
      </w:r>
      <w:r>
        <w:rPr>
          <w:rStyle w:val="SubtleEmphasis"/>
          <w:i w:val="0"/>
          <w:iCs w:val="0"/>
        </w:rPr>
        <w:t xml:space="preserve"> and </w:t>
      </w:r>
      <w:r w:rsidRPr="001549D2">
        <w:rPr>
          <w:rStyle w:val="SubtleEmphasis"/>
        </w:rPr>
        <w:t>Scottish Disability Sport)</w:t>
      </w:r>
      <w:r>
        <w:rPr>
          <w:rStyle w:val="SubtleEmphasis"/>
          <w:i w:val="0"/>
          <w:iCs w:val="0"/>
        </w:rPr>
        <w:t>.</w:t>
      </w:r>
      <w:r w:rsidRPr="001549D2">
        <w:rPr>
          <w:rStyle w:val="SubtleEmphasis"/>
        </w:rPr>
        <w:t xml:space="preserve"> </w:t>
      </w:r>
      <w:r>
        <w:rPr>
          <w:rStyle w:val="SubtleEmphasis"/>
          <w:i w:val="0"/>
          <w:iCs w:val="0"/>
        </w:rPr>
        <w:t>T</w:t>
      </w:r>
      <w:r w:rsidRPr="001549D2">
        <w:rPr>
          <w:rStyle w:val="SubtleEmphasis"/>
        </w:rPr>
        <w:t xml:space="preserve">his something </w:t>
      </w:r>
      <w:r>
        <w:rPr>
          <w:rStyle w:val="SubtleEmphasis"/>
          <w:i w:val="0"/>
          <w:iCs w:val="0"/>
        </w:rPr>
        <w:t>that could</w:t>
      </w:r>
      <w:r w:rsidRPr="001549D2">
        <w:rPr>
          <w:rStyle w:val="SubtleEmphasis"/>
        </w:rPr>
        <w:t xml:space="preserve"> improve teacher knowledge and get them thinking creatively, </w:t>
      </w:r>
      <w:r>
        <w:rPr>
          <w:rStyle w:val="SubtleEmphasis"/>
          <w:i w:val="0"/>
          <w:iCs w:val="0"/>
        </w:rPr>
        <w:t>therefore</w:t>
      </w:r>
      <w:r w:rsidRPr="001549D2">
        <w:rPr>
          <w:rStyle w:val="SubtleEmphasis"/>
        </w:rPr>
        <w:t xml:space="preserve"> this </w:t>
      </w:r>
      <w:r>
        <w:rPr>
          <w:rStyle w:val="SubtleEmphasis"/>
          <w:i w:val="0"/>
          <w:iCs w:val="0"/>
        </w:rPr>
        <w:t>should</w:t>
      </w:r>
      <w:r w:rsidRPr="001549D2">
        <w:rPr>
          <w:rStyle w:val="SubtleEmphasis"/>
        </w:rPr>
        <w:t xml:space="preserve"> be something that </w:t>
      </w:r>
      <w:r>
        <w:rPr>
          <w:rStyle w:val="SubtleEmphasis"/>
          <w:i w:val="0"/>
          <w:iCs w:val="0"/>
        </w:rPr>
        <w:t>is</w:t>
      </w:r>
      <w:r w:rsidRPr="001549D2">
        <w:rPr>
          <w:rStyle w:val="SubtleEmphasis"/>
        </w:rPr>
        <w:t xml:space="preserve"> included on each resource as there was no </w:t>
      </w:r>
      <w:proofErr w:type="gramStart"/>
      <w:r w:rsidRPr="001549D2">
        <w:rPr>
          <w:rStyle w:val="SubtleEmphasis"/>
        </w:rPr>
        <w:t>stand out</w:t>
      </w:r>
      <w:proofErr w:type="gramEnd"/>
      <w:r w:rsidRPr="001549D2">
        <w:rPr>
          <w:rStyle w:val="SubtleEmphasis"/>
        </w:rPr>
        <w:t xml:space="preserve"> resource that ticked all the boxes.</w:t>
      </w:r>
    </w:p>
    <w:p w14:paraId="4109CCC5" w14:textId="77777777" w:rsidR="0018181A" w:rsidRDefault="0018181A" w:rsidP="0018181A">
      <w:pPr>
        <w:spacing w:line="360" w:lineRule="auto"/>
        <w:rPr>
          <w:rStyle w:val="SubtleEmphasis"/>
          <w:i w:val="0"/>
          <w:iCs w:val="0"/>
        </w:rPr>
      </w:pPr>
    </w:p>
    <w:p w14:paraId="300176C3" w14:textId="77777777" w:rsidR="0018181A" w:rsidRDefault="0018181A" w:rsidP="0018181A">
      <w:pPr>
        <w:spacing w:line="360" w:lineRule="auto"/>
        <w:rPr>
          <w:rStyle w:val="SubtleEmphasis"/>
          <w:i w:val="0"/>
          <w:iCs w:val="0"/>
        </w:rPr>
      </w:pPr>
    </w:p>
    <w:p w14:paraId="4335DE79" w14:textId="77777777" w:rsidR="0018181A" w:rsidRPr="00BE682B" w:rsidRDefault="0018181A" w:rsidP="0018181A">
      <w:pPr>
        <w:rPr>
          <w:rStyle w:val="SubtleEmphasis"/>
          <w:color w:val="4C94D8" w:themeColor="text2" w:themeTint="80"/>
          <w:sz w:val="28"/>
          <w:szCs w:val="28"/>
        </w:rPr>
      </w:pPr>
      <w:r w:rsidRPr="00963A4C">
        <w:rPr>
          <w:rStyle w:val="SubtleEmphasis"/>
          <w:color w:val="4C94D8" w:themeColor="text2" w:themeTint="80"/>
          <w:sz w:val="28"/>
          <w:szCs w:val="28"/>
        </w:rPr>
        <w:t xml:space="preserve">Table </w:t>
      </w:r>
      <w:r>
        <w:rPr>
          <w:rStyle w:val="SubtleEmphasis"/>
          <w:color w:val="4C94D8" w:themeColor="text2" w:themeTint="80"/>
          <w:sz w:val="28"/>
          <w:szCs w:val="28"/>
        </w:rPr>
        <w:t>2</w:t>
      </w:r>
      <w:r w:rsidRPr="00963A4C">
        <w:rPr>
          <w:rStyle w:val="SubtleEmphasis"/>
          <w:color w:val="4C94D8" w:themeColor="text2" w:themeTint="80"/>
          <w:sz w:val="28"/>
          <w:szCs w:val="28"/>
        </w:rPr>
        <w:t>.</w:t>
      </w:r>
      <w:r>
        <w:rPr>
          <w:rStyle w:val="SubtleEmphasis"/>
          <w:color w:val="4C94D8" w:themeColor="text2" w:themeTint="80"/>
          <w:sz w:val="28"/>
          <w:szCs w:val="28"/>
        </w:rPr>
        <w:t xml:space="preserve"> Organisations or Publishers used and links to their resource.</w:t>
      </w:r>
    </w:p>
    <w:tbl>
      <w:tblPr>
        <w:tblStyle w:val="TableGrid"/>
        <w:tblW w:w="0" w:type="auto"/>
        <w:tblLayout w:type="fixed"/>
        <w:tblLook w:val="04A0" w:firstRow="1" w:lastRow="0" w:firstColumn="1" w:lastColumn="0" w:noHBand="0" w:noVBand="1"/>
      </w:tblPr>
      <w:tblGrid>
        <w:gridCol w:w="2830"/>
        <w:gridCol w:w="6186"/>
      </w:tblGrid>
      <w:tr w:rsidR="0018181A" w14:paraId="303CBDBA" w14:textId="77777777" w:rsidTr="00EA461A">
        <w:trPr>
          <w:trHeight w:val="1076"/>
        </w:trPr>
        <w:tc>
          <w:tcPr>
            <w:tcW w:w="2830" w:type="dxa"/>
          </w:tcPr>
          <w:p w14:paraId="04A49450" w14:textId="77777777" w:rsidR="0018181A" w:rsidRDefault="0018181A" w:rsidP="00EA461A">
            <w:pPr>
              <w:pStyle w:val="Heading2"/>
              <w:jc w:val="center"/>
            </w:pPr>
            <w:r>
              <w:t>Organisation or Publisher</w:t>
            </w:r>
          </w:p>
        </w:tc>
        <w:tc>
          <w:tcPr>
            <w:tcW w:w="6186" w:type="dxa"/>
          </w:tcPr>
          <w:p w14:paraId="38DA7810" w14:textId="77777777" w:rsidR="0018181A" w:rsidRDefault="0018181A" w:rsidP="00EA461A">
            <w:pPr>
              <w:pStyle w:val="Heading2"/>
              <w:jc w:val="center"/>
            </w:pPr>
            <w:r>
              <w:t>Link to Resource:</w:t>
            </w:r>
          </w:p>
        </w:tc>
      </w:tr>
      <w:tr w:rsidR="0018181A" w14:paraId="6D5883B4" w14:textId="77777777" w:rsidTr="00EA461A">
        <w:trPr>
          <w:trHeight w:val="1076"/>
        </w:trPr>
        <w:tc>
          <w:tcPr>
            <w:tcW w:w="2830" w:type="dxa"/>
          </w:tcPr>
          <w:p w14:paraId="25476017" w14:textId="77777777" w:rsidR="0018181A" w:rsidRDefault="0018181A" w:rsidP="00EA461A">
            <w:pPr>
              <w:pStyle w:val="Subtitle"/>
              <w:jc w:val="center"/>
            </w:pPr>
            <w:r>
              <w:t>Activity Alliance</w:t>
            </w:r>
          </w:p>
        </w:tc>
        <w:tc>
          <w:tcPr>
            <w:tcW w:w="6186" w:type="dxa"/>
          </w:tcPr>
          <w:p w14:paraId="3E3E0BD3" w14:textId="77777777" w:rsidR="0018181A" w:rsidRDefault="0018181A" w:rsidP="00EA461A">
            <w:hyperlink r:id="rId11" w:tgtFrame="_new" w:history="1">
              <w:r w:rsidRPr="00010D85">
                <w:rPr>
                  <w:rStyle w:val="Hyperlink"/>
                </w:rPr>
                <w:t>https://www.activityalliance.org.uk/assets/000/003/442/STEP_tips_for_disabled_people_families_and_friends_original.pdf?1651132063</w:t>
              </w:r>
            </w:hyperlink>
          </w:p>
        </w:tc>
      </w:tr>
      <w:tr w:rsidR="0018181A" w14:paraId="14B5F210" w14:textId="77777777" w:rsidTr="00EA461A">
        <w:trPr>
          <w:trHeight w:val="1125"/>
        </w:trPr>
        <w:tc>
          <w:tcPr>
            <w:tcW w:w="2830" w:type="dxa"/>
          </w:tcPr>
          <w:p w14:paraId="77C1795D" w14:textId="77777777" w:rsidR="0018181A" w:rsidRDefault="0018181A" w:rsidP="00EA461A">
            <w:pPr>
              <w:pStyle w:val="Subtitle"/>
              <w:jc w:val="center"/>
            </w:pPr>
            <w:r>
              <w:t>Sport Wales</w:t>
            </w:r>
          </w:p>
        </w:tc>
        <w:tc>
          <w:tcPr>
            <w:tcW w:w="6186" w:type="dxa"/>
          </w:tcPr>
          <w:p w14:paraId="5459D10E" w14:textId="77777777" w:rsidR="0018181A" w:rsidRDefault="0018181A" w:rsidP="00EA461A">
            <w:hyperlink r:id="rId12" w:tgtFrame="_new" w:history="1">
              <w:r w:rsidRPr="00EC50FB">
                <w:rPr>
                  <w:rStyle w:val="Hyperlink"/>
                </w:rPr>
                <w:t>https://www.sport.wales/foundations/resources/step-model/</w:t>
              </w:r>
            </w:hyperlink>
          </w:p>
        </w:tc>
      </w:tr>
      <w:tr w:rsidR="0018181A" w14:paraId="1F26944D" w14:textId="77777777" w:rsidTr="00EA461A">
        <w:trPr>
          <w:trHeight w:val="1076"/>
        </w:trPr>
        <w:tc>
          <w:tcPr>
            <w:tcW w:w="2830" w:type="dxa"/>
          </w:tcPr>
          <w:p w14:paraId="2313F97A" w14:textId="77777777" w:rsidR="0018181A" w:rsidRDefault="0018181A" w:rsidP="00EA461A">
            <w:pPr>
              <w:pStyle w:val="Subtitle"/>
              <w:jc w:val="center"/>
            </w:pPr>
            <w:r>
              <w:t>The FA</w:t>
            </w:r>
          </w:p>
        </w:tc>
        <w:tc>
          <w:tcPr>
            <w:tcW w:w="6186" w:type="dxa"/>
          </w:tcPr>
          <w:p w14:paraId="5056707F" w14:textId="77777777" w:rsidR="0018181A" w:rsidRDefault="0018181A" w:rsidP="00EA461A">
            <w:hyperlink r:id="rId13" w:tgtFrame="_new" w:history="1">
              <w:r w:rsidRPr="005676CC">
                <w:rPr>
                  <w:rStyle w:val="Hyperlink"/>
                </w:rPr>
                <w:t>https://www.thefa.com/-/media/thefacom-new/files/get-involved/disability/football-your-way/about/fa_fyw_stepguidance_210x297_v3.ashx</w:t>
              </w:r>
            </w:hyperlink>
          </w:p>
        </w:tc>
      </w:tr>
      <w:tr w:rsidR="0018181A" w14:paraId="03451BC6" w14:textId="77777777" w:rsidTr="00EA461A">
        <w:trPr>
          <w:trHeight w:val="1076"/>
        </w:trPr>
        <w:tc>
          <w:tcPr>
            <w:tcW w:w="2830" w:type="dxa"/>
          </w:tcPr>
          <w:p w14:paraId="2614117C" w14:textId="77777777" w:rsidR="0018181A" w:rsidRDefault="0018181A" w:rsidP="00EA461A">
            <w:pPr>
              <w:pStyle w:val="Subtitle"/>
              <w:jc w:val="center"/>
            </w:pPr>
            <w:r>
              <w:t>UK Coaching</w:t>
            </w:r>
          </w:p>
        </w:tc>
        <w:tc>
          <w:tcPr>
            <w:tcW w:w="6186" w:type="dxa"/>
          </w:tcPr>
          <w:p w14:paraId="6AEF8EC5" w14:textId="77777777" w:rsidR="0018181A" w:rsidRDefault="0018181A" w:rsidP="00EA461A">
            <w:hyperlink r:id="rId14" w:tgtFrame="_new" w:history="1">
              <w:r w:rsidRPr="005676CC">
                <w:rPr>
                  <w:rStyle w:val="Hyperlink"/>
                </w:rPr>
                <w:t>https://www.ukcoaching.org/ukc-club/resources/the-step-model/</w:t>
              </w:r>
            </w:hyperlink>
          </w:p>
        </w:tc>
      </w:tr>
      <w:tr w:rsidR="0018181A" w14:paraId="71DE2F54" w14:textId="77777777" w:rsidTr="00EA461A">
        <w:trPr>
          <w:trHeight w:val="1076"/>
        </w:trPr>
        <w:tc>
          <w:tcPr>
            <w:tcW w:w="2830" w:type="dxa"/>
          </w:tcPr>
          <w:p w14:paraId="0D472651" w14:textId="77777777" w:rsidR="0018181A" w:rsidRDefault="0018181A" w:rsidP="00EA461A">
            <w:pPr>
              <w:pStyle w:val="Subtitle"/>
              <w:jc w:val="center"/>
            </w:pPr>
            <w:r>
              <w:t>Scottish Disability Sport</w:t>
            </w:r>
          </w:p>
        </w:tc>
        <w:tc>
          <w:tcPr>
            <w:tcW w:w="6186" w:type="dxa"/>
          </w:tcPr>
          <w:p w14:paraId="7D95AB6B" w14:textId="77777777" w:rsidR="0018181A" w:rsidRDefault="0018181A" w:rsidP="00EA461A">
            <w:hyperlink r:id="rId15" w:tgtFrame="_new" w:history="1">
              <w:r w:rsidRPr="005676CC">
                <w:rPr>
                  <w:rStyle w:val="Hyperlink"/>
                </w:rPr>
                <w:t>https://scottishdisabilitysport.com/wp-content/uploads/2020/05/STEP-and-AIM.pdf</w:t>
              </w:r>
            </w:hyperlink>
          </w:p>
        </w:tc>
      </w:tr>
      <w:tr w:rsidR="0018181A" w14:paraId="2D3201A2" w14:textId="77777777" w:rsidTr="00EA461A">
        <w:trPr>
          <w:trHeight w:val="1076"/>
        </w:trPr>
        <w:tc>
          <w:tcPr>
            <w:tcW w:w="2830" w:type="dxa"/>
          </w:tcPr>
          <w:p w14:paraId="73CAAA2A" w14:textId="77777777" w:rsidR="0018181A" w:rsidRDefault="0018181A" w:rsidP="00EA461A">
            <w:pPr>
              <w:pStyle w:val="Subtitle"/>
              <w:jc w:val="center"/>
            </w:pPr>
            <w:r>
              <w:lastRenderedPageBreak/>
              <w:t>Rounders England</w:t>
            </w:r>
          </w:p>
        </w:tc>
        <w:tc>
          <w:tcPr>
            <w:tcW w:w="6186" w:type="dxa"/>
          </w:tcPr>
          <w:p w14:paraId="40EF08D1" w14:textId="77777777" w:rsidR="0018181A" w:rsidRDefault="0018181A" w:rsidP="00EA461A">
            <w:hyperlink r:id="rId16" w:tgtFrame="_new" w:history="1">
              <w:r w:rsidRPr="005676CC">
                <w:rPr>
                  <w:rStyle w:val="Hyperlink"/>
                </w:rPr>
                <w:t>https://www.roundersengland.co.uk/step-inclusion-resources-while-at-home/</w:t>
              </w:r>
            </w:hyperlink>
          </w:p>
        </w:tc>
      </w:tr>
      <w:tr w:rsidR="0018181A" w14:paraId="3400ED6F" w14:textId="77777777" w:rsidTr="00EA461A">
        <w:trPr>
          <w:trHeight w:val="1076"/>
        </w:trPr>
        <w:tc>
          <w:tcPr>
            <w:tcW w:w="2830" w:type="dxa"/>
          </w:tcPr>
          <w:p w14:paraId="7275772B" w14:textId="77777777" w:rsidR="0018181A" w:rsidRDefault="0018181A" w:rsidP="00EA461A">
            <w:pPr>
              <w:pStyle w:val="Subtitle"/>
              <w:jc w:val="center"/>
            </w:pPr>
            <w:r>
              <w:t>PHE Canada</w:t>
            </w:r>
          </w:p>
        </w:tc>
        <w:tc>
          <w:tcPr>
            <w:tcW w:w="6186" w:type="dxa"/>
          </w:tcPr>
          <w:p w14:paraId="1F69AC3A" w14:textId="77777777" w:rsidR="0018181A" w:rsidRDefault="0018181A" w:rsidP="00EA461A">
            <w:hyperlink r:id="rId17" w:tgtFrame="_new" w:history="1">
              <w:r w:rsidRPr="005676CC">
                <w:rPr>
                  <w:rStyle w:val="Hyperlink"/>
                </w:rPr>
                <w:t>https://phecanada.ca/sites/default/files/content/docs/Home%20Learning%20Resource/Step%20Framework/The%20STEP%20framework.pdf</w:t>
              </w:r>
            </w:hyperlink>
          </w:p>
        </w:tc>
      </w:tr>
      <w:tr w:rsidR="0018181A" w14:paraId="6448E135" w14:textId="77777777" w:rsidTr="00EA461A">
        <w:trPr>
          <w:trHeight w:val="1076"/>
        </w:trPr>
        <w:tc>
          <w:tcPr>
            <w:tcW w:w="2830" w:type="dxa"/>
          </w:tcPr>
          <w:p w14:paraId="22A1964A" w14:textId="77777777" w:rsidR="0018181A" w:rsidRDefault="0018181A" w:rsidP="00EA461A">
            <w:pPr>
              <w:pStyle w:val="Subtitle"/>
              <w:jc w:val="center"/>
            </w:pPr>
            <w:r>
              <w:t>The PE Hub</w:t>
            </w:r>
          </w:p>
        </w:tc>
        <w:tc>
          <w:tcPr>
            <w:tcW w:w="6186" w:type="dxa"/>
          </w:tcPr>
          <w:p w14:paraId="2C0F5BFE" w14:textId="77777777" w:rsidR="0018181A" w:rsidRDefault="0018181A" w:rsidP="00EA461A">
            <w:hyperlink r:id="rId18" w:tgtFrame="_new" w:history="1">
              <w:r w:rsidRPr="0058752F">
                <w:rPr>
                  <w:rStyle w:val="Hyperlink"/>
                </w:rPr>
                <w:t>https://thepehub.co.uk/blog/step-in-pe/</w:t>
              </w:r>
            </w:hyperlink>
          </w:p>
        </w:tc>
      </w:tr>
      <w:tr w:rsidR="0018181A" w14:paraId="6107D07B" w14:textId="77777777" w:rsidTr="00EA461A">
        <w:trPr>
          <w:trHeight w:val="1076"/>
        </w:trPr>
        <w:tc>
          <w:tcPr>
            <w:tcW w:w="2830" w:type="dxa"/>
          </w:tcPr>
          <w:p w14:paraId="5AF4A876" w14:textId="77777777" w:rsidR="0018181A" w:rsidRDefault="0018181A" w:rsidP="00EA461A">
            <w:pPr>
              <w:pStyle w:val="Subtitle"/>
              <w:jc w:val="center"/>
            </w:pPr>
            <w:r>
              <w:t>Australian Sports Commission</w:t>
            </w:r>
          </w:p>
        </w:tc>
        <w:tc>
          <w:tcPr>
            <w:tcW w:w="6186" w:type="dxa"/>
          </w:tcPr>
          <w:p w14:paraId="76EF9A85" w14:textId="77777777" w:rsidR="0018181A" w:rsidRDefault="0018181A" w:rsidP="00EA461A">
            <w:hyperlink r:id="rId19" w:tgtFrame="_new" w:history="1">
              <w:r w:rsidRPr="0058752F">
                <w:rPr>
                  <w:rStyle w:val="Hyperlink"/>
                </w:rPr>
                <w:t>https://www.sportaus.gov.au/sports_ability/using_tree</w:t>
              </w:r>
            </w:hyperlink>
          </w:p>
        </w:tc>
      </w:tr>
    </w:tbl>
    <w:p w14:paraId="03D5FBBE" w14:textId="77777777" w:rsidR="0018181A" w:rsidRDefault="0018181A" w:rsidP="0018181A">
      <w:pPr>
        <w:spacing w:line="360" w:lineRule="auto"/>
        <w:rPr>
          <w:rStyle w:val="SubtleEmphasis"/>
          <w:i w:val="0"/>
          <w:iCs w:val="0"/>
        </w:rPr>
      </w:pPr>
    </w:p>
    <w:p w14:paraId="43276192" w14:textId="77777777" w:rsidR="0018181A" w:rsidRPr="001549D2" w:rsidRDefault="0018181A" w:rsidP="0018181A">
      <w:pPr>
        <w:spacing w:line="360" w:lineRule="auto"/>
        <w:rPr>
          <w:rStyle w:val="SubtleEmphasis"/>
          <w:i w:val="0"/>
          <w:iCs w:val="0"/>
          <w:color w:val="4C94D8" w:themeColor="text2" w:themeTint="80"/>
          <w:sz w:val="28"/>
          <w:szCs w:val="28"/>
        </w:rPr>
      </w:pPr>
      <w:r w:rsidRPr="001549D2">
        <w:rPr>
          <w:rStyle w:val="SubtleEmphasis"/>
          <w:color w:val="4C94D8" w:themeColor="text2" w:themeTint="80"/>
          <w:sz w:val="28"/>
          <w:szCs w:val="28"/>
        </w:rPr>
        <w:t>Impacts on Resource</w:t>
      </w:r>
    </w:p>
    <w:p w14:paraId="58D6E4B2" w14:textId="77777777" w:rsidR="0018181A" w:rsidRPr="001549D2" w:rsidRDefault="0018181A" w:rsidP="0018181A">
      <w:pPr>
        <w:spacing w:line="360" w:lineRule="auto"/>
        <w:rPr>
          <w:rStyle w:val="SubtleEmphasis"/>
          <w:i w:val="0"/>
          <w:iCs w:val="0"/>
        </w:rPr>
      </w:pPr>
      <w:r>
        <w:rPr>
          <w:rStyle w:val="SubtleEmphasis"/>
          <w:i w:val="0"/>
          <w:iCs w:val="0"/>
        </w:rPr>
        <w:t>T</w:t>
      </w:r>
      <w:r w:rsidRPr="001549D2">
        <w:rPr>
          <w:rStyle w:val="SubtleEmphasis"/>
        </w:rPr>
        <w:t xml:space="preserve">his analysis </w:t>
      </w:r>
      <w:r>
        <w:rPr>
          <w:rStyle w:val="SubtleEmphasis"/>
          <w:i w:val="0"/>
          <w:iCs w:val="0"/>
        </w:rPr>
        <w:t>highlighted which</w:t>
      </w:r>
      <w:r w:rsidRPr="001549D2">
        <w:rPr>
          <w:rStyle w:val="SubtleEmphasis"/>
        </w:rPr>
        <w:t xml:space="preserve"> resources </w:t>
      </w:r>
      <w:r>
        <w:rPr>
          <w:rStyle w:val="SubtleEmphasis"/>
          <w:i w:val="0"/>
          <w:iCs w:val="0"/>
        </w:rPr>
        <w:t xml:space="preserve">already available </w:t>
      </w:r>
      <w:r w:rsidRPr="001549D2">
        <w:rPr>
          <w:rStyle w:val="SubtleEmphasis"/>
        </w:rPr>
        <w:t>sho</w:t>
      </w:r>
      <w:r>
        <w:rPr>
          <w:rStyle w:val="SubtleEmphasis"/>
          <w:i w:val="0"/>
          <w:iCs w:val="0"/>
        </w:rPr>
        <w:t>wed the</w:t>
      </w:r>
      <w:r w:rsidRPr="001549D2">
        <w:rPr>
          <w:rStyle w:val="SubtleEmphasis"/>
        </w:rPr>
        <w:t xml:space="preserve"> </w:t>
      </w:r>
      <w:r>
        <w:rPr>
          <w:rStyle w:val="SubtleEmphasis"/>
          <w:i w:val="0"/>
          <w:iCs w:val="0"/>
        </w:rPr>
        <w:t>greater knowledge of S.T.E.P.</w:t>
      </w:r>
      <w:r w:rsidRPr="001549D2">
        <w:rPr>
          <w:rStyle w:val="SubtleEmphasis"/>
        </w:rPr>
        <w:t xml:space="preserve"> There were a range of differing resources available, with those who gave brief descriptions</w:t>
      </w:r>
      <w:r>
        <w:rPr>
          <w:rStyle w:val="SubtleEmphasis"/>
          <w:i w:val="0"/>
          <w:iCs w:val="0"/>
        </w:rPr>
        <w:t xml:space="preserve"> (via links) </w:t>
      </w:r>
      <w:r w:rsidRPr="001549D2">
        <w:rPr>
          <w:rStyle w:val="SubtleEmphasis"/>
        </w:rPr>
        <w:t>o</w:t>
      </w:r>
      <w:r>
        <w:rPr>
          <w:rStyle w:val="SubtleEmphasis"/>
          <w:i w:val="0"/>
          <w:iCs w:val="0"/>
        </w:rPr>
        <w:t>n</w:t>
      </w:r>
      <w:r w:rsidRPr="001549D2">
        <w:rPr>
          <w:rStyle w:val="SubtleEmphasis"/>
        </w:rPr>
        <w:t xml:space="preserve"> how to gain further knowledge (Rounders England) and those who were informative across the criteria us</w:t>
      </w:r>
      <w:r>
        <w:rPr>
          <w:rStyle w:val="SubtleEmphasis"/>
          <w:i w:val="0"/>
          <w:iCs w:val="0"/>
        </w:rPr>
        <w:t>ed</w:t>
      </w:r>
      <w:r w:rsidRPr="001549D2">
        <w:rPr>
          <w:rStyle w:val="SubtleEmphasis"/>
        </w:rPr>
        <w:t xml:space="preserve"> (Australian Sports Commission). One part of the criteria used that was left unfulfilled by </w:t>
      </w:r>
      <w:r>
        <w:rPr>
          <w:rStyle w:val="SubtleEmphasis"/>
          <w:i w:val="0"/>
          <w:iCs w:val="0"/>
        </w:rPr>
        <w:t>many</w:t>
      </w:r>
      <w:r w:rsidRPr="001549D2">
        <w:rPr>
          <w:rStyle w:val="SubtleEmphasis"/>
        </w:rPr>
        <w:t xml:space="preserve"> resources</w:t>
      </w:r>
      <w:r>
        <w:rPr>
          <w:rStyle w:val="SubtleEmphasis"/>
          <w:i w:val="0"/>
          <w:iCs w:val="0"/>
        </w:rPr>
        <w:t>,</w:t>
      </w:r>
      <w:r w:rsidRPr="001549D2">
        <w:rPr>
          <w:rStyle w:val="SubtleEmphasis"/>
        </w:rPr>
        <w:t xml:space="preserve"> w</w:t>
      </w:r>
      <w:r>
        <w:rPr>
          <w:rStyle w:val="SubtleEmphasis"/>
          <w:i w:val="0"/>
          <w:iCs w:val="0"/>
        </w:rPr>
        <w:t>as that of</w:t>
      </w:r>
      <w:r w:rsidRPr="001549D2">
        <w:rPr>
          <w:rStyle w:val="SubtleEmphasis"/>
        </w:rPr>
        <w:t xml:space="preserve"> references of how </w:t>
      </w:r>
      <w:r>
        <w:rPr>
          <w:rStyle w:val="SubtleEmphasis"/>
          <w:i w:val="0"/>
          <w:iCs w:val="0"/>
        </w:rPr>
        <w:t>S.T.E.P</w:t>
      </w:r>
      <w:r w:rsidRPr="001549D2">
        <w:rPr>
          <w:rStyle w:val="SubtleEmphasis"/>
        </w:rPr>
        <w:t xml:space="preserve"> can be used with students with SEND. Whilst again appreciating </w:t>
      </w:r>
      <w:r>
        <w:rPr>
          <w:rStyle w:val="SubtleEmphasis"/>
          <w:i w:val="0"/>
          <w:iCs w:val="0"/>
        </w:rPr>
        <w:t xml:space="preserve">it is not a </w:t>
      </w:r>
      <w:r w:rsidRPr="001549D2">
        <w:rPr>
          <w:rStyle w:val="SubtleEmphasis"/>
        </w:rPr>
        <w:t xml:space="preserve">one-size-fits-all approach, using research to help make informed recommendations to how this can be implemented may help to improve the already identified issue of </w:t>
      </w:r>
      <w:r>
        <w:rPr>
          <w:rStyle w:val="SubtleEmphasis"/>
          <w:i w:val="0"/>
          <w:iCs w:val="0"/>
        </w:rPr>
        <w:t>teachers being ‘ill-prepared’</w:t>
      </w:r>
      <w:r w:rsidRPr="001549D2">
        <w:rPr>
          <w:rStyle w:val="SubtleEmphasis"/>
        </w:rPr>
        <w:t xml:space="preserve"> when it comes to working with students with SEND. By highlighting this as a consistent issue, thi</w:t>
      </w:r>
      <w:r>
        <w:rPr>
          <w:rStyle w:val="SubtleEmphasis"/>
          <w:i w:val="0"/>
          <w:iCs w:val="0"/>
        </w:rPr>
        <w:t xml:space="preserve">s is the gap that the new resource should aim to fill. </w:t>
      </w:r>
    </w:p>
    <w:p w14:paraId="5756B344" w14:textId="77777777" w:rsidR="0018181A" w:rsidRDefault="0018181A" w:rsidP="0018181A"/>
    <w:p w14:paraId="3F1068B0" w14:textId="77777777" w:rsidR="0018181A" w:rsidRDefault="0018181A" w:rsidP="0018181A"/>
    <w:p w14:paraId="0295ABF6" w14:textId="77777777" w:rsidR="0018181A" w:rsidRDefault="0018181A" w:rsidP="0018181A"/>
    <w:p w14:paraId="7402FB1F" w14:textId="77777777" w:rsidR="0018181A" w:rsidRDefault="0018181A" w:rsidP="0018181A"/>
    <w:p w14:paraId="1D414FD7" w14:textId="77777777" w:rsidR="0018181A" w:rsidRDefault="0018181A" w:rsidP="0018181A"/>
    <w:p w14:paraId="47D09634" w14:textId="77777777" w:rsidR="0018181A" w:rsidRDefault="0018181A" w:rsidP="0018181A"/>
    <w:p w14:paraId="4DCEEE3E" w14:textId="77777777" w:rsidR="0018181A" w:rsidRDefault="0018181A" w:rsidP="0018181A"/>
    <w:p w14:paraId="2BCC2687" w14:textId="77777777" w:rsidR="0018181A" w:rsidRDefault="0018181A" w:rsidP="0018181A"/>
    <w:p w14:paraId="502D3BB1" w14:textId="77777777" w:rsidR="0018181A" w:rsidRDefault="0018181A" w:rsidP="0018181A"/>
    <w:p w14:paraId="1392D617" w14:textId="77777777" w:rsidR="0018181A" w:rsidRPr="003627B5" w:rsidRDefault="0018181A" w:rsidP="0018181A">
      <w:pPr>
        <w:pStyle w:val="Heading1"/>
        <w:rPr>
          <w:i/>
          <w:iCs/>
        </w:rPr>
      </w:pPr>
      <w:r>
        <w:rPr>
          <w:i/>
          <w:iCs/>
        </w:rPr>
        <w:lastRenderedPageBreak/>
        <w:t>Created Resource</w:t>
      </w:r>
    </w:p>
    <w:p w14:paraId="304D4BBF" w14:textId="77777777" w:rsidR="0018181A" w:rsidRDefault="0018181A" w:rsidP="0018181A"/>
    <w:p w14:paraId="5006C064" w14:textId="74F2A26D" w:rsidR="0018181A" w:rsidRPr="0018181A" w:rsidRDefault="0018181A" w:rsidP="0018181A">
      <w:r>
        <w:rPr>
          <w:noProof/>
        </w:rPr>
        <w:drawing>
          <wp:inline distT="0" distB="0" distL="0" distR="0" wp14:anchorId="2B250120" wp14:editId="45A8E491">
            <wp:extent cx="5630545" cy="5528945"/>
            <wp:effectExtent l="0" t="0" r="8255" b="0"/>
            <wp:docPr id="887303687" name="Picture 5"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303687" name="Picture 5" descr="A screenshot of a document&#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30545" cy="5528945"/>
                    </a:xfrm>
                    <a:prstGeom prst="rect">
                      <a:avLst/>
                    </a:prstGeom>
                    <a:noFill/>
                    <a:ln>
                      <a:noFill/>
                    </a:ln>
                  </pic:spPr>
                </pic:pic>
              </a:graphicData>
            </a:graphic>
          </wp:inline>
        </w:drawing>
      </w:r>
      <w:r>
        <w:rPr>
          <w:noProof/>
        </w:rPr>
        <w:drawing>
          <wp:inline distT="0" distB="0" distL="0" distR="0" wp14:anchorId="1B4E143B" wp14:editId="1D6ACCD0">
            <wp:extent cx="5638800" cy="2480945"/>
            <wp:effectExtent l="0" t="0" r="0" b="0"/>
            <wp:docPr id="384349483" name="Picture 6" descr="A diagram and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349483" name="Picture 6" descr="A diagram and a diagram&#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38800" cy="2480945"/>
                    </a:xfrm>
                    <a:prstGeom prst="rect">
                      <a:avLst/>
                    </a:prstGeom>
                    <a:noFill/>
                    <a:ln>
                      <a:noFill/>
                    </a:ln>
                  </pic:spPr>
                </pic:pic>
              </a:graphicData>
            </a:graphic>
          </wp:inline>
        </w:drawing>
      </w:r>
    </w:p>
    <w:p w14:paraId="0B241A67" w14:textId="119A4189" w:rsidR="00813C2E" w:rsidRDefault="0018181A">
      <w:r w:rsidRPr="00BF5453">
        <w:rPr>
          <w:noProof/>
        </w:rPr>
        <w:lastRenderedPageBreak/>
        <w:drawing>
          <wp:inline distT="0" distB="0" distL="0" distR="0" wp14:anchorId="65D0EECC" wp14:editId="74DD2D5D">
            <wp:extent cx="8005618" cy="5684574"/>
            <wp:effectExtent l="0" t="1587" r="0" b="0"/>
            <wp:docPr id="920160565" name="Picture 1" descr="A white rectangular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160565" name="Picture 1" descr="A white rectangular grid with black text&#10;&#10;AI-generated content may be incorrect."/>
                    <pic:cNvPicPr/>
                  </pic:nvPicPr>
                  <pic:blipFill>
                    <a:blip r:embed="rId22"/>
                    <a:stretch>
                      <a:fillRect/>
                    </a:stretch>
                  </pic:blipFill>
                  <pic:spPr>
                    <a:xfrm rot="16200000">
                      <a:off x="0" y="0"/>
                      <a:ext cx="8014670" cy="5691002"/>
                    </a:xfrm>
                    <a:prstGeom prst="rect">
                      <a:avLst/>
                    </a:prstGeom>
                  </pic:spPr>
                </pic:pic>
              </a:graphicData>
            </a:graphic>
          </wp:inline>
        </w:drawing>
      </w:r>
    </w:p>
    <w:p w14:paraId="626A942C" w14:textId="77777777" w:rsidR="00BF5453" w:rsidRDefault="00BF5453"/>
    <w:p w14:paraId="3867299F" w14:textId="77777777" w:rsidR="00BF5453" w:rsidRDefault="00BF5453"/>
    <w:p w14:paraId="30C5B162" w14:textId="77777777" w:rsidR="0018181A" w:rsidRPr="003A70DB" w:rsidRDefault="00BF5453" w:rsidP="0018181A">
      <w:pPr>
        <w:pStyle w:val="Heading2"/>
        <w:rPr>
          <w:i/>
          <w:iCs/>
          <w:color w:val="4C94D8" w:themeColor="text2" w:themeTint="80"/>
        </w:rPr>
      </w:pPr>
      <w:r w:rsidRPr="00BF5453">
        <w:lastRenderedPageBreak/>
        <w:t xml:space="preserve"> </w:t>
      </w:r>
      <w:r w:rsidR="0018181A" w:rsidRPr="00904970">
        <w:rPr>
          <w:i/>
          <w:iCs/>
          <w:color w:val="4C94D8" w:themeColor="text2" w:themeTint="80"/>
        </w:rPr>
        <w:t>Rationale for Content of Resource</w:t>
      </w:r>
    </w:p>
    <w:p w14:paraId="2B32C2D0" w14:textId="77777777" w:rsidR="0018181A" w:rsidRDefault="0018181A" w:rsidP="0018181A">
      <w:pPr>
        <w:spacing w:line="360" w:lineRule="auto"/>
      </w:pPr>
      <w:r>
        <w:t xml:space="preserve">When looking for content of the resource it was important to be able to analyse previous resources looking for patterns within the resources. After identifying these resources had indeed been unable to consider how their resources could be used for students with SEND. This paper’s resource aimed to stand out from the rest by showing how the S.T.E.P tool could be used to assist students with SEND to aid participation in PE. After identifying 4 target groups, Intellectual Disabilities (ID), Visual Impairment (VI), Physical Disabilities (PD) and Emotional Trauma (ET), it allowed the resource to be formed around these groups of SEND, giving examples of how the S.T.E.P tool can be used. </w:t>
      </w:r>
    </w:p>
    <w:p w14:paraId="5568609B" w14:textId="7D556318" w:rsidR="0018181A" w:rsidRDefault="0018181A" w:rsidP="0018181A">
      <w:pPr>
        <w:spacing w:line="360" w:lineRule="auto"/>
      </w:pPr>
      <w:r>
        <w:t>When looking at ID’s it was important to establish common themes through previous studies (</w:t>
      </w:r>
      <w:proofErr w:type="spellStart"/>
      <w:r w:rsidRPr="006578C4">
        <w:t>Pressé</w:t>
      </w:r>
      <w:proofErr w:type="spellEnd"/>
      <w:r>
        <w:t xml:space="preserve"> et al., 2011; Angulo-</w:t>
      </w:r>
      <w:r w:rsidR="00C54AAF">
        <w:t>Barroso</w:t>
      </w:r>
      <w:r>
        <w:t xml:space="preserve"> and Todd, 201</w:t>
      </w:r>
      <w:r w:rsidR="005A5F8A">
        <w:t>7</w:t>
      </w:r>
      <w:r>
        <w:t xml:space="preserve">; Furrer et al., 2020) to be able to identify how best to assist their learning. </w:t>
      </w:r>
      <w:proofErr w:type="gramStart"/>
      <w:r>
        <w:t>All,</w:t>
      </w:r>
      <w:proofErr w:type="gramEnd"/>
      <w:r>
        <w:t xml:space="preserve"> identified Psychomotor Clumsiness as common with students with ID’s, for this provision it was identified that the Space needed to be increased to allow for mistakes. </w:t>
      </w:r>
      <w:proofErr w:type="gramStart"/>
      <w:r>
        <w:t>Task’s</w:t>
      </w:r>
      <w:proofErr w:type="gramEnd"/>
      <w:r>
        <w:t xml:space="preserve"> also would need adapting to allow for similar outcomes. Simplification of task and cognitive checks would be implemented to check understanding, as well as additional opportunity to practice </w:t>
      </w:r>
      <w:proofErr w:type="gramStart"/>
      <w:r>
        <w:t>to assist</w:t>
      </w:r>
      <w:proofErr w:type="gramEnd"/>
      <w:r>
        <w:t xml:space="preserve"> in development (Angulo-</w:t>
      </w:r>
      <w:r w:rsidR="00C54AAF">
        <w:t>Barroso</w:t>
      </w:r>
      <w:r>
        <w:t xml:space="preserve"> and Todd, 201</w:t>
      </w:r>
      <w:r w:rsidR="00C54AAF">
        <w:t>7</w:t>
      </w:r>
      <w:r>
        <w:t>; Furrer et al., 2020). Adaptations to Equipment would need to be considered, with oversized or differentiated equipment favoured to aid motor development whilst lighter balls to assist in achieving this goal (</w:t>
      </w:r>
      <w:proofErr w:type="spellStart"/>
      <w:r w:rsidRPr="006578C4">
        <w:t>Pressé</w:t>
      </w:r>
      <w:proofErr w:type="spellEnd"/>
      <w:r>
        <w:t xml:space="preserve"> et al., 2011). Having previously identified ‘developing a relationship’ between teacher and students as key area for assisting students with SEND (Furrer et al., 2020), Co-operative Learning may also play a key part in social acceptance for students with ID’s (Furrer et al., 2020). </w:t>
      </w:r>
    </w:p>
    <w:p w14:paraId="204EF93F" w14:textId="08672FC5" w:rsidR="0018181A" w:rsidRDefault="0018181A" w:rsidP="0018181A">
      <w:pPr>
        <w:spacing w:line="360" w:lineRule="auto"/>
      </w:pPr>
      <w:r>
        <w:t>Students with VI’s were identified as another target group. The Task component of the S.T.E.P Tool was identified as key area for students with VI’s, with demonstrations being an area to modify for them. Demonstrations need to highly descriptive and appropriate for the task for students with VI (Lieberman et al., 201</w:t>
      </w:r>
      <w:r w:rsidR="00AE14AE">
        <w:t>9</w:t>
      </w:r>
      <w:r>
        <w:t xml:space="preserve">). As well as this, smaller groups and modifications of rules assist with skill acquisition (Lieberman </w:t>
      </w:r>
      <w:r w:rsidR="00A219EC">
        <w:t xml:space="preserve">and </w:t>
      </w:r>
      <w:r w:rsidR="00A219EC" w:rsidRPr="00646177">
        <w:t>Houston-Wilson</w:t>
      </w:r>
      <w:r>
        <w:t>, 2002). Such as allowing students with VI let the ball bounce before contact in striking sports to allow for object identification (</w:t>
      </w:r>
      <w:proofErr w:type="spellStart"/>
      <w:r w:rsidRPr="006578C4">
        <w:t>Pressé</w:t>
      </w:r>
      <w:proofErr w:type="spellEnd"/>
      <w:r>
        <w:t xml:space="preserve"> et al., 2011). Equipment modification would be necessary to aid participation. Brightly coloured balls and Auditory Balls highlighted as ways of modifying equipment (</w:t>
      </w:r>
      <w:proofErr w:type="spellStart"/>
      <w:r w:rsidRPr="006578C4">
        <w:t>Pressé</w:t>
      </w:r>
      <w:proofErr w:type="spellEnd"/>
      <w:r>
        <w:t xml:space="preserve"> et al., 2011). The use of physical barriers and modifying the size of the area used was also recommended for students  (</w:t>
      </w:r>
      <w:proofErr w:type="spellStart"/>
      <w:r w:rsidRPr="006578C4">
        <w:t>Pressé</w:t>
      </w:r>
      <w:proofErr w:type="spellEnd"/>
      <w:r>
        <w:t xml:space="preserve"> et al., 2011) as well as </w:t>
      </w:r>
      <w:proofErr w:type="gramStart"/>
      <w:r>
        <w:t>this allowing students</w:t>
      </w:r>
      <w:proofErr w:type="gramEnd"/>
      <w:r>
        <w:t xml:space="preserve"> to ‘walk the area’ prior to the session to become more familiar to the surroundings (Lieberman </w:t>
      </w:r>
      <w:r>
        <w:lastRenderedPageBreak/>
        <w:t>et al., 2018). Also identified for students with VI, was the use of pre-teaching in their sessions to be able to assist them learning roles, area and equipment used (Lieberman et al., 201</w:t>
      </w:r>
      <w:r w:rsidR="00AE14AE">
        <w:t>9</w:t>
      </w:r>
      <w:r>
        <w:t xml:space="preserve">; </w:t>
      </w:r>
      <w:proofErr w:type="spellStart"/>
      <w:r>
        <w:t>Haegle</w:t>
      </w:r>
      <w:proofErr w:type="spellEnd"/>
      <w:r>
        <w:t xml:space="preserve"> and Zhu, 2017; </w:t>
      </w:r>
      <w:proofErr w:type="spellStart"/>
      <w:r w:rsidRPr="006578C4">
        <w:t>Pressé</w:t>
      </w:r>
      <w:proofErr w:type="spellEnd"/>
      <w:r>
        <w:t xml:space="preserve"> et al., 2011).</w:t>
      </w:r>
    </w:p>
    <w:p w14:paraId="10BC9EB0" w14:textId="1112D30B" w:rsidR="0018181A" w:rsidRDefault="0018181A" w:rsidP="0018181A">
      <w:pPr>
        <w:pStyle w:val="Header"/>
        <w:spacing w:line="360" w:lineRule="auto"/>
      </w:pPr>
      <w:r>
        <w:t>For students with PD the use of the S.T.E.P Tool is important to assist in learning. With the majority of studies identifying the use of locomotor aides as important to the planning of each session (Beaman-Evans et al., 2021; Angulo-</w:t>
      </w:r>
      <w:r w:rsidR="000A3803">
        <w:t>Barroso</w:t>
      </w:r>
      <w:r>
        <w:t xml:space="preserve"> and Todd, 201</w:t>
      </w:r>
      <w:r w:rsidR="00C54AAF">
        <w:t>7</w:t>
      </w:r>
      <w:r>
        <w:t xml:space="preserve">; Goodwin and Watkinson, 2000). Equipment was highlighted often for PD students, many studies identifying </w:t>
      </w:r>
      <w:proofErr w:type="gramStart"/>
      <w:r>
        <w:t>that provisions</w:t>
      </w:r>
      <w:proofErr w:type="gramEnd"/>
      <w:r>
        <w:t xml:space="preserve"> needed to be made to allow for students to use locomotive aides in order to move around (Bearman-Evans et al., 2021; Angulo-</w:t>
      </w:r>
      <w:r w:rsidR="00C54AAF">
        <w:t>Barroso</w:t>
      </w:r>
      <w:r>
        <w:t xml:space="preserve"> and Todd, 201</w:t>
      </w:r>
      <w:r w:rsidR="00C54AAF">
        <w:t>7</w:t>
      </w:r>
      <w:r>
        <w:t>). As well as this, modification to equipment was needed to what best suited them, such as balloons in place of balls or lighter bats in striking and fielding games (Bearman-Evans et al., 2021). Space needed for students with PD’s is required to be increased to allow for the use of locomotor aids (Angulo-</w:t>
      </w:r>
      <w:r w:rsidR="00C54AAF">
        <w:t>Barroso</w:t>
      </w:r>
      <w:r>
        <w:t xml:space="preserve"> and Todd, 201</w:t>
      </w:r>
      <w:r w:rsidR="00C54AAF">
        <w:t>7</w:t>
      </w:r>
      <w:r>
        <w:t>) as well as break out areas if a student is struggling with fatigue (Beaman-Evans et al., 2021). Task breakdown would be needed, to assist in motor development as well as practice opportunities and repeated demonstrations for cognitive development (Bearman-Evans et al., 2021). As well as this, students may be asked whether they need assistance, whether this be a physical assistant or whether it be assistant to perform certain tasks such as runner in striking and fielding activities (Beaman-Evans et al., 2021).</w:t>
      </w:r>
    </w:p>
    <w:p w14:paraId="2F206D47" w14:textId="77777777" w:rsidR="0018181A" w:rsidRDefault="0018181A" w:rsidP="0018181A">
      <w:pPr>
        <w:pStyle w:val="Header"/>
        <w:spacing w:line="360" w:lineRule="auto"/>
      </w:pPr>
      <w:r>
        <w:t xml:space="preserve">PE teachers’ knowledge of ET’s may not in-depth, this may be due to the teacher being aware of the trauma but unaware of to what extent the trauma affects them (Quarmby et al., 2022). For this area of SEND, the People area of the S.T.E.P tool may be the most concerning, as the number of interactions both physically and verbally happening may cause re-traumatisation and ’High Pressure’ situations may cause unnecessary stress (Quarmby et al., 2022). Provisions for this can be made by utilising a ‘break-out’ area in the design of the Space that affords students a safe space to go to in order to self-regulate (Altieri Jr. et al., 2021). To avoid traumatisation one area to modify would be group sizes. For </w:t>
      </w:r>
      <w:proofErr w:type="gramStart"/>
      <w:r>
        <w:t>example</w:t>
      </w:r>
      <w:proofErr w:type="gramEnd"/>
      <w:r>
        <w:t xml:space="preserve"> when teaching games, would be to make the size of teams smaller in an effort to reduce noise pollutions and over-stimulation causing re-traumatisation (Altieri Jr. et al., 2021). As for equipment, to aide in the restriction of physical contact a piece of equipment maybe used as well as this use of physical structure of the session on display such as on a whiteboard may assist in preparing the student in what to expect from the session (Quarmby et al., 2022).</w:t>
      </w:r>
    </w:p>
    <w:p w14:paraId="72774EF8" w14:textId="0A0CFE22" w:rsidR="00BF5453" w:rsidRDefault="00BF5453"/>
    <w:p w14:paraId="3E96958D" w14:textId="77777777" w:rsidR="0018181A" w:rsidRDefault="0018181A"/>
    <w:p w14:paraId="343BE041" w14:textId="77777777" w:rsidR="0018181A" w:rsidRDefault="0018181A"/>
    <w:p w14:paraId="1BF0152C" w14:textId="77777777" w:rsidR="0018181A" w:rsidRDefault="0018181A" w:rsidP="0018181A">
      <w:pPr>
        <w:pStyle w:val="Heading1"/>
        <w:rPr>
          <w:i/>
          <w:iCs/>
        </w:rPr>
      </w:pPr>
      <w:r w:rsidRPr="00623375">
        <w:rPr>
          <w:i/>
          <w:iCs/>
        </w:rPr>
        <w:lastRenderedPageBreak/>
        <w:t>Discussion</w:t>
      </w:r>
    </w:p>
    <w:p w14:paraId="6468F7D9" w14:textId="77777777" w:rsidR="0018181A" w:rsidRDefault="0018181A" w:rsidP="0018181A"/>
    <w:p w14:paraId="29F928E2" w14:textId="77777777" w:rsidR="0018181A" w:rsidRPr="00B02B99" w:rsidRDefault="0018181A" w:rsidP="0018181A">
      <w:pPr>
        <w:spacing w:line="360" w:lineRule="auto"/>
      </w:pPr>
      <w:r>
        <w:t xml:space="preserve">The discussion post-creation of resource surrounded 2 areas, one being evidence based discussion, building off research and literature supporting this resource. The other being a context based discussion, looking at the situation, setting and any underpinning elements that could affect the use of this resource. Both of these discussions would need to be added to this essay as it will allow both the informative nature of the evidence based be heard as well as the more ‘real world’ application of the contextual elements be included. </w:t>
      </w:r>
    </w:p>
    <w:p w14:paraId="56A232E7" w14:textId="77777777" w:rsidR="0018181A" w:rsidRDefault="0018181A" w:rsidP="0018181A">
      <w:pPr>
        <w:pStyle w:val="Heading2"/>
        <w:spacing w:line="360" w:lineRule="auto"/>
        <w:rPr>
          <w:i/>
          <w:iCs/>
          <w:color w:val="4C94D8" w:themeColor="text2" w:themeTint="80"/>
        </w:rPr>
      </w:pPr>
      <w:r>
        <w:rPr>
          <w:i/>
          <w:iCs/>
          <w:color w:val="4C94D8" w:themeColor="text2" w:themeTint="80"/>
        </w:rPr>
        <w:t>Evidence Based</w:t>
      </w:r>
    </w:p>
    <w:p w14:paraId="2787A8BA" w14:textId="77777777" w:rsidR="0018181A" w:rsidRDefault="0018181A" w:rsidP="0018181A">
      <w:pPr>
        <w:spacing w:line="360" w:lineRule="auto"/>
      </w:pPr>
      <w:r>
        <w:t xml:space="preserve">As previously stated, the resource was conceived of the back of identifying the common themes throughout research that would assist in the teaching of students with SEND in PE. The resource creation was initiated by the research identifying issues surrounding participation in PE for students with SEND (O’Connor and McNabb, 2021) and when compared to the current WHO guidelines (WHO, 2020,) it shows at clear disconnect, and that narrowing participatory opportunities would likely cause issues further down the line. </w:t>
      </w:r>
    </w:p>
    <w:p w14:paraId="1A60B520" w14:textId="77777777" w:rsidR="0018181A" w:rsidRDefault="0018181A" w:rsidP="0018181A">
      <w:pPr>
        <w:spacing w:line="360" w:lineRule="auto"/>
      </w:pPr>
      <w:r>
        <w:t xml:space="preserve">Through the literature review this paper then identified potential barriers to participation for students with SEND. It identified that Teachers have a great influence, highlighting that teachers were ill-prepared (Allen et al., 2022) and that willingness to be flexible and reflective in their teaching was something that was needed (Vickerman et al, 2020; </w:t>
      </w:r>
      <w:proofErr w:type="spellStart"/>
      <w:r>
        <w:t>Stidder</w:t>
      </w:r>
      <w:proofErr w:type="spellEnd"/>
      <w:r>
        <w:t>, 2013) in order to be able to accommodate, and progress in, teaching students with SEND. It then identified that thwarting behaviours that could decrease motivation for SEND Students (Dunn and Zimmer, 2017). Putting ownership of utilising the pre-impact stage of the sessions (</w:t>
      </w:r>
      <w:proofErr w:type="spellStart"/>
      <w:r>
        <w:t>Mosston</w:t>
      </w:r>
      <w:proofErr w:type="spellEnd"/>
      <w:r>
        <w:t xml:space="preserve"> and Ashworth, 2008) to avoid these behaviours and produce and environment that would be autonomy supportive to aid motivation as well as championing a ‘exercise by choice’ focus (Dunn and Zimmer. 2017; Ryan and Deci, 2017). </w:t>
      </w:r>
      <w:r w:rsidRPr="008E215A">
        <w:t>By putting ownership of style on the teacher it means that teachers planning is required to be well informed about the needs of the child, as well as identifying thwarting behaviours, all the while building a successful working relationship. It is easy to see how a teacher’s role can become quite overwhelming when you are ill-prepared to meet the demands to start with.</w:t>
      </w:r>
      <w:r>
        <w:t xml:space="preserve"> Teachers also needed to meet the needs of the child, </w:t>
      </w:r>
      <w:proofErr w:type="spellStart"/>
      <w:r>
        <w:t>Stidder</w:t>
      </w:r>
      <w:proofErr w:type="spellEnd"/>
      <w:r>
        <w:t xml:space="preserve"> (2013) advocated for a ‘critical self-reflection’ in order to be able contextualise teaching and be able to implement adaptations into their day-to-day teaching, this coupled Maher and Fitzgerald (2020) influence of professional development needing to “tailored given the diversity </w:t>
      </w:r>
      <w:r>
        <w:lastRenderedPageBreak/>
        <w:t>of pupil needs” (p.31) means that not only are teachers needed to be reflective on their own teaching but also be aware of educational opportunities to be able to reach a wider audience with differing needs. All of this meant that Teachers having been already identified as ‘ill-prepared’ had to then seek out how to change their teaching through their own research as well plan sessions and make provisions for variety of students with a variety of needs.</w:t>
      </w:r>
    </w:p>
    <w:p w14:paraId="0B114008" w14:textId="6DB07E8D" w:rsidR="0018181A" w:rsidRPr="00B02B99" w:rsidRDefault="0018181A" w:rsidP="0018181A">
      <w:pPr>
        <w:spacing w:line="360" w:lineRule="auto"/>
      </w:pPr>
      <w:r>
        <w:t xml:space="preserve">To create this resource, it was clear that further insight into what was already available to teachers was needed to then influence a resource that would assist teachers in developing knowledge and progressing their teaching. This was shown when looking at S.T.E.P Tool resources that were already available, having identified that these types of resources would be beneficial at adapting sessions inclusively (Foster and Barber, 2021; </w:t>
      </w:r>
      <w:proofErr w:type="spellStart"/>
      <w:r>
        <w:t>Kiuppis</w:t>
      </w:r>
      <w:proofErr w:type="spellEnd"/>
      <w:r>
        <w:t xml:space="preserve">, 2018). Modification and Adaptation of activities comes from the Black and Stevenson’s Inclusion Spectrum </w:t>
      </w:r>
      <w:r w:rsidRPr="00CD7D63">
        <w:t>(</w:t>
      </w:r>
      <w:r>
        <w:t>1999 cited in PD Net, n.d.</w:t>
      </w:r>
      <w:r w:rsidRPr="00CD7D63">
        <w:t>)</w:t>
      </w:r>
      <w:r>
        <w:t xml:space="preserve"> which looks at the manipulation of certain activities with the overall aim of inclusivity and participation for all. By looking at a wide range of resources and by creating a criterion in which to analyse each resource allowed for a critical look at each resource and how this would influence the creation of the resource this paper set out to create. This was critical to the resource, as it allowed for review of the creativity and innovations identified as one of few benefits to come from the COVID-19 Pandemic by Fitzgerald et al. (2020). These criteria whilst successful in identifying some key areas of improvement and identified a key gap in the resources could also have been more critical of resource in an aid to make a substantial effort of improvement. The area identified as being a potential gap in resources was that of ‘Explanation on how this can be used with participants with SEND’. With few resources referring to its implementation in sessions for students with SEND (Australian Sports Commission and Scottish Disability Sport). After identifying this as the clear area in need of a developing resource, it then came down to looking at transferring information from literature to the resource created. Once current resources were analysed, it was important to provide a rationale for the contents of the resource. Having researched in 4 key areas (ID, VI, PD and ET), allowed the resource to given credibility. Gathering information from reputable resources and more up to date literature gave the resource a rationale for what was required to fill the gap left by previous resources. Firstly, looking how spaces can be made bigger for those with SEND (</w:t>
      </w:r>
      <w:proofErr w:type="spellStart"/>
      <w:r w:rsidRPr="006578C4">
        <w:t>Pressé</w:t>
      </w:r>
      <w:proofErr w:type="spellEnd"/>
      <w:r>
        <w:t xml:space="preserve"> et al., 2011; Angulo-</w:t>
      </w:r>
      <w:r w:rsidR="00C54AAF">
        <w:t>Barroso</w:t>
      </w:r>
      <w:r>
        <w:t xml:space="preserve"> and Todd, 201</w:t>
      </w:r>
      <w:r w:rsidR="00C54AAF">
        <w:t>7</w:t>
      </w:r>
      <w:r>
        <w:t>; Furrer et al., 2020) even the additions of physical boundaries to assist learners (</w:t>
      </w:r>
      <w:proofErr w:type="spellStart"/>
      <w:r w:rsidRPr="006578C4">
        <w:t>Pressé</w:t>
      </w:r>
      <w:proofErr w:type="spellEnd"/>
      <w:r>
        <w:t xml:space="preserve"> et al., 2011) as well as the use of additional space to help with adjusting to the activities both physically and emotionally (Altieri Jr. et al., 2021; Bearman-Evans et al., 2021). Secondly, identifying how the tasks can be modified to help student handle ‘High Pressure’ situations (Quarmby et al., 2022) as well as the </w:t>
      </w:r>
      <w:r>
        <w:lastRenderedPageBreak/>
        <w:t>need for smaller groups of students or smaller sided games to allow for better activity acquisition (Lieberman et al., 2018) or less noise pollution (Altieri Jr. et al., 2021), in addition to this simplification of task in ability to scaffold for students was also identified (Angulo-</w:t>
      </w:r>
      <w:r w:rsidR="00C54AAF">
        <w:t>Barroso</w:t>
      </w:r>
      <w:r>
        <w:t xml:space="preserve"> and Todd, 201</w:t>
      </w:r>
      <w:r w:rsidR="00C54AAF">
        <w:t>7</w:t>
      </w:r>
      <w:r>
        <w:t xml:space="preserve">; Furrer et al., 2020). Thirdly, looking at adaptations made to equipment for the benefit of aiding motor and locomotor development (Beaman-Evans et al., 2021; </w:t>
      </w:r>
      <w:proofErr w:type="spellStart"/>
      <w:r w:rsidRPr="006578C4">
        <w:t>Pressé</w:t>
      </w:r>
      <w:proofErr w:type="spellEnd"/>
      <w:r>
        <w:t xml:space="preserve"> et al., 2011)  or to reduce physical contact and aid in preparation of students (Quarmby et al., 2022). Finally, looking at the need for changes in people such as interactions with assistants (Beaman-Evans et al., 2022) as well as the implementation of Co-operative learning to improve social acceptance (Furrer et al., 2020). By considering the need for all these things allowed for the resource to correctly inform teachers about the S.T.E.P Tool, how it can be used in sport and inclusive PE, how it can be used for students with SEND and finally providing adaptations and modifications with sporting analogies. Something that was identified as yet unavailable and was evidence-based and informed by sources to allow for a teacher supportive resource.</w:t>
      </w:r>
    </w:p>
    <w:p w14:paraId="2FD2173F" w14:textId="77777777" w:rsidR="0018181A" w:rsidRDefault="0018181A" w:rsidP="0018181A">
      <w:pPr>
        <w:pStyle w:val="Heading2"/>
        <w:rPr>
          <w:i/>
          <w:iCs/>
          <w:color w:val="4C94D8" w:themeColor="text2" w:themeTint="80"/>
        </w:rPr>
      </w:pPr>
      <w:r w:rsidRPr="002E5CB9">
        <w:rPr>
          <w:i/>
          <w:iCs/>
          <w:color w:val="4C94D8" w:themeColor="text2" w:themeTint="80"/>
        </w:rPr>
        <w:t>Context Based</w:t>
      </w:r>
    </w:p>
    <w:p w14:paraId="29D2A966" w14:textId="77777777" w:rsidR="0018181A" w:rsidRDefault="0018181A" w:rsidP="0018181A">
      <w:pPr>
        <w:spacing w:line="360" w:lineRule="auto"/>
      </w:pPr>
      <w:r>
        <w:t>The context of which this resource is to be implemented was something that also should be discussed. Having already identified that a one-size-fits-all approach to PE is something that is not ultimately supportive for students with SEND. This resource aimed to cover 4 differing areas (ID, VI, PD and ET) of SEND in an effort to create an overview to inform teachers how each aspect of the S.T.E.P Tool could be utilised to help in the planning of PE sessions. Having identified the need for the implementation of this resource in the pre-impact stage in accordance with the Inclusion Style of teaching (</w:t>
      </w:r>
      <w:proofErr w:type="spellStart"/>
      <w:r>
        <w:t>Mosston</w:t>
      </w:r>
      <w:proofErr w:type="spellEnd"/>
      <w:r>
        <w:t xml:space="preserve"> and Ashworth, 2008), it was important that teachers were able to transfer from the resource created in order to apply it to specific students. This was in a bid to be able to create a ‘student centred approach’ advocated by Byra (2006) and the tailoring of a personalised or adapted curriculum in order to reach a growing number of students (</w:t>
      </w:r>
      <w:proofErr w:type="spellStart"/>
      <w:r>
        <w:t>Theodoulides</w:t>
      </w:r>
      <w:proofErr w:type="spellEnd"/>
      <w:r>
        <w:t xml:space="preserve">, 2013; Vickerman and Hayes, 2013). </w:t>
      </w:r>
    </w:p>
    <w:p w14:paraId="11B97BE9" w14:textId="77777777" w:rsidR="0018181A" w:rsidRDefault="0018181A" w:rsidP="0018181A">
      <w:pPr>
        <w:spacing w:line="360" w:lineRule="auto"/>
      </w:pPr>
      <w:r>
        <w:t xml:space="preserve">From the research in the literature review and work conducted by Allen et al (2022) advocates strongly for a student voice to the approach to the teaching of PE for students with SEND. With further knowledge than any resources can show as they are living with their respective needs. Whilst this resource aims to educate teachers in the use of the S.T.E.P Tool and how it can be implemented, a lot of the literature advocates for student-teacher relationship (Quarmby et al., 2022; Bearman-Evans et al, 2021; Furrer et al., 2020) that can assist in the implementation of a curriculum not only suited to their needs but also a curriculum that is ultimately supportive in the whole development. With relationships underpinning all the principles of the S.T.E.P Tool, it </w:t>
      </w:r>
      <w:r>
        <w:lastRenderedPageBreak/>
        <w:t xml:space="preserve">allows for more enhanced look at their learning in order to be relevant and for more achievement (NCPE cited in Vickerman and </w:t>
      </w:r>
      <w:proofErr w:type="spellStart"/>
      <w:r>
        <w:t>Stidder</w:t>
      </w:r>
      <w:proofErr w:type="spellEnd"/>
      <w:r>
        <w:t xml:space="preserve"> 2013). </w:t>
      </w:r>
    </w:p>
    <w:p w14:paraId="13D3428F" w14:textId="77777777" w:rsidR="0018181A" w:rsidRDefault="0018181A" w:rsidP="0018181A">
      <w:pPr>
        <w:spacing w:line="360" w:lineRule="auto"/>
      </w:pPr>
      <w:r>
        <w:t xml:space="preserve">By acknowledging that this is not just a one-size-fits-all approach, it allows for the resource to become part of the pre-impact stage as well as sitting alongside more developed research such as Foster and Barber (2021), who utilise a 6 step review in the pre-impact stage of session development. By using a blended approach allows for more specific needs to be met, in order to create something unique to be applicable to students with a variety of needs in unique situations. Going further, this could also be utilised alongside other research as tool to educate teachers as already identifying teachers as being ‘ill-prepared’ and in need of teacher education from an earlier stage, has also gone on to state inadequacy of resource available to them (O’Connor and McNabb, 2021). Whilst this resource is not the answer to all teachers needs it does add ‘strings to the bow’ and fill gaps in resources currently available. </w:t>
      </w:r>
    </w:p>
    <w:p w14:paraId="2AAD222C" w14:textId="77777777" w:rsidR="0018181A" w:rsidRDefault="0018181A" w:rsidP="0018181A">
      <w:pPr>
        <w:pStyle w:val="Heading2"/>
        <w:spacing w:line="360" w:lineRule="auto"/>
        <w:rPr>
          <w:i/>
          <w:iCs/>
          <w:color w:val="4C94D8" w:themeColor="text2" w:themeTint="80"/>
        </w:rPr>
      </w:pPr>
      <w:r>
        <w:rPr>
          <w:i/>
          <w:iCs/>
          <w:color w:val="4C94D8" w:themeColor="text2" w:themeTint="80"/>
        </w:rPr>
        <w:t>Limitations in this study</w:t>
      </w:r>
    </w:p>
    <w:p w14:paraId="4F04AAA1" w14:textId="77777777" w:rsidR="0018181A" w:rsidRDefault="0018181A" w:rsidP="0018181A">
      <w:pPr>
        <w:spacing w:line="360" w:lineRule="auto"/>
      </w:pPr>
      <w:r>
        <w:t>This study is to have acknowledged many strengths to the implementation of such tool to improve teachers’ knowledge of PE for students with SEND. However, by stating that there is no one-size-fits-all approach, does present further gaps in this resource. Given the limited research conducted in this study and resources collected, it does allow for further gaps in the knowledge of students with SEND to appear. Further research would need to be conducted to complete a more comprehensive resource that would be more appealing to all teachers and serve as fundamental resource to improve Teacher Education. In addition to this, the resource is as of yet untested with Teachers. In order to become a more recognised resource, testing would need to be conducted.</w:t>
      </w:r>
    </w:p>
    <w:p w14:paraId="23091B5C" w14:textId="77777777" w:rsidR="0018181A" w:rsidRDefault="0018181A"/>
    <w:p w14:paraId="440694CC" w14:textId="77777777" w:rsidR="0018181A" w:rsidRDefault="0018181A"/>
    <w:p w14:paraId="194D9139" w14:textId="77777777" w:rsidR="0018181A" w:rsidRDefault="0018181A"/>
    <w:p w14:paraId="6C90FD9C" w14:textId="77777777" w:rsidR="0018181A" w:rsidRDefault="0018181A"/>
    <w:p w14:paraId="69088AE9" w14:textId="77777777" w:rsidR="0018181A" w:rsidRDefault="0018181A"/>
    <w:p w14:paraId="51A5EC7F" w14:textId="77777777" w:rsidR="0018181A" w:rsidRDefault="0018181A"/>
    <w:p w14:paraId="63050B15" w14:textId="77777777" w:rsidR="0018181A" w:rsidRDefault="0018181A"/>
    <w:p w14:paraId="7D58ADB3" w14:textId="77777777" w:rsidR="0018181A" w:rsidRDefault="0018181A"/>
    <w:p w14:paraId="6AF2E713" w14:textId="77777777" w:rsidR="0018181A" w:rsidRDefault="0018181A"/>
    <w:p w14:paraId="6687BE99" w14:textId="77777777" w:rsidR="0018181A" w:rsidRPr="000B5C80" w:rsidRDefault="0018181A" w:rsidP="0018181A">
      <w:pPr>
        <w:pStyle w:val="Heading1"/>
        <w:rPr>
          <w:i/>
          <w:iCs/>
        </w:rPr>
      </w:pPr>
      <w:r>
        <w:rPr>
          <w:i/>
          <w:iCs/>
        </w:rPr>
        <w:lastRenderedPageBreak/>
        <w:t>Conclusion</w:t>
      </w:r>
    </w:p>
    <w:p w14:paraId="00A7DBA9" w14:textId="77777777" w:rsidR="0018181A" w:rsidRDefault="0018181A" w:rsidP="0018181A">
      <w:pPr>
        <w:spacing w:line="360" w:lineRule="auto"/>
      </w:pPr>
      <w:r>
        <w:t xml:space="preserve">In summary, this paper identified that students of all abilities should be afforded the right to education (United Nations. 1989) but that since the COVID-19 Pandemic opportunities for children with SEND had significantly reduced (UIS, 2019 cited in </w:t>
      </w:r>
      <w:r w:rsidRPr="00FC50EE">
        <w:t>Niemi, 2021</w:t>
      </w:r>
      <w:r>
        <w:t>) and students had “fewer participatory sporting options than their peers” (O’Connor and McNabb, 2021, p.575). This coupled with teachers being ill-prepared to meet the needs of the children (Allen et al, 2022) contributing factors such as “</w:t>
      </w:r>
      <w:r w:rsidRPr="00351F52">
        <w:t>lack of inclusive skills training, lack of support infrastructures, inadequate resources, unfamiliarity with specialised equipment, and limited understanding of SEND</w:t>
      </w:r>
      <w:r>
        <w:t xml:space="preserve">” </w:t>
      </w:r>
      <w:r w:rsidRPr="00351F52">
        <w:t>(O’Connor and McNabb, 2021, p. 578)</w:t>
      </w:r>
      <w:r>
        <w:t xml:space="preserve"> were identified as barriers to </w:t>
      </w:r>
      <w:proofErr w:type="gramStart"/>
      <w:r>
        <w:t>teachers</w:t>
      </w:r>
      <w:proofErr w:type="gramEnd"/>
      <w:r>
        <w:t xml:space="preserve"> knowledge. With ambitious views of inclusiveness in a post-COVID climate (Fitzgerald et al. 2020). </w:t>
      </w:r>
    </w:p>
    <w:p w14:paraId="42A2A156" w14:textId="77777777" w:rsidR="0018181A" w:rsidRDefault="0018181A" w:rsidP="0018181A">
      <w:pPr>
        <w:spacing w:line="360" w:lineRule="auto"/>
      </w:pPr>
      <w:r>
        <w:t xml:space="preserve">Following on from this a review of literature surrounding 4 main topics; </w:t>
      </w:r>
      <w:r w:rsidRPr="007E1E24">
        <w:rPr>
          <w:i/>
          <w:iCs/>
        </w:rPr>
        <w:t xml:space="preserve">Teacher </w:t>
      </w:r>
      <w:r>
        <w:rPr>
          <w:i/>
          <w:iCs/>
        </w:rPr>
        <w:t>K</w:t>
      </w:r>
      <w:r w:rsidRPr="007E1E24">
        <w:rPr>
          <w:i/>
          <w:iCs/>
        </w:rPr>
        <w:t>nowledge and Student’s Voices</w:t>
      </w:r>
      <w:r>
        <w:t xml:space="preserve">, </w:t>
      </w:r>
      <w:r w:rsidRPr="007E1E24">
        <w:rPr>
          <w:i/>
          <w:iCs/>
        </w:rPr>
        <w:t>Motivation</w:t>
      </w:r>
      <w:r>
        <w:t xml:space="preserve">, </w:t>
      </w:r>
      <w:r w:rsidRPr="007E1E24">
        <w:rPr>
          <w:i/>
          <w:iCs/>
        </w:rPr>
        <w:t>Teaching Styles</w:t>
      </w:r>
      <w:r>
        <w:rPr>
          <w:i/>
          <w:iCs/>
        </w:rPr>
        <w:t xml:space="preserve"> and</w:t>
      </w:r>
      <w:r w:rsidRPr="007E1E24">
        <w:rPr>
          <w:i/>
          <w:iCs/>
        </w:rPr>
        <w:t xml:space="preserve"> S.T.E.P </w:t>
      </w:r>
      <w:r>
        <w:rPr>
          <w:i/>
          <w:iCs/>
        </w:rPr>
        <w:t xml:space="preserve">Tool </w:t>
      </w:r>
      <w:r>
        <w:t xml:space="preserve">and </w:t>
      </w:r>
      <w:r w:rsidRPr="00D043E0">
        <w:rPr>
          <w:i/>
          <w:iCs/>
        </w:rPr>
        <w:t xml:space="preserve">Teaching </w:t>
      </w:r>
      <w:r w:rsidRPr="00AD30EF">
        <w:rPr>
          <w:i/>
          <w:iCs/>
        </w:rPr>
        <w:t xml:space="preserve">PE </w:t>
      </w:r>
      <w:r>
        <w:rPr>
          <w:i/>
          <w:iCs/>
        </w:rPr>
        <w:t>for</w:t>
      </w:r>
      <w:r w:rsidRPr="00AD30EF">
        <w:rPr>
          <w:i/>
          <w:iCs/>
        </w:rPr>
        <w:t xml:space="preserve"> SEND</w:t>
      </w:r>
      <w:r>
        <w:t xml:space="preserve">. By previously identifying that teachers were ‘ill-prepared’, this literature review showed that teachers needed to flexible in their teaching (Vickerman et al, 2020; Vickerman and Hayes, 2013) and that tailored teacher education and reflection was required to stay up to date with ever changing pedagogies (Maher and Fitzgerald, 2020; </w:t>
      </w:r>
      <w:proofErr w:type="spellStart"/>
      <w:r>
        <w:t>Stidder</w:t>
      </w:r>
      <w:proofErr w:type="spellEnd"/>
      <w:r>
        <w:t>, 2013). When looking at Motivation and Self-Determination Theory, this paper highlighted the importance of relationships for children with SEND (Dunn and Zimmer, 2020) as well as developing ‘a sense of challenge and fun’ (Dunn and Zimmer, 2020) and championing ‘exercise by choice’  to improve motivation for students with SEND (Ryan and Deci, 2017). Then by showing a need to develop a teaching style that promoted ‘teacher-learner transactions’ (Byra, 2006) as well as the importance of the ‘pre-impact’ (</w:t>
      </w:r>
      <w:proofErr w:type="spellStart"/>
      <w:r>
        <w:t>Mosston</w:t>
      </w:r>
      <w:proofErr w:type="spellEnd"/>
      <w:r>
        <w:t xml:space="preserve"> and Ashworth, 2008) stage for teachers. With Youth Sport Trust (n.d.) identifying ways to support students and </w:t>
      </w:r>
      <w:proofErr w:type="gramStart"/>
      <w:r>
        <w:t>teachers</w:t>
      </w:r>
      <w:proofErr w:type="gramEnd"/>
      <w:r>
        <w:t xml:space="preserve"> interactions to further understanding of each student. Then identifying the use of S.T.E.P Tool for the modification of games (Foster and Barber, 2021) for the support of ‘students with different abilities’ (</w:t>
      </w:r>
      <w:proofErr w:type="spellStart"/>
      <w:r>
        <w:t>Kiuppis</w:t>
      </w:r>
      <w:proofErr w:type="spellEnd"/>
      <w:r>
        <w:t xml:space="preserve">, 2018). Finally looking at </w:t>
      </w:r>
      <w:r>
        <w:rPr>
          <w:i/>
          <w:iCs/>
        </w:rPr>
        <w:t>Teaching PE for SEND</w:t>
      </w:r>
      <w:r>
        <w:t xml:space="preserve">, which identified the needs for continued change in PE (Coates and Vickerman, 2008 cited in Vickerman and Hayes, 2013). As well as supporting the further need for inclusive teaching style and a </w:t>
      </w:r>
      <w:proofErr w:type="gramStart"/>
      <w:r>
        <w:t>teachers</w:t>
      </w:r>
      <w:proofErr w:type="gramEnd"/>
      <w:r>
        <w:t xml:space="preserve"> ownership of in the pre-impact stage of sessions (</w:t>
      </w:r>
      <w:proofErr w:type="spellStart"/>
      <w:r>
        <w:t>Mosston</w:t>
      </w:r>
      <w:proofErr w:type="spellEnd"/>
      <w:r>
        <w:t xml:space="preserve"> and Ashworth, 2008) this coupled with tailoring learning to a student’s needs to assist further to “meet the needs of a greater number of students (</w:t>
      </w:r>
      <w:proofErr w:type="spellStart"/>
      <w:r>
        <w:t>Theodoulides</w:t>
      </w:r>
      <w:proofErr w:type="spellEnd"/>
      <w:r>
        <w:t>, 2013).</w:t>
      </w:r>
    </w:p>
    <w:p w14:paraId="741429E5" w14:textId="77777777" w:rsidR="0018181A" w:rsidRDefault="0018181A" w:rsidP="0018181A">
      <w:pPr>
        <w:spacing w:line="360" w:lineRule="auto"/>
      </w:pPr>
      <w:r>
        <w:lastRenderedPageBreak/>
        <w:t xml:space="preserve">The next steps of this paper </w:t>
      </w:r>
      <w:proofErr w:type="gramStart"/>
      <w:r>
        <w:t>was</w:t>
      </w:r>
      <w:proofErr w:type="gramEnd"/>
      <w:r>
        <w:t xml:space="preserve"> to identify a methodology that would allow the review of number of differing resources whilst keeping students with SEND at the heart its outcomes. By </w:t>
      </w:r>
      <w:proofErr w:type="gramStart"/>
      <w:r>
        <w:t>taking into account</w:t>
      </w:r>
      <w:proofErr w:type="gramEnd"/>
      <w:r>
        <w:t xml:space="preserve"> a multifarious method it allowed for a review of patterns in data, explore diversity, acquire knowledge to construct and advance theory as well as find solutions to well defined problems (</w:t>
      </w:r>
      <w:proofErr w:type="spellStart"/>
      <w:r>
        <w:t>Gliner</w:t>
      </w:r>
      <w:proofErr w:type="spellEnd"/>
      <w:r>
        <w:t xml:space="preserve"> and Morgan, 2000 cited in Maher and Coates, 2020; Yun and Case, 2020). The methodology then used document analysis to clearly define potentially confusing data, as well as distinguishing documented resources and literature articles (Hutzler, 2020; </w:t>
      </w:r>
      <w:proofErr w:type="spellStart"/>
      <w:r>
        <w:t>Karippinen</w:t>
      </w:r>
      <w:proofErr w:type="spellEnd"/>
      <w:r>
        <w:t xml:space="preserve"> and Moe, 2012). By utilising this methodology to analyse S.T.E.P Tool resource (Table 1) it allowed for clear analysis of each resource against criteria to highlight the compliments and identify improvements of each resource in order to see patterns in both. Off the back of this it was identified that for </w:t>
      </w:r>
      <w:proofErr w:type="gramStart"/>
      <w:r>
        <w:t>this papers</w:t>
      </w:r>
      <w:proofErr w:type="gramEnd"/>
      <w:r>
        <w:t xml:space="preserve"> intended resource was to add a clear link between the sections of S.T.E.P and students with SEND.</w:t>
      </w:r>
    </w:p>
    <w:p w14:paraId="449830B3" w14:textId="66BDB375" w:rsidR="0018181A" w:rsidRDefault="0018181A" w:rsidP="0018181A">
      <w:pPr>
        <w:spacing w:line="360" w:lineRule="auto"/>
      </w:pPr>
      <w:r>
        <w:t xml:space="preserve">This resource then used evidence-based literature to influence the created resource. It then used each section of the S.T.E.P Tool and show how each section could be </w:t>
      </w:r>
      <w:proofErr w:type="gramStart"/>
      <w:r>
        <w:t>effected</w:t>
      </w:r>
      <w:proofErr w:type="gramEnd"/>
      <w:r>
        <w:t xml:space="preserve"> by each individual need. With particular focus of those with Intellectual Disabilities (</w:t>
      </w:r>
      <w:proofErr w:type="spellStart"/>
      <w:r w:rsidRPr="006578C4">
        <w:t>Pressé</w:t>
      </w:r>
      <w:proofErr w:type="spellEnd"/>
      <w:r>
        <w:t xml:space="preserve"> et al., 2011; Angulo-</w:t>
      </w:r>
      <w:proofErr w:type="spellStart"/>
      <w:r>
        <w:t>Barruso</w:t>
      </w:r>
      <w:proofErr w:type="spellEnd"/>
      <w:r>
        <w:t xml:space="preserve"> and Todd, 2016; Furrer et al., 2020), Visual Impairment (Lieberman </w:t>
      </w:r>
      <w:r w:rsidR="00CD622A">
        <w:t xml:space="preserve">and </w:t>
      </w:r>
      <w:r w:rsidR="00CD622A" w:rsidRPr="00646177">
        <w:t>Houston-Wilson</w:t>
      </w:r>
      <w:r>
        <w:t xml:space="preserve">, 2002; </w:t>
      </w:r>
      <w:proofErr w:type="spellStart"/>
      <w:r w:rsidRPr="006578C4">
        <w:t>Pressé</w:t>
      </w:r>
      <w:proofErr w:type="spellEnd"/>
      <w:r>
        <w:t xml:space="preserve"> et al., 2011; Lieberman et al., 201</w:t>
      </w:r>
      <w:r w:rsidR="00CD622A">
        <w:t>9</w:t>
      </w:r>
      <w:r>
        <w:t>) Physical Disabilities (Beaman-Evans et al., 2021; Angulo-</w:t>
      </w:r>
      <w:proofErr w:type="spellStart"/>
      <w:r>
        <w:t>Bar</w:t>
      </w:r>
      <w:r w:rsidR="00AD4327">
        <w:t>o</w:t>
      </w:r>
      <w:r>
        <w:t>sso</w:t>
      </w:r>
      <w:proofErr w:type="spellEnd"/>
      <w:r>
        <w:t xml:space="preserve"> and Todd, 201</w:t>
      </w:r>
      <w:r w:rsidR="00CD622A">
        <w:t>7</w:t>
      </w:r>
      <w:r>
        <w:t xml:space="preserve">; Goodwin and Watkinson, 2000) and Emotional Trauma (Altieri Jr. et al., 2021; Quarmby et al., 2022). </w:t>
      </w:r>
    </w:p>
    <w:p w14:paraId="1D911C45" w14:textId="77777777" w:rsidR="0018181A" w:rsidRDefault="0018181A" w:rsidP="0018181A">
      <w:pPr>
        <w:spacing w:line="360" w:lineRule="auto"/>
      </w:pPr>
      <w:r>
        <w:t xml:space="preserve">In the post creation discussion this paper then talked of the Evidence-Based and Context Based implications of the resource. By acknowledging that this resource was not the answer to all the previous identified barriers for students with SEND. It was something that would be used to improve teacher knowledge and be implemented as part of ‘student </w:t>
      </w:r>
      <w:proofErr w:type="spellStart"/>
      <w:r>
        <w:t>centered</w:t>
      </w:r>
      <w:proofErr w:type="spellEnd"/>
      <w:r>
        <w:t xml:space="preserve"> approach’ (Byra, 2006) and to be used as part of tailored, personalised or adapted curriculum (</w:t>
      </w:r>
      <w:proofErr w:type="spellStart"/>
      <w:r>
        <w:t>Theodoulides</w:t>
      </w:r>
      <w:proofErr w:type="spellEnd"/>
      <w:r>
        <w:t>, 2013; Vickerman and Hayes, 2013). As well as this, the discussion advocated for a student-teacher relationship as underpinned by literature (Quarmby et al., 2022; Bearman-Evans et al, 2021; Furrer et al., 2020).</w:t>
      </w:r>
    </w:p>
    <w:p w14:paraId="62F6435A" w14:textId="77777777" w:rsidR="0018181A" w:rsidRPr="00933998" w:rsidRDefault="0018181A" w:rsidP="0018181A">
      <w:pPr>
        <w:spacing w:line="360" w:lineRule="auto"/>
      </w:pPr>
      <w:r>
        <w:t xml:space="preserve">The future implications of this creative resource were previously acknowledged, that this was not a one-size-fits-all approach to teaching students with SEND. But rather to support teachers to improve knowledge to assist them in the planning and delivering of PE sessions. However, within certain curriculums such as the </w:t>
      </w:r>
      <w:r>
        <w:rPr>
          <w:i/>
          <w:iCs/>
        </w:rPr>
        <w:t xml:space="preserve">Curriculum for Wales </w:t>
      </w:r>
      <w:r>
        <w:t>(Welsh Government, 2020) it can be positioned as useful tool to assist in the development of learners within their ‘Health and Wellbeing’ area of learning. As the curriculum design aims to give “</w:t>
      </w:r>
      <w:r w:rsidRPr="000403E8">
        <w:t xml:space="preserve">professionals the flexibility to </w:t>
      </w:r>
      <w:r w:rsidRPr="000403E8">
        <w:lastRenderedPageBreak/>
        <w:t>identify those which are relevant to the needs of their learners, their setting or school and their community</w:t>
      </w:r>
      <w:r>
        <w:t xml:space="preserve">” (Welsh Government, 2020). This supported by a resource that has already </w:t>
      </w:r>
      <w:proofErr w:type="gramStart"/>
      <w:r>
        <w:t>taken into account</w:t>
      </w:r>
      <w:proofErr w:type="gramEnd"/>
      <w:r>
        <w:t xml:space="preserve"> the need for </w:t>
      </w:r>
      <w:proofErr w:type="gramStart"/>
      <w:r>
        <w:t>teachers</w:t>
      </w:r>
      <w:proofErr w:type="gramEnd"/>
      <w:r>
        <w:t xml:space="preserve"> flexibility in their teacher styles (</w:t>
      </w:r>
      <w:proofErr w:type="spellStart"/>
      <w:r>
        <w:t>Stidder</w:t>
      </w:r>
      <w:proofErr w:type="spellEnd"/>
      <w:r>
        <w:t xml:space="preserve">, 2013) should provide a stable platform in which to develop their learners. </w:t>
      </w:r>
    </w:p>
    <w:p w14:paraId="6C2C20F1" w14:textId="77777777" w:rsidR="0018181A" w:rsidRDefault="0018181A"/>
    <w:p w14:paraId="7A48D945" w14:textId="77777777" w:rsidR="0018181A" w:rsidRDefault="0018181A"/>
    <w:p w14:paraId="183A0EFA" w14:textId="77777777" w:rsidR="0018181A" w:rsidRDefault="0018181A"/>
    <w:p w14:paraId="438F48BD" w14:textId="77777777" w:rsidR="0018181A" w:rsidRDefault="0018181A"/>
    <w:p w14:paraId="1EC940C1" w14:textId="77777777" w:rsidR="0018181A" w:rsidRDefault="0018181A"/>
    <w:p w14:paraId="2B528529" w14:textId="77777777" w:rsidR="0018181A" w:rsidRDefault="0018181A"/>
    <w:p w14:paraId="6CAABD62" w14:textId="77777777" w:rsidR="0018181A" w:rsidRDefault="0018181A"/>
    <w:p w14:paraId="6EC696E1" w14:textId="77777777" w:rsidR="0018181A" w:rsidRDefault="0018181A"/>
    <w:p w14:paraId="68DB08DE" w14:textId="77777777" w:rsidR="0018181A" w:rsidRDefault="0018181A"/>
    <w:p w14:paraId="578B74AC" w14:textId="77777777" w:rsidR="0018181A" w:rsidRDefault="0018181A"/>
    <w:p w14:paraId="717F1043" w14:textId="77777777" w:rsidR="0018181A" w:rsidRDefault="0018181A"/>
    <w:p w14:paraId="35EF61F1" w14:textId="77777777" w:rsidR="0018181A" w:rsidRDefault="0018181A"/>
    <w:p w14:paraId="3150E6D3" w14:textId="77777777" w:rsidR="0018181A" w:rsidRDefault="0018181A"/>
    <w:p w14:paraId="1C4AF0E9" w14:textId="77777777" w:rsidR="0018181A" w:rsidRDefault="0018181A"/>
    <w:p w14:paraId="2936D1A6" w14:textId="77777777" w:rsidR="0018181A" w:rsidRDefault="0018181A"/>
    <w:p w14:paraId="50D4ABFE" w14:textId="77777777" w:rsidR="0018181A" w:rsidRDefault="0018181A"/>
    <w:p w14:paraId="19ADAD66" w14:textId="77777777" w:rsidR="0018181A" w:rsidRDefault="0018181A"/>
    <w:p w14:paraId="13927402" w14:textId="77777777" w:rsidR="0018181A" w:rsidRDefault="0018181A"/>
    <w:p w14:paraId="686E598A" w14:textId="77777777" w:rsidR="0018181A" w:rsidRDefault="0018181A"/>
    <w:p w14:paraId="52BF54B5" w14:textId="77777777" w:rsidR="0018181A" w:rsidRDefault="0018181A"/>
    <w:p w14:paraId="4E90EE3C" w14:textId="77777777" w:rsidR="0018181A" w:rsidRDefault="0018181A"/>
    <w:p w14:paraId="6F8B0E63" w14:textId="77777777" w:rsidR="0018181A" w:rsidRDefault="0018181A"/>
    <w:p w14:paraId="43A09494" w14:textId="77777777" w:rsidR="0018181A" w:rsidRDefault="0018181A"/>
    <w:p w14:paraId="3B067914" w14:textId="77777777" w:rsidR="0018181A" w:rsidRDefault="0018181A"/>
    <w:p w14:paraId="2EB53E88" w14:textId="77777777" w:rsidR="0018181A" w:rsidRDefault="0018181A"/>
    <w:p w14:paraId="1E8EDE23" w14:textId="77777777" w:rsidR="0018181A" w:rsidRDefault="0018181A"/>
    <w:p w14:paraId="0F4A786F" w14:textId="77777777" w:rsidR="0018181A" w:rsidRDefault="0018181A"/>
    <w:p w14:paraId="498E6966" w14:textId="77777777" w:rsidR="0018181A" w:rsidRDefault="0018181A" w:rsidP="0018181A">
      <w:pPr>
        <w:pStyle w:val="Heading1"/>
        <w:rPr>
          <w:rStyle w:val="BookTitle"/>
          <w:u w:val="single"/>
        </w:rPr>
      </w:pPr>
      <w:r w:rsidRPr="00881EBE">
        <w:rPr>
          <w:rStyle w:val="BookTitle"/>
          <w:u w:val="single"/>
        </w:rPr>
        <w:lastRenderedPageBreak/>
        <w:t>Reference List</w:t>
      </w:r>
    </w:p>
    <w:p w14:paraId="776E4F62" w14:textId="15C8E8FF" w:rsidR="0018181A" w:rsidRDefault="0018181A" w:rsidP="0018181A"/>
    <w:p w14:paraId="5DE860EE" w14:textId="77777777" w:rsidR="0018181A" w:rsidRDefault="0018181A" w:rsidP="0018181A">
      <w:r w:rsidRPr="0087192D">
        <w:t xml:space="preserve">Allen, G., Milne, B., </w:t>
      </w:r>
      <w:proofErr w:type="spellStart"/>
      <w:r w:rsidRPr="0087192D">
        <w:t>Velija</w:t>
      </w:r>
      <w:proofErr w:type="spellEnd"/>
      <w:r w:rsidRPr="0087192D">
        <w:t>, P. and Radley, R. (2024) </w:t>
      </w:r>
      <w:r w:rsidRPr="00977031">
        <w:rPr>
          <w:i/>
          <w:iCs/>
        </w:rPr>
        <w:t>‘Hearing their voice’:</w:t>
      </w:r>
      <w:r w:rsidRPr="0087192D">
        <w:rPr>
          <w:i/>
          <w:iCs/>
        </w:rPr>
        <w:t xml:space="preserve"> the experiences of physical education with pupils diagnosed with severe learning disabilities</w:t>
      </w:r>
      <w:r w:rsidRPr="0087192D">
        <w:t>',</w:t>
      </w:r>
      <w:r>
        <w:t xml:space="preserve"> Sport, Education and Society,</w:t>
      </w:r>
      <w:r w:rsidRPr="0087192D">
        <w:t xml:space="preserve"> 29</w:t>
      </w:r>
      <w:r>
        <w:t>(</w:t>
      </w:r>
      <w:r w:rsidRPr="0087192D">
        <w:t>3</w:t>
      </w:r>
      <w:r>
        <w:t>), Pp.</w:t>
      </w:r>
      <w:r w:rsidRPr="0087192D">
        <w:t xml:space="preserve"> 342–357</w:t>
      </w:r>
      <w:r>
        <w:t>.</w:t>
      </w:r>
    </w:p>
    <w:p w14:paraId="36DB6DE4" w14:textId="77777777" w:rsidR="0018181A" w:rsidRDefault="0018181A" w:rsidP="0018181A">
      <w:r w:rsidRPr="00000C98">
        <w:t>Altieri Jr., V., Rooney, M., Bergholz, L and McCarthy, J. (2021) 'Becoming a Student of Your Students: Trauma-Informed, Culturally Relevant Practices for Physical Education Teachers', </w:t>
      </w:r>
      <w:r w:rsidRPr="00000C98">
        <w:rPr>
          <w:i/>
          <w:iCs/>
        </w:rPr>
        <w:t>Journal of Physical Education, Recreation and Dance</w:t>
      </w:r>
      <w:r w:rsidRPr="00000C98">
        <w:t>, 92(1), Pp. 8-18. Available at: DOI: 10.1080/07303084.2021.1844539</w:t>
      </w:r>
    </w:p>
    <w:p w14:paraId="1B139F18" w14:textId="48840B05" w:rsidR="0018181A" w:rsidRDefault="007A5423" w:rsidP="0018181A">
      <w:r w:rsidRPr="007A5423">
        <w:t>Angulo-Barroso, R. and Todd, T</w:t>
      </w:r>
      <w:r w:rsidR="00C64045">
        <w:t>.</w:t>
      </w:r>
      <w:r w:rsidRPr="007A5423">
        <w:t xml:space="preserve"> (2017) 'Advances in Disability and motor </w:t>
      </w:r>
      <w:proofErr w:type="spellStart"/>
      <w:r w:rsidRPr="007A5423">
        <w:t>behavior</w:t>
      </w:r>
      <w:proofErr w:type="spellEnd"/>
      <w:r w:rsidRPr="007A5423">
        <w:t xml:space="preserve"> research', in C.D. Ennis (First edition) </w:t>
      </w:r>
      <w:r w:rsidRPr="007A5423">
        <w:rPr>
          <w:i/>
          <w:iCs/>
        </w:rPr>
        <w:t>Routledge Handbook of  Physical Education Pedagogies</w:t>
      </w:r>
      <w:r w:rsidRPr="007A5423">
        <w:t>. Abingdon: Routledge, Pp223-240.</w:t>
      </w:r>
    </w:p>
    <w:p w14:paraId="5ACB1856" w14:textId="77777777" w:rsidR="0018181A" w:rsidRDefault="0018181A" w:rsidP="0018181A">
      <w:r w:rsidRPr="00AB1D16">
        <w:t>Beaman-Evans, C., Broughton, K., Foster, R., Lasota, P., Pepperell, R. and Williams, K. (2021) 'Games', in R. Foster and :. Barber (First Edition) </w:t>
      </w:r>
      <w:r w:rsidRPr="00AB1D16">
        <w:rPr>
          <w:i/>
          <w:iCs/>
        </w:rPr>
        <w:t>Physical Education for Young People with Disabilities: A Handbook of Practical Ideas Created by Practitioners for Practitioners</w:t>
      </w:r>
      <w:r w:rsidRPr="00AB1D16">
        <w:t>. Abingdon: Routledge, Pp. 66-93.</w:t>
      </w:r>
    </w:p>
    <w:p w14:paraId="3C71730F" w14:textId="77777777" w:rsidR="0018181A" w:rsidRDefault="0018181A" w:rsidP="0018181A">
      <w:proofErr w:type="spellStart"/>
      <w:r w:rsidRPr="0063774A">
        <w:t>Behzadnia</w:t>
      </w:r>
      <w:proofErr w:type="spellEnd"/>
      <w:r w:rsidRPr="0063774A">
        <w:t xml:space="preserve">, B., Rezaei, F. &amp; Salehi, M. (2022). A need-supportive teaching approach among students with intellectual disability in physical education. </w:t>
      </w:r>
      <w:r w:rsidRPr="0063774A">
        <w:rPr>
          <w:i/>
          <w:iCs/>
        </w:rPr>
        <w:t>Psychology of Sport &amp; Exercise</w:t>
      </w:r>
      <w:r>
        <w:t xml:space="preserve">. </w:t>
      </w:r>
      <w:r w:rsidRPr="0063774A">
        <w:t>60</w:t>
      </w:r>
      <w:r>
        <w:t>.</w:t>
      </w:r>
      <w:r w:rsidRPr="0063774A">
        <w:t xml:space="preserve"> </w:t>
      </w:r>
      <w:r>
        <w:t>Pp.</w:t>
      </w:r>
      <w:r w:rsidRPr="0063774A">
        <w:t>102</w:t>
      </w:r>
      <w:r>
        <w:t>-</w:t>
      </w:r>
      <w:r w:rsidRPr="0063774A">
        <w:t>156.</w:t>
      </w:r>
    </w:p>
    <w:p w14:paraId="1139A0E2" w14:textId="081F851A" w:rsidR="0018181A" w:rsidRDefault="0018181A" w:rsidP="0018181A">
      <w:r w:rsidRPr="00F14E4D">
        <w:t>Byra, M. (2006) 'Teaching Styles and Pedagogies', in D. Kirk, D. MacDonald and M.</w:t>
      </w:r>
      <w:r>
        <w:t xml:space="preserve"> </w:t>
      </w:r>
      <w:r w:rsidRPr="00F14E4D">
        <w:t>O'Sullivan ( 1st ed.) </w:t>
      </w:r>
      <w:r w:rsidRPr="00F14E4D">
        <w:rPr>
          <w:i/>
          <w:iCs/>
        </w:rPr>
        <w:t>Handbook of Physical Education</w:t>
      </w:r>
      <w:r w:rsidRPr="00F14E4D">
        <w:t>. London: SAGE, Pp. 449-466.</w:t>
      </w:r>
    </w:p>
    <w:p w14:paraId="59B5A1D4" w14:textId="01297DD7" w:rsidR="0018181A" w:rsidRDefault="0018181A" w:rsidP="0018181A">
      <w:r w:rsidRPr="00791F04">
        <w:t xml:space="preserve">Dunn, J.C. and Zimmer, C. (2020) 'Self Determination Theory', in J.A. </w:t>
      </w:r>
      <w:proofErr w:type="spellStart"/>
      <w:r w:rsidRPr="00791F04">
        <w:t>Haegle</w:t>
      </w:r>
      <w:proofErr w:type="spellEnd"/>
      <w:r w:rsidRPr="00791F04">
        <w:t>, S.R. Hodge and D. Shapiro (1st ed.) </w:t>
      </w:r>
      <w:r w:rsidRPr="00791F04">
        <w:rPr>
          <w:i/>
          <w:iCs/>
        </w:rPr>
        <w:t>Routledge Handbook of Adapted Physical Education</w:t>
      </w:r>
      <w:r w:rsidRPr="00791F04">
        <w:t>. Abingdon: Routledge, Pp. 296-312.</w:t>
      </w:r>
    </w:p>
    <w:p w14:paraId="280E3AE0" w14:textId="77777777" w:rsidR="0018181A" w:rsidRDefault="0018181A" w:rsidP="0018181A">
      <w:r>
        <w:t xml:space="preserve">Fitzgerald, H. , Stride, A. and Drury, S. (2022) </w:t>
      </w:r>
      <w:r w:rsidRPr="00977031">
        <w:rPr>
          <w:i/>
          <w:iCs/>
        </w:rPr>
        <w:t>COVID-19, lockdown and (disability) sport</w:t>
      </w:r>
      <w:r>
        <w:rPr>
          <w:i/>
          <w:iCs/>
        </w:rPr>
        <w:t xml:space="preserve">, </w:t>
      </w:r>
      <w:r>
        <w:t>Managing Sport and Leisure.</w:t>
      </w:r>
      <w:r w:rsidRPr="00977031">
        <w:rPr>
          <w:i/>
          <w:iCs/>
        </w:rPr>
        <w:t xml:space="preserve"> </w:t>
      </w:r>
      <w:r w:rsidRPr="00977031">
        <w:t>2022</w:t>
      </w:r>
      <w:r>
        <w:t xml:space="preserve">. </w:t>
      </w:r>
      <w:r w:rsidRPr="00977031">
        <w:t>27, NOS. 1–2</w:t>
      </w:r>
      <w:r>
        <w:t>.</w:t>
      </w:r>
      <w:r w:rsidRPr="00977031">
        <w:t xml:space="preserve"> </w:t>
      </w:r>
      <w:r>
        <w:t xml:space="preserve">Pp. </w:t>
      </w:r>
      <w:r w:rsidRPr="00977031">
        <w:t>26–33</w:t>
      </w:r>
      <w:r>
        <w:t>.</w:t>
      </w:r>
    </w:p>
    <w:p w14:paraId="44F57CB1" w14:textId="77777777" w:rsidR="0018181A" w:rsidRDefault="0018181A" w:rsidP="0018181A">
      <w:r w:rsidRPr="001A03CB">
        <w:t>Foster, R. and Barber, L. (2021) </w:t>
      </w:r>
      <w:r w:rsidRPr="001A03CB">
        <w:rPr>
          <w:i/>
          <w:iCs/>
        </w:rPr>
        <w:t>Physical Education for Young People with Disabilities: A Handbook of Practical Ideas Created by Practitioners for Practitioners</w:t>
      </w:r>
      <w:r w:rsidRPr="001A03CB">
        <w:t>. First Edition. Abingdon: Routledge.</w:t>
      </w:r>
    </w:p>
    <w:p w14:paraId="332192D3" w14:textId="6E14953F" w:rsidR="0018181A" w:rsidRDefault="0018181A" w:rsidP="0018181A">
      <w:r w:rsidRPr="006C3F69">
        <w:t xml:space="preserve">Furrer, V.,  </w:t>
      </w:r>
      <w:proofErr w:type="spellStart"/>
      <w:r w:rsidRPr="006C3F69">
        <w:t>Valkanover</w:t>
      </w:r>
      <w:proofErr w:type="spellEnd"/>
      <w:r w:rsidRPr="006C3F69">
        <w:t xml:space="preserve">, S., Eckhart, M. and Nagel, S. (202) 'The Role of Teaching Strategies in Social Acceptance and Interactions; Considering Students </w:t>
      </w:r>
      <w:proofErr w:type="gramStart"/>
      <w:r>
        <w:t>W</w:t>
      </w:r>
      <w:r w:rsidRPr="006C3F69">
        <w:t>ith</w:t>
      </w:r>
      <w:proofErr w:type="gramEnd"/>
      <w:r w:rsidRPr="006C3F69">
        <w:t xml:space="preserve"> Intellectual Disabilities in Inclusive Physical Education', </w:t>
      </w:r>
      <w:r w:rsidRPr="006C3F69">
        <w:rPr>
          <w:i/>
          <w:iCs/>
        </w:rPr>
        <w:t xml:space="preserve">Front </w:t>
      </w:r>
      <w:proofErr w:type="spellStart"/>
      <w:r w:rsidRPr="006C3F69">
        <w:rPr>
          <w:i/>
          <w:iCs/>
        </w:rPr>
        <w:t>Educ</w:t>
      </w:r>
      <w:proofErr w:type="spellEnd"/>
      <w:r w:rsidRPr="006C3F69">
        <w:rPr>
          <w:i/>
          <w:iCs/>
        </w:rPr>
        <w:t>,</w:t>
      </w:r>
      <w:r w:rsidRPr="006C3F69">
        <w:t> Vol.5 , Pp. 1-19. Available</w:t>
      </w:r>
      <w:r>
        <w:t xml:space="preserve"> </w:t>
      </w:r>
      <w:r w:rsidRPr="006C3F69">
        <w:t>at: </w:t>
      </w:r>
      <w:hyperlink r:id="rId23" w:history="1">
        <w:r w:rsidRPr="006C3F69">
          <w:rPr>
            <w:rStyle w:val="Hyperlink"/>
          </w:rPr>
          <w:t>https://doi.org/10.3389/feduc.2020.586960</w:t>
        </w:r>
      </w:hyperlink>
    </w:p>
    <w:p w14:paraId="6E1AC604" w14:textId="1C435968" w:rsidR="0018181A" w:rsidRDefault="0018181A" w:rsidP="0018181A">
      <w:r w:rsidRPr="009820CD">
        <w:t xml:space="preserve">Goodwin, D.L. and Watkinson, E.J. (2000) ‘Inclusive Physical Education </w:t>
      </w:r>
      <w:proofErr w:type="gramStart"/>
      <w:r w:rsidRPr="009820CD">
        <w:t>From</w:t>
      </w:r>
      <w:proofErr w:type="gramEnd"/>
      <w:r w:rsidRPr="009820CD">
        <w:t xml:space="preserve"> the Perspective of Students with Physical Disabilities’, </w:t>
      </w:r>
      <w:r w:rsidRPr="009820CD">
        <w:rPr>
          <w:i/>
          <w:iCs/>
        </w:rPr>
        <w:t>Adapted Physical Activity Quarterly</w:t>
      </w:r>
      <w:r w:rsidRPr="009820CD">
        <w:t>, 17(2), pp. 144–160. Available at: https://research.ebsco.com/linkprocessor/plink?id=f150834a-c9fc-3ea4-85e1-3bb9b28e2c31 (Accessed: 30 March 2025).</w:t>
      </w:r>
    </w:p>
    <w:p w14:paraId="142B7095" w14:textId="77777777" w:rsidR="0018181A" w:rsidRDefault="0018181A" w:rsidP="0018181A">
      <w:r w:rsidRPr="00E14B49">
        <w:t>Haegele</w:t>
      </w:r>
      <w:r>
        <w:t>, J.A.</w:t>
      </w:r>
      <w:r w:rsidRPr="00E14B49">
        <w:t xml:space="preserve"> </w:t>
      </w:r>
      <w:r>
        <w:t>and</w:t>
      </w:r>
      <w:r w:rsidRPr="00E14B49">
        <w:t xml:space="preserve"> Zhu</w:t>
      </w:r>
      <w:r>
        <w:t>, X.</w:t>
      </w:r>
      <w:r w:rsidRPr="00E14B49">
        <w:t xml:space="preserve"> (2017) Experiences of Individuals </w:t>
      </w:r>
      <w:proofErr w:type="gramStart"/>
      <w:r w:rsidRPr="00E14B49">
        <w:t>With</w:t>
      </w:r>
      <w:proofErr w:type="gramEnd"/>
      <w:r w:rsidRPr="00E14B49">
        <w:t xml:space="preserve"> Visual Impairments in Integrated Physical Education: A Retrospective Study, </w:t>
      </w:r>
      <w:r w:rsidRPr="006B2E39">
        <w:rPr>
          <w:i/>
          <w:iCs/>
        </w:rPr>
        <w:t>Research Quarterly for Exercise and Sport</w:t>
      </w:r>
      <w:r w:rsidRPr="00E14B49">
        <w:t>, 88</w:t>
      </w:r>
      <w:r>
        <w:t>(</w:t>
      </w:r>
      <w:r w:rsidRPr="00E14B49">
        <w:t>4</w:t>
      </w:r>
      <w:r>
        <w:t>)</w:t>
      </w:r>
      <w:r w:rsidRPr="00E14B49">
        <w:t>,</w:t>
      </w:r>
      <w:r>
        <w:t>Pp.</w:t>
      </w:r>
      <w:r w:rsidRPr="00E14B49">
        <w:t xml:space="preserve"> 425-435</w:t>
      </w:r>
      <w:r>
        <w:t>. Available at:</w:t>
      </w:r>
      <w:r w:rsidRPr="00E14B49">
        <w:t xml:space="preserve"> DOI: 10.1080/02701367.2017.1346781</w:t>
      </w:r>
    </w:p>
    <w:p w14:paraId="20CC9154" w14:textId="77777777" w:rsidR="0018181A" w:rsidRDefault="0018181A" w:rsidP="0018181A">
      <w:r w:rsidRPr="00A5773F">
        <w:lastRenderedPageBreak/>
        <w:t>Hayton</w:t>
      </w:r>
      <w:r>
        <w:t>, J.W.</w:t>
      </w:r>
      <w:r w:rsidRPr="00A5773F">
        <w:t xml:space="preserve"> (2022)</w:t>
      </w:r>
      <w:r>
        <w:t>.</w:t>
      </w:r>
      <w:r w:rsidRPr="00A5773F">
        <w:t xml:space="preserve"> </w:t>
      </w:r>
      <w:r w:rsidRPr="00A5773F">
        <w:rPr>
          <w:i/>
          <w:iCs/>
        </w:rPr>
        <w:t>Facilitating Disability Sport and Physical Recreation during the Initial Months of COVID-19: Examining Organizational Innovation in Third Sector Organizations</w:t>
      </w:r>
      <w:r w:rsidRPr="00A5773F">
        <w:t>, Leisure Sciences</w:t>
      </w:r>
      <w:r>
        <w:t>.</w:t>
      </w:r>
      <w:r w:rsidRPr="00A5773F">
        <w:t xml:space="preserve"> </w:t>
      </w:r>
      <w:r>
        <w:t>46(5). Pp.658-680</w:t>
      </w:r>
    </w:p>
    <w:p w14:paraId="1002DAFD" w14:textId="55F86082" w:rsidR="0018181A" w:rsidRDefault="0018181A" w:rsidP="0018181A">
      <w:r w:rsidRPr="00827FD0">
        <w:t xml:space="preserve">Hutzler, Y. (2020) 'Evidence-based practices in adapted physical education', J.A. </w:t>
      </w:r>
      <w:proofErr w:type="spellStart"/>
      <w:r w:rsidRPr="00827FD0">
        <w:t>Haegle</w:t>
      </w:r>
      <w:proofErr w:type="spellEnd"/>
      <w:r w:rsidRPr="00827FD0">
        <w:t>,  S.R. Hodge, and D.R. Shapiro (First Edition) </w:t>
      </w:r>
      <w:r w:rsidRPr="00827FD0">
        <w:rPr>
          <w:i/>
          <w:iCs/>
        </w:rPr>
        <w:t>Routledge Handbook of Adaptive Physical Education</w:t>
      </w:r>
      <w:r w:rsidRPr="00827FD0">
        <w:t>. First Edition. Abingdon: Routledge. Pp.95-113.</w:t>
      </w:r>
    </w:p>
    <w:p w14:paraId="54940845" w14:textId="5B6CF9EE" w:rsidR="0018181A" w:rsidRDefault="0018181A" w:rsidP="0018181A">
      <w:pPr>
        <w:pStyle w:val="PlainText"/>
        <w:rPr>
          <w:rFonts w:asciiTheme="minorHAnsi" w:hAnsiTheme="minorHAnsi" w:cs="Courier New"/>
          <w:sz w:val="22"/>
          <w:szCs w:val="22"/>
        </w:rPr>
      </w:pPr>
      <w:r w:rsidRPr="00DC2711">
        <w:rPr>
          <w:rFonts w:asciiTheme="minorHAnsi" w:hAnsiTheme="minorHAnsi"/>
          <w:sz w:val="22"/>
          <w:szCs w:val="22"/>
        </w:rPr>
        <w:t>Karppinen, K. and Moe, H. (2012) ‘What we talk about when we talk about document analysis’. </w:t>
      </w:r>
      <w:r w:rsidRPr="00DC2711">
        <w:rPr>
          <w:rFonts w:asciiTheme="minorHAnsi" w:hAnsiTheme="minorHAnsi"/>
          <w:i/>
          <w:iCs/>
          <w:sz w:val="22"/>
          <w:szCs w:val="22"/>
        </w:rPr>
        <w:t xml:space="preserve">Trends in communication policy research: </w:t>
      </w:r>
      <w:proofErr w:type="gramStart"/>
      <w:r w:rsidRPr="00DC2711">
        <w:rPr>
          <w:rFonts w:asciiTheme="minorHAnsi" w:hAnsiTheme="minorHAnsi"/>
          <w:i/>
          <w:iCs/>
          <w:sz w:val="22"/>
          <w:szCs w:val="22"/>
        </w:rPr>
        <w:t>New</w:t>
      </w:r>
      <w:proofErr w:type="gramEnd"/>
      <w:r w:rsidRPr="00DC2711">
        <w:rPr>
          <w:rFonts w:asciiTheme="minorHAnsi" w:hAnsiTheme="minorHAnsi"/>
          <w:i/>
          <w:iCs/>
          <w:sz w:val="22"/>
          <w:szCs w:val="22"/>
        </w:rPr>
        <w:t xml:space="preserve"> theories, methods and subjects</w:t>
      </w:r>
      <w:r>
        <w:rPr>
          <w:rFonts w:asciiTheme="minorHAnsi" w:hAnsiTheme="minorHAnsi"/>
          <w:sz w:val="22"/>
          <w:szCs w:val="22"/>
        </w:rPr>
        <w:t>. Intellect. P</w:t>
      </w:r>
      <w:r w:rsidRPr="00DC2711">
        <w:rPr>
          <w:rFonts w:asciiTheme="minorHAnsi" w:hAnsiTheme="minorHAnsi"/>
          <w:sz w:val="22"/>
          <w:szCs w:val="22"/>
        </w:rPr>
        <w:t xml:space="preserve">p.177-193. DOI: </w:t>
      </w:r>
      <w:r w:rsidRPr="00DC2711">
        <w:rPr>
          <w:rFonts w:asciiTheme="minorHAnsi" w:hAnsiTheme="minorHAnsi" w:cs="Courier New"/>
          <w:sz w:val="22"/>
          <w:szCs w:val="22"/>
        </w:rPr>
        <w:t>10.2307/j.ctv36xvj36.12</w:t>
      </w:r>
    </w:p>
    <w:p w14:paraId="336FA83D" w14:textId="77777777" w:rsidR="00B567C6" w:rsidRPr="00262960" w:rsidRDefault="00B567C6" w:rsidP="0018181A">
      <w:pPr>
        <w:pStyle w:val="PlainText"/>
        <w:rPr>
          <w:rFonts w:asciiTheme="minorHAnsi" w:hAnsiTheme="minorHAnsi" w:cs="Courier New"/>
          <w:sz w:val="22"/>
          <w:szCs w:val="22"/>
        </w:rPr>
      </w:pPr>
    </w:p>
    <w:p w14:paraId="12171D54" w14:textId="610AAB8C" w:rsidR="0018181A" w:rsidRDefault="0018181A" w:rsidP="0018181A">
      <w:proofErr w:type="spellStart"/>
      <w:r w:rsidRPr="002548E9">
        <w:t>Kiupp</w:t>
      </w:r>
      <w:r>
        <w:t>i</w:t>
      </w:r>
      <w:r w:rsidRPr="002548E9">
        <w:t>s</w:t>
      </w:r>
      <w:proofErr w:type="spellEnd"/>
      <w:r w:rsidRPr="002548E9">
        <w:t>, F. (2018) 'Inclu</w:t>
      </w:r>
      <w:r>
        <w:t>s</w:t>
      </w:r>
      <w:r w:rsidRPr="002548E9">
        <w:t>ion in Sport: disability and participation', </w:t>
      </w:r>
      <w:r w:rsidRPr="002548E9">
        <w:rPr>
          <w:i/>
          <w:iCs/>
        </w:rPr>
        <w:t>Sport in Society</w:t>
      </w:r>
      <w:r w:rsidRPr="002548E9">
        <w:t>, 1(21), Pp. 4-21.</w:t>
      </w:r>
    </w:p>
    <w:p w14:paraId="1BCCE9EC" w14:textId="77777777" w:rsidR="0018181A" w:rsidRDefault="0018181A" w:rsidP="0018181A">
      <w:r w:rsidRPr="00646177">
        <w:t xml:space="preserve">Lieberman, L.J., </w:t>
      </w:r>
      <w:r>
        <w:t>and</w:t>
      </w:r>
      <w:r w:rsidRPr="00646177">
        <w:t xml:space="preserve"> Houston-Wilson, C. (2002). </w:t>
      </w:r>
      <w:r>
        <w:t>‘</w:t>
      </w:r>
      <w:r w:rsidRPr="00646177">
        <w:t>Perceived Barriers to Including Students with Visual Impairments in General Physical Education</w:t>
      </w:r>
      <w:r>
        <w:t>’</w:t>
      </w:r>
      <w:r w:rsidRPr="00646177">
        <w:t xml:space="preserve">. </w:t>
      </w:r>
      <w:r w:rsidRPr="0079663F">
        <w:rPr>
          <w:i/>
          <w:iCs/>
        </w:rPr>
        <w:t>Adapted Physical Activity Quarterly</w:t>
      </w:r>
      <w:r w:rsidRPr="00646177">
        <w:t>, 19(3), 364-377.</w:t>
      </w:r>
    </w:p>
    <w:p w14:paraId="13184ED9" w14:textId="51313115" w:rsidR="0018181A" w:rsidRDefault="0018181A" w:rsidP="0018181A">
      <w:r w:rsidRPr="004B11C9">
        <w:t>Lieberman,</w:t>
      </w:r>
      <w:r>
        <w:t xml:space="preserve"> L.J., </w:t>
      </w:r>
      <w:r w:rsidRPr="004B11C9">
        <w:t>Lepore,</w:t>
      </w:r>
      <w:r>
        <w:t xml:space="preserve"> M.,</w:t>
      </w:r>
      <w:r w:rsidRPr="004B11C9">
        <w:t xml:space="preserve"> Lepore-Stevens</w:t>
      </w:r>
      <w:r>
        <w:t>, M.</w:t>
      </w:r>
      <w:r w:rsidRPr="004B11C9">
        <w:t xml:space="preserve"> </w:t>
      </w:r>
      <w:r>
        <w:t>and</w:t>
      </w:r>
      <w:r w:rsidRPr="004B11C9">
        <w:t xml:space="preserve"> Ball</w:t>
      </w:r>
      <w:r>
        <w:t>, L.</w:t>
      </w:r>
      <w:r w:rsidRPr="004B11C9">
        <w:t xml:space="preserve"> (2019) </w:t>
      </w:r>
      <w:r>
        <w:t>‘</w:t>
      </w:r>
      <w:r w:rsidRPr="004B11C9">
        <w:t>Physical Education for Children with Visual Impairment or Blindness</w:t>
      </w:r>
      <w:r>
        <w:t>’</w:t>
      </w:r>
      <w:r w:rsidRPr="004B11C9">
        <w:t xml:space="preserve">, </w:t>
      </w:r>
      <w:r w:rsidRPr="002D27CE">
        <w:rPr>
          <w:i/>
          <w:iCs/>
        </w:rPr>
        <w:t>Journal of Physical Education, Recreation &amp; Dance,</w:t>
      </w:r>
      <w:r w:rsidRPr="004B11C9">
        <w:t xml:space="preserve"> 90</w:t>
      </w:r>
      <w:r>
        <w:t>(</w:t>
      </w:r>
      <w:r w:rsidRPr="004B11C9">
        <w:t>1</w:t>
      </w:r>
      <w:r>
        <w:t>)</w:t>
      </w:r>
      <w:r w:rsidRPr="004B11C9">
        <w:t>,</w:t>
      </w:r>
      <w:r>
        <w:t xml:space="preserve"> Pp.</w:t>
      </w:r>
      <w:r w:rsidRPr="004B11C9">
        <w:t xml:space="preserve"> 30-38</w:t>
      </w:r>
      <w:r>
        <w:t xml:space="preserve">. Available at: </w:t>
      </w:r>
      <w:r w:rsidRPr="004B11C9">
        <w:t>DOI: 10.1080/07303084.2018.1535340</w:t>
      </w:r>
    </w:p>
    <w:p w14:paraId="2695A89C" w14:textId="77777777" w:rsidR="0018181A" w:rsidRDefault="0018181A" w:rsidP="0018181A">
      <w:r w:rsidRPr="00B812D6">
        <w:t>Maher, A.J. and Coates, J.K. (2020) 'Utilizing theory to drive research in adapt</w:t>
      </w:r>
      <w:r>
        <w:t>ed</w:t>
      </w:r>
      <w:r w:rsidRPr="00B812D6">
        <w:t xml:space="preserve"> physical education', J.A. </w:t>
      </w:r>
      <w:proofErr w:type="spellStart"/>
      <w:r w:rsidRPr="00B812D6">
        <w:t>Haegle</w:t>
      </w:r>
      <w:proofErr w:type="spellEnd"/>
      <w:r w:rsidRPr="00B812D6">
        <w:t>,  S.R. Hodge, and D.R. Shapiro (First Edition) </w:t>
      </w:r>
      <w:r w:rsidRPr="00B812D6">
        <w:rPr>
          <w:i/>
          <w:iCs/>
        </w:rPr>
        <w:t>Routledge Handbook of Adaptive Physical Education</w:t>
      </w:r>
      <w:r w:rsidRPr="00B812D6">
        <w:t>. First Edition. Abingdon: Routledge. Pp.81-94.</w:t>
      </w:r>
    </w:p>
    <w:p w14:paraId="567230FA" w14:textId="77777777" w:rsidR="0018181A" w:rsidRDefault="0018181A" w:rsidP="0018181A">
      <w:r w:rsidRPr="00A93AEF">
        <w:t xml:space="preserve">Maher, A. J., </w:t>
      </w:r>
      <w:r>
        <w:t>and</w:t>
      </w:r>
      <w:r w:rsidRPr="00A93AEF">
        <w:t xml:space="preserve"> Fitzgerald, H. (2020) </w:t>
      </w:r>
      <w:r>
        <w:t>‘</w:t>
      </w:r>
      <w:r w:rsidRPr="00A93AEF">
        <w:t xml:space="preserve">Initial teacher education and continuing professional development: The perspectives of special school physical education </w:t>
      </w:r>
      <w:proofErr w:type="gramStart"/>
      <w:r w:rsidRPr="00A93AEF">
        <w:t>teachers</w:t>
      </w:r>
      <w:r>
        <w:t>’</w:t>
      </w:r>
      <w:proofErr w:type="gramEnd"/>
      <w:r>
        <w:t>.</w:t>
      </w:r>
      <w:r w:rsidRPr="00A93AEF">
        <w:t xml:space="preserve"> </w:t>
      </w:r>
      <w:r w:rsidRPr="003435A4">
        <w:rPr>
          <w:i/>
          <w:iCs/>
        </w:rPr>
        <w:t>Curriculum Studies in Health and Physical Education</w:t>
      </w:r>
      <w:r w:rsidRPr="00A93AEF">
        <w:t>, 11(1), 18–33.</w:t>
      </w:r>
    </w:p>
    <w:p w14:paraId="75CDCB85" w14:textId="6F66FBB5" w:rsidR="0018181A" w:rsidRDefault="0018181A" w:rsidP="0018181A">
      <w:r w:rsidRPr="00DD3747">
        <w:t>Maher, A., Van Rossum, T. and Morley D. (2022) 'Assessing the learning of pupils with special educational needs and disabilities in mainstream school physical education', </w:t>
      </w:r>
      <w:r w:rsidRPr="00DD3747">
        <w:rPr>
          <w:i/>
          <w:iCs/>
        </w:rPr>
        <w:t>British Educational Research Journal</w:t>
      </w:r>
      <w:r w:rsidRPr="00DD3747">
        <w:t>, 49(1), Pp.110-125. Available</w:t>
      </w:r>
      <w:r>
        <w:t xml:space="preserve"> </w:t>
      </w:r>
      <w:r w:rsidRPr="00DD3747">
        <w:t>at: </w:t>
      </w:r>
      <w:hyperlink r:id="rId24" w:history="1">
        <w:r w:rsidR="00147113" w:rsidRPr="009D087B">
          <w:rPr>
            <w:rStyle w:val="Hyperlink"/>
          </w:rPr>
          <w:t>https://doi.org/10.1002/berj.3832</w:t>
        </w:r>
      </w:hyperlink>
    </w:p>
    <w:p w14:paraId="7305B250" w14:textId="7B95AA52" w:rsidR="0018181A" w:rsidRDefault="00147113" w:rsidP="0018181A">
      <w:proofErr w:type="spellStart"/>
      <w:r w:rsidRPr="00147113">
        <w:t>Mosston</w:t>
      </w:r>
      <w:proofErr w:type="spellEnd"/>
      <w:r w:rsidRPr="00147113">
        <w:t>, M. and Ashworth, S. (2008) </w:t>
      </w:r>
      <w:r w:rsidRPr="00147113">
        <w:rPr>
          <w:i/>
          <w:iCs/>
        </w:rPr>
        <w:t>Teaching Physical Education</w:t>
      </w:r>
      <w:r w:rsidRPr="00147113">
        <w:t>. Pearson.</w:t>
      </w:r>
      <w:r>
        <w:t xml:space="preserve"> Available at: </w:t>
      </w:r>
      <w:hyperlink r:id="rId25" w:history="1">
        <w:r w:rsidR="0060002B" w:rsidRPr="009D087B">
          <w:rPr>
            <w:rStyle w:val="Hyperlink"/>
          </w:rPr>
          <w:t>https://spectrumofteachingstyles.org/assets/files/book/Teaching_Physical_Edu_1st_Online.pdf</w:t>
        </w:r>
      </w:hyperlink>
      <w:r w:rsidR="0060002B">
        <w:t xml:space="preserve"> </w:t>
      </w:r>
      <w:r w:rsidR="00A101F6">
        <w:t>(</w:t>
      </w:r>
      <w:r w:rsidR="0060002B">
        <w:t xml:space="preserve">Accessed: </w:t>
      </w:r>
      <w:r w:rsidR="00A101F6">
        <w:t>26/03/2025)</w:t>
      </w:r>
    </w:p>
    <w:p w14:paraId="06D5DDF1" w14:textId="74258C86" w:rsidR="0018181A" w:rsidRDefault="0018181A" w:rsidP="0018181A">
      <w:r>
        <w:t xml:space="preserve">Niemi, H. (2020) </w:t>
      </w:r>
      <w:r w:rsidRPr="00351F52">
        <w:rPr>
          <w:i/>
          <w:iCs/>
        </w:rPr>
        <w:t xml:space="preserve">Equity and Quality as Aims of Education Teachers’ Role in Educational Ecosystems </w:t>
      </w:r>
      <w:r>
        <w:t xml:space="preserve">in </w:t>
      </w:r>
      <w:r w:rsidRPr="00351F52">
        <w:t>Good Teachers for Tomorrow’s Schools Purpose, Values, and Talents in Education</w:t>
      </w:r>
      <w:r>
        <w:t xml:space="preserve">. 2021. </w:t>
      </w:r>
      <w:proofErr w:type="spellStart"/>
      <w:r w:rsidRPr="00351F52">
        <w:t>Koninklijke</w:t>
      </w:r>
      <w:proofErr w:type="spellEnd"/>
      <w:r w:rsidRPr="00351F52">
        <w:t xml:space="preserve"> Brill NV, Leiden, The Netherlands</w:t>
      </w:r>
      <w:r>
        <w:t>. Pp. 19-36.</w:t>
      </w:r>
    </w:p>
    <w:p w14:paraId="5DF4E675" w14:textId="6B3B8B06" w:rsidR="0018181A" w:rsidRPr="00131D07" w:rsidRDefault="0018181A" w:rsidP="0018181A">
      <w:r>
        <w:t xml:space="preserve">O’Connor and McNabb (2021) </w:t>
      </w:r>
      <w:r w:rsidRPr="00A5773F">
        <w:rPr>
          <w:i/>
          <w:iCs/>
        </w:rPr>
        <w:t>Improving the participation of students with special educational needs in mainstream physical education classes: a rights-based perspective</w:t>
      </w:r>
      <w:r>
        <w:rPr>
          <w:i/>
          <w:iCs/>
        </w:rPr>
        <w:t xml:space="preserve">. </w:t>
      </w:r>
      <w:r>
        <w:t>Educational Studies. 2021. 47(5). Pp. 574-590.</w:t>
      </w:r>
    </w:p>
    <w:p w14:paraId="173A022E" w14:textId="77777777" w:rsidR="0018181A" w:rsidRPr="00131D07" w:rsidRDefault="0018181A" w:rsidP="0018181A">
      <w:r w:rsidRPr="00131D07">
        <w:t xml:space="preserve">PD Net. (n.d.) </w:t>
      </w:r>
      <w:r w:rsidRPr="00131D07">
        <w:rPr>
          <w:i/>
          <w:iCs/>
        </w:rPr>
        <w:t>Inclusion in physical education and school sports</w:t>
      </w:r>
      <w:r w:rsidRPr="00131D07">
        <w:t xml:space="preserve">. Available at: </w:t>
      </w:r>
      <w:hyperlink r:id="rId26" w:tgtFrame="_new" w:history="1">
        <w:r w:rsidRPr="00131D07">
          <w:rPr>
            <w:rStyle w:val="Hyperlink"/>
          </w:rPr>
          <w:t>https://pdnet.org.uk/media/Inclusion-in-Physical-Education-and-School-Sports.pdf</w:t>
        </w:r>
      </w:hyperlink>
      <w:r w:rsidRPr="00131D07">
        <w:t xml:space="preserve"> (Accessed: 26 March 2025)</w:t>
      </w:r>
    </w:p>
    <w:p w14:paraId="67E1ABF1" w14:textId="384EE88E" w:rsidR="0018181A" w:rsidRDefault="0018181A" w:rsidP="0018181A">
      <w:proofErr w:type="spellStart"/>
      <w:r w:rsidRPr="00B63CCE">
        <w:lastRenderedPageBreak/>
        <w:t>Pressé</w:t>
      </w:r>
      <w:proofErr w:type="spellEnd"/>
      <w:r w:rsidRPr="00B63CCE">
        <w:t>,</w:t>
      </w:r>
      <w:r>
        <w:t xml:space="preserve"> C., </w:t>
      </w:r>
      <w:r w:rsidRPr="00B63CCE">
        <w:t>Block,</w:t>
      </w:r>
      <w:r>
        <w:t xml:space="preserve"> M.E., </w:t>
      </w:r>
      <w:r w:rsidRPr="00B63CCE">
        <w:t>Horton</w:t>
      </w:r>
      <w:r>
        <w:t>, M.</w:t>
      </w:r>
      <w:r w:rsidRPr="00B63CCE">
        <w:t xml:space="preserve"> </w:t>
      </w:r>
      <w:r>
        <w:t>and</w:t>
      </w:r>
      <w:r w:rsidRPr="00B63CCE">
        <w:t xml:space="preserve"> Harvey</w:t>
      </w:r>
      <w:r>
        <w:t>, W.J.</w:t>
      </w:r>
      <w:r w:rsidRPr="00B63CCE">
        <w:t xml:space="preserve"> (2011) </w:t>
      </w:r>
      <w:r>
        <w:t>‘</w:t>
      </w:r>
      <w:r w:rsidRPr="00B63CCE">
        <w:t>Adapting the Sport Education Model for Children with Disabilities</w:t>
      </w:r>
      <w:r>
        <w:t>’,</w:t>
      </w:r>
      <w:r w:rsidRPr="00B63CCE">
        <w:t xml:space="preserve"> </w:t>
      </w:r>
      <w:r w:rsidRPr="009A4A1C">
        <w:rPr>
          <w:i/>
          <w:iCs/>
        </w:rPr>
        <w:t>Journal of Physical Education</w:t>
      </w:r>
      <w:r w:rsidRPr="00B63CCE">
        <w:t>, Recreation &amp; Dance</w:t>
      </w:r>
      <w:r>
        <w:t>.</w:t>
      </w:r>
      <w:r w:rsidRPr="00B63CCE">
        <w:t xml:space="preserve"> 82</w:t>
      </w:r>
      <w:r>
        <w:t>(</w:t>
      </w:r>
      <w:r w:rsidRPr="00B63CCE">
        <w:t>3</w:t>
      </w:r>
      <w:r>
        <w:t>).</w:t>
      </w:r>
      <w:r w:rsidRPr="00B63CCE">
        <w:t xml:space="preserve"> </w:t>
      </w:r>
      <w:r>
        <w:t>Pp.</w:t>
      </w:r>
      <w:r w:rsidRPr="00B63CCE">
        <w:t>32-39</w:t>
      </w:r>
      <w:r>
        <w:t xml:space="preserve">. </w:t>
      </w:r>
      <w:r w:rsidRPr="00B63CCE">
        <w:t>DOI: 10.1080/07303084.2011.10598595</w:t>
      </w:r>
    </w:p>
    <w:p w14:paraId="06DD285E" w14:textId="580131BA" w:rsidR="0018181A" w:rsidRDefault="0018181A" w:rsidP="0018181A">
      <w:r w:rsidRPr="0072183C">
        <w:t>Quarmby,</w:t>
      </w:r>
      <w:r>
        <w:t xml:space="preserve"> T., </w:t>
      </w:r>
      <w:r w:rsidRPr="0072183C">
        <w:t>Sandford,</w:t>
      </w:r>
      <w:r>
        <w:t xml:space="preserve"> R., </w:t>
      </w:r>
      <w:r w:rsidRPr="0072183C">
        <w:t>Green,</w:t>
      </w:r>
      <w:r>
        <w:t xml:space="preserve"> R.,</w:t>
      </w:r>
      <w:r w:rsidRPr="0072183C">
        <w:t xml:space="preserve"> Hooper</w:t>
      </w:r>
      <w:r>
        <w:t>, O.</w:t>
      </w:r>
      <w:r w:rsidRPr="0072183C">
        <w:t xml:space="preserve"> </w:t>
      </w:r>
      <w:r>
        <w:t>and</w:t>
      </w:r>
      <w:r w:rsidRPr="0072183C">
        <w:t xml:space="preserve"> Avery</w:t>
      </w:r>
      <w:r>
        <w:t xml:space="preserve">, J. </w:t>
      </w:r>
      <w:r w:rsidRPr="0072183C">
        <w:t xml:space="preserve">(2022) </w:t>
      </w:r>
      <w:r>
        <w:t>‘</w:t>
      </w:r>
      <w:r w:rsidRPr="0072183C">
        <w:t>Developing evidence-informed principles for trauma-aware pedagogies in physical education</w:t>
      </w:r>
      <w:r>
        <w:t>’</w:t>
      </w:r>
      <w:r w:rsidRPr="0072183C">
        <w:t xml:space="preserve">, </w:t>
      </w:r>
      <w:r w:rsidRPr="0072183C">
        <w:rPr>
          <w:i/>
          <w:iCs/>
        </w:rPr>
        <w:t>Physical Education and Sport Pedagogy</w:t>
      </w:r>
      <w:r w:rsidRPr="0072183C">
        <w:t>, 27</w:t>
      </w:r>
      <w:r>
        <w:t>(</w:t>
      </w:r>
      <w:r w:rsidRPr="0072183C">
        <w:t>4</w:t>
      </w:r>
      <w:r>
        <w:t>)</w:t>
      </w:r>
      <w:r w:rsidRPr="0072183C">
        <w:t xml:space="preserve">, </w:t>
      </w:r>
      <w:r>
        <w:t xml:space="preserve">Pp. </w:t>
      </w:r>
      <w:r w:rsidRPr="0072183C">
        <w:t>440-454</w:t>
      </w:r>
      <w:r>
        <w:t>. Available at:</w:t>
      </w:r>
      <w:r w:rsidRPr="0072183C">
        <w:t xml:space="preserve"> DOI: 10.1080/17408989.2021.1891214 </w:t>
      </w:r>
    </w:p>
    <w:p w14:paraId="6D624A34" w14:textId="222238E0" w:rsidR="0018181A" w:rsidRDefault="00485C33" w:rsidP="0018181A">
      <w:r w:rsidRPr="000676E9">
        <w:t>Ryan, R. and Deci, E. (2017) </w:t>
      </w:r>
      <w:r w:rsidRPr="000676E9">
        <w:rPr>
          <w:i/>
          <w:iCs/>
        </w:rPr>
        <w:t>Self-Determination Theory: Basic Psychological Needs in Motivation, Development and Wellness</w:t>
      </w:r>
      <w:r w:rsidRPr="000676E9">
        <w:t>. First Edition. New York: The Guilford Press.</w:t>
      </w:r>
    </w:p>
    <w:p w14:paraId="6552D417" w14:textId="0D576C50" w:rsidR="00455A8F" w:rsidRDefault="000A75A0" w:rsidP="00455A8F">
      <w:proofErr w:type="spellStart"/>
      <w:r>
        <w:t>Stidder</w:t>
      </w:r>
      <w:proofErr w:type="spellEnd"/>
      <w:r>
        <w:t>, G</w:t>
      </w:r>
      <w:r w:rsidR="00455A8F" w:rsidRPr="00B368FA">
        <w:t>. (2013) '</w:t>
      </w:r>
      <w:r w:rsidR="00FA45CD">
        <w:t xml:space="preserve">The value of reflexivity </w:t>
      </w:r>
      <w:r w:rsidR="00C70F8E">
        <w:t>for inclusive practice in physical education</w:t>
      </w:r>
      <w:r w:rsidR="00455A8F" w:rsidRPr="00B368FA">
        <w:t xml:space="preserve">', in G. </w:t>
      </w:r>
      <w:proofErr w:type="spellStart"/>
      <w:r w:rsidR="00455A8F" w:rsidRPr="00B368FA">
        <w:t>Stidder</w:t>
      </w:r>
      <w:proofErr w:type="spellEnd"/>
      <w:r w:rsidR="00455A8F" w:rsidRPr="00B368FA">
        <w:t xml:space="preserve"> and S. Hayes (2nd ed.) </w:t>
      </w:r>
      <w:r w:rsidR="00455A8F" w:rsidRPr="00B368FA">
        <w:rPr>
          <w:i/>
          <w:iCs/>
        </w:rPr>
        <w:t>Equity and Inclusion in Physical Education and Sport</w:t>
      </w:r>
      <w:r w:rsidR="00455A8F" w:rsidRPr="00B368FA">
        <w:t xml:space="preserve">. Abingdon: Routledge, Pp. </w:t>
      </w:r>
      <w:r w:rsidR="002F27F2">
        <w:t>17-33</w:t>
      </w:r>
      <w:r w:rsidR="00455A8F" w:rsidRPr="00B368FA">
        <w:t>.</w:t>
      </w:r>
    </w:p>
    <w:p w14:paraId="2F6ED066" w14:textId="2BBB0A61" w:rsidR="0018181A" w:rsidRDefault="007E12FC" w:rsidP="0018181A">
      <w:proofErr w:type="spellStart"/>
      <w:r>
        <w:t>Stidder</w:t>
      </w:r>
      <w:proofErr w:type="spellEnd"/>
      <w:r>
        <w:t>, G</w:t>
      </w:r>
      <w:r w:rsidRPr="00B368FA">
        <w:t>.</w:t>
      </w:r>
      <w:r>
        <w:t xml:space="preserve"> and Hayes, S.</w:t>
      </w:r>
      <w:r w:rsidRPr="00B368FA">
        <w:t xml:space="preserve"> (2013) '</w:t>
      </w:r>
      <w:r w:rsidR="004B1C4E">
        <w:t xml:space="preserve">Equity and Inclusion in physical education: </w:t>
      </w:r>
      <w:r w:rsidR="004828D2">
        <w:t>themes and perspectives for practitioners’</w:t>
      </w:r>
      <w:r w:rsidRPr="00B368FA">
        <w:t xml:space="preserve">, in G. </w:t>
      </w:r>
      <w:proofErr w:type="spellStart"/>
      <w:r w:rsidRPr="00B368FA">
        <w:t>Stidder</w:t>
      </w:r>
      <w:proofErr w:type="spellEnd"/>
      <w:r w:rsidRPr="00B368FA">
        <w:t xml:space="preserve"> and S. Hayes (2nd ed.) </w:t>
      </w:r>
      <w:r w:rsidRPr="00B368FA">
        <w:rPr>
          <w:i/>
          <w:iCs/>
        </w:rPr>
        <w:t>Equity and Inclusion in Physical Education and Sport</w:t>
      </w:r>
      <w:r w:rsidRPr="00B368FA">
        <w:t xml:space="preserve">. Abingdon: Routledge, Pp. </w:t>
      </w:r>
      <w:r>
        <w:t>1-</w:t>
      </w:r>
      <w:r w:rsidR="002F27F2">
        <w:t>16</w:t>
      </w:r>
      <w:r w:rsidRPr="00B368FA">
        <w:t>.</w:t>
      </w:r>
    </w:p>
    <w:p w14:paraId="5E86528D" w14:textId="1543D003" w:rsidR="0018181A" w:rsidRDefault="0018181A" w:rsidP="0018181A">
      <w:proofErr w:type="spellStart"/>
      <w:r w:rsidRPr="00B368FA">
        <w:t>Theodoulides</w:t>
      </w:r>
      <w:proofErr w:type="spellEnd"/>
      <w:r w:rsidRPr="00B368FA">
        <w:t xml:space="preserve">, A. (2013) 'Personalised learning in physical education', in G. </w:t>
      </w:r>
      <w:proofErr w:type="spellStart"/>
      <w:r w:rsidRPr="00B368FA">
        <w:t>Stidder</w:t>
      </w:r>
      <w:proofErr w:type="spellEnd"/>
      <w:r w:rsidRPr="00B368FA">
        <w:t xml:space="preserve"> and S. Hayes (2nd ed.) </w:t>
      </w:r>
      <w:r w:rsidRPr="00B368FA">
        <w:rPr>
          <w:i/>
          <w:iCs/>
        </w:rPr>
        <w:t>Equity and Inclusion in Physical Education and Sport</w:t>
      </w:r>
      <w:r w:rsidRPr="00B368FA">
        <w:t>. Abingdon: Routledge, Pp. 34-50.</w:t>
      </w:r>
    </w:p>
    <w:p w14:paraId="62287A6B" w14:textId="67BC5478" w:rsidR="0018181A" w:rsidRDefault="0018181A" w:rsidP="0018181A">
      <w:r>
        <w:t>United Nations (1989)</w:t>
      </w:r>
      <w:r w:rsidRPr="00D024D1">
        <w:t xml:space="preserve"> UN Convention on the Rights of the Child</w:t>
      </w:r>
      <w:r>
        <w:t>. Accessed: 22/01/2025 Available at:</w:t>
      </w:r>
      <w:r w:rsidRPr="009F6BAF">
        <w:t xml:space="preserve"> </w:t>
      </w:r>
      <w:hyperlink r:id="rId27" w:history="1">
        <w:r w:rsidRPr="00953563">
          <w:rPr>
            <w:rStyle w:val="Hyperlink"/>
          </w:rPr>
          <w:t>https://www.unicef.org.uk/what-we-do/un-convention-child-rights/</w:t>
        </w:r>
      </w:hyperlink>
      <w:r>
        <w:t xml:space="preserve"> </w:t>
      </w:r>
    </w:p>
    <w:p w14:paraId="45ED3F20" w14:textId="77777777" w:rsidR="0018181A" w:rsidRDefault="0018181A" w:rsidP="0018181A">
      <w:r w:rsidRPr="0090533F">
        <w:t xml:space="preserve">Vickerman, P. and Hayes, S. (2013) 'Special educational needs and disability in physical education', in G. </w:t>
      </w:r>
      <w:proofErr w:type="spellStart"/>
      <w:r w:rsidRPr="0090533F">
        <w:t>Stidder</w:t>
      </w:r>
      <w:proofErr w:type="spellEnd"/>
      <w:r w:rsidRPr="0090533F">
        <w:t xml:space="preserve"> and S. Hayes (2nd ed.) </w:t>
      </w:r>
      <w:r w:rsidRPr="0090533F">
        <w:rPr>
          <w:i/>
          <w:iCs/>
        </w:rPr>
        <w:t>Equity and Inclusion in Physical Education and Sport</w:t>
      </w:r>
      <w:r w:rsidRPr="0090533F">
        <w:t>. Abingdon: Routledge, Pp. 51-65.</w:t>
      </w:r>
    </w:p>
    <w:p w14:paraId="399B89D0" w14:textId="77777777" w:rsidR="0018181A" w:rsidRDefault="0018181A" w:rsidP="0018181A">
      <w:r w:rsidRPr="00BC76E6">
        <w:t>Vickerman, P. and Maher, A. (2019) </w:t>
      </w:r>
      <w:r w:rsidRPr="00BC76E6">
        <w:rPr>
          <w:i/>
          <w:iCs/>
        </w:rPr>
        <w:t>Teaching Physical Education to Children with Special Educational Needs and Disabilities</w:t>
      </w:r>
      <w:r w:rsidRPr="00BC76E6">
        <w:t>. Second Edition. Abingdon: Routledge.</w:t>
      </w:r>
    </w:p>
    <w:p w14:paraId="1F02CC94" w14:textId="5C60C744" w:rsidR="0018181A" w:rsidRDefault="00B666D4" w:rsidP="0018181A">
      <w:r w:rsidRPr="00B666D4">
        <w:t>Vickerman, P., Walsh, B. and Money, J. (2020) 'Planning for and Inclusive Approach to Learning and Teaching, in S. Capel, J. Cliffe and J. Lawrence (Fifth ed.) </w:t>
      </w:r>
      <w:r w:rsidRPr="00B666D4">
        <w:rPr>
          <w:i/>
          <w:iCs/>
        </w:rPr>
        <w:t>Learning to Teach Physical Education</w:t>
      </w:r>
      <w:r w:rsidRPr="00B666D4">
        <w:t>. London: Routledge, Pp. 199-215.</w:t>
      </w:r>
    </w:p>
    <w:p w14:paraId="496EFF57" w14:textId="77777777" w:rsidR="0018181A" w:rsidRPr="005D6C4C" w:rsidRDefault="0018181A" w:rsidP="0018181A">
      <w:r>
        <w:t xml:space="preserve">Welsh Government (2020) </w:t>
      </w:r>
      <w:r>
        <w:rPr>
          <w:i/>
          <w:iCs/>
        </w:rPr>
        <w:t xml:space="preserve">Areas of Learning: Health and Wellbeing </w:t>
      </w:r>
      <w:r>
        <w:t xml:space="preserve">in Curriculum for Wales. Accessed: 22/01/2025 Available at: </w:t>
      </w:r>
      <w:hyperlink r:id="rId28" w:history="1">
        <w:r w:rsidRPr="00953563">
          <w:rPr>
            <w:rStyle w:val="Hyperlink"/>
          </w:rPr>
          <w:t>https://hwb.gov.wales/curriculum-for-wales/health-and-well-being/</w:t>
        </w:r>
      </w:hyperlink>
      <w:r>
        <w:t xml:space="preserve"> </w:t>
      </w:r>
    </w:p>
    <w:p w14:paraId="79A3637C" w14:textId="202A9A30" w:rsidR="0018181A" w:rsidRDefault="0018181A" w:rsidP="0018181A">
      <w:r>
        <w:t xml:space="preserve">World Health Organization (2020) </w:t>
      </w:r>
      <w:r w:rsidRPr="00850326">
        <w:rPr>
          <w:i/>
          <w:iCs/>
        </w:rPr>
        <w:t>WHO Guidelines on Physical Activity and Sedentary Behaviour</w:t>
      </w:r>
      <w:r>
        <w:t>. Available at:</w:t>
      </w:r>
      <w:r w:rsidRPr="007D1960">
        <w:t xml:space="preserve"> </w:t>
      </w:r>
      <w:hyperlink r:id="rId29" w:history="1">
        <w:r w:rsidRPr="00953563">
          <w:rPr>
            <w:rStyle w:val="Hyperlink"/>
          </w:rPr>
          <w:t>https://iris.who.int/bitstream/handle/10665/337001/9789240014886-eng.pdf</w:t>
        </w:r>
      </w:hyperlink>
      <w:r>
        <w:t xml:space="preserve"> (Accessed: 22/01/2025)</w:t>
      </w:r>
    </w:p>
    <w:p w14:paraId="0C2C8EA6" w14:textId="77777777" w:rsidR="0018181A" w:rsidRDefault="0018181A" w:rsidP="0018181A">
      <w:r w:rsidRPr="00731137">
        <w:t xml:space="preserve">Youth Sport Trust. (n.d.). </w:t>
      </w:r>
      <w:r w:rsidRPr="00731137">
        <w:rPr>
          <w:i/>
          <w:iCs/>
        </w:rPr>
        <w:t>Neurodiversity in sport: One-pager</w:t>
      </w:r>
      <w:r w:rsidRPr="00731137">
        <w:t xml:space="preserve">. Youth Sport Trust. Available at: </w:t>
      </w:r>
      <w:hyperlink r:id="rId30" w:tgtFrame="_new" w:history="1">
        <w:r w:rsidRPr="00731137">
          <w:rPr>
            <w:rStyle w:val="Hyperlink"/>
          </w:rPr>
          <w:t>https://www.youthsporttrust.org/media/5jdbcygx/000253_neurodiversity_one_pager_final.pdf</w:t>
        </w:r>
      </w:hyperlink>
      <w:r w:rsidRPr="00731137">
        <w:t xml:space="preserve"> </w:t>
      </w:r>
      <w:r>
        <w:t>(</w:t>
      </w:r>
      <w:r w:rsidRPr="00731137">
        <w:t>Accessed</w:t>
      </w:r>
      <w:r>
        <w:t>: 22/01/</w:t>
      </w:r>
      <w:r w:rsidRPr="00731137">
        <w:t>2025</w:t>
      </w:r>
      <w:r>
        <w:t>)</w:t>
      </w:r>
      <w:r w:rsidRPr="00731137">
        <w:t>.</w:t>
      </w:r>
    </w:p>
    <w:p w14:paraId="74EA077E" w14:textId="23817AF7" w:rsidR="0018181A" w:rsidRDefault="0018181A" w:rsidP="0018181A">
      <w:r w:rsidRPr="00883B97">
        <w:t xml:space="preserve">Yun, J. and Case, L. (2020) 'Measurement in adapted physical education research', J.A. </w:t>
      </w:r>
      <w:proofErr w:type="spellStart"/>
      <w:r w:rsidRPr="00883B97">
        <w:t>Haegle</w:t>
      </w:r>
      <w:proofErr w:type="spellEnd"/>
      <w:r w:rsidRPr="00883B97">
        <w:t>,  S.R. Hodge, and D.R. Shapiro (First Edition) </w:t>
      </w:r>
      <w:r w:rsidRPr="00883B97">
        <w:rPr>
          <w:i/>
          <w:iCs/>
        </w:rPr>
        <w:t>Routledge Handbook of Adaptive Physical Education</w:t>
      </w:r>
      <w:r w:rsidRPr="00883B97">
        <w:t>. First Edition. Abingdon: Routledge. Pp.114-130.</w:t>
      </w:r>
    </w:p>
    <w:p w14:paraId="0666F29A" w14:textId="77777777" w:rsidR="00C64045" w:rsidRDefault="00C64045" w:rsidP="0018181A"/>
    <w:p w14:paraId="7CA0841D" w14:textId="42425941" w:rsidR="0018181A" w:rsidRPr="0090122F" w:rsidRDefault="0018181A" w:rsidP="0018181A">
      <w:pPr>
        <w:rPr>
          <w:rStyle w:val="BookTitle"/>
          <w:sz w:val="44"/>
          <w:szCs w:val="44"/>
          <w:u w:val="single"/>
        </w:rPr>
      </w:pPr>
      <w:r w:rsidRPr="00713195">
        <w:rPr>
          <w:rStyle w:val="BookTitle"/>
          <w:sz w:val="44"/>
          <w:szCs w:val="44"/>
          <w:u w:val="single"/>
        </w:rPr>
        <w:lastRenderedPageBreak/>
        <w:t>Appendices</w:t>
      </w:r>
    </w:p>
    <w:p w14:paraId="34F94FCF" w14:textId="77777777" w:rsidR="0018181A" w:rsidRDefault="0018181A" w:rsidP="0018181A">
      <w:r>
        <w:rPr>
          <w:noProof/>
        </w:rPr>
        <w:drawing>
          <wp:inline distT="0" distB="0" distL="0" distR="0" wp14:anchorId="3A598324" wp14:editId="1708DD1D">
            <wp:extent cx="5731510" cy="2274570"/>
            <wp:effectExtent l="0" t="0" r="2540" b="0"/>
            <wp:docPr id="2141205764" name="Picture 1" descr="A diagram of a diagram of a person's lif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867538" name="Picture 1" descr="A diagram of a diagram of a person's life&#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274570"/>
                    </a:xfrm>
                    <a:prstGeom prst="rect">
                      <a:avLst/>
                    </a:prstGeom>
                    <a:noFill/>
                    <a:ln>
                      <a:noFill/>
                    </a:ln>
                  </pic:spPr>
                </pic:pic>
              </a:graphicData>
            </a:graphic>
          </wp:inline>
        </w:drawing>
      </w:r>
    </w:p>
    <w:p w14:paraId="5B779B07" w14:textId="77777777" w:rsidR="0018181A" w:rsidRDefault="0018181A" w:rsidP="0018181A">
      <w:r>
        <w:t>Appendix A (Foster and Barber, 2021, p.11)</w:t>
      </w:r>
    </w:p>
    <w:p w14:paraId="16834BCA" w14:textId="77777777" w:rsidR="0018181A" w:rsidRDefault="0018181A" w:rsidP="0018181A">
      <w:pPr>
        <w:rPr>
          <w:rStyle w:val="BookTitle"/>
          <w:b w:val="0"/>
          <w:bCs w:val="0"/>
          <w:i w:val="0"/>
          <w:iCs w:val="0"/>
        </w:rPr>
      </w:pPr>
    </w:p>
    <w:p w14:paraId="45FF3B9B" w14:textId="77777777" w:rsidR="0018181A" w:rsidRDefault="0018181A" w:rsidP="0018181A">
      <w:pPr>
        <w:pStyle w:val="Subtitle"/>
        <w:rPr>
          <w:rStyle w:val="BookTitle"/>
          <w:i w:val="0"/>
          <w:iCs w:val="0"/>
          <w:u w:val="single"/>
        </w:rPr>
      </w:pPr>
      <w:r>
        <w:rPr>
          <w:rStyle w:val="BookTitle"/>
          <w:i w:val="0"/>
          <w:iCs w:val="0"/>
          <w:u w:val="single"/>
        </w:rPr>
        <w:t>Appendix Reference List</w:t>
      </w:r>
    </w:p>
    <w:p w14:paraId="6B9E7E20" w14:textId="77777777" w:rsidR="0018181A" w:rsidRDefault="0018181A" w:rsidP="0018181A">
      <w:r w:rsidRPr="001A03CB">
        <w:t>Foster, R. and Barber, L. (2021) </w:t>
      </w:r>
      <w:r w:rsidRPr="001A03CB">
        <w:rPr>
          <w:i/>
          <w:iCs/>
        </w:rPr>
        <w:t>Physical Education for Young People with Disabilities: A Handbook of Practical Ideas Created by Practitioners for Practitioners</w:t>
      </w:r>
      <w:r w:rsidRPr="001A03CB">
        <w:t>. First Edition. Abingdon: Routledge.</w:t>
      </w:r>
    </w:p>
    <w:p w14:paraId="0216B264" w14:textId="77777777" w:rsidR="0018181A" w:rsidRDefault="0018181A"/>
    <w:sectPr w:rsidR="0018181A" w:rsidSect="00CA1C7C">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848D8D" w14:textId="77777777" w:rsidR="002E03FA" w:rsidRDefault="002E03FA" w:rsidP="0018181A">
      <w:pPr>
        <w:spacing w:after="0" w:line="240" w:lineRule="auto"/>
      </w:pPr>
      <w:r>
        <w:separator/>
      </w:r>
    </w:p>
  </w:endnote>
  <w:endnote w:type="continuationSeparator" w:id="0">
    <w:p w14:paraId="247E5CD6" w14:textId="77777777" w:rsidR="002E03FA" w:rsidRDefault="002E03FA" w:rsidP="001818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Open Sans">
    <w:charset w:val="00"/>
    <w:family w:val="swiss"/>
    <w:pitch w:val="variable"/>
    <w:sig w:usb0="E00002EF" w:usb1="4000205B" w:usb2="00000028" w:usb3="00000000" w:csb0="0000019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256545"/>
      <w:docPartObj>
        <w:docPartGallery w:val="Page Numbers (Bottom of Page)"/>
        <w:docPartUnique/>
      </w:docPartObj>
    </w:sdtPr>
    <w:sdtEndPr>
      <w:rPr>
        <w:noProof/>
      </w:rPr>
    </w:sdtEndPr>
    <w:sdtContent>
      <w:p w14:paraId="49956580" w14:textId="29C1E9D7" w:rsidR="00CA1C7C" w:rsidRDefault="00CA1C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7BC8C4" w14:textId="77777777" w:rsidR="00CA1C7C" w:rsidRDefault="00CA1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82BDA6" w14:textId="77777777" w:rsidR="002E03FA" w:rsidRDefault="002E03FA" w:rsidP="0018181A">
      <w:pPr>
        <w:spacing w:after="0" w:line="240" w:lineRule="auto"/>
      </w:pPr>
      <w:r>
        <w:separator/>
      </w:r>
    </w:p>
  </w:footnote>
  <w:footnote w:type="continuationSeparator" w:id="0">
    <w:p w14:paraId="2BD26AD2" w14:textId="77777777" w:rsidR="002E03FA" w:rsidRDefault="002E03FA" w:rsidP="001818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F5F8E1" w14:textId="228A9B63" w:rsidR="0018181A" w:rsidRDefault="0018181A">
    <w:pPr>
      <w:pStyle w:val="Header"/>
    </w:pPr>
    <w:r>
      <w:t>BMSS6</w:t>
    </w:r>
    <w:r w:rsidR="00CA1C7C">
      <w:t>007</w:t>
    </w:r>
    <w:r>
      <w:ptab w:relativeTo="margin" w:alignment="center" w:leader="none"/>
    </w:r>
    <w:r>
      <w:ptab w:relativeTo="margin" w:alignment="right" w:leader="none"/>
    </w:r>
    <w:r w:rsidR="00CA1C7C">
      <w:t>2200074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120D85"/>
    <w:multiLevelType w:val="hybridMultilevel"/>
    <w:tmpl w:val="85FA5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7209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EF1"/>
    <w:rsid w:val="000403E8"/>
    <w:rsid w:val="00047C39"/>
    <w:rsid w:val="00052D74"/>
    <w:rsid w:val="00055186"/>
    <w:rsid w:val="000945B6"/>
    <w:rsid w:val="000A3803"/>
    <w:rsid w:val="000A75A0"/>
    <w:rsid w:val="000F54D1"/>
    <w:rsid w:val="001057E2"/>
    <w:rsid w:val="00147113"/>
    <w:rsid w:val="00164CD9"/>
    <w:rsid w:val="0018181A"/>
    <w:rsid w:val="002455AE"/>
    <w:rsid w:val="00266C2F"/>
    <w:rsid w:val="002823BA"/>
    <w:rsid w:val="002E0185"/>
    <w:rsid w:val="002E03FA"/>
    <w:rsid w:val="002F27F2"/>
    <w:rsid w:val="00315C58"/>
    <w:rsid w:val="00423531"/>
    <w:rsid w:val="0043095E"/>
    <w:rsid w:val="00455A8F"/>
    <w:rsid w:val="004679FA"/>
    <w:rsid w:val="004828D2"/>
    <w:rsid w:val="00485843"/>
    <w:rsid w:val="00485C33"/>
    <w:rsid w:val="004B1C4E"/>
    <w:rsid w:val="004F1D7B"/>
    <w:rsid w:val="0058589E"/>
    <w:rsid w:val="005A304C"/>
    <w:rsid w:val="005A5F8A"/>
    <w:rsid w:val="005F5B03"/>
    <w:rsid w:val="0060002B"/>
    <w:rsid w:val="00617BD5"/>
    <w:rsid w:val="006755DD"/>
    <w:rsid w:val="006850E0"/>
    <w:rsid w:val="00797DEC"/>
    <w:rsid w:val="007A5423"/>
    <w:rsid w:val="007E12FC"/>
    <w:rsid w:val="00813C2E"/>
    <w:rsid w:val="008C480B"/>
    <w:rsid w:val="008E13FA"/>
    <w:rsid w:val="00933998"/>
    <w:rsid w:val="00971E1B"/>
    <w:rsid w:val="009F0657"/>
    <w:rsid w:val="00A101F6"/>
    <w:rsid w:val="00A219EC"/>
    <w:rsid w:val="00A715FF"/>
    <w:rsid w:val="00AB6BC0"/>
    <w:rsid w:val="00AD4327"/>
    <w:rsid w:val="00AE14AE"/>
    <w:rsid w:val="00B567C6"/>
    <w:rsid w:val="00B666D4"/>
    <w:rsid w:val="00B966A5"/>
    <w:rsid w:val="00BE0EF1"/>
    <w:rsid w:val="00BF5453"/>
    <w:rsid w:val="00C3027C"/>
    <w:rsid w:val="00C35657"/>
    <w:rsid w:val="00C54AAF"/>
    <w:rsid w:val="00C64045"/>
    <w:rsid w:val="00C70F8E"/>
    <w:rsid w:val="00CA038E"/>
    <w:rsid w:val="00CA1C7C"/>
    <w:rsid w:val="00CD622A"/>
    <w:rsid w:val="00D20CB7"/>
    <w:rsid w:val="00E95658"/>
    <w:rsid w:val="00ED081C"/>
    <w:rsid w:val="00F6226C"/>
    <w:rsid w:val="00FA2AF4"/>
    <w:rsid w:val="00FA4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14E15C"/>
  <w15:chartTrackingRefBased/>
  <w15:docId w15:val="{CFD5EB18-D023-4846-B3EB-3F8B35EC7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E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0E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0E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0E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0E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0E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E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E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E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E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0E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0E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0E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0E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0E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E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E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EF1"/>
    <w:rPr>
      <w:rFonts w:eastAsiaTheme="majorEastAsia" w:cstheme="majorBidi"/>
      <w:color w:val="272727" w:themeColor="text1" w:themeTint="D8"/>
    </w:rPr>
  </w:style>
  <w:style w:type="paragraph" w:styleId="Title">
    <w:name w:val="Title"/>
    <w:basedOn w:val="Normal"/>
    <w:next w:val="Normal"/>
    <w:link w:val="TitleChar"/>
    <w:uiPriority w:val="10"/>
    <w:qFormat/>
    <w:rsid w:val="00BE0E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E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E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E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EF1"/>
    <w:pPr>
      <w:spacing w:before="160"/>
      <w:jc w:val="center"/>
    </w:pPr>
    <w:rPr>
      <w:i/>
      <w:iCs/>
      <w:color w:val="404040" w:themeColor="text1" w:themeTint="BF"/>
    </w:rPr>
  </w:style>
  <w:style w:type="character" w:customStyle="1" w:styleId="QuoteChar">
    <w:name w:val="Quote Char"/>
    <w:basedOn w:val="DefaultParagraphFont"/>
    <w:link w:val="Quote"/>
    <w:uiPriority w:val="29"/>
    <w:rsid w:val="00BE0EF1"/>
    <w:rPr>
      <w:i/>
      <w:iCs/>
      <w:color w:val="404040" w:themeColor="text1" w:themeTint="BF"/>
    </w:rPr>
  </w:style>
  <w:style w:type="paragraph" w:styleId="ListParagraph">
    <w:name w:val="List Paragraph"/>
    <w:basedOn w:val="Normal"/>
    <w:uiPriority w:val="34"/>
    <w:qFormat/>
    <w:rsid w:val="00BE0EF1"/>
    <w:pPr>
      <w:ind w:left="720"/>
      <w:contextualSpacing/>
    </w:pPr>
  </w:style>
  <w:style w:type="character" w:styleId="IntenseEmphasis">
    <w:name w:val="Intense Emphasis"/>
    <w:basedOn w:val="DefaultParagraphFont"/>
    <w:uiPriority w:val="21"/>
    <w:qFormat/>
    <w:rsid w:val="00BE0EF1"/>
    <w:rPr>
      <w:i/>
      <w:iCs/>
      <w:color w:val="0F4761" w:themeColor="accent1" w:themeShade="BF"/>
    </w:rPr>
  </w:style>
  <w:style w:type="paragraph" w:styleId="IntenseQuote">
    <w:name w:val="Intense Quote"/>
    <w:basedOn w:val="Normal"/>
    <w:next w:val="Normal"/>
    <w:link w:val="IntenseQuoteChar"/>
    <w:uiPriority w:val="30"/>
    <w:qFormat/>
    <w:rsid w:val="00BE0E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0EF1"/>
    <w:rPr>
      <w:i/>
      <w:iCs/>
      <w:color w:val="0F4761" w:themeColor="accent1" w:themeShade="BF"/>
    </w:rPr>
  </w:style>
  <w:style w:type="character" w:styleId="IntenseReference">
    <w:name w:val="Intense Reference"/>
    <w:basedOn w:val="DefaultParagraphFont"/>
    <w:uiPriority w:val="32"/>
    <w:qFormat/>
    <w:rsid w:val="00BE0EF1"/>
    <w:rPr>
      <w:b/>
      <w:bCs/>
      <w:smallCaps/>
      <w:color w:val="0F4761" w:themeColor="accent1" w:themeShade="BF"/>
      <w:spacing w:val="5"/>
    </w:rPr>
  </w:style>
  <w:style w:type="character" w:styleId="SubtleEmphasis">
    <w:name w:val="Subtle Emphasis"/>
    <w:basedOn w:val="DefaultParagraphFont"/>
    <w:uiPriority w:val="19"/>
    <w:qFormat/>
    <w:rsid w:val="0018181A"/>
    <w:rPr>
      <w:i/>
      <w:iCs/>
      <w:color w:val="404040" w:themeColor="text1" w:themeTint="BF"/>
    </w:rPr>
  </w:style>
  <w:style w:type="character" w:styleId="CommentReference">
    <w:name w:val="annotation reference"/>
    <w:basedOn w:val="DefaultParagraphFont"/>
    <w:uiPriority w:val="99"/>
    <w:semiHidden/>
    <w:unhideWhenUsed/>
    <w:rsid w:val="0018181A"/>
    <w:rPr>
      <w:sz w:val="16"/>
      <w:szCs w:val="16"/>
    </w:rPr>
  </w:style>
  <w:style w:type="paragraph" w:styleId="CommentText">
    <w:name w:val="annotation text"/>
    <w:basedOn w:val="Normal"/>
    <w:link w:val="CommentTextChar"/>
    <w:uiPriority w:val="99"/>
    <w:unhideWhenUsed/>
    <w:rsid w:val="0018181A"/>
    <w:pPr>
      <w:spacing w:line="240" w:lineRule="auto"/>
    </w:pPr>
    <w:rPr>
      <w:sz w:val="20"/>
      <w:szCs w:val="20"/>
    </w:rPr>
  </w:style>
  <w:style w:type="character" w:customStyle="1" w:styleId="CommentTextChar">
    <w:name w:val="Comment Text Char"/>
    <w:basedOn w:val="DefaultParagraphFont"/>
    <w:link w:val="CommentText"/>
    <w:uiPriority w:val="99"/>
    <w:rsid w:val="0018181A"/>
    <w:rPr>
      <w:sz w:val="20"/>
      <w:szCs w:val="20"/>
    </w:rPr>
  </w:style>
  <w:style w:type="character" w:styleId="Hyperlink">
    <w:name w:val="Hyperlink"/>
    <w:basedOn w:val="DefaultParagraphFont"/>
    <w:uiPriority w:val="99"/>
    <w:unhideWhenUsed/>
    <w:rsid w:val="0018181A"/>
    <w:rPr>
      <w:color w:val="467886" w:themeColor="hyperlink"/>
      <w:u w:val="single"/>
    </w:rPr>
  </w:style>
  <w:style w:type="table" w:styleId="TableGrid">
    <w:name w:val="Table Grid"/>
    <w:basedOn w:val="TableNormal"/>
    <w:uiPriority w:val="39"/>
    <w:rsid w:val="001818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8181A"/>
    <w:rPr>
      <w:color w:val="96607D" w:themeColor="followedHyperlink"/>
      <w:u w:val="single"/>
    </w:rPr>
  </w:style>
  <w:style w:type="paragraph" w:styleId="Header">
    <w:name w:val="header"/>
    <w:basedOn w:val="Normal"/>
    <w:link w:val="HeaderChar"/>
    <w:uiPriority w:val="99"/>
    <w:unhideWhenUsed/>
    <w:rsid w:val="001818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81A"/>
  </w:style>
  <w:style w:type="character" w:styleId="BookTitle">
    <w:name w:val="Book Title"/>
    <w:basedOn w:val="DefaultParagraphFont"/>
    <w:uiPriority w:val="33"/>
    <w:qFormat/>
    <w:rsid w:val="0018181A"/>
    <w:rPr>
      <w:b/>
      <w:bCs/>
      <w:i/>
      <w:iCs/>
      <w:spacing w:val="5"/>
    </w:rPr>
  </w:style>
  <w:style w:type="paragraph" w:styleId="PlainText">
    <w:name w:val="Plain Text"/>
    <w:basedOn w:val="Normal"/>
    <w:link w:val="PlainTextChar"/>
    <w:uiPriority w:val="99"/>
    <w:unhideWhenUsed/>
    <w:rsid w:val="0018181A"/>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18181A"/>
    <w:rPr>
      <w:rFonts w:ascii="Consolas" w:hAnsi="Consolas"/>
      <w:sz w:val="21"/>
      <w:szCs w:val="21"/>
    </w:rPr>
  </w:style>
  <w:style w:type="paragraph" w:styleId="Footer">
    <w:name w:val="footer"/>
    <w:basedOn w:val="Normal"/>
    <w:link w:val="FooterChar"/>
    <w:uiPriority w:val="99"/>
    <w:unhideWhenUsed/>
    <w:rsid w:val="001818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81A"/>
  </w:style>
  <w:style w:type="character" w:styleId="UnresolvedMention">
    <w:name w:val="Unresolved Mention"/>
    <w:basedOn w:val="DefaultParagraphFont"/>
    <w:uiPriority w:val="99"/>
    <w:semiHidden/>
    <w:unhideWhenUsed/>
    <w:rsid w:val="001471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fa.com/-/media/thefacom-new/files/get-involved/disability/football-your-way/about/fa_fyw_stepguidance_210x297_v3.ashx" TargetMode="External"/><Relationship Id="rId18" Type="http://schemas.openxmlformats.org/officeDocument/2006/relationships/hyperlink" Target="https://thepehub.co.uk/blog/step-in-pe/" TargetMode="External"/><Relationship Id="rId26" Type="http://schemas.openxmlformats.org/officeDocument/2006/relationships/hyperlink" Target="https://pdnet.org.uk/media/Inclusion-in-Physical-Education-and-School-Sports.pdf" TargetMode="External"/><Relationship Id="rId3" Type="http://schemas.openxmlformats.org/officeDocument/2006/relationships/settings" Target="settings.xml"/><Relationship Id="rId21" Type="http://schemas.openxmlformats.org/officeDocument/2006/relationships/image" Target="media/image5.png"/><Relationship Id="rId34" Type="http://schemas.openxmlformats.org/officeDocument/2006/relationships/fontTable" Target="fontTable.xml"/><Relationship Id="rId7" Type="http://schemas.openxmlformats.org/officeDocument/2006/relationships/image" Target="media/image1.gif"/><Relationship Id="rId12" Type="http://schemas.openxmlformats.org/officeDocument/2006/relationships/hyperlink" Target="https://www.sport.wales/foundations/resources/step-model/" TargetMode="External"/><Relationship Id="rId17" Type="http://schemas.openxmlformats.org/officeDocument/2006/relationships/hyperlink" Target="https://phecanada.ca/sites/default/files/content/docs/Home%20Learning%20Resource/Step%20Framework/The%20STEP%20framework.pdf" TargetMode="External"/><Relationship Id="rId25" Type="http://schemas.openxmlformats.org/officeDocument/2006/relationships/hyperlink" Target="https://spectrumofteachingstyles.org/assets/files/book/Teaching_Physical_Edu_1st_Online.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roundersengland.co.uk/step-inclusion-resources-while-at-home/" TargetMode="External"/><Relationship Id="rId20" Type="http://schemas.openxmlformats.org/officeDocument/2006/relationships/image" Target="media/image4.png"/><Relationship Id="rId29" Type="http://schemas.openxmlformats.org/officeDocument/2006/relationships/hyperlink" Target="https://iris.who.int/bitstream/handle/10665/337001/9789240014886-eng.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tivityalliance.org.uk/assets/000/003/442/STEP_tips_for_disabled_people_families_and_friends_original.pdf?1651132063" TargetMode="External"/><Relationship Id="rId24" Type="http://schemas.openxmlformats.org/officeDocument/2006/relationships/hyperlink" Target="https://doi.org/10.1002/berj.3832"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scottishdisabilitysport.com/wp-content/uploads/2020/05/STEP-and-AIM.pdf" TargetMode="External"/><Relationship Id="rId23" Type="http://schemas.openxmlformats.org/officeDocument/2006/relationships/hyperlink" Target="https://doi.org/10.3389/feduc.2020.586960" TargetMode="External"/><Relationship Id="rId28" Type="http://schemas.openxmlformats.org/officeDocument/2006/relationships/hyperlink" Target="https://hwb.gov.wales/curriculum-for-wales/health-and-well-being/" TargetMode="External"/><Relationship Id="rId10" Type="http://schemas.openxmlformats.org/officeDocument/2006/relationships/image" Target="media/image3.png"/><Relationship Id="rId19" Type="http://schemas.openxmlformats.org/officeDocument/2006/relationships/hyperlink" Target="https://www.sportaus.gov.au/sports_ability/using_tree" TargetMode="External"/><Relationship Id="rId31"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ukcoaching.org/ukc-club/resources/the-step-model/" TargetMode="External"/><Relationship Id="rId22" Type="http://schemas.openxmlformats.org/officeDocument/2006/relationships/image" Target="media/image6.png"/><Relationship Id="rId27" Type="http://schemas.openxmlformats.org/officeDocument/2006/relationships/hyperlink" Target="https://www.unicef.org.uk/what-we-do/un-convention-child-rights/" TargetMode="External"/><Relationship Id="rId30" Type="http://schemas.openxmlformats.org/officeDocument/2006/relationships/hyperlink" Target="https://www.youthsporttrust.org/media/5jdbcygx/000253_neurodiversity_one_pager_final.pdf" TargetMode="External"/><Relationship Id="rId35" Type="http://schemas.openxmlformats.org/officeDocument/2006/relationships/theme" Target="theme/theme1.xml"/><Relationship Id="rId8" Type="http://schemas.openxmlformats.org/officeDocument/2006/relationships/image" Target="cid:image001.png@01D19575.6CAB1A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33</Pages>
  <Words>9580</Words>
  <Characters>58951</Characters>
  <Application>Microsoft Office Word</Application>
  <DocSecurity>0</DocSecurity>
  <Lines>491</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Dillon</dc:creator>
  <cp:keywords/>
  <dc:description/>
  <cp:lastModifiedBy>James Dillon</cp:lastModifiedBy>
  <cp:revision>52</cp:revision>
  <dcterms:created xsi:type="dcterms:W3CDTF">2025-04-03T15:15:00Z</dcterms:created>
  <dcterms:modified xsi:type="dcterms:W3CDTF">2025-04-04T00:21:00Z</dcterms:modified>
</cp:coreProperties>
</file>