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BC8E43" w14:textId="6C8615E2" w:rsidR="007344FB" w:rsidRDefault="007344FB" w:rsidP="00150298">
      <w:pPr>
        <w:spacing w:line="360" w:lineRule="auto"/>
        <w:ind w:left="720"/>
        <w:jc w:val="both"/>
        <w:rPr>
          <w:rFonts w:ascii="Arial" w:hAnsi="Arial" w:cs="Arial"/>
        </w:rPr>
      </w:pPr>
      <w:r>
        <w:rPr>
          <w:rFonts w:ascii="Arial" w:hAnsi="Arial" w:cs="Arial"/>
        </w:rPr>
        <w:t>Robina Kousar</w:t>
      </w:r>
      <w:r w:rsidR="00A901C5">
        <w:rPr>
          <w:rFonts w:ascii="Arial" w:hAnsi="Arial" w:cs="Arial"/>
        </w:rPr>
        <w:t xml:space="preserve"> 2409093</w:t>
      </w:r>
    </w:p>
    <w:p w14:paraId="69D112E8" w14:textId="4C32E03B" w:rsidR="007177C7" w:rsidRDefault="004B766A" w:rsidP="00150298">
      <w:pPr>
        <w:spacing w:line="360" w:lineRule="auto"/>
        <w:ind w:left="720"/>
        <w:jc w:val="both"/>
        <w:rPr>
          <w:rFonts w:ascii="Arial" w:hAnsi="Arial" w:cs="Arial"/>
        </w:rPr>
      </w:pPr>
      <w:r>
        <w:rPr>
          <w:rFonts w:ascii="Arial" w:hAnsi="Arial" w:cs="Arial"/>
        </w:rPr>
        <w:t xml:space="preserve">Psychology in Health and </w:t>
      </w:r>
      <w:r w:rsidR="003545BF">
        <w:rPr>
          <w:rFonts w:ascii="Arial" w:hAnsi="Arial" w:cs="Arial"/>
        </w:rPr>
        <w:t>Social care</w:t>
      </w:r>
    </w:p>
    <w:p w14:paraId="2D769D44" w14:textId="3A400373" w:rsidR="003545BF" w:rsidRDefault="003545BF" w:rsidP="00150298">
      <w:pPr>
        <w:spacing w:line="360" w:lineRule="auto"/>
        <w:ind w:left="720"/>
        <w:jc w:val="both"/>
        <w:rPr>
          <w:rFonts w:ascii="Arial" w:hAnsi="Arial" w:cs="Arial"/>
        </w:rPr>
      </w:pPr>
      <w:r>
        <w:rPr>
          <w:rFonts w:ascii="Arial" w:hAnsi="Arial" w:cs="Arial"/>
        </w:rPr>
        <w:t>LCHS4010</w:t>
      </w:r>
    </w:p>
    <w:p w14:paraId="528F387B" w14:textId="0E075429" w:rsidR="00F138C7" w:rsidRDefault="00F138C7" w:rsidP="00150298">
      <w:pPr>
        <w:spacing w:line="360" w:lineRule="auto"/>
        <w:ind w:left="720"/>
        <w:jc w:val="both"/>
        <w:rPr>
          <w:rFonts w:ascii="Arial" w:hAnsi="Arial" w:cs="Arial"/>
        </w:rPr>
      </w:pPr>
      <w:r>
        <w:rPr>
          <w:rFonts w:ascii="Arial" w:hAnsi="Arial" w:cs="Arial"/>
        </w:rPr>
        <w:t>Neale Haddon</w:t>
      </w:r>
    </w:p>
    <w:p w14:paraId="2AD831F0" w14:textId="77777777" w:rsidR="007344FB" w:rsidRDefault="007344FB" w:rsidP="00150298">
      <w:pPr>
        <w:spacing w:line="360" w:lineRule="auto"/>
        <w:ind w:left="720"/>
        <w:jc w:val="both"/>
        <w:rPr>
          <w:rFonts w:ascii="Arial" w:hAnsi="Arial" w:cs="Arial"/>
        </w:rPr>
      </w:pPr>
    </w:p>
    <w:p w14:paraId="393D88C4" w14:textId="0BAA99BA" w:rsidR="0076013F" w:rsidRPr="00150298" w:rsidRDefault="00AD5236" w:rsidP="00150298">
      <w:pPr>
        <w:spacing w:line="360" w:lineRule="auto"/>
        <w:ind w:left="720"/>
        <w:jc w:val="both"/>
        <w:rPr>
          <w:rFonts w:ascii="Arial" w:hAnsi="Arial" w:cs="Arial"/>
        </w:rPr>
      </w:pPr>
      <w:r w:rsidRPr="00150298">
        <w:rPr>
          <w:rFonts w:ascii="Arial" w:hAnsi="Arial" w:cs="Arial"/>
        </w:rPr>
        <w:t>Introduction</w:t>
      </w:r>
    </w:p>
    <w:p w14:paraId="457F8630" w14:textId="5308A2D8" w:rsidR="00551DB4" w:rsidRPr="00551DB4" w:rsidRDefault="00551DB4" w:rsidP="00150298">
      <w:pPr>
        <w:spacing w:line="360" w:lineRule="auto"/>
        <w:ind w:left="720"/>
        <w:jc w:val="both"/>
        <w:rPr>
          <w:rFonts w:ascii="Arial" w:hAnsi="Arial" w:cs="Arial"/>
        </w:rPr>
      </w:pPr>
      <w:r w:rsidRPr="00551DB4">
        <w:rPr>
          <w:rFonts w:ascii="Arial" w:hAnsi="Arial" w:cs="Arial"/>
        </w:rPr>
        <w:t xml:space="preserve">Supporting older adults in a dementia care home is a deeply human task—one that goes far beyond managing symptoms or routines. Dementia affects not only memory and cognition but also emotional wellbeing, social connection, and the ability to engage with everyday health </w:t>
      </w:r>
      <w:r w:rsidR="003C1B7E" w:rsidRPr="00150298">
        <w:rPr>
          <w:rFonts w:ascii="Arial" w:hAnsi="Arial" w:cs="Arial"/>
        </w:rPr>
        <w:t>behaviours</w:t>
      </w:r>
      <w:r w:rsidRPr="00551DB4">
        <w:rPr>
          <w:rFonts w:ascii="Arial" w:hAnsi="Arial" w:cs="Arial"/>
        </w:rPr>
        <w:t>. In this setting, encouraging positive habits like eating well, staying active, or participating in group activities can be challenging, especially when residents struggle to make sense of their environment or feel disconnected from those around them (Alzheimer’s Society, 2023).</w:t>
      </w:r>
    </w:p>
    <w:p w14:paraId="484BAEC9" w14:textId="5F4631F5" w:rsidR="00551DB4" w:rsidRPr="00551DB4" w:rsidRDefault="00551DB4" w:rsidP="00150298">
      <w:pPr>
        <w:spacing w:line="360" w:lineRule="auto"/>
        <w:ind w:left="720"/>
        <w:jc w:val="both"/>
        <w:rPr>
          <w:rFonts w:ascii="Arial" w:hAnsi="Arial" w:cs="Arial"/>
        </w:rPr>
      </w:pPr>
      <w:r w:rsidRPr="00551DB4">
        <w:rPr>
          <w:rFonts w:ascii="Arial" w:hAnsi="Arial" w:cs="Arial"/>
        </w:rPr>
        <w:t xml:space="preserve">This is where psychological theory becomes more than academic—it becomes practical. Understanding the emotional and </w:t>
      </w:r>
      <w:r w:rsidR="003C1B7E" w:rsidRPr="00150298">
        <w:rPr>
          <w:rFonts w:ascii="Arial" w:hAnsi="Arial" w:cs="Arial"/>
        </w:rPr>
        <w:t>behavioural</w:t>
      </w:r>
      <w:r w:rsidRPr="00551DB4">
        <w:rPr>
          <w:rFonts w:ascii="Arial" w:hAnsi="Arial" w:cs="Arial"/>
        </w:rPr>
        <w:t xml:space="preserve"> needs of people with dementia helps care professionals respond with empathy and intention. In this essay, I’ll explore two key psychological frameworks: Maslow’s Hierarchy of Needs (Maslow, 1943) and Bandura’s Social Learning Theory (Bandura, 1977). These theories offer valuable insights into how residents experience care, and how staff can support them in ways that feel safe, familiar, and empowering.</w:t>
      </w:r>
    </w:p>
    <w:p w14:paraId="1A7D3C93" w14:textId="77777777" w:rsidR="00551DB4" w:rsidRPr="00551DB4" w:rsidRDefault="00551DB4" w:rsidP="00150298">
      <w:pPr>
        <w:spacing w:line="360" w:lineRule="auto"/>
        <w:ind w:left="720"/>
        <w:jc w:val="both"/>
        <w:rPr>
          <w:rFonts w:ascii="Arial" w:hAnsi="Arial" w:cs="Arial"/>
        </w:rPr>
      </w:pPr>
      <w:r w:rsidRPr="00551DB4">
        <w:rPr>
          <w:rFonts w:ascii="Arial" w:hAnsi="Arial" w:cs="Arial"/>
        </w:rPr>
        <w:t>By applying these models to the dementia care context, I hope to show how psychology can guide more person-centred care—where routines are not just followed, but felt, and where wellbeing is nurtured through understanding, not just instruction.</w:t>
      </w:r>
    </w:p>
    <w:p w14:paraId="4EBBE8A4" w14:textId="380E29C1" w:rsidR="000965E8" w:rsidRPr="000965E8" w:rsidRDefault="000965E8" w:rsidP="00150298">
      <w:pPr>
        <w:spacing w:line="360" w:lineRule="auto"/>
        <w:ind w:left="720"/>
        <w:jc w:val="both"/>
        <w:rPr>
          <w:rFonts w:ascii="Arial" w:hAnsi="Arial" w:cs="Arial"/>
        </w:rPr>
      </w:pPr>
    </w:p>
    <w:p w14:paraId="19D8B532" w14:textId="77777777" w:rsidR="000965E8" w:rsidRPr="000965E8" w:rsidRDefault="000965E8" w:rsidP="00150298">
      <w:pPr>
        <w:spacing w:line="360" w:lineRule="auto"/>
        <w:ind w:left="720"/>
        <w:jc w:val="both"/>
        <w:rPr>
          <w:rFonts w:ascii="Arial" w:hAnsi="Arial" w:cs="Arial"/>
        </w:rPr>
      </w:pPr>
      <w:r w:rsidRPr="000965E8">
        <w:rPr>
          <w:rFonts w:ascii="Arial" w:hAnsi="Arial" w:cs="Arial"/>
        </w:rPr>
        <w:t>Selected Psychological Theories</w:t>
      </w:r>
    </w:p>
    <w:p w14:paraId="29ABFBEF" w14:textId="31795AB5" w:rsidR="000965E8" w:rsidRPr="000965E8" w:rsidRDefault="000965E8" w:rsidP="00150298">
      <w:pPr>
        <w:spacing w:line="360" w:lineRule="auto"/>
        <w:ind w:left="720"/>
        <w:jc w:val="both"/>
        <w:rPr>
          <w:rFonts w:ascii="Arial" w:hAnsi="Arial" w:cs="Arial"/>
        </w:rPr>
      </w:pPr>
      <w:r w:rsidRPr="000965E8">
        <w:rPr>
          <w:rFonts w:ascii="Arial" w:hAnsi="Arial" w:cs="Arial"/>
        </w:rPr>
        <w:t>When supporting older adults with dementia, it’s easy to focus on the practical tasks</w:t>
      </w:r>
      <w:r w:rsidR="003C1B7E" w:rsidRPr="00150298">
        <w:rPr>
          <w:rFonts w:ascii="Arial" w:hAnsi="Arial" w:cs="Arial"/>
        </w:rPr>
        <w:t xml:space="preserve">, </w:t>
      </w:r>
      <w:r w:rsidRPr="000965E8">
        <w:rPr>
          <w:rFonts w:ascii="Arial" w:hAnsi="Arial" w:cs="Arial"/>
        </w:rPr>
        <w:t xml:space="preserve">medication, safety, nutrition. But behind those routines are people trying to make sense of a world that often feels unfamiliar. That’s why understanding the psychology behind </w:t>
      </w:r>
      <w:r w:rsidR="003C1B7E" w:rsidRPr="00150298">
        <w:rPr>
          <w:rFonts w:ascii="Arial" w:hAnsi="Arial" w:cs="Arial"/>
        </w:rPr>
        <w:t>behaviour</w:t>
      </w:r>
      <w:r w:rsidRPr="000965E8">
        <w:rPr>
          <w:rFonts w:ascii="Arial" w:hAnsi="Arial" w:cs="Arial"/>
        </w:rPr>
        <w:t xml:space="preserve"> is so important. Two theories that have helped me think more deeply about this are Maslow’s Hierarchy of Needs and Piaget’s Cognitive Development Theory. They offer different perspectives, but both remind us that care should start with empathy.</w:t>
      </w:r>
    </w:p>
    <w:p w14:paraId="45ECBF37" w14:textId="56916184" w:rsidR="000965E8" w:rsidRPr="000965E8" w:rsidRDefault="000965E8" w:rsidP="00150298">
      <w:pPr>
        <w:spacing w:line="360" w:lineRule="auto"/>
        <w:ind w:left="720"/>
        <w:jc w:val="both"/>
        <w:rPr>
          <w:rFonts w:ascii="Arial" w:hAnsi="Arial" w:cs="Arial"/>
        </w:rPr>
      </w:pPr>
      <w:r w:rsidRPr="000965E8">
        <w:rPr>
          <w:rFonts w:ascii="Arial" w:hAnsi="Arial" w:cs="Arial"/>
        </w:rPr>
        <w:lastRenderedPageBreak/>
        <w:t>Maslow’s Hierarchy of Needs</w:t>
      </w:r>
    </w:p>
    <w:p w14:paraId="26706E15" w14:textId="17C99F42" w:rsidR="000965E8" w:rsidRPr="000965E8" w:rsidRDefault="000965E8" w:rsidP="00150298">
      <w:pPr>
        <w:spacing w:line="360" w:lineRule="auto"/>
        <w:ind w:left="720"/>
        <w:jc w:val="both"/>
        <w:rPr>
          <w:rFonts w:ascii="Arial" w:hAnsi="Arial" w:cs="Arial"/>
        </w:rPr>
      </w:pPr>
      <w:r w:rsidRPr="000965E8">
        <w:rPr>
          <w:rFonts w:ascii="Arial" w:hAnsi="Arial" w:cs="Arial"/>
        </w:rPr>
        <w:t>Maslow’s theory suggests that people are motivated by a series of layered needs, starting with the basics</w:t>
      </w:r>
      <w:r w:rsidR="003C1B7E" w:rsidRPr="00150298">
        <w:rPr>
          <w:rFonts w:ascii="Arial" w:hAnsi="Arial" w:cs="Arial"/>
        </w:rPr>
        <w:t>,</w:t>
      </w:r>
      <w:r w:rsidR="009379A6" w:rsidRPr="00150298">
        <w:rPr>
          <w:rFonts w:ascii="Arial" w:hAnsi="Arial" w:cs="Arial"/>
        </w:rPr>
        <w:t xml:space="preserve"> </w:t>
      </w:r>
      <w:r w:rsidRPr="000965E8">
        <w:rPr>
          <w:rFonts w:ascii="Arial" w:hAnsi="Arial" w:cs="Arial"/>
        </w:rPr>
        <w:t>food, warmth, safety</w:t>
      </w:r>
      <w:r w:rsidR="009379A6" w:rsidRPr="00150298">
        <w:rPr>
          <w:rFonts w:ascii="Arial" w:hAnsi="Arial" w:cs="Arial"/>
        </w:rPr>
        <w:t xml:space="preserve"> </w:t>
      </w:r>
      <w:r w:rsidRPr="000965E8">
        <w:rPr>
          <w:rFonts w:ascii="Arial" w:hAnsi="Arial" w:cs="Arial"/>
        </w:rPr>
        <w:t>and moving up to emotional and psychological needs like belonging, self-esteem, and personal growth (Maslow, 1943). In a dementia care home, this framework feels especially relevant. If a resident is anxious or withdrawn, it might not be because they’re refusing care</w:t>
      </w:r>
      <w:r w:rsidR="009379A6" w:rsidRPr="00150298">
        <w:rPr>
          <w:rFonts w:ascii="Arial" w:hAnsi="Arial" w:cs="Arial"/>
        </w:rPr>
        <w:t xml:space="preserve"> </w:t>
      </w:r>
      <w:r w:rsidRPr="000965E8">
        <w:rPr>
          <w:rFonts w:ascii="Arial" w:hAnsi="Arial" w:cs="Arial"/>
        </w:rPr>
        <w:t>it could be that their need for safety or connection isn’t being met.</w:t>
      </w:r>
    </w:p>
    <w:p w14:paraId="423BF1F2" w14:textId="2FAF97B4" w:rsidR="000965E8" w:rsidRPr="000965E8" w:rsidRDefault="000965E8" w:rsidP="00150298">
      <w:pPr>
        <w:spacing w:line="360" w:lineRule="auto"/>
        <w:ind w:left="720"/>
        <w:jc w:val="both"/>
        <w:rPr>
          <w:rFonts w:ascii="Arial" w:hAnsi="Arial" w:cs="Arial"/>
        </w:rPr>
      </w:pPr>
      <w:r w:rsidRPr="000965E8">
        <w:rPr>
          <w:rFonts w:ascii="Arial" w:hAnsi="Arial" w:cs="Arial"/>
        </w:rPr>
        <w:t>I’ve seen how small changes can make a big difference. A familiar blanket, a consistent routine, or a trusted carer can help someone feel more secure. And when those foundational needs are met, residents often become more open to engaging</w:t>
      </w:r>
      <w:r w:rsidR="009379A6" w:rsidRPr="00150298">
        <w:rPr>
          <w:rFonts w:ascii="Arial" w:hAnsi="Arial" w:cs="Arial"/>
        </w:rPr>
        <w:t xml:space="preserve">, </w:t>
      </w:r>
      <w:r w:rsidRPr="000965E8">
        <w:rPr>
          <w:rFonts w:ascii="Arial" w:hAnsi="Arial" w:cs="Arial"/>
        </w:rPr>
        <w:t>whether that’s joining a music session or simply accepting help with personal care. Maslow’s model reminds us that wellbeing isn’t just physical; it’s layered, and deeply personal (McLeod, 2018; Thompson, 2016).</w:t>
      </w:r>
    </w:p>
    <w:p w14:paraId="10BDB459" w14:textId="2256F07A" w:rsidR="000965E8" w:rsidRPr="000965E8" w:rsidRDefault="000965E8" w:rsidP="00150298">
      <w:pPr>
        <w:spacing w:line="360" w:lineRule="auto"/>
        <w:ind w:left="720"/>
        <w:jc w:val="both"/>
        <w:rPr>
          <w:rFonts w:ascii="Arial" w:hAnsi="Arial" w:cs="Arial"/>
        </w:rPr>
      </w:pPr>
      <w:r w:rsidRPr="000965E8">
        <w:rPr>
          <w:rFonts w:ascii="Arial" w:hAnsi="Arial" w:cs="Arial"/>
        </w:rPr>
        <w:t>Piaget’s Cognitive Development Theory</w:t>
      </w:r>
    </w:p>
    <w:p w14:paraId="58BC6F3B" w14:textId="77777777" w:rsidR="000965E8" w:rsidRPr="000965E8" w:rsidRDefault="000965E8" w:rsidP="00150298">
      <w:pPr>
        <w:spacing w:line="360" w:lineRule="auto"/>
        <w:ind w:left="720"/>
        <w:jc w:val="both"/>
        <w:rPr>
          <w:rFonts w:ascii="Arial" w:hAnsi="Arial" w:cs="Arial"/>
        </w:rPr>
      </w:pPr>
      <w:r w:rsidRPr="000965E8">
        <w:rPr>
          <w:rFonts w:ascii="Arial" w:hAnsi="Arial" w:cs="Arial"/>
        </w:rPr>
        <w:t>Although Piaget’s theory was originally designed to explain how children learn, it’s surprisingly helpful in dementia care. Piaget described four stages of cognitive development, from sensory exploration to abstract reasoning (Piaget, 1950). In dementia, especially Alzheimer’s, people often lose the abilities linked to those later stages. They may struggle with logic or memory, and instead rely more on sensory experiences and emotional cues (Matteson et al., 1996).</w:t>
      </w:r>
    </w:p>
    <w:p w14:paraId="50040D6A" w14:textId="1B973D5F" w:rsidR="000965E8" w:rsidRPr="000965E8" w:rsidRDefault="000965E8" w:rsidP="00150298">
      <w:pPr>
        <w:spacing w:line="360" w:lineRule="auto"/>
        <w:ind w:left="720"/>
        <w:jc w:val="both"/>
        <w:rPr>
          <w:rFonts w:ascii="Arial" w:hAnsi="Arial" w:cs="Arial"/>
        </w:rPr>
      </w:pPr>
      <w:r w:rsidRPr="000965E8">
        <w:rPr>
          <w:rFonts w:ascii="Arial" w:hAnsi="Arial" w:cs="Arial"/>
        </w:rPr>
        <w:t>This doesn’t mean we treat adults like children</w:t>
      </w:r>
      <w:r w:rsidR="009379A6" w:rsidRPr="00150298">
        <w:rPr>
          <w:rFonts w:ascii="Arial" w:hAnsi="Arial" w:cs="Arial"/>
        </w:rPr>
        <w:t xml:space="preserve"> </w:t>
      </w:r>
      <w:r w:rsidRPr="000965E8">
        <w:rPr>
          <w:rFonts w:ascii="Arial" w:hAnsi="Arial" w:cs="Arial"/>
        </w:rPr>
        <w:t>but it does mean we meet them where they are. I’ve found that activities like sorting objects, listening to familiar songs, or engaging with textures can be calming and meaningful. These kinds of interactions tap into earlier cognitive stages, where the world is understood through touch, sound, and repetition (Mahoney, 2003). Piaget’s theory helps us see that cognitive decline isn’t a loss of personhood—it’s a shift in how someone connects with their surroundings.</w:t>
      </w:r>
    </w:p>
    <w:p w14:paraId="46837353" w14:textId="48F56B4E" w:rsidR="000965E8" w:rsidRPr="00150298" w:rsidRDefault="000965E8" w:rsidP="00150298">
      <w:pPr>
        <w:spacing w:line="360" w:lineRule="auto"/>
        <w:ind w:left="720"/>
        <w:jc w:val="both"/>
        <w:rPr>
          <w:rFonts w:ascii="Arial" w:hAnsi="Arial" w:cs="Arial"/>
        </w:rPr>
      </w:pPr>
      <w:r w:rsidRPr="000965E8">
        <w:rPr>
          <w:rFonts w:ascii="Arial" w:hAnsi="Arial" w:cs="Arial"/>
        </w:rPr>
        <w:t>In practice, both theories encourage us to look beyond the diagnosis and see the individual. They remind us that care isn’t just about doing things for people</w:t>
      </w:r>
      <w:r w:rsidR="009379A6" w:rsidRPr="00150298">
        <w:rPr>
          <w:rFonts w:ascii="Arial" w:hAnsi="Arial" w:cs="Arial"/>
        </w:rPr>
        <w:t xml:space="preserve"> </w:t>
      </w:r>
      <w:r w:rsidRPr="000965E8">
        <w:rPr>
          <w:rFonts w:ascii="Arial" w:hAnsi="Arial" w:cs="Arial"/>
        </w:rPr>
        <w:t>it’s about understanding what matters to them.</w:t>
      </w:r>
    </w:p>
    <w:p w14:paraId="225C4C77" w14:textId="77777777" w:rsidR="00DC2DC8" w:rsidRPr="00150298" w:rsidRDefault="00DC2DC8" w:rsidP="00150298">
      <w:pPr>
        <w:spacing w:line="360" w:lineRule="auto"/>
        <w:ind w:left="720"/>
        <w:jc w:val="both"/>
        <w:rPr>
          <w:rFonts w:ascii="Arial" w:hAnsi="Arial" w:cs="Arial"/>
        </w:rPr>
      </w:pPr>
    </w:p>
    <w:p w14:paraId="7855A676" w14:textId="48C400B7" w:rsidR="00DC2DC8" w:rsidRPr="00DC2DC8" w:rsidRDefault="00DC2DC8" w:rsidP="00150298">
      <w:pPr>
        <w:spacing w:line="360" w:lineRule="auto"/>
        <w:ind w:left="720"/>
        <w:jc w:val="both"/>
        <w:rPr>
          <w:rFonts w:ascii="Arial" w:hAnsi="Arial" w:cs="Arial"/>
        </w:rPr>
      </w:pPr>
      <w:r w:rsidRPr="00DC2DC8">
        <w:rPr>
          <w:rFonts w:ascii="Arial" w:hAnsi="Arial" w:cs="Arial"/>
        </w:rPr>
        <w:t>Application to the Health and Social Care Context</w:t>
      </w:r>
    </w:p>
    <w:p w14:paraId="08DFFA74" w14:textId="77777777" w:rsidR="00DC2DC8" w:rsidRPr="00DC2DC8" w:rsidRDefault="00DC2DC8" w:rsidP="00150298">
      <w:pPr>
        <w:spacing w:line="360" w:lineRule="auto"/>
        <w:ind w:left="720"/>
        <w:jc w:val="both"/>
        <w:rPr>
          <w:rFonts w:ascii="Arial" w:hAnsi="Arial" w:cs="Arial"/>
        </w:rPr>
      </w:pPr>
      <w:r w:rsidRPr="00DC2DC8">
        <w:rPr>
          <w:rFonts w:ascii="Arial" w:hAnsi="Arial" w:cs="Arial"/>
        </w:rPr>
        <w:t xml:space="preserve">Working in a dementia care home teaches you quickly that behaviour is rarely random. Behind every moment of confusion, resistance, or silence, there’s often a need that </w:t>
      </w:r>
      <w:r w:rsidRPr="00DC2DC8">
        <w:rPr>
          <w:rFonts w:ascii="Arial" w:hAnsi="Arial" w:cs="Arial"/>
        </w:rPr>
        <w:lastRenderedPageBreak/>
        <w:t>hasn’t been met—or a feeling that hasn’t been understood. Psychological theories like Maslow’s and Piaget’s don’t just sit in textbooks; they help us make sense of these moments and respond with empathy rather than frustration.</w:t>
      </w:r>
    </w:p>
    <w:p w14:paraId="1397E8D1" w14:textId="53EE384A" w:rsidR="00DC2DC8" w:rsidRPr="00DC2DC8" w:rsidRDefault="00DC2DC8" w:rsidP="00150298">
      <w:pPr>
        <w:spacing w:line="360" w:lineRule="auto"/>
        <w:ind w:left="720"/>
        <w:jc w:val="both"/>
        <w:rPr>
          <w:rFonts w:ascii="Arial" w:hAnsi="Arial" w:cs="Arial"/>
        </w:rPr>
      </w:pPr>
      <w:r w:rsidRPr="00DC2DC8">
        <w:rPr>
          <w:rFonts w:ascii="Arial" w:hAnsi="Arial" w:cs="Arial"/>
        </w:rPr>
        <w:t>Maslow’s Hierarchy of Needs in Practice</w:t>
      </w:r>
    </w:p>
    <w:p w14:paraId="45CB6800" w14:textId="77777777" w:rsidR="00DC2DC8" w:rsidRPr="00DC2DC8" w:rsidRDefault="00DC2DC8" w:rsidP="00150298">
      <w:pPr>
        <w:spacing w:line="360" w:lineRule="auto"/>
        <w:ind w:left="720"/>
        <w:jc w:val="both"/>
        <w:rPr>
          <w:rFonts w:ascii="Arial" w:hAnsi="Arial" w:cs="Arial"/>
        </w:rPr>
      </w:pPr>
      <w:r w:rsidRPr="00DC2DC8">
        <w:rPr>
          <w:rFonts w:ascii="Arial" w:hAnsi="Arial" w:cs="Arial"/>
        </w:rPr>
        <w:t>Maslow’s theory reminds us that wellbeing is layered. In dementia care, those layers can shift daily. A resident might refuse to eat, not because they’re being difficult, but because they feel anxious, disoriented, or simply don’t recognise the food in front of them (McLeod, 2018). If we look at behaviour through Maslow’s lens, we start asking different questions: Is this person feeling safe? Do they know who’s caring for them today? Have they had a chance to connect with someone familiar?</w:t>
      </w:r>
    </w:p>
    <w:p w14:paraId="2761AC2E" w14:textId="126D8425" w:rsidR="00DC2DC8" w:rsidRPr="00DC2DC8" w:rsidRDefault="00DC2DC8" w:rsidP="00150298">
      <w:pPr>
        <w:spacing w:line="360" w:lineRule="auto"/>
        <w:ind w:left="720"/>
        <w:jc w:val="both"/>
        <w:rPr>
          <w:rFonts w:ascii="Arial" w:hAnsi="Arial" w:cs="Arial"/>
        </w:rPr>
      </w:pPr>
      <w:r w:rsidRPr="00DC2DC8">
        <w:rPr>
          <w:rFonts w:ascii="Arial" w:hAnsi="Arial" w:cs="Arial"/>
        </w:rPr>
        <w:t xml:space="preserve">Meeting physiological and safety needs—through gentle routines, familiar faces, and a calm environment—can help residents feel more grounded. Once those needs are met, we often see a change. Someone who was withdrawn might start humming along to a song they </w:t>
      </w:r>
      <w:r w:rsidR="005D59FB" w:rsidRPr="00DC2DC8">
        <w:rPr>
          <w:rFonts w:ascii="Arial" w:hAnsi="Arial" w:cs="Arial"/>
        </w:rPr>
        <w:t>recognise or</w:t>
      </w:r>
      <w:r w:rsidRPr="00DC2DC8">
        <w:rPr>
          <w:rFonts w:ascii="Arial" w:hAnsi="Arial" w:cs="Arial"/>
        </w:rPr>
        <w:t xml:space="preserve"> reach out for a hand during a group activity. These small moments matter. They show us that even when words fade, emotional needs remain strong (Thompson, 2016).</w:t>
      </w:r>
    </w:p>
    <w:p w14:paraId="691734EE" w14:textId="10B9B1E7" w:rsidR="00DC2DC8" w:rsidRPr="00DC2DC8" w:rsidRDefault="00DC2DC8" w:rsidP="00150298">
      <w:pPr>
        <w:spacing w:line="360" w:lineRule="auto"/>
        <w:ind w:left="720"/>
        <w:jc w:val="both"/>
        <w:rPr>
          <w:rFonts w:ascii="Arial" w:hAnsi="Arial" w:cs="Arial"/>
        </w:rPr>
      </w:pPr>
      <w:r w:rsidRPr="00DC2DC8">
        <w:rPr>
          <w:rFonts w:ascii="Arial" w:hAnsi="Arial" w:cs="Arial"/>
        </w:rPr>
        <w:t>Piaget’s Cognitive Theory in Practice</w:t>
      </w:r>
    </w:p>
    <w:p w14:paraId="3A566E98" w14:textId="77777777" w:rsidR="00DC2DC8" w:rsidRPr="00DC2DC8" w:rsidRDefault="00DC2DC8" w:rsidP="00150298">
      <w:pPr>
        <w:spacing w:line="360" w:lineRule="auto"/>
        <w:ind w:left="720"/>
        <w:jc w:val="both"/>
        <w:rPr>
          <w:rFonts w:ascii="Arial" w:hAnsi="Arial" w:cs="Arial"/>
        </w:rPr>
      </w:pPr>
      <w:r w:rsidRPr="00DC2DC8">
        <w:rPr>
          <w:rFonts w:ascii="Arial" w:hAnsi="Arial" w:cs="Arial"/>
        </w:rPr>
        <w:t>Piaget’s theory, though originally focused on childhood development, offers a surprisingly compassionate way to understand cognitive decline. Dementia often strips away the ability to reason abstractly or follow complex instructions. But it doesn’t erase the person. It simply changes how they experience the world (Matteson et al., 1996).</w:t>
      </w:r>
    </w:p>
    <w:p w14:paraId="20DD98C9" w14:textId="77777777" w:rsidR="00DC2DC8" w:rsidRPr="00DC2DC8" w:rsidRDefault="00DC2DC8" w:rsidP="00150298">
      <w:pPr>
        <w:spacing w:line="360" w:lineRule="auto"/>
        <w:ind w:left="720"/>
        <w:jc w:val="both"/>
        <w:rPr>
          <w:rFonts w:ascii="Arial" w:hAnsi="Arial" w:cs="Arial"/>
        </w:rPr>
      </w:pPr>
      <w:r w:rsidRPr="00DC2DC8">
        <w:rPr>
          <w:rFonts w:ascii="Arial" w:hAnsi="Arial" w:cs="Arial"/>
        </w:rPr>
        <w:t>I’ve seen residents light up during sensory activities—sorting coloured fabrics, smelling lavender, or listening to old songs. These aren’t just distractions; they’re ways of connecting that match where someone is cognitively. Piaget’s stages help us recognise that a person with dementia may respond better to simple, tactile experiences than to verbal prompts. It’s not about treating adults like children—it’s about honouring the way their brain now processes information (Mahoney, 2003).</w:t>
      </w:r>
    </w:p>
    <w:p w14:paraId="703B0925" w14:textId="77777777" w:rsidR="00DC2DC8" w:rsidRPr="00DC2DC8" w:rsidRDefault="00DC2DC8" w:rsidP="00150298">
      <w:pPr>
        <w:spacing w:line="360" w:lineRule="auto"/>
        <w:ind w:left="720"/>
        <w:jc w:val="both"/>
        <w:rPr>
          <w:rFonts w:ascii="Arial" w:hAnsi="Arial" w:cs="Arial"/>
        </w:rPr>
      </w:pPr>
      <w:r w:rsidRPr="00DC2DC8">
        <w:rPr>
          <w:rFonts w:ascii="Arial" w:hAnsi="Arial" w:cs="Arial"/>
        </w:rPr>
        <w:t>When we adapt our approach—slowing down, using visual cues, offering choices through touch or rhythm—we often find that residents engage more easily. They may not remember your name, but they’ll remember how you made them feel.</w:t>
      </w:r>
    </w:p>
    <w:p w14:paraId="23DABE23" w14:textId="4D3AF2CA" w:rsidR="00DC2DC8" w:rsidRPr="00DC2DC8" w:rsidRDefault="00DC2DC8" w:rsidP="00150298">
      <w:pPr>
        <w:spacing w:line="360" w:lineRule="auto"/>
        <w:ind w:left="720"/>
        <w:jc w:val="both"/>
        <w:rPr>
          <w:rFonts w:ascii="Arial" w:hAnsi="Arial" w:cs="Arial"/>
        </w:rPr>
      </w:pPr>
      <w:r w:rsidRPr="00DC2DC8">
        <w:rPr>
          <w:rFonts w:ascii="Arial" w:hAnsi="Arial" w:cs="Arial"/>
        </w:rPr>
        <w:t>What This Means for Care Practice</w:t>
      </w:r>
    </w:p>
    <w:p w14:paraId="19BD1B8F" w14:textId="77777777" w:rsidR="00DC2DC8" w:rsidRPr="00DC2DC8" w:rsidRDefault="00DC2DC8" w:rsidP="00150298">
      <w:pPr>
        <w:spacing w:line="360" w:lineRule="auto"/>
        <w:ind w:left="720"/>
        <w:jc w:val="both"/>
        <w:rPr>
          <w:rFonts w:ascii="Arial" w:hAnsi="Arial" w:cs="Arial"/>
        </w:rPr>
      </w:pPr>
      <w:r w:rsidRPr="00DC2DC8">
        <w:rPr>
          <w:rFonts w:ascii="Arial" w:hAnsi="Arial" w:cs="Arial"/>
        </w:rPr>
        <w:t xml:space="preserve">Applying these theories in real life means shifting our mindset. It’s not just about tasks—it’s about relationships. Staff need space to reflect, to learn, and to connect with </w:t>
      </w:r>
      <w:r w:rsidRPr="00DC2DC8">
        <w:rPr>
          <w:rFonts w:ascii="Arial" w:hAnsi="Arial" w:cs="Arial"/>
        </w:rPr>
        <w:lastRenderedPageBreak/>
        <w:t>residents beyond the surface. Training in psychological theory can help, but so can storytelling, supervision, and simply listening to what residents are trying to express (Alzheimer’s Society, 2023).</w:t>
      </w:r>
    </w:p>
    <w:p w14:paraId="06D7046F" w14:textId="77777777" w:rsidR="00DC2DC8" w:rsidRPr="00DC2DC8" w:rsidRDefault="00DC2DC8" w:rsidP="00150298">
      <w:pPr>
        <w:spacing w:line="360" w:lineRule="auto"/>
        <w:ind w:left="720"/>
        <w:jc w:val="both"/>
        <w:rPr>
          <w:rFonts w:ascii="Arial" w:hAnsi="Arial" w:cs="Arial"/>
        </w:rPr>
      </w:pPr>
      <w:r w:rsidRPr="00DC2DC8">
        <w:rPr>
          <w:rFonts w:ascii="Arial" w:hAnsi="Arial" w:cs="Arial"/>
        </w:rPr>
        <w:t>Behaviour becomes a language. A resident pacing the corridor might be seeking comfort. One who lashes out might be overwhelmed. When we use Maslow and Piaget to interpret these signals, we respond with care that’s not just reactive—but deeply human.</w:t>
      </w:r>
    </w:p>
    <w:p w14:paraId="386B3210" w14:textId="035E27DC" w:rsidR="00DC2DC8" w:rsidRPr="00150298" w:rsidRDefault="00DC2DC8" w:rsidP="00150298">
      <w:pPr>
        <w:spacing w:line="360" w:lineRule="auto"/>
        <w:ind w:left="720"/>
        <w:jc w:val="both"/>
        <w:rPr>
          <w:rFonts w:ascii="Arial" w:hAnsi="Arial" w:cs="Arial"/>
        </w:rPr>
      </w:pPr>
      <w:r w:rsidRPr="00DC2DC8">
        <w:rPr>
          <w:rFonts w:ascii="Arial" w:hAnsi="Arial" w:cs="Arial"/>
        </w:rPr>
        <w:t>In the end, psychological theory doesn’t give us all the answers. But it gives us a way to ask better questions. And in dementia care, that can make all the difference.</w:t>
      </w:r>
    </w:p>
    <w:p w14:paraId="05EEAE7F" w14:textId="77777777" w:rsidR="003C1B7E" w:rsidRPr="003C1B7E" w:rsidRDefault="003C1B7E" w:rsidP="00150298">
      <w:pPr>
        <w:spacing w:line="360" w:lineRule="auto"/>
        <w:ind w:left="720"/>
        <w:jc w:val="both"/>
        <w:rPr>
          <w:rFonts w:ascii="Arial" w:hAnsi="Arial" w:cs="Arial"/>
        </w:rPr>
      </w:pPr>
      <w:r w:rsidRPr="003C1B7E">
        <w:rPr>
          <w:rFonts w:ascii="Arial" w:hAnsi="Arial" w:cs="Arial"/>
        </w:rPr>
        <w:t>Caring for older adults with dementia is as much about understanding the person as it is about managing the condition. Through exploring Maslow’s Hierarchy of Needs and Piaget’s Cognitive Development Theory, this essay has shown how psychological insight can transform everyday practice—shifting care from task-focused to truly person-centred. Maslow reminds us that wellbeing is layered, and that emotional safety and belonging are just as vital as physical health. Piaget helps us recognise how cognitive changes affect how residents engage with the world, encouraging us to adapt our approach with sensitivity and creativity.</w:t>
      </w:r>
    </w:p>
    <w:p w14:paraId="30A9028C" w14:textId="77777777" w:rsidR="003C1B7E" w:rsidRPr="003C1B7E" w:rsidRDefault="003C1B7E" w:rsidP="00150298">
      <w:pPr>
        <w:spacing w:line="360" w:lineRule="auto"/>
        <w:ind w:left="720"/>
        <w:jc w:val="both"/>
        <w:rPr>
          <w:rFonts w:ascii="Arial" w:hAnsi="Arial" w:cs="Arial"/>
        </w:rPr>
      </w:pPr>
      <w:r w:rsidRPr="003C1B7E">
        <w:rPr>
          <w:rFonts w:ascii="Arial" w:hAnsi="Arial" w:cs="Arial"/>
        </w:rPr>
        <w:t>In practice, these theories offer more than frameworks—they offer empathy. They help professionals interpret behaviour not as resistance, but as communication. They guide us to create environments where residents feel safe, valued, and connected, even when words and memories begin to fade. Ultimately, applying psychological theory in dementia care is about honouring the humanity that remains—and responding with care that is thoughtful, respectful, and deeply attuned to the individual.</w:t>
      </w:r>
    </w:p>
    <w:p w14:paraId="602683D7" w14:textId="77777777" w:rsidR="003C1B7E" w:rsidRPr="000965E8" w:rsidRDefault="003C1B7E" w:rsidP="00150298">
      <w:pPr>
        <w:spacing w:line="360" w:lineRule="auto"/>
        <w:ind w:left="720"/>
        <w:jc w:val="both"/>
        <w:rPr>
          <w:rFonts w:ascii="Arial" w:hAnsi="Arial" w:cs="Arial"/>
        </w:rPr>
      </w:pPr>
    </w:p>
    <w:p w14:paraId="3BEC0C7F" w14:textId="32139ACC" w:rsidR="000965E8" w:rsidRPr="000965E8" w:rsidRDefault="000965E8" w:rsidP="00150298">
      <w:pPr>
        <w:spacing w:line="360" w:lineRule="auto"/>
        <w:ind w:left="720"/>
        <w:jc w:val="both"/>
        <w:rPr>
          <w:rFonts w:ascii="Arial" w:hAnsi="Arial" w:cs="Arial"/>
        </w:rPr>
      </w:pPr>
    </w:p>
    <w:p w14:paraId="7A75866C" w14:textId="77777777" w:rsidR="00B672D7" w:rsidRPr="00B672D7" w:rsidRDefault="00B672D7" w:rsidP="00150298">
      <w:pPr>
        <w:spacing w:line="360" w:lineRule="auto"/>
        <w:ind w:left="720"/>
        <w:jc w:val="both"/>
        <w:rPr>
          <w:rFonts w:ascii="Arial" w:hAnsi="Arial" w:cs="Arial"/>
        </w:rPr>
      </w:pPr>
    </w:p>
    <w:p w14:paraId="6E258060" w14:textId="39D99B54" w:rsidR="0076013F" w:rsidRPr="00150298" w:rsidRDefault="0076013F" w:rsidP="00150298">
      <w:pPr>
        <w:spacing w:line="360" w:lineRule="auto"/>
        <w:ind w:left="720"/>
        <w:jc w:val="both"/>
        <w:rPr>
          <w:rFonts w:ascii="Arial" w:hAnsi="Arial" w:cs="Arial"/>
        </w:rPr>
      </w:pPr>
    </w:p>
    <w:p w14:paraId="5DBA5FC3" w14:textId="77777777" w:rsidR="000965E8" w:rsidRPr="00150298" w:rsidRDefault="000965E8" w:rsidP="00150298">
      <w:pPr>
        <w:spacing w:line="360" w:lineRule="auto"/>
        <w:ind w:left="720"/>
        <w:jc w:val="both"/>
        <w:rPr>
          <w:rFonts w:ascii="Arial" w:hAnsi="Arial" w:cs="Arial"/>
        </w:rPr>
      </w:pPr>
    </w:p>
    <w:p w14:paraId="48B58455" w14:textId="77777777" w:rsidR="000965E8" w:rsidRPr="00150298" w:rsidRDefault="000965E8" w:rsidP="00150298">
      <w:pPr>
        <w:spacing w:line="360" w:lineRule="auto"/>
        <w:ind w:left="720"/>
        <w:jc w:val="both"/>
        <w:rPr>
          <w:rFonts w:ascii="Arial" w:hAnsi="Arial" w:cs="Arial"/>
        </w:rPr>
      </w:pPr>
    </w:p>
    <w:p w14:paraId="52F5DA6E" w14:textId="77777777" w:rsidR="000965E8" w:rsidRPr="00150298" w:rsidRDefault="000965E8" w:rsidP="00150298">
      <w:pPr>
        <w:spacing w:line="360" w:lineRule="auto"/>
        <w:ind w:left="720"/>
        <w:jc w:val="both"/>
        <w:rPr>
          <w:rFonts w:ascii="Arial" w:hAnsi="Arial" w:cs="Arial"/>
        </w:rPr>
      </w:pPr>
    </w:p>
    <w:p w14:paraId="1D7971F8" w14:textId="77777777" w:rsidR="000965E8" w:rsidRPr="00150298" w:rsidRDefault="000965E8" w:rsidP="00150298">
      <w:pPr>
        <w:spacing w:line="360" w:lineRule="auto"/>
        <w:ind w:left="720"/>
        <w:jc w:val="both"/>
        <w:rPr>
          <w:rFonts w:ascii="Arial" w:hAnsi="Arial" w:cs="Arial"/>
        </w:rPr>
      </w:pPr>
    </w:p>
    <w:p w14:paraId="034141C3" w14:textId="77777777" w:rsidR="000965E8" w:rsidRPr="00150298" w:rsidRDefault="000965E8" w:rsidP="00150298">
      <w:pPr>
        <w:spacing w:line="360" w:lineRule="auto"/>
        <w:ind w:left="720"/>
        <w:jc w:val="both"/>
        <w:rPr>
          <w:rFonts w:ascii="Arial" w:hAnsi="Arial" w:cs="Arial"/>
        </w:rPr>
      </w:pPr>
    </w:p>
    <w:p w14:paraId="6AA65057" w14:textId="77777777" w:rsidR="000965E8" w:rsidRPr="00150298" w:rsidRDefault="000965E8" w:rsidP="00150298">
      <w:pPr>
        <w:spacing w:line="360" w:lineRule="auto"/>
        <w:ind w:left="720"/>
        <w:jc w:val="both"/>
        <w:rPr>
          <w:rFonts w:ascii="Arial" w:hAnsi="Arial" w:cs="Arial"/>
        </w:rPr>
      </w:pPr>
    </w:p>
    <w:p w14:paraId="655290CF" w14:textId="73477DDF" w:rsidR="00AB18C9" w:rsidRPr="00AB18C9" w:rsidRDefault="00AB18C9" w:rsidP="00AB18C9">
      <w:pPr>
        <w:spacing w:line="360" w:lineRule="auto"/>
        <w:jc w:val="both"/>
        <w:rPr>
          <w:rFonts w:ascii="Arial" w:hAnsi="Arial" w:cs="Arial"/>
        </w:rPr>
      </w:pPr>
    </w:p>
    <w:p w14:paraId="2B8A460B" w14:textId="77777777" w:rsidR="00AB18C9" w:rsidRPr="00AB18C9" w:rsidRDefault="00AB18C9" w:rsidP="00AB18C9">
      <w:pPr>
        <w:spacing w:line="360" w:lineRule="auto"/>
        <w:ind w:left="720"/>
        <w:jc w:val="both"/>
        <w:rPr>
          <w:rFonts w:ascii="Arial" w:hAnsi="Arial" w:cs="Arial"/>
          <w:b/>
          <w:bCs/>
        </w:rPr>
      </w:pPr>
      <w:r w:rsidRPr="00AB18C9">
        <w:rPr>
          <w:rFonts w:ascii="Arial" w:hAnsi="Arial" w:cs="Arial"/>
          <w:b/>
          <w:bCs/>
        </w:rPr>
        <w:t>Reference List</w:t>
      </w:r>
    </w:p>
    <w:p w14:paraId="72ADDC99" w14:textId="77777777" w:rsidR="00AB18C9" w:rsidRPr="00AB18C9" w:rsidRDefault="00AB18C9" w:rsidP="00AB18C9">
      <w:pPr>
        <w:spacing w:line="360" w:lineRule="auto"/>
        <w:ind w:left="720"/>
        <w:jc w:val="both"/>
        <w:rPr>
          <w:rFonts w:ascii="Arial" w:hAnsi="Arial" w:cs="Arial"/>
        </w:rPr>
      </w:pPr>
      <w:r w:rsidRPr="00AB18C9">
        <w:rPr>
          <w:rFonts w:ascii="Arial" w:hAnsi="Arial" w:cs="Arial"/>
        </w:rPr>
        <w:t xml:space="preserve">Alzheimer’s Society, 2023. </w:t>
      </w:r>
      <w:r w:rsidRPr="00AB18C9">
        <w:rPr>
          <w:rFonts w:ascii="Arial" w:hAnsi="Arial" w:cs="Arial"/>
          <w:i/>
          <w:iCs/>
        </w:rPr>
        <w:t>Understanding dementia: Care strategies and emotional support</w:t>
      </w:r>
      <w:r w:rsidRPr="00AB18C9">
        <w:rPr>
          <w:rFonts w:ascii="Arial" w:hAnsi="Arial" w:cs="Arial"/>
        </w:rPr>
        <w:t xml:space="preserve">. [online] Available at: </w:t>
      </w:r>
      <w:hyperlink r:id="rId4" w:history="1">
        <w:r w:rsidRPr="00AB18C9">
          <w:rPr>
            <w:rStyle w:val="Hyperlink"/>
            <w:rFonts w:ascii="Arial" w:hAnsi="Arial" w:cs="Arial"/>
          </w:rPr>
          <w:t>https://www.alzheimers.org.uk</w:t>
        </w:r>
      </w:hyperlink>
      <w:r w:rsidRPr="00AB18C9">
        <w:rPr>
          <w:rFonts w:ascii="Arial" w:hAnsi="Arial" w:cs="Arial"/>
        </w:rPr>
        <w:t xml:space="preserve"> [Accessed 10 Nov. 2025].</w:t>
      </w:r>
    </w:p>
    <w:p w14:paraId="12F4DA29" w14:textId="77777777" w:rsidR="00AB18C9" w:rsidRPr="00AB18C9" w:rsidRDefault="00AB18C9" w:rsidP="00AB18C9">
      <w:pPr>
        <w:spacing w:line="360" w:lineRule="auto"/>
        <w:ind w:left="720"/>
        <w:jc w:val="both"/>
        <w:rPr>
          <w:rFonts w:ascii="Arial" w:hAnsi="Arial" w:cs="Arial"/>
        </w:rPr>
      </w:pPr>
      <w:r w:rsidRPr="00AB18C9">
        <w:rPr>
          <w:rFonts w:ascii="Arial" w:hAnsi="Arial" w:cs="Arial"/>
        </w:rPr>
        <w:t xml:space="preserve">Bandura, A., 1977. </w:t>
      </w:r>
      <w:r w:rsidRPr="00AB18C9">
        <w:rPr>
          <w:rFonts w:ascii="Arial" w:hAnsi="Arial" w:cs="Arial"/>
          <w:i/>
          <w:iCs/>
        </w:rPr>
        <w:t>Social learning theory</w:t>
      </w:r>
      <w:r w:rsidRPr="00AB18C9">
        <w:rPr>
          <w:rFonts w:ascii="Arial" w:hAnsi="Arial" w:cs="Arial"/>
        </w:rPr>
        <w:t>. Englewood Cliffs, NJ: Prentice Hall.</w:t>
      </w:r>
    </w:p>
    <w:p w14:paraId="5662250B" w14:textId="77777777" w:rsidR="00AB18C9" w:rsidRPr="00AB18C9" w:rsidRDefault="00AB18C9" w:rsidP="00AB18C9">
      <w:pPr>
        <w:spacing w:line="360" w:lineRule="auto"/>
        <w:ind w:left="720"/>
        <w:jc w:val="both"/>
        <w:rPr>
          <w:rFonts w:ascii="Arial" w:hAnsi="Arial" w:cs="Arial"/>
        </w:rPr>
      </w:pPr>
      <w:r w:rsidRPr="00AB18C9">
        <w:rPr>
          <w:rFonts w:ascii="Arial" w:hAnsi="Arial" w:cs="Arial"/>
        </w:rPr>
        <w:t xml:space="preserve">Glanz, K., Rimer, B.K. and Viswanath, K., 2008. </w:t>
      </w:r>
      <w:r w:rsidRPr="00AB18C9">
        <w:rPr>
          <w:rFonts w:ascii="Arial" w:hAnsi="Arial" w:cs="Arial"/>
          <w:i/>
          <w:iCs/>
        </w:rPr>
        <w:t>Health behavior and health education: Theory, research, and practice</w:t>
      </w:r>
      <w:r w:rsidRPr="00AB18C9">
        <w:rPr>
          <w:rFonts w:ascii="Arial" w:hAnsi="Arial" w:cs="Arial"/>
        </w:rPr>
        <w:t>. 4th ed. San Francisco: Jossey-Bass.</w:t>
      </w:r>
    </w:p>
    <w:p w14:paraId="0E340226" w14:textId="77777777" w:rsidR="00AB18C9" w:rsidRPr="00AB18C9" w:rsidRDefault="00AB18C9" w:rsidP="00AB18C9">
      <w:pPr>
        <w:spacing w:line="360" w:lineRule="auto"/>
        <w:ind w:left="720"/>
        <w:jc w:val="both"/>
        <w:rPr>
          <w:rFonts w:ascii="Arial" w:hAnsi="Arial" w:cs="Arial"/>
        </w:rPr>
      </w:pPr>
      <w:r w:rsidRPr="00AB18C9">
        <w:rPr>
          <w:rFonts w:ascii="Arial" w:hAnsi="Arial" w:cs="Arial"/>
        </w:rPr>
        <w:t xml:space="preserve">Mahoney, A.E.J., 2003. Age- or stage-appropriate? Recreation and the relevance of Piaget’s theory in dementia care. </w:t>
      </w:r>
      <w:r w:rsidRPr="00AB18C9">
        <w:rPr>
          <w:rFonts w:ascii="Arial" w:hAnsi="Arial" w:cs="Arial"/>
          <w:i/>
          <w:iCs/>
        </w:rPr>
        <w:t>American Journal of Alzheimer’s Disease &amp; Other Dementias</w:t>
      </w:r>
      <w:r w:rsidRPr="00AB18C9">
        <w:rPr>
          <w:rFonts w:ascii="Arial" w:hAnsi="Arial" w:cs="Arial"/>
        </w:rPr>
        <w:t xml:space="preserve">, 18(1), pp.13–19. Available at: </w:t>
      </w:r>
      <w:hyperlink r:id="rId5" w:history="1">
        <w:r w:rsidRPr="00AB18C9">
          <w:rPr>
            <w:rStyle w:val="Hyperlink"/>
            <w:rFonts w:ascii="Arial" w:hAnsi="Arial" w:cs="Arial"/>
          </w:rPr>
          <w:t>https://journals.sagepub.com/doi/pdf/10.1177/153331750301800102</w:t>
        </w:r>
      </w:hyperlink>
      <w:r w:rsidRPr="00AB18C9">
        <w:rPr>
          <w:rFonts w:ascii="Arial" w:hAnsi="Arial" w:cs="Arial"/>
        </w:rPr>
        <w:t xml:space="preserve"> [Accessed 10 Nov. 2025].</w:t>
      </w:r>
    </w:p>
    <w:p w14:paraId="7C431589" w14:textId="77777777" w:rsidR="00AB18C9" w:rsidRPr="00AB18C9" w:rsidRDefault="00AB18C9" w:rsidP="00AB18C9">
      <w:pPr>
        <w:spacing w:line="360" w:lineRule="auto"/>
        <w:ind w:left="720"/>
        <w:jc w:val="both"/>
        <w:rPr>
          <w:rFonts w:ascii="Arial" w:hAnsi="Arial" w:cs="Arial"/>
        </w:rPr>
      </w:pPr>
      <w:r w:rsidRPr="00AB18C9">
        <w:rPr>
          <w:rFonts w:ascii="Arial" w:hAnsi="Arial" w:cs="Arial"/>
        </w:rPr>
        <w:t xml:space="preserve">Maslow, A.H., 1943. A theory of human motivation. </w:t>
      </w:r>
      <w:r w:rsidRPr="00AB18C9">
        <w:rPr>
          <w:rFonts w:ascii="Arial" w:hAnsi="Arial" w:cs="Arial"/>
          <w:i/>
          <w:iCs/>
        </w:rPr>
        <w:t>Psychological Review</w:t>
      </w:r>
      <w:r w:rsidRPr="00AB18C9">
        <w:rPr>
          <w:rFonts w:ascii="Arial" w:hAnsi="Arial" w:cs="Arial"/>
        </w:rPr>
        <w:t>, 50(4), pp.370–396.</w:t>
      </w:r>
    </w:p>
    <w:p w14:paraId="349E2FA4" w14:textId="77777777" w:rsidR="00AB18C9" w:rsidRPr="00AB18C9" w:rsidRDefault="00AB18C9" w:rsidP="00AB18C9">
      <w:pPr>
        <w:spacing w:line="360" w:lineRule="auto"/>
        <w:ind w:left="720"/>
        <w:jc w:val="both"/>
        <w:rPr>
          <w:rFonts w:ascii="Arial" w:hAnsi="Arial" w:cs="Arial"/>
        </w:rPr>
      </w:pPr>
      <w:r w:rsidRPr="00AB18C9">
        <w:rPr>
          <w:rFonts w:ascii="Arial" w:hAnsi="Arial" w:cs="Arial"/>
        </w:rPr>
        <w:t xml:space="preserve">Matteson, M.A., Linton, A.D., Barnes, S.J., Cleary, B.L. and Lichtenstein, M.J., 1996. The relationship between Piaget and cognitive levels in persons with Alzheimer’s disease and related disorders. </w:t>
      </w:r>
      <w:r w:rsidRPr="00AB18C9">
        <w:rPr>
          <w:rFonts w:ascii="Arial" w:hAnsi="Arial" w:cs="Arial"/>
          <w:i/>
          <w:iCs/>
        </w:rPr>
        <w:t>Aging Clinical and Experimental Research</w:t>
      </w:r>
      <w:r w:rsidRPr="00AB18C9">
        <w:rPr>
          <w:rFonts w:ascii="Arial" w:hAnsi="Arial" w:cs="Arial"/>
        </w:rPr>
        <w:t>, 8, pp.61–69.</w:t>
      </w:r>
    </w:p>
    <w:p w14:paraId="33967E9F" w14:textId="77777777" w:rsidR="00AB18C9" w:rsidRPr="00AB18C9" w:rsidRDefault="00AB18C9" w:rsidP="00AB18C9">
      <w:pPr>
        <w:spacing w:line="360" w:lineRule="auto"/>
        <w:ind w:left="720"/>
        <w:jc w:val="both"/>
        <w:rPr>
          <w:rFonts w:ascii="Arial" w:hAnsi="Arial" w:cs="Arial"/>
        </w:rPr>
      </w:pPr>
      <w:r w:rsidRPr="00AB18C9">
        <w:rPr>
          <w:rFonts w:ascii="Arial" w:hAnsi="Arial" w:cs="Arial"/>
        </w:rPr>
        <w:t xml:space="preserve">McLeod, S., 2018. Maslow's hierarchy of needs. </w:t>
      </w:r>
      <w:r w:rsidRPr="00AB18C9">
        <w:rPr>
          <w:rFonts w:ascii="Arial" w:hAnsi="Arial" w:cs="Arial"/>
          <w:i/>
          <w:iCs/>
        </w:rPr>
        <w:t>Simply Psychology</w:t>
      </w:r>
      <w:r w:rsidRPr="00AB18C9">
        <w:rPr>
          <w:rFonts w:ascii="Arial" w:hAnsi="Arial" w:cs="Arial"/>
        </w:rPr>
        <w:t xml:space="preserve">. Available at: </w:t>
      </w:r>
      <w:hyperlink r:id="rId6" w:history="1">
        <w:r w:rsidRPr="00AB18C9">
          <w:rPr>
            <w:rStyle w:val="Hyperlink"/>
            <w:rFonts w:ascii="Arial" w:hAnsi="Arial" w:cs="Arial"/>
          </w:rPr>
          <w:t>https://www.simplypsychology.org/maslow.html</w:t>
        </w:r>
      </w:hyperlink>
      <w:r w:rsidRPr="00AB18C9">
        <w:rPr>
          <w:rFonts w:ascii="Arial" w:hAnsi="Arial" w:cs="Arial"/>
        </w:rPr>
        <w:t xml:space="preserve"> [Accessed 10 Nov. 2025].</w:t>
      </w:r>
    </w:p>
    <w:p w14:paraId="2F845DA6" w14:textId="77777777" w:rsidR="00AB18C9" w:rsidRPr="00AB18C9" w:rsidRDefault="00AB18C9" w:rsidP="00AB18C9">
      <w:pPr>
        <w:spacing w:line="360" w:lineRule="auto"/>
        <w:ind w:left="720"/>
        <w:jc w:val="both"/>
        <w:rPr>
          <w:rFonts w:ascii="Arial" w:hAnsi="Arial" w:cs="Arial"/>
        </w:rPr>
      </w:pPr>
      <w:r w:rsidRPr="00AB18C9">
        <w:rPr>
          <w:rFonts w:ascii="Arial" w:hAnsi="Arial" w:cs="Arial"/>
        </w:rPr>
        <w:t xml:space="preserve">Thompson, N., 2016. </w:t>
      </w:r>
      <w:r w:rsidRPr="00AB18C9">
        <w:rPr>
          <w:rFonts w:ascii="Arial" w:hAnsi="Arial" w:cs="Arial"/>
          <w:i/>
          <w:iCs/>
        </w:rPr>
        <w:t>Understanding social work: Preparing for practice</w:t>
      </w:r>
      <w:r w:rsidRPr="00AB18C9">
        <w:rPr>
          <w:rFonts w:ascii="Arial" w:hAnsi="Arial" w:cs="Arial"/>
        </w:rPr>
        <w:t>. 4th ed. London: Palgrave Macmillan.</w:t>
      </w:r>
    </w:p>
    <w:p w14:paraId="5200F320" w14:textId="77777777" w:rsidR="0076013F" w:rsidRDefault="0076013F" w:rsidP="00AB18C9">
      <w:pPr>
        <w:spacing w:line="360" w:lineRule="auto"/>
        <w:ind w:left="720"/>
        <w:jc w:val="both"/>
      </w:pPr>
    </w:p>
    <w:sectPr w:rsidR="007601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013F"/>
    <w:rsid w:val="0001154A"/>
    <w:rsid w:val="000965E8"/>
    <w:rsid w:val="00150298"/>
    <w:rsid w:val="00247CD6"/>
    <w:rsid w:val="00330F65"/>
    <w:rsid w:val="003545BF"/>
    <w:rsid w:val="003C1B7E"/>
    <w:rsid w:val="004749B9"/>
    <w:rsid w:val="004B766A"/>
    <w:rsid w:val="00551DB4"/>
    <w:rsid w:val="005D59FB"/>
    <w:rsid w:val="00710B3D"/>
    <w:rsid w:val="007177C7"/>
    <w:rsid w:val="007344FB"/>
    <w:rsid w:val="0076013F"/>
    <w:rsid w:val="008E7223"/>
    <w:rsid w:val="00904921"/>
    <w:rsid w:val="009379A6"/>
    <w:rsid w:val="00A901C5"/>
    <w:rsid w:val="00AB18C9"/>
    <w:rsid w:val="00AC3947"/>
    <w:rsid w:val="00AD5236"/>
    <w:rsid w:val="00B672D7"/>
    <w:rsid w:val="00BB088B"/>
    <w:rsid w:val="00C55384"/>
    <w:rsid w:val="00CC07D1"/>
    <w:rsid w:val="00D34098"/>
    <w:rsid w:val="00DC2DC8"/>
    <w:rsid w:val="00DC7836"/>
    <w:rsid w:val="00E147AB"/>
    <w:rsid w:val="00F138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06343"/>
  <w15:chartTrackingRefBased/>
  <w15:docId w15:val="{CA1C62E3-22D1-4A38-B3A2-6BDBADED91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013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6013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6013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6013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6013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6013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6013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6013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6013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013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6013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6013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6013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6013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6013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6013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6013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6013F"/>
    <w:rPr>
      <w:rFonts w:eastAsiaTheme="majorEastAsia" w:cstheme="majorBidi"/>
      <w:color w:val="272727" w:themeColor="text1" w:themeTint="D8"/>
    </w:rPr>
  </w:style>
  <w:style w:type="paragraph" w:styleId="Title">
    <w:name w:val="Title"/>
    <w:basedOn w:val="Normal"/>
    <w:next w:val="Normal"/>
    <w:link w:val="TitleChar"/>
    <w:uiPriority w:val="10"/>
    <w:qFormat/>
    <w:rsid w:val="0076013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6013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6013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6013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6013F"/>
    <w:pPr>
      <w:spacing w:before="160"/>
      <w:jc w:val="center"/>
    </w:pPr>
    <w:rPr>
      <w:i/>
      <w:iCs/>
      <w:color w:val="404040" w:themeColor="text1" w:themeTint="BF"/>
    </w:rPr>
  </w:style>
  <w:style w:type="character" w:customStyle="1" w:styleId="QuoteChar">
    <w:name w:val="Quote Char"/>
    <w:basedOn w:val="DefaultParagraphFont"/>
    <w:link w:val="Quote"/>
    <w:uiPriority w:val="29"/>
    <w:rsid w:val="0076013F"/>
    <w:rPr>
      <w:i/>
      <w:iCs/>
      <w:color w:val="404040" w:themeColor="text1" w:themeTint="BF"/>
    </w:rPr>
  </w:style>
  <w:style w:type="paragraph" w:styleId="ListParagraph">
    <w:name w:val="List Paragraph"/>
    <w:basedOn w:val="Normal"/>
    <w:uiPriority w:val="34"/>
    <w:qFormat/>
    <w:rsid w:val="0076013F"/>
    <w:pPr>
      <w:ind w:left="720"/>
      <w:contextualSpacing/>
    </w:pPr>
  </w:style>
  <w:style w:type="character" w:styleId="IntenseEmphasis">
    <w:name w:val="Intense Emphasis"/>
    <w:basedOn w:val="DefaultParagraphFont"/>
    <w:uiPriority w:val="21"/>
    <w:qFormat/>
    <w:rsid w:val="0076013F"/>
    <w:rPr>
      <w:i/>
      <w:iCs/>
      <w:color w:val="0F4761" w:themeColor="accent1" w:themeShade="BF"/>
    </w:rPr>
  </w:style>
  <w:style w:type="paragraph" w:styleId="IntenseQuote">
    <w:name w:val="Intense Quote"/>
    <w:basedOn w:val="Normal"/>
    <w:next w:val="Normal"/>
    <w:link w:val="IntenseQuoteChar"/>
    <w:uiPriority w:val="30"/>
    <w:qFormat/>
    <w:rsid w:val="0076013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6013F"/>
    <w:rPr>
      <w:i/>
      <w:iCs/>
      <w:color w:val="0F4761" w:themeColor="accent1" w:themeShade="BF"/>
    </w:rPr>
  </w:style>
  <w:style w:type="character" w:styleId="IntenseReference">
    <w:name w:val="Intense Reference"/>
    <w:basedOn w:val="DefaultParagraphFont"/>
    <w:uiPriority w:val="32"/>
    <w:qFormat/>
    <w:rsid w:val="0076013F"/>
    <w:rPr>
      <w:b/>
      <w:bCs/>
      <w:smallCaps/>
      <w:color w:val="0F4761" w:themeColor="accent1" w:themeShade="BF"/>
      <w:spacing w:val="5"/>
    </w:rPr>
  </w:style>
  <w:style w:type="character" w:styleId="Hyperlink">
    <w:name w:val="Hyperlink"/>
    <w:basedOn w:val="DefaultParagraphFont"/>
    <w:uiPriority w:val="99"/>
    <w:unhideWhenUsed/>
    <w:rsid w:val="0076013F"/>
    <w:rPr>
      <w:color w:val="467886" w:themeColor="hyperlink"/>
      <w:u w:val="single"/>
    </w:rPr>
  </w:style>
  <w:style w:type="character" w:styleId="UnresolvedMention">
    <w:name w:val="Unresolved Mention"/>
    <w:basedOn w:val="DefaultParagraphFont"/>
    <w:uiPriority w:val="99"/>
    <w:semiHidden/>
    <w:unhideWhenUsed/>
    <w:rsid w:val="007601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simplypsychology.org/maslow.html" TargetMode="External"/><Relationship Id="rId5" Type="http://schemas.openxmlformats.org/officeDocument/2006/relationships/hyperlink" Target="https://journals.sagepub.com/doi/pdf/10.1177/153331750301800102" TargetMode="External"/><Relationship Id="rId4" Type="http://schemas.openxmlformats.org/officeDocument/2006/relationships/hyperlink" Target="https://www.alzheimers.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1512</Words>
  <Characters>8624</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Robina Kousar</dc:creator>
  <cp:keywords/>
  <dc:description/>
  <cp:lastModifiedBy>Robina Kousar</cp:lastModifiedBy>
  <cp:revision>2</cp:revision>
  <dcterms:created xsi:type="dcterms:W3CDTF">2025-11-17T19:31:00Z</dcterms:created>
  <dcterms:modified xsi:type="dcterms:W3CDTF">2025-11-17T19:31:00Z</dcterms:modified>
</cp:coreProperties>
</file>