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8DBF27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13559">
              <w:rPr>
                <w:rFonts w:ascii="Times New Roman" w:hAnsi="Times New Roman" w:cs="Times New Roman"/>
                <w:b/>
                <w:color w:val="auto"/>
                <w:sz w:val="48"/>
              </w:rPr>
              <w:t>Lorna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D09CD1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13559">
              <w:rPr>
                <w:rFonts w:ascii="Times New Roman" w:hAnsi="Times New Roman" w:cs="Times New Roman"/>
                <w:b/>
                <w:color w:val="auto"/>
                <w:sz w:val="48"/>
              </w:rPr>
              <w:t xml:space="preserve"> lorna.davies@powys.gov.uk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46FD2A6" w14:textId="67676FDA" w:rsidR="00913559" w:rsidRPr="005D3F07" w:rsidRDefault="0091355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8960604" w14:textId="77777777" w:rsidR="00C44D84" w:rsidRDefault="00C44D84" w:rsidP="00FF7EBB">
            <w:pPr>
              <w:jc w:val="both"/>
              <w:rPr>
                <w:i/>
                <w:sz w:val="24"/>
                <w:szCs w:val="24"/>
              </w:rPr>
            </w:pPr>
          </w:p>
          <w:p w14:paraId="7F01E831" w14:textId="2EEE7E1D" w:rsidR="00636F51" w:rsidRPr="00636F51" w:rsidRDefault="00636F51" w:rsidP="00636F51">
            <w:pPr>
              <w:jc w:val="both"/>
              <w:rPr>
                <w:sz w:val="28"/>
                <w:szCs w:val="28"/>
              </w:rPr>
            </w:pPr>
            <w:r w:rsidRPr="00636F51">
              <w:rPr>
                <w:sz w:val="28"/>
                <w:szCs w:val="28"/>
              </w:rPr>
              <w:t xml:space="preserve">I will analyse and critically reflect on an assessment which focuses on Integrated working and how this is a key aspect supporting service users. I will highlight how integrated working supports in providing a cohesive approach to supporting the service user. Also recognising how working alongside colleagues who </w:t>
            </w:r>
            <w:r w:rsidR="00CB552E" w:rsidRPr="00636F51">
              <w:rPr>
                <w:sz w:val="28"/>
                <w:szCs w:val="28"/>
              </w:rPr>
              <w:t>utilise</w:t>
            </w:r>
            <w:r w:rsidRPr="00636F51">
              <w:rPr>
                <w:sz w:val="28"/>
                <w:szCs w:val="28"/>
              </w:rPr>
              <w:t xml:space="preserve"> a different skill set can enhance my own practice and vice versa. I will also consider how adopting an integrated approach can improve outcomes for the service user. Local health boards and NHS trusts are relevant partners under the (SSWBA(W)).  This reinforces the how collaborative working has been essential in supporting all involved within this complex case. </w:t>
            </w:r>
          </w:p>
          <w:p w14:paraId="0735ADA5" w14:textId="77777777" w:rsidR="00636F51" w:rsidRPr="00636F51" w:rsidRDefault="00636F51" w:rsidP="00636F51">
            <w:pPr>
              <w:jc w:val="both"/>
              <w:rPr>
                <w:sz w:val="28"/>
                <w:szCs w:val="28"/>
              </w:rPr>
            </w:pPr>
          </w:p>
          <w:p w14:paraId="31534093" w14:textId="26BEDD06" w:rsidR="00636F51" w:rsidRPr="00636F51" w:rsidRDefault="00636F51" w:rsidP="00636F51">
            <w:pPr>
              <w:jc w:val="both"/>
              <w:rPr>
                <w:sz w:val="28"/>
                <w:szCs w:val="28"/>
              </w:rPr>
            </w:pPr>
            <w:r w:rsidRPr="00636F51">
              <w:rPr>
                <w:sz w:val="28"/>
                <w:szCs w:val="28"/>
              </w:rPr>
              <w:t>I will look to draw comparison and identify any links between EU and UK legislation and how this cascades down to the Social Services and Well-being (Wales) Act 2014 (SSWBA(W)) which provides the legislative framework for safeguarding children and adults in Wales. My reflective account will also recognise current national and local policies and procedures as well as any guidance. I will also examine how social work theories have supported in mitigating the risks to the service user.</w:t>
            </w:r>
          </w:p>
          <w:p w14:paraId="61E112A1" w14:textId="77777777" w:rsidR="00636F51" w:rsidRPr="00636F51" w:rsidRDefault="00636F51" w:rsidP="00636F51">
            <w:pPr>
              <w:rPr>
                <w:sz w:val="28"/>
                <w:szCs w:val="28"/>
              </w:rPr>
            </w:pPr>
          </w:p>
          <w:p w14:paraId="1294926B" w14:textId="77777777" w:rsidR="00636F51" w:rsidRPr="00636F51" w:rsidRDefault="00636F51" w:rsidP="00636F51">
            <w:pPr>
              <w:jc w:val="both"/>
              <w:rPr>
                <w:sz w:val="28"/>
                <w:szCs w:val="28"/>
              </w:rPr>
            </w:pPr>
            <w:r w:rsidRPr="00636F51">
              <w:rPr>
                <w:sz w:val="28"/>
                <w:szCs w:val="28"/>
              </w:rPr>
              <w:lastRenderedPageBreak/>
              <w:t>In order for me to comply with confidentiality, I will refer to the service user as ‘2’ in line with The Data Protection Act (2018), which was implemented in the UK as General Data Protection Regulation (GDPR). Which states ‘everyone responsible for using data must make sure their data is used safely’, following the ‘data protection principles’</w:t>
            </w:r>
            <w:r w:rsidRPr="00636F51">
              <w:rPr>
                <w:i/>
                <w:iCs/>
                <w:sz w:val="28"/>
                <w:szCs w:val="28"/>
              </w:rPr>
              <w:t xml:space="preserve"> </w:t>
            </w:r>
            <w:r w:rsidRPr="00636F51">
              <w:rPr>
                <w:sz w:val="28"/>
                <w:szCs w:val="28"/>
              </w:rPr>
              <w:t>(GOV.UK).</w:t>
            </w:r>
          </w:p>
          <w:p w14:paraId="68C1C3DF" w14:textId="77777777" w:rsidR="00636F51" w:rsidRPr="00636F51" w:rsidRDefault="00636F51" w:rsidP="00636F51">
            <w:pPr>
              <w:jc w:val="both"/>
              <w:rPr>
                <w:sz w:val="28"/>
                <w:szCs w:val="28"/>
              </w:rPr>
            </w:pPr>
          </w:p>
          <w:p w14:paraId="6C843A45" w14:textId="77777777" w:rsidR="00636F51" w:rsidRPr="00636F51" w:rsidRDefault="00636F51" w:rsidP="00636F51">
            <w:pPr>
              <w:jc w:val="both"/>
              <w:rPr>
                <w:sz w:val="28"/>
                <w:szCs w:val="28"/>
              </w:rPr>
            </w:pPr>
          </w:p>
          <w:p w14:paraId="27BC575D" w14:textId="77777777" w:rsidR="00636F51" w:rsidRPr="00636F51" w:rsidRDefault="00636F51" w:rsidP="00636F51">
            <w:pPr>
              <w:jc w:val="both"/>
              <w:rPr>
                <w:sz w:val="28"/>
                <w:szCs w:val="28"/>
              </w:rPr>
            </w:pPr>
          </w:p>
          <w:p w14:paraId="7F704CA5" w14:textId="77777777" w:rsidR="00636F51" w:rsidRPr="00636F51" w:rsidRDefault="00636F51" w:rsidP="00636F51">
            <w:pPr>
              <w:jc w:val="both"/>
              <w:rPr>
                <w:sz w:val="28"/>
                <w:szCs w:val="28"/>
              </w:rPr>
            </w:pPr>
            <w:r w:rsidRPr="00636F51">
              <w:rPr>
                <w:sz w:val="28"/>
                <w:szCs w:val="28"/>
              </w:rPr>
              <w:t xml:space="preserve">I have considered and applied Borton’s (1970) model of reflection, which has helped me examine my experience.  There are three parts within this model, ‘What’, ‘So what’ and ‘now what’ due to the case study, these were an essential way for me to reflect and move forward due to the on-going challenges in 2’s life.  I also considered Gibbs (1988) ‘model of reflection’, there are five stages within this model, 1. Description, 2. Feelings, 3. Evaluation, 4. Conclusions, 5. Action.   However, I felt this model would be difficult to apply, partly due to the continual changes within the case for me to reflect during my learning experience.  I have also considered a Strengths Based approach to the case, as this helps me to focus around the past trauma of ‘2’ and current situation. This approach is supported by Saleebey, (2006) and Kelly and Gates, (2010) who state ‘no matter how terrible or difficult the problem’ there are always strengths.  </w:t>
            </w:r>
          </w:p>
          <w:p w14:paraId="1239492F" w14:textId="77777777" w:rsidR="00636F51" w:rsidRPr="00636F51" w:rsidRDefault="00636F51" w:rsidP="00636F51">
            <w:pPr>
              <w:jc w:val="both"/>
              <w:rPr>
                <w:sz w:val="28"/>
                <w:szCs w:val="28"/>
              </w:rPr>
            </w:pPr>
          </w:p>
          <w:p w14:paraId="3AB951A3" w14:textId="77777777" w:rsidR="00636F51" w:rsidRPr="00636F51" w:rsidRDefault="00636F51" w:rsidP="00636F51">
            <w:pPr>
              <w:jc w:val="both"/>
              <w:rPr>
                <w:sz w:val="28"/>
                <w:szCs w:val="28"/>
              </w:rPr>
            </w:pPr>
            <w:r w:rsidRPr="00636F51">
              <w:rPr>
                <w:sz w:val="28"/>
                <w:szCs w:val="28"/>
              </w:rPr>
              <w:t>I have also focussed on ‘Grief and Loss’ due to past deaths of close family and previous trauma, grief focusses on bereavement and loss around a significant change in a person’s life.  Kubler Ross (1969) states there are five stages of Grief, Denial, Anger, bargaining, depression, and acceptance.  However, Bowlby (1980) discusses four experiences and how the ‘bereaved person will accept the loss experienced’.  ‘2’ has continually experienced both Grief and loss several times and this has continued to impact on her adult life, now affecting her mental health.  Mental Health Act 1986 is a ‘law that informs people of their rights and how they can be treated’ (NHS, 2022).   The Mental Health Act (2007) focusses around 5 principles. These are the ‘least restrictive option and maximising independence, Empowerment and involvement, respect and dignity, purpose and effectiveness.  Working with 2 I needed to ensure I considered the 5 principles in order to build rapport, this would then allow ‘2’ to be in control of decisions that were needed to be made. This also fits with a co-productive approach in developing any risk assessments as promotes buy in form “2” and a sense of ownership.</w:t>
            </w:r>
          </w:p>
          <w:p w14:paraId="727DB194" w14:textId="77777777" w:rsidR="00636F51" w:rsidRPr="00636F51" w:rsidRDefault="00636F51" w:rsidP="00636F51">
            <w:pPr>
              <w:rPr>
                <w:sz w:val="28"/>
                <w:szCs w:val="28"/>
              </w:rPr>
            </w:pPr>
          </w:p>
          <w:p w14:paraId="5B127306" w14:textId="77777777" w:rsidR="00636F51" w:rsidRPr="00636F51" w:rsidRDefault="00636F51" w:rsidP="00636F51">
            <w:pPr>
              <w:jc w:val="both"/>
              <w:rPr>
                <w:sz w:val="28"/>
                <w:szCs w:val="28"/>
              </w:rPr>
            </w:pPr>
            <w:r w:rsidRPr="00636F51">
              <w:rPr>
                <w:sz w:val="28"/>
                <w:szCs w:val="28"/>
              </w:rPr>
              <w:t xml:space="preserve">In this case study I will discuss the challenges I faced during the multi-disciplinary meetings (MDT) following my visits. An MDT is a meeting that takes </w:t>
            </w:r>
            <w:r w:rsidRPr="00636F51">
              <w:rPr>
                <w:sz w:val="28"/>
                <w:szCs w:val="28"/>
              </w:rPr>
              <w:lastRenderedPageBreak/>
              <w:t xml:space="preserve">place regularly between professionals involved, the meetings consider different views and provide an opportunity to update different professionals as well as 2’s views which were essential.  </w:t>
            </w:r>
          </w:p>
          <w:p w14:paraId="6DD39B8C" w14:textId="77777777" w:rsidR="00636F51" w:rsidRPr="00636F51" w:rsidRDefault="00636F51" w:rsidP="00636F51">
            <w:pPr>
              <w:jc w:val="both"/>
              <w:rPr>
                <w:sz w:val="28"/>
                <w:szCs w:val="28"/>
              </w:rPr>
            </w:pPr>
          </w:p>
          <w:p w14:paraId="6A03390D" w14:textId="77777777" w:rsidR="00636F51" w:rsidRPr="00636F51" w:rsidRDefault="00636F51" w:rsidP="00636F51">
            <w:pPr>
              <w:jc w:val="both"/>
              <w:rPr>
                <w:sz w:val="28"/>
                <w:szCs w:val="28"/>
              </w:rPr>
            </w:pPr>
            <w:r w:rsidRPr="00636F51">
              <w:rPr>
                <w:sz w:val="28"/>
                <w:szCs w:val="28"/>
              </w:rPr>
              <w:t xml:space="preserve">It was also key I reflected in my supervision sessions, and how training in some areas was needed to develop my practice.  Reflecting is a continuous and essential part of my learning process where decision making is required.   </w:t>
            </w:r>
          </w:p>
          <w:p w14:paraId="18B096D8" w14:textId="77777777" w:rsidR="00636F51" w:rsidRPr="00636F51" w:rsidRDefault="00636F51" w:rsidP="00636F51">
            <w:pPr>
              <w:jc w:val="both"/>
              <w:rPr>
                <w:sz w:val="28"/>
                <w:szCs w:val="28"/>
              </w:rPr>
            </w:pPr>
            <w:r w:rsidRPr="00636F51">
              <w:rPr>
                <w:sz w:val="28"/>
                <w:szCs w:val="28"/>
              </w:rPr>
              <w:t xml:space="preserve">Since qualifying as a social worker, I have worked in an adult’s disability team with service users 18- 65 years of age.  I am guided by SSWB(W)A (2014) for my day-to-day practice. However, where there is evidence that the person may lack Mental Capacity (MCA 2005) in a specific area a mental capacity assessment is completed, this ‘empowers and protects people in the area of concern’ (NHS.uk, 2021). ‘2’ was allocated to me due to concerns raised by community district nursing team and LA housing department.  </w:t>
            </w:r>
          </w:p>
          <w:p w14:paraId="49979E41" w14:textId="77777777" w:rsidR="00636F51" w:rsidRPr="00636F51" w:rsidRDefault="00636F51" w:rsidP="00636F51">
            <w:pPr>
              <w:rPr>
                <w:sz w:val="28"/>
                <w:szCs w:val="28"/>
              </w:rPr>
            </w:pPr>
          </w:p>
          <w:p w14:paraId="589F0FE2" w14:textId="77777777" w:rsidR="00636F51" w:rsidRPr="00636F51" w:rsidRDefault="00636F51" w:rsidP="00636F51">
            <w:pPr>
              <w:jc w:val="both"/>
              <w:rPr>
                <w:sz w:val="28"/>
                <w:szCs w:val="28"/>
              </w:rPr>
            </w:pPr>
            <w:r w:rsidRPr="00636F51">
              <w:rPr>
                <w:sz w:val="28"/>
                <w:szCs w:val="28"/>
              </w:rPr>
              <w:t xml:space="preserve">‘2’ lived alone in a LA property, in a rural area of Wales. Although 2 was not a Welsh speaker there were over 17.8% of people reported to speak Welsh in 2021 (Gov.uk). As 2 had been living in Wales for over 30 years and in an area where Welsh is spoken by a large part of the community, it was essential I asked about her first language.  This approach is also supported by “The active offer” ‘supporting a service in Welsh without having to ask for it’ SSWB(W)A (2014) defines well-being as ‘securing the rights to use their own language’ this ensures they can communicate in their care needs clearly and equally. </w:t>
            </w:r>
          </w:p>
          <w:p w14:paraId="69313CFF" w14:textId="77777777" w:rsidR="00636F51" w:rsidRPr="00636F51" w:rsidRDefault="00636F51" w:rsidP="00636F51">
            <w:pPr>
              <w:jc w:val="both"/>
              <w:rPr>
                <w:sz w:val="28"/>
                <w:szCs w:val="28"/>
              </w:rPr>
            </w:pPr>
            <w:r w:rsidRPr="00636F51">
              <w:rPr>
                <w:sz w:val="28"/>
                <w:szCs w:val="28"/>
              </w:rPr>
              <w:t xml:space="preserve"> </w:t>
            </w:r>
          </w:p>
          <w:p w14:paraId="20FDF20F" w14:textId="77777777" w:rsidR="00636F51" w:rsidRPr="00636F51" w:rsidRDefault="00636F51" w:rsidP="00636F51">
            <w:pPr>
              <w:jc w:val="both"/>
              <w:rPr>
                <w:sz w:val="28"/>
                <w:szCs w:val="28"/>
              </w:rPr>
            </w:pPr>
            <w:r w:rsidRPr="00636F51">
              <w:rPr>
                <w:sz w:val="28"/>
                <w:szCs w:val="28"/>
              </w:rPr>
              <w:t xml:space="preserve">‘2’ lived in poor conditions where there was evidence of human and dog faeces and urine which indicated issues with incontinence. There were black bags where flies gathered whenever I visited, there was also evidence of “2” sleeping on a settee full of used continence pads and “2” did not wear any on her lower half. “2” used to keep herself covered with old curtains or blankets that were around the property.  Working with Borton’s (1970) model of Reflection, stages ‘what’ allowed me to focus on the situation around 2, I needed to understand what my role was and what had happened to 2. </w:t>
            </w:r>
          </w:p>
          <w:p w14:paraId="493BE0BF" w14:textId="77777777" w:rsidR="00636F51" w:rsidRPr="00636F51" w:rsidRDefault="00636F51" w:rsidP="00636F51">
            <w:pPr>
              <w:rPr>
                <w:sz w:val="28"/>
                <w:szCs w:val="28"/>
              </w:rPr>
            </w:pPr>
          </w:p>
          <w:p w14:paraId="1929DB2D" w14:textId="77777777" w:rsidR="00636F51" w:rsidRPr="00636F51" w:rsidRDefault="00636F51" w:rsidP="00636F51">
            <w:pPr>
              <w:jc w:val="both"/>
              <w:rPr>
                <w:sz w:val="28"/>
                <w:szCs w:val="28"/>
              </w:rPr>
            </w:pPr>
            <w:r w:rsidRPr="00636F51">
              <w:rPr>
                <w:sz w:val="28"/>
                <w:szCs w:val="28"/>
              </w:rPr>
              <w:t xml:space="preserve">‘2’ had discussed with myself how she suffered trauma from losing 3 children in her life, a brother who committed suicide and how “2” suffered abuse both physically and mentally from her parents and ex-husband.   Although Grief and loss theory was used for 2 it was on-going, ‘the length of the grieving process is individual’ this is discussed by Bowlby (1980).   </w:t>
            </w:r>
          </w:p>
          <w:p w14:paraId="75CA1460" w14:textId="77777777" w:rsidR="00636F51" w:rsidRPr="00636F51" w:rsidRDefault="00636F51" w:rsidP="00636F51">
            <w:pPr>
              <w:jc w:val="both"/>
              <w:rPr>
                <w:sz w:val="28"/>
                <w:szCs w:val="28"/>
              </w:rPr>
            </w:pPr>
          </w:p>
          <w:p w14:paraId="647CAE91" w14:textId="73EB198B" w:rsidR="00636F51" w:rsidRPr="00636F51" w:rsidRDefault="00636F51" w:rsidP="00636F51">
            <w:pPr>
              <w:jc w:val="both"/>
              <w:rPr>
                <w:sz w:val="28"/>
                <w:szCs w:val="28"/>
              </w:rPr>
            </w:pPr>
            <w:r w:rsidRPr="00636F51">
              <w:rPr>
                <w:sz w:val="28"/>
                <w:szCs w:val="28"/>
              </w:rPr>
              <w:lastRenderedPageBreak/>
              <w:t xml:space="preserve">2 was a heavy smoker and binge drinker, consuming a large amount of alcohol at times, 2 did not leave the house or have any family or friends who provided consistent support. 2 had a son, however the support he provided was sporadic. He had also demanded money in the past from ‘2’ and I recognised the conflict this raised </w:t>
            </w:r>
            <w:r w:rsidR="00774986" w:rsidRPr="00636F51">
              <w:rPr>
                <w:sz w:val="28"/>
                <w:szCs w:val="28"/>
              </w:rPr>
              <w:t>within</w:t>
            </w:r>
            <w:r w:rsidRPr="00636F51">
              <w:rPr>
                <w:sz w:val="28"/>
                <w:szCs w:val="28"/>
              </w:rPr>
              <w:t xml:space="preserve"> myself as to appropriateness of the son delivering any care. Whilst this raised issues around the son’s suitability to provide care and potential safeguarding risks, a carers assessment would be offered ‘regardless of the level of support the carer needs’ (Social Care Wales, 2016).  It was clear 2 needed someone to act on her behalf so I discussed 2 having an advocate and 2 agreed to this, I therefore completed a referral for an advocate. An advocate’s role is based on trust and empowerment, I felt it was essential 2 had a voice and felt empowered to make decisions where she was able.</w:t>
            </w:r>
          </w:p>
          <w:p w14:paraId="1E41EF15" w14:textId="77777777" w:rsidR="00636F51" w:rsidRPr="00636F51" w:rsidRDefault="00636F51" w:rsidP="00636F51">
            <w:pPr>
              <w:jc w:val="both"/>
              <w:rPr>
                <w:sz w:val="28"/>
                <w:szCs w:val="28"/>
              </w:rPr>
            </w:pPr>
          </w:p>
          <w:p w14:paraId="627DBC83" w14:textId="77777777" w:rsidR="00636F51" w:rsidRPr="00636F51" w:rsidRDefault="00636F51" w:rsidP="00636F51">
            <w:pPr>
              <w:jc w:val="both"/>
              <w:rPr>
                <w:sz w:val="28"/>
                <w:szCs w:val="28"/>
              </w:rPr>
            </w:pPr>
            <w:r w:rsidRPr="00636F51">
              <w:rPr>
                <w:sz w:val="28"/>
                <w:szCs w:val="28"/>
              </w:rPr>
              <w:t xml:space="preserve">Completing an assessment can be a negative experience for service users, when discussing what support is required, these are what the person is now unable to manage independently.  I needed to ensure I was focussing on the strengths of 2 as it was evident through previous conversations that there was past trauma in 2’s life. As supported by Saleebey (1996), who states that ‘Assessments of needs are weighted towards people’s negative pasts’.    It was essential I built a rapport and listened to the positive areas of 2’s life, this allowed me to encourage and support ‘2’ to build on small changes 2 had made and which had been positive. This helped 2 gradually build her confidence through making small decisions around her future, also adding a sense of self-worth Rogers (1980) believed that ‘a person’s behaviour is motivated by self- actualisation’. However, these were not consistent steps forward resulting in several occasions where we were required to go back a step to build on areas to promote change.  I am able to draw parallels with Prochaska and DiClemente’s (1983) ‘cycle of change model’.  There are five steps within this model, which works well with individuals like 2 who have an addiction, specifically the relapse stage where 2 would ‘fall back into old patterns of behaviour’.    </w:t>
            </w:r>
          </w:p>
          <w:p w14:paraId="0CB5DD29" w14:textId="77777777" w:rsidR="00636F51" w:rsidRPr="00636F51" w:rsidRDefault="00636F51" w:rsidP="00636F51">
            <w:pPr>
              <w:jc w:val="both"/>
              <w:rPr>
                <w:sz w:val="28"/>
                <w:szCs w:val="28"/>
              </w:rPr>
            </w:pPr>
          </w:p>
          <w:p w14:paraId="37F23321" w14:textId="77777777" w:rsidR="00636F51" w:rsidRPr="00636F51" w:rsidRDefault="00636F51" w:rsidP="00636F51">
            <w:pPr>
              <w:jc w:val="both"/>
              <w:rPr>
                <w:sz w:val="28"/>
                <w:szCs w:val="28"/>
              </w:rPr>
            </w:pPr>
          </w:p>
          <w:p w14:paraId="61A04C88" w14:textId="77777777" w:rsidR="00636F51" w:rsidRPr="00636F51" w:rsidRDefault="00636F51" w:rsidP="00636F51">
            <w:pPr>
              <w:jc w:val="both"/>
              <w:rPr>
                <w:sz w:val="28"/>
                <w:szCs w:val="28"/>
              </w:rPr>
            </w:pPr>
            <w:r w:rsidRPr="00636F51">
              <w:rPr>
                <w:sz w:val="28"/>
                <w:szCs w:val="28"/>
              </w:rPr>
              <w:t xml:space="preserve"> </w:t>
            </w:r>
          </w:p>
          <w:p w14:paraId="5DA4EB8D" w14:textId="77777777" w:rsidR="00636F51" w:rsidRPr="00636F51" w:rsidRDefault="00636F51" w:rsidP="00636F51">
            <w:pPr>
              <w:jc w:val="both"/>
              <w:rPr>
                <w:sz w:val="28"/>
                <w:szCs w:val="28"/>
              </w:rPr>
            </w:pPr>
            <w:r w:rsidRPr="00636F51">
              <w:rPr>
                <w:sz w:val="28"/>
                <w:szCs w:val="28"/>
              </w:rPr>
              <w:t xml:space="preserve">The Mental Health Act (1983) was revised in Wales (2016), following the changes and requirements of the Mental Health (Wales) Measure (2010), ‘the codes principles form the foundation of services in the delivery of evidence-based care and treatment’ (MHWM, 2010) (GOV.UK).       </w:t>
            </w:r>
          </w:p>
          <w:p w14:paraId="1AED5A84" w14:textId="77777777" w:rsidR="00636F51" w:rsidRPr="00636F51" w:rsidRDefault="00636F51" w:rsidP="00636F51">
            <w:pPr>
              <w:jc w:val="both"/>
              <w:rPr>
                <w:color w:val="FF0000"/>
                <w:sz w:val="28"/>
                <w:szCs w:val="28"/>
              </w:rPr>
            </w:pPr>
            <w:r w:rsidRPr="00636F51">
              <w:rPr>
                <w:sz w:val="28"/>
                <w:szCs w:val="28"/>
              </w:rPr>
              <w:t xml:space="preserve">Under the Mental Health (Wales) Measure (2010), as the care co-ordinator for ‘2’ I was required to complete a care and treatment plan. I was conscious of the </w:t>
            </w:r>
            <w:r w:rsidRPr="00636F51">
              <w:rPr>
                <w:sz w:val="28"/>
                <w:szCs w:val="28"/>
              </w:rPr>
              <w:lastRenderedPageBreak/>
              <w:t xml:space="preserve">need to work collaboratively with other professionals involved allowing access to the CTP to ensure they had input into its development. ‘2’ had a primary diagnosis of ‘multiple personality disorder’ and evidence suggests ‘how individuals with a diagnosed personality disorder can present a risk to themselves’, also a personality disorder ‘may reduce a person’s ability to self-care’ ‘Wales Regional safeguarding Board 2.2’.  </w:t>
            </w:r>
          </w:p>
          <w:p w14:paraId="1EB628B6" w14:textId="77777777" w:rsidR="00636F51" w:rsidRPr="00636F51" w:rsidRDefault="00636F51" w:rsidP="00636F51">
            <w:pPr>
              <w:rPr>
                <w:sz w:val="28"/>
                <w:szCs w:val="28"/>
              </w:rPr>
            </w:pPr>
          </w:p>
          <w:p w14:paraId="4D448EC8" w14:textId="3C309EF6" w:rsidR="00636F51" w:rsidRPr="00636F51" w:rsidRDefault="00636F51" w:rsidP="00636F51">
            <w:pPr>
              <w:jc w:val="both"/>
              <w:rPr>
                <w:sz w:val="28"/>
                <w:szCs w:val="28"/>
              </w:rPr>
            </w:pPr>
            <w:r w:rsidRPr="00636F51">
              <w:rPr>
                <w:sz w:val="28"/>
                <w:szCs w:val="28"/>
              </w:rPr>
              <w:t xml:space="preserve">For me to move onto the ‘So what’ stage of Borton’s Model of Reflection (1970) it was essential I understood what was important for ‘2’, this allowed me to learn about the past and what I needed to focus on with 2 in relation to 2’s future outcomes.  Following an MDT, I recognised the need that an assessment was carried out by an Approved mental health professional (AMHPs), An AMHP would also have an understanding of the impact of 2’s past Trauma on 2’s </w:t>
            </w:r>
            <w:r w:rsidR="00396558" w:rsidRPr="00636F51">
              <w:rPr>
                <w:sz w:val="28"/>
                <w:szCs w:val="28"/>
              </w:rPr>
              <w:t>decision</w:t>
            </w:r>
            <w:r w:rsidRPr="00636F51">
              <w:rPr>
                <w:sz w:val="28"/>
                <w:szCs w:val="28"/>
              </w:rPr>
              <w:t xml:space="preserve"> making, the AMHP would also support in identifying risks to 2 and others. ‘2’ was awaiting further assessments in several areas including blood tests and scans, however 2 had refused hospital admissions and was deemed to have capacity to make this decision.  I challenged this with the GP asking for the reason 2 refused hospital admission, I am aware that an MCA is only completed if there is a question to doubt capacity around that specific </w:t>
            </w:r>
            <w:r w:rsidR="00396558" w:rsidRPr="00636F51">
              <w:rPr>
                <w:sz w:val="28"/>
                <w:szCs w:val="28"/>
              </w:rPr>
              <w:t>decision</w:t>
            </w:r>
            <w:r w:rsidRPr="00636F51">
              <w:rPr>
                <w:sz w:val="28"/>
                <w:szCs w:val="28"/>
              </w:rPr>
              <w:t xml:space="preserve">. The MCA has a two-stage functional test of capacity it states, ‘someone has to be able to retain the information given to them for long enough to answer the question and weigh up the information to make the decision’ (SCIE.org.uk).  I felt ‘2’ being able to give a reason was highly questionable from my experience in 2’s understanding. </w:t>
            </w:r>
          </w:p>
          <w:p w14:paraId="5A265F21" w14:textId="2A586B7F" w:rsidR="00636F51" w:rsidRPr="00636F51" w:rsidRDefault="00636F51" w:rsidP="00636F51">
            <w:pPr>
              <w:jc w:val="both"/>
              <w:rPr>
                <w:sz w:val="28"/>
                <w:szCs w:val="28"/>
              </w:rPr>
            </w:pPr>
            <w:r w:rsidRPr="00636F51">
              <w:rPr>
                <w:sz w:val="28"/>
                <w:szCs w:val="28"/>
              </w:rPr>
              <w:t xml:space="preserve">If 2 lacked capacity around hospital admission this would have proceeded to a Best Interest (BI) following assessment.   If an individual is deemed to lack capacity around a specific </w:t>
            </w:r>
            <w:r w:rsidR="00396558" w:rsidRPr="00636F51">
              <w:rPr>
                <w:sz w:val="28"/>
                <w:szCs w:val="28"/>
              </w:rPr>
              <w:t>decision</w:t>
            </w:r>
            <w:r w:rsidRPr="00636F51">
              <w:rPr>
                <w:sz w:val="28"/>
                <w:szCs w:val="28"/>
              </w:rPr>
              <w:t xml:space="preserve"> then a BI </w:t>
            </w:r>
            <w:r w:rsidR="00396558" w:rsidRPr="00636F51">
              <w:rPr>
                <w:sz w:val="28"/>
                <w:szCs w:val="28"/>
              </w:rPr>
              <w:t>decision</w:t>
            </w:r>
            <w:r w:rsidRPr="00636F51">
              <w:rPr>
                <w:sz w:val="28"/>
                <w:szCs w:val="28"/>
              </w:rPr>
              <w:t xml:space="preserve"> is made by those involved from a professional capacity and family. The guidance is set out in principle 4 of the Mental Capacity Act, where the MDT could make a joint decision in 2’s best interest if it was felt 2 had lacked capacity over the decision. </w:t>
            </w:r>
          </w:p>
          <w:p w14:paraId="0D1C51FA" w14:textId="77777777" w:rsidR="00636F51" w:rsidRPr="00636F51" w:rsidRDefault="00636F51" w:rsidP="00636F51">
            <w:pPr>
              <w:jc w:val="both"/>
              <w:rPr>
                <w:sz w:val="28"/>
                <w:szCs w:val="28"/>
              </w:rPr>
            </w:pPr>
            <w:r w:rsidRPr="00636F51">
              <w:rPr>
                <w:sz w:val="28"/>
                <w:szCs w:val="28"/>
              </w:rPr>
              <w:t xml:space="preserve"> </w:t>
            </w:r>
          </w:p>
          <w:p w14:paraId="1281A742" w14:textId="77777777" w:rsidR="00636F51" w:rsidRPr="00636F51" w:rsidRDefault="00636F51" w:rsidP="00636F51">
            <w:pPr>
              <w:jc w:val="both"/>
              <w:rPr>
                <w:sz w:val="28"/>
                <w:szCs w:val="28"/>
              </w:rPr>
            </w:pPr>
            <w:r w:rsidRPr="00636F51">
              <w:rPr>
                <w:sz w:val="28"/>
                <w:szCs w:val="28"/>
              </w:rPr>
              <w:t xml:space="preserve">There had been concerns raised around 2’s mental health due to suicidal ideation from ‘2’, it was vital the Community Mental Health team (CMHT) assessed if 2 was a risk to herself and required hospital admission under The MHA (1983). Under The Mental Health Act (1983) an individual can be admitted to a secure hospital, primarily under section 2/3 if criteria is met. The assessment was carried out with an Approved Mental Health Professional (AMHP) and a GP.  There had been concerns raised during meetings for ‘2’, due to risk of harm to herself.  It was essential I worked with 2 and her advocate to ensure she was kept safe, Code of Professional Practice (COPP 3).   The outcome following the </w:t>
            </w:r>
            <w:r w:rsidRPr="00636F51">
              <w:rPr>
                <w:sz w:val="28"/>
                <w:szCs w:val="28"/>
              </w:rPr>
              <w:lastRenderedPageBreak/>
              <w:t xml:space="preserve">AMHP and GP assessment to establish if ‘2’ was safe and had capacity, therefore would not be a threat to herself or others.  </w:t>
            </w:r>
          </w:p>
          <w:p w14:paraId="12FA54BD" w14:textId="77777777" w:rsidR="00636F51" w:rsidRPr="00636F51" w:rsidRDefault="00636F51" w:rsidP="00636F51">
            <w:pPr>
              <w:jc w:val="both"/>
              <w:rPr>
                <w:sz w:val="28"/>
                <w:szCs w:val="28"/>
              </w:rPr>
            </w:pPr>
          </w:p>
          <w:p w14:paraId="28918E42" w14:textId="77777777" w:rsidR="00636F51" w:rsidRPr="00636F51" w:rsidRDefault="00636F51" w:rsidP="00636F51">
            <w:pPr>
              <w:jc w:val="both"/>
              <w:rPr>
                <w:sz w:val="28"/>
                <w:szCs w:val="28"/>
              </w:rPr>
            </w:pPr>
            <w:r w:rsidRPr="00636F51">
              <w:rPr>
                <w:sz w:val="28"/>
                <w:szCs w:val="28"/>
              </w:rPr>
              <w:t>The Mental Health (Wales) Measure (2010) is a ‘A law passed by the Welsh Government to ensure the GP has more services to refer people that require this support to’ (GOV.UK). ‘2’ required increased support of services and this resulted in a referral to the older adults Psychology team.  However, 2 lived in a rural area which impacted on the time it can take assessments to be completed. Rural areas can be disadvantaged as supported by the (United Nations.org, 2021) who state ‘there are gaps in basic opportunities and services’ and that ‘80 percent of people in poverty live in rural areas’ (UN.org, 2021) reinforcing and raising concerns around 2’s access to services and assessment.</w:t>
            </w:r>
          </w:p>
          <w:p w14:paraId="730B4B45" w14:textId="77777777" w:rsidR="00636F51" w:rsidRPr="00636F51" w:rsidRDefault="00636F51" w:rsidP="00636F51">
            <w:pPr>
              <w:rPr>
                <w:sz w:val="28"/>
                <w:szCs w:val="28"/>
              </w:rPr>
            </w:pPr>
            <w:r w:rsidRPr="00636F51">
              <w:rPr>
                <w:sz w:val="28"/>
                <w:szCs w:val="28"/>
              </w:rPr>
              <w:t xml:space="preserve"> </w:t>
            </w:r>
          </w:p>
          <w:p w14:paraId="13539958" w14:textId="77777777" w:rsidR="00636F51" w:rsidRPr="00636F51" w:rsidRDefault="00636F51" w:rsidP="00636F51">
            <w:pPr>
              <w:jc w:val="both"/>
              <w:rPr>
                <w:sz w:val="28"/>
                <w:szCs w:val="28"/>
              </w:rPr>
            </w:pPr>
            <w:r w:rsidRPr="00636F51">
              <w:rPr>
                <w:sz w:val="28"/>
                <w:szCs w:val="28"/>
              </w:rPr>
              <w:t xml:space="preserve">When visiting 2 I noted bruising on her arms, I asked where they were from assuming 2 had fallen or banged herself whilst under the influence of alcohol.  2 replied a family member had come to the property demanding money from her and grabbed her.  I was surprised as 2 had not discussed any family visiting during my intervention, there was also a key safe on the door which 2 had always refused to know the number. 2 had possibly opened the door from the inside and allowed the family member access.  I was a little anxious about how I approached my questions as 2 was under the influence of alcohol and I needed to ensure as much detail and accuracy as possible.  I had kept up to date with the LA training for safeguarding and considered past involvement of previous safeguarding cases. </w:t>
            </w:r>
          </w:p>
          <w:p w14:paraId="092E8171" w14:textId="77777777" w:rsidR="00636F51" w:rsidRPr="00636F51" w:rsidRDefault="00636F51" w:rsidP="00636F51">
            <w:pPr>
              <w:rPr>
                <w:sz w:val="28"/>
                <w:szCs w:val="28"/>
              </w:rPr>
            </w:pPr>
          </w:p>
          <w:p w14:paraId="58286F91" w14:textId="77777777" w:rsidR="00636F51" w:rsidRPr="00636F51" w:rsidRDefault="00636F51" w:rsidP="00636F51">
            <w:pPr>
              <w:jc w:val="both"/>
              <w:rPr>
                <w:sz w:val="28"/>
                <w:szCs w:val="28"/>
              </w:rPr>
            </w:pPr>
            <w:r w:rsidRPr="00636F51">
              <w:rPr>
                <w:sz w:val="28"/>
                <w:szCs w:val="28"/>
              </w:rPr>
              <w:t xml:space="preserve">I reflected on this and changed my approach and how I needed to remain calm and maintain a person-centred approach, ensuring ‘the rights of the individual should be paramount to the approach’ (Part 2.6 of the SSWB(W)A) (2014).   I supported through active listening and asking questions to allow 2 to use her own words. ‘Abuse can be physical, sexual, psychological, emotional or Financial’, for 2 over the years there had been abuse in all these areas SSWBWA (2014).  Therefore, the trauma from events from 2’s past were still being relived and 2 had not dealt with these issues causing further trauma. 2 had previously declined to engage in counselling, to address and work through her previous traumas.  </w:t>
            </w:r>
          </w:p>
          <w:p w14:paraId="224CEB43" w14:textId="77777777" w:rsidR="00636F51" w:rsidRPr="00636F51" w:rsidRDefault="00636F51" w:rsidP="00636F51">
            <w:pPr>
              <w:jc w:val="both"/>
              <w:rPr>
                <w:sz w:val="28"/>
                <w:szCs w:val="28"/>
              </w:rPr>
            </w:pPr>
            <w:r w:rsidRPr="00636F51">
              <w:rPr>
                <w:sz w:val="28"/>
                <w:szCs w:val="28"/>
              </w:rPr>
              <w:t xml:space="preserve">  </w:t>
            </w:r>
          </w:p>
          <w:p w14:paraId="7BEA3E28" w14:textId="77777777" w:rsidR="00636F51" w:rsidRPr="00636F51" w:rsidRDefault="00636F51" w:rsidP="00636F51">
            <w:pPr>
              <w:jc w:val="both"/>
              <w:rPr>
                <w:sz w:val="28"/>
                <w:szCs w:val="28"/>
              </w:rPr>
            </w:pPr>
            <w:r w:rsidRPr="00636F51">
              <w:rPr>
                <w:sz w:val="28"/>
                <w:szCs w:val="28"/>
              </w:rPr>
              <w:t xml:space="preserve">The Human Right Act (HRA, 1998) article 2 discusses ‘everyone’s life shall be protected by law’ (GOV.UK), this goes onto discuss ‘defence of violence’.  The United Nations Convention on the rights of persons with Disabilities (2006) ‘affirms all persons with disabilities must enjoy all human rights, such as equality, </w:t>
            </w:r>
            <w:r w:rsidRPr="00636F51">
              <w:rPr>
                <w:sz w:val="28"/>
                <w:szCs w:val="28"/>
              </w:rPr>
              <w:lastRenderedPageBreak/>
              <w:t>health and freedom from violence’, both acts discuss how violence was a violation of 2’s human rights.</w:t>
            </w:r>
          </w:p>
          <w:p w14:paraId="645F760C" w14:textId="77777777" w:rsidR="00636F51" w:rsidRPr="00636F51" w:rsidRDefault="00636F51" w:rsidP="00636F51">
            <w:pPr>
              <w:jc w:val="both"/>
              <w:rPr>
                <w:sz w:val="28"/>
                <w:szCs w:val="28"/>
              </w:rPr>
            </w:pPr>
            <w:r w:rsidRPr="00636F51">
              <w:rPr>
                <w:sz w:val="28"/>
                <w:szCs w:val="28"/>
              </w:rPr>
              <w:t xml:space="preserve"> </w:t>
            </w:r>
          </w:p>
          <w:p w14:paraId="3D408B64" w14:textId="77777777" w:rsidR="00636F51" w:rsidRPr="00636F51" w:rsidRDefault="00636F51" w:rsidP="00636F51">
            <w:pPr>
              <w:jc w:val="both"/>
              <w:rPr>
                <w:sz w:val="28"/>
                <w:szCs w:val="28"/>
              </w:rPr>
            </w:pPr>
            <w:r w:rsidRPr="00636F51">
              <w:rPr>
                <w:sz w:val="28"/>
                <w:szCs w:val="28"/>
              </w:rPr>
              <w:t xml:space="preserve">2 agreed to a care package following the assessment, SSWBA (2014) stated moderate and substantial need.  However, notice was given quite quickly by the provider, stating environmental concerns and also Health and Safety issues were raised.  Health and Safety (2005) discusses how ‘employers are responsible for employee’s safety at work’.  As the carers had started to refuse to go into the property, also raising 2 was often verbally abusive when under influence of alcohol and would not engage in personal care or essential needs that the care provider was in place to support with.  Therefore, as Low needs were removed from criteria when SSWBA (2014) was introduced this raised a further loss of support for 2.    </w:t>
            </w:r>
          </w:p>
          <w:p w14:paraId="70305DC8" w14:textId="77777777" w:rsidR="00636F51" w:rsidRPr="00636F51" w:rsidRDefault="00636F51" w:rsidP="00636F51">
            <w:pPr>
              <w:rPr>
                <w:sz w:val="28"/>
                <w:szCs w:val="28"/>
              </w:rPr>
            </w:pPr>
          </w:p>
          <w:p w14:paraId="0A8AB56D" w14:textId="77777777" w:rsidR="00636F51" w:rsidRPr="00636F51" w:rsidRDefault="00636F51" w:rsidP="00636F51">
            <w:pPr>
              <w:jc w:val="both"/>
              <w:rPr>
                <w:sz w:val="28"/>
                <w:szCs w:val="28"/>
              </w:rPr>
            </w:pPr>
            <w:r w:rsidRPr="00636F51">
              <w:rPr>
                <w:sz w:val="28"/>
                <w:szCs w:val="28"/>
              </w:rPr>
              <w:t>Social Services &amp; Well-Being (Wales) Act (2014) part 7 section 126 discusses ‘Adults at risk’, I believed 2 to be at risk as the family member could return.  The Wales Safeguarding Procedures for children and adults at risk of abuse, the ‘Act provides a legal framework for improving the well-being of people who need care and support’ (Social Care Wales, 2023).</w:t>
            </w:r>
          </w:p>
          <w:p w14:paraId="065EBC24" w14:textId="77777777" w:rsidR="00636F51" w:rsidRPr="00636F51" w:rsidRDefault="00636F51" w:rsidP="00636F51">
            <w:pPr>
              <w:jc w:val="both"/>
              <w:rPr>
                <w:sz w:val="28"/>
                <w:szCs w:val="28"/>
              </w:rPr>
            </w:pPr>
          </w:p>
          <w:p w14:paraId="7B6464A0" w14:textId="77777777" w:rsidR="00636F51" w:rsidRPr="00636F51" w:rsidRDefault="00636F51" w:rsidP="00636F51">
            <w:pPr>
              <w:jc w:val="both"/>
              <w:rPr>
                <w:sz w:val="28"/>
                <w:szCs w:val="28"/>
              </w:rPr>
            </w:pPr>
            <w:r w:rsidRPr="00636F51">
              <w:rPr>
                <w:sz w:val="28"/>
                <w:szCs w:val="28"/>
              </w:rPr>
              <w:t xml:space="preserve">I had always been aware of ‘2’’s difficulty in trusting people, and knew I needed to ensure 2 understood what she told me would be reported to appropriate persons to action.  I could sense 2 started to stop the conversation however I needed to reassure her I was concerned as 2 lived alone and the family member could return.  I explained I work under guidance of COPP and under the Social Services &amp; Well-being (Wales) Act 2014, this highlighted I needed to ensure I was doing all I can to keep 2 safe. Social work values link to our practice, it is essential we are open and professional and stay positive, I explained it was key I reported this as accurately as possible for it to progress. I was also aware 2 needed to feel respected and informed throughout the process.   The referral would then work in collaboration with appropriate services required. </w:t>
            </w:r>
          </w:p>
          <w:p w14:paraId="55754D21" w14:textId="77777777" w:rsidR="00636F51" w:rsidRPr="00636F51" w:rsidRDefault="00636F51" w:rsidP="00636F51">
            <w:pPr>
              <w:jc w:val="both"/>
              <w:rPr>
                <w:sz w:val="28"/>
                <w:szCs w:val="28"/>
              </w:rPr>
            </w:pPr>
          </w:p>
          <w:p w14:paraId="101CC056" w14:textId="77777777" w:rsidR="00636F51" w:rsidRPr="00636F51" w:rsidRDefault="00636F51" w:rsidP="00636F51">
            <w:pPr>
              <w:jc w:val="both"/>
              <w:rPr>
                <w:sz w:val="28"/>
                <w:szCs w:val="28"/>
              </w:rPr>
            </w:pPr>
            <w:r w:rsidRPr="00636F51">
              <w:rPr>
                <w:sz w:val="28"/>
                <w:szCs w:val="28"/>
              </w:rPr>
              <w:t xml:space="preserve">2 was known to police due to a previous break-in at her home a year prior, 2 previously said she does not like the police and had also mentioned that previous incidents were not taken seriously and that she felt judged as to how she lived.  Although I was not aware of what incidents took place or even if there was intervention by the police as some conversations with 2 could be difficult to interpret if they were accurate. However, this could have been discriminatory for 2, discrimination is described as ‘unfair or prejudicial treatment of others, due to race, gender, age or sexual orientation’, this was </w:t>
            </w:r>
            <w:bookmarkStart w:id="0" w:name="_Hlk134711343"/>
            <w:r w:rsidRPr="00636F51">
              <w:rPr>
                <w:sz w:val="28"/>
                <w:szCs w:val="28"/>
              </w:rPr>
              <w:t xml:space="preserve">discussed by the American </w:t>
            </w:r>
            <w:r w:rsidRPr="00636F51">
              <w:rPr>
                <w:sz w:val="28"/>
                <w:szCs w:val="28"/>
              </w:rPr>
              <w:lastRenderedPageBreak/>
              <w:t xml:space="preserve">psychological Association, (APA). </w:t>
            </w:r>
            <w:bookmarkEnd w:id="0"/>
            <w:r w:rsidRPr="00636F51">
              <w:rPr>
                <w:sz w:val="28"/>
                <w:szCs w:val="28"/>
              </w:rPr>
              <w:t xml:space="preserve"> I am also aware of the importance of the Equality Act (2010), this piece of legislation ensures people are protected and treated fairly. </w:t>
            </w:r>
          </w:p>
          <w:p w14:paraId="3A0B5273" w14:textId="77777777" w:rsidR="00636F51" w:rsidRPr="00636F51" w:rsidRDefault="00636F51" w:rsidP="00636F51">
            <w:pPr>
              <w:jc w:val="both"/>
              <w:rPr>
                <w:sz w:val="28"/>
                <w:szCs w:val="28"/>
              </w:rPr>
            </w:pPr>
          </w:p>
          <w:p w14:paraId="5F66C9E3" w14:textId="77777777" w:rsidR="00636F51" w:rsidRPr="00636F51" w:rsidRDefault="00636F51" w:rsidP="00636F51">
            <w:pPr>
              <w:jc w:val="both"/>
              <w:rPr>
                <w:sz w:val="28"/>
                <w:szCs w:val="28"/>
              </w:rPr>
            </w:pPr>
            <w:r w:rsidRPr="00636F51">
              <w:rPr>
                <w:sz w:val="28"/>
                <w:szCs w:val="28"/>
              </w:rPr>
              <w:t xml:space="preserve">Due to the rurality of where 2 lived my office was over an hour drive away, geographical distances which can impact on how quick urgent safeguarding concerns can be dealt with, living in a rural area can delay how assessments can be completed as previously mentioned.  I was concerned as how 2 was feeling if I left her alone.  It was imperative I contacted my senior and the police straight away by phone.   I knew I would need to refer to the adult safeguarding team and recognised the urgency to do this.  I realised I would need to return home to complete the Multi Agency Referral Form (MARF) as since Covid 19 I was still working from home and had not brought my laptop.  I reflected that in future I should bring my lap-top with me, however due to rurality the internet connection is poor in some areas, therefore phoning may be the quickest process.  I discussed the concerns with my senior who confirmed that as the police were aware I could complete the MARF on my return home.  However, I was aware the screening for all safeguarding referrals was every morning and felt I needed to complete whilst this was still ‘fresh to me’.  I felt a duty to ensure the proper process of the ‘All Wales Safeguarding guidance’ was followed.   From previous safeguarding training I had been aware of the ‘safeguarding app’ which could be downloaded, this would keep you up to date of legislation and processes.  </w:t>
            </w:r>
          </w:p>
          <w:p w14:paraId="055BE794" w14:textId="77777777" w:rsidR="00636F51" w:rsidRPr="00636F51" w:rsidRDefault="00636F51" w:rsidP="00636F51">
            <w:pPr>
              <w:jc w:val="both"/>
              <w:rPr>
                <w:sz w:val="28"/>
                <w:szCs w:val="28"/>
              </w:rPr>
            </w:pPr>
            <w:r w:rsidRPr="00636F51">
              <w:rPr>
                <w:sz w:val="28"/>
                <w:szCs w:val="28"/>
              </w:rPr>
              <w:t xml:space="preserve">I reflected thinking about the importance of this and knew I needed to have the ‘safeguarding app’ on my phone for the future, this had been available since 2019 and was kept up to date. </w:t>
            </w:r>
          </w:p>
          <w:p w14:paraId="31CFD1A3" w14:textId="77777777" w:rsidR="00636F51" w:rsidRPr="00636F51" w:rsidRDefault="00636F51" w:rsidP="00636F51">
            <w:pPr>
              <w:rPr>
                <w:sz w:val="28"/>
                <w:szCs w:val="28"/>
              </w:rPr>
            </w:pPr>
          </w:p>
          <w:p w14:paraId="0CAA2EE3" w14:textId="77777777" w:rsidR="00636F51" w:rsidRPr="00636F51" w:rsidRDefault="00636F51" w:rsidP="00636F51">
            <w:pPr>
              <w:jc w:val="both"/>
              <w:rPr>
                <w:sz w:val="28"/>
                <w:szCs w:val="28"/>
              </w:rPr>
            </w:pPr>
            <w:r w:rsidRPr="00636F51">
              <w:rPr>
                <w:sz w:val="28"/>
                <w:szCs w:val="28"/>
              </w:rPr>
              <w:t xml:space="preserve">Discussing the case and views of the MDT with the safeguarding team, I was made aware of the ‘Wales Regional Safeguarding Board’ and a form around high-risk behaviours, this referred to self-neglect and hoarding.  The SSWB(W)A (2014) does not discuss self-neglect in adults therefore this document discusses in detail ‘high risk cases in this area’.  The document discusses multi-agency working with 2 who has displayed a high risk of self-neglect; also discussing the importance of ‘good capacity assessments’.  Also, as there was a difference of opinion in 2’s capacity (although aware capacity is decision specific) this was causing some differences in the outcomes and a way forward.  Wales multi agency high risk Behaviour Panel (MAHRBP) is a ‘route for practitioners to escalate significant cases of concern’ to be discussed by a safeguarding board especially if there is a difference of opinion between professionals.  The document further discuss how legislation can make ‘it difficult to provide a </w:t>
            </w:r>
            <w:r w:rsidRPr="00636F51">
              <w:rPr>
                <w:sz w:val="28"/>
                <w:szCs w:val="28"/>
              </w:rPr>
              <w:lastRenderedPageBreak/>
              <w:t xml:space="preserve">solution to each individual case’, especially when mental capacity is variable there is not always an answer. </w:t>
            </w:r>
          </w:p>
          <w:p w14:paraId="77D577AE" w14:textId="77777777" w:rsidR="00636F51" w:rsidRPr="00636F51" w:rsidRDefault="00636F51" w:rsidP="00636F51">
            <w:pPr>
              <w:jc w:val="both"/>
              <w:rPr>
                <w:sz w:val="28"/>
                <w:szCs w:val="28"/>
              </w:rPr>
            </w:pPr>
          </w:p>
          <w:p w14:paraId="535D3769" w14:textId="77777777" w:rsidR="00636F51" w:rsidRPr="00636F51" w:rsidRDefault="00636F51" w:rsidP="00636F51">
            <w:pPr>
              <w:rPr>
                <w:sz w:val="28"/>
                <w:szCs w:val="28"/>
              </w:rPr>
            </w:pPr>
            <w:r w:rsidRPr="00636F51">
              <w:rPr>
                <w:sz w:val="28"/>
                <w:szCs w:val="28"/>
              </w:rPr>
              <w:t>Following conversations resulted in a discussion around holding a ‘Best Interest meeting’, Best Interest’s (BI) are completed if a ‘person that lacks capacity around a future decision, e.g., where to live, (social Care Wales, 2023); it was essential conversations around her care and accommodation were had leading to a BI meeting.   2 had agreed to a temporary move into a residential home, this would keep her safe and allow the home to be cleaned.  2 was clear that after the move she did not want to return to the area she lived and felt safe in her current accommodation.  However, 2 was known to change her mind and it was essential a BI meeting was completed.  It was essential that 2 had access to IMCA services as part of the process and in line with guidance.</w:t>
            </w:r>
          </w:p>
          <w:p w14:paraId="3A2391E2" w14:textId="77777777" w:rsidR="00636F51" w:rsidRPr="00636F51" w:rsidRDefault="00636F51" w:rsidP="00636F51">
            <w:pPr>
              <w:rPr>
                <w:sz w:val="28"/>
                <w:szCs w:val="28"/>
              </w:rPr>
            </w:pPr>
          </w:p>
          <w:p w14:paraId="01A063AC" w14:textId="77777777" w:rsidR="00636F51" w:rsidRPr="00636F51" w:rsidRDefault="00636F51" w:rsidP="00636F51">
            <w:pPr>
              <w:jc w:val="both"/>
              <w:rPr>
                <w:sz w:val="28"/>
                <w:szCs w:val="28"/>
              </w:rPr>
            </w:pPr>
            <w:r w:rsidRPr="00636F51">
              <w:rPr>
                <w:sz w:val="28"/>
                <w:szCs w:val="28"/>
              </w:rPr>
              <w:t xml:space="preserve">Further conversations were had around a Deprivation of liberty Safeguards (DOLS), DOLS was introduced to ensure someone lacking mental Capacity was safe in their environment e.g., home or hospital, ‘ensuring they are not being deprived of their liberty’, (SCIE).  2 was felt at further risk when under the influence of alcohol, therefore a DOLS needed to be applied, therefore an application by the residential home was required. DOLS is in process of being updated to Liberty protection safeguards (LPS), however there is no final date for this replacement at this time.     </w:t>
            </w:r>
          </w:p>
          <w:p w14:paraId="011C656D" w14:textId="77777777" w:rsidR="00636F51" w:rsidRPr="00636F51" w:rsidRDefault="00636F51" w:rsidP="00636F51">
            <w:pPr>
              <w:rPr>
                <w:sz w:val="28"/>
                <w:szCs w:val="28"/>
              </w:rPr>
            </w:pPr>
          </w:p>
          <w:p w14:paraId="396BB2F5" w14:textId="77777777" w:rsidR="00636F51" w:rsidRPr="00636F51" w:rsidRDefault="00636F51" w:rsidP="00636F51">
            <w:pPr>
              <w:jc w:val="both"/>
              <w:rPr>
                <w:sz w:val="28"/>
                <w:szCs w:val="28"/>
              </w:rPr>
            </w:pPr>
            <w:r w:rsidRPr="00636F51">
              <w:rPr>
                <w:sz w:val="28"/>
                <w:szCs w:val="28"/>
              </w:rPr>
              <w:t xml:space="preserve">Borton’s Model of Reflection was a focus for myself when working with 2, every visit 2 would communicate ‘whatever was on her mind’, due to 2’s diagnosis of ‘multiple personality disorder’.  I had to ‘think on my feet’, usually reassuring 2, COPP2  as a social worker we must ‘communicate in an appropriate, open, accurate and straightforward way’, it was essential I listened to ‘What’ was being said or what ‘happened’ and responded accordingly, ‘So what’ required me to listen and show interest or to discuss with 2 a way for 2 to resolve or maybe have support options; lastly focussing on ‘Now what’ allowed me to summarise what I will take from the conversation and how this can be actioned.  </w:t>
            </w:r>
          </w:p>
          <w:p w14:paraId="73BD345B" w14:textId="77777777" w:rsidR="00636F51" w:rsidRPr="00636F51" w:rsidRDefault="00636F51" w:rsidP="00636F51">
            <w:pPr>
              <w:jc w:val="both"/>
              <w:rPr>
                <w:sz w:val="28"/>
                <w:szCs w:val="28"/>
              </w:rPr>
            </w:pPr>
          </w:p>
          <w:p w14:paraId="3C8E865D" w14:textId="77777777" w:rsidR="00636F51" w:rsidRPr="00636F51" w:rsidRDefault="00636F51" w:rsidP="00636F51">
            <w:pPr>
              <w:jc w:val="both"/>
              <w:rPr>
                <w:sz w:val="28"/>
                <w:szCs w:val="28"/>
              </w:rPr>
            </w:pPr>
            <w:r w:rsidRPr="00636F51">
              <w:rPr>
                <w:sz w:val="28"/>
                <w:szCs w:val="28"/>
              </w:rPr>
              <w:t xml:space="preserve">This way of working with Borton’s model allowed me to reflect after every visit with 2, it was sometimes essential to change the conversation, as 2 would get quite vocal if the situation was continuing. From previous visits I had learnt that I needed to prompt 2 to answer.  SSWBA (2014) ‘promotes the voice and wishes of the service user’ therefore as 2 had capacity to participate in these conversations 2’s views were key achieving buy in from 2.  I also considered and </w:t>
            </w:r>
            <w:r w:rsidRPr="00636F51">
              <w:rPr>
                <w:sz w:val="28"/>
                <w:szCs w:val="28"/>
              </w:rPr>
              <w:lastRenderedPageBreak/>
              <w:t xml:space="preserve">focussed on Grief and loss from reading about 2’s life, using Grief and loss allowed me to understand 2.  Siobhan Maclean (2015) describes the ‘length of the grieving process can be individual’; 2 had gone through several giving process as many family members had passed away, but the loss had also impacted ‘a significant change’ for 2.  </w:t>
            </w:r>
          </w:p>
          <w:p w14:paraId="42C568A4" w14:textId="77777777" w:rsidR="00636F51" w:rsidRPr="00636F51" w:rsidRDefault="00636F51" w:rsidP="00636F51">
            <w:pPr>
              <w:jc w:val="both"/>
              <w:rPr>
                <w:sz w:val="28"/>
                <w:szCs w:val="28"/>
              </w:rPr>
            </w:pPr>
          </w:p>
          <w:p w14:paraId="2A4C20AA" w14:textId="77777777" w:rsidR="00636F51" w:rsidRPr="00636F51" w:rsidRDefault="00636F51" w:rsidP="00636F51">
            <w:pPr>
              <w:jc w:val="both"/>
              <w:rPr>
                <w:sz w:val="28"/>
                <w:szCs w:val="28"/>
              </w:rPr>
            </w:pPr>
            <w:r w:rsidRPr="00636F51">
              <w:rPr>
                <w:sz w:val="28"/>
                <w:szCs w:val="28"/>
              </w:rPr>
              <w:t>There had been continuous changes happening throughout her life; including an abusive marriage which had ended and whereby 2 was forced to leave the property.  Bowlby (1980) discusses the ‘grief process being more dynamic’, describing the process as ‘being straight forward’, I feel as individuals especially like 2 the amount of turmoil caused from both grief and loss had impacted in a more detrimental way.  Therefore, I disagree with Bowlby (1980) stating the grieving process being more straight forward.  In 2’s case I considered Kubler Ross’s (1969) five stages were a better way to understand 2 and work through the stages that had caused the trauma which was still impacting on her life.</w:t>
            </w:r>
          </w:p>
          <w:p w14:paraId="458DDF5E" w14:textId="77777777" w:rsidR="00636F51" w:rsidRPr="00636F51" w:rsidRDefault="00636F51" w:rsidP="00636F51">
            <w:pPr>
              <w:jc w:val="both"/>
              <w:rPr>
                <w:sz w:val="28"/>
                <w:szCs w:val="28"/>
              </w:rPr>
            </w:pPr>
          </w:p>
          <w:p w14:paraId="6EBEE92B" w14:textId="77777777" w:rsidR="00636F51" w:rsidRPr="00636F51" w:rsidRDefault="00636F51" w:rsidP="00636F51">
            <w:pPr>
              <w:jc w:val="both"/>
              <w:rPr>
                <w:sz w:val="28"/>
                <w:szCs w:val="28"/>
              </w:rPr>
            </w:pPr>
            <w:r w:rsidRPr="00636F51">
              <w:rPr>
                <w:sz w:val="28"/>
                <w:szCs w:val="28"/>
              </w:rPr>
              <w:t xml:space="preserve">I also focussed on The Strengths Based perspective and Resilience Theory, (Saleebey, 1996) discusses that ‘personal qualities and strengths can be formed from difficult experiences.  It was key I focussed on 2’s strengths, as this allowed 2 to start believing a better life was out there if 2 would allow support and services.  This would then ‘reduce the negative effects of emotions or relationships’ of 2’s past.  Saleebey, (1996) went onto discuss the Strengths Based Perspective led to hope, coping and opportunities, Saleebey 2006; Kelly and Gates, (2010) ‘believe there are always strengths to draw upon, no matter how difficult or terrible the situation or problem is.  I agree the Strengths Perspective allows me to build on a positive, focussing on the future.  Supporting people like 2 to have a better life. </w:t>
            </w:r>
          </w:p>
          <w:p w14:paraId="2D041686" w14:textId="77777777" w:rsidR="00636F51" w:rsidRPr="00636F51" w:rsidRDefault="00636F51" w:rsidP="00636F51">
            <w:pPr>
              <w:jc w:val="both"/>
              <w:rPr>
                <w:sz w:val="28"/>
                <w:szCs w:val="28"/>
              </w:rPr>
            </w:pPr>
          </w:p>
          <w:p w14:paraId="10E0EEEB" w14:textId="77777777" w:rsidR="00636F51" w:rsidRPr="00636F51" w:rsidRDefault="00636F51" w:rsidP="00636F51">
            <w:pPr>
              <w:jc w:val="both"/>
              <w:rPr>
                <w:sz w:val="28"/>
                <w:szCs w:val="28"/>
              </w:rPr>
            </w:pPr>
            <w:r w:rsidRPr="00636F51">
              <w:rPr>
                <w:sz w:val="28"/>
                <w:szCs w:val="28"/>
              </w:rPr>
              <w:t xml:space="preserve">I felt this case was a complex case which allowed me to learn and progress, I worked collaboratively to keep ‘2’ safe by adhering to the guidelines and legislation alongside the COPP, which has been essential with the social work values.  Working with Borton’s (1970) Model of Reflection allowed me to learn constantly and keep questioning my practice, I realised I was unable to resolve the situation for 2 and it was essential I understood there were many cases where the impact of personality disorders and capacity can limit people’s decisions even with an MDT in place.  There were different views around ‘2’s capacity, and it was essential I passed on the information to safeguarding, who could look at the situation and then plan.  I reflect on the situation, and I had to understand, I was not a main decision maker and sometimes high-risk cases </w:t>
            </w:r>
            <w:r w:rsidRPr="00636F51">
              <w:rPr>
                <w:sz w:val="28"/>
                <w:szCs w:val="28"/>
              </w:rPr>
              <w:lastRenderedPageBreak/>
              <w:t xml:space="preserve">can result in different views, however legislation and guidelines are followed to ensure we are doing all we can to keep people like 2 safe within the law.  </w:t>
            </w:r>
          </w:p>
          <w:p w14:paraId="203A77DA" w14:textId="77777777" w:rsidR="00636F51" w:rsidRPr="00636F51" w:rsidRDefault="00636F51" w:rsidP="00636F51">
            <w:pPr>
              <w:rPr>
                <w:sz w:val="28"/>
                <w:szCs w:val="28"/>
              </w:rPr>
            </w:pPr>
          </w:p>
          <w:p w14:paraId="7E14AECC" w14:textId="77777777" w:rsidR="00636F51" w:rsidRPr="00636F51" w:rsidRDefault="00636F51" w:rsidP="00636F51">
            <w:pPr>
              <w:rPr>
                <w:sz w:val="28"/>
                <w:szCs w:val="28"/>
              </w:rPr>
            </w:pPr>
            <w:r w:rsidRPr="00636F51">
              <w:rPr>
                <w:sz w:val="28"/>
                <w:szCs w:val="28"/>
              </w:rPr>
              <w:t xml:space="preserve"> </w:t>
            </w:r>
          </w:p>
          <w:p w14:paraId="7A82C8AF" w14:textId="77777777" w:rsidR="00636F51" w:rsidRPr="00636F51" w:rsidRDefault="00636F51" w:rsidP="00636F51">
            <w:pPr>
              <w:rPr>
                <w:sz w:val="28"/>
                <w:szCs w:val="28"/>
              </w:rPr>
            </w:pPr>
          </w:p>
          <w:p w14:paraId="0659D617" w14:textId="42E3FD54" w:rsidR="00636F51" w:rsidRPr="00636F51" w:rsidRDefault="00636F51" w:rsidP="00636F51">
            <w:pPr>
              <w:rPr>
                <w:sz w:val="28"/>
                <w:szCs w:val="28"/>
              </w:rPr>
            </w:pPr>
            <w:r w:rsidRPr="00636F51">
              <w:rPr>
                <w:sz w:val="28"/>
                <w:szCs w:val="28"/>
              </w:rPr>
              <w:t>Words 427</w:t>
            </w:r>
            <w:r w:rsidR="0034314C">
              <w:rPr>
                <w:sz w:val="28"/>
                <w:szCs w:val="28"/>
              </w:rPr>
              <w:t>2</w:t>
            </w:r>
          </w:p>
          <w:p w14:paraId="1465D88A" w14:textId="77777777" w:rsidR="00C44D84" w:rsidRDefault="00C44D84"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14C"/>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558"/>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F51"/>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986"/>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55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EEA"/>
    <w:rsid w:val="00C42005"/>
    <w:rsid w:val="00C44D84"/>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552E"/>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C06"/>
    <w:rsid w:val="00F60281"/>
    <w:rsid w:val="00F66272"/>
    <w:rsid w:val="00F709C0"/>
    <w:rsid w:val="00F81FEC"/>
    <w:rsid w:val="00F927A1"/>
    <w:rsid w:val="00F92E4D"/>
    <w:rsid w:val="00F95D08"/>
    <w:rsid w:val="00FA23BD"/>
    <w:rsid w:val="00FA3764"/>
    <w:rsid w:val="00FA41C7"/>
    <w:rsid w:val="00FA4A79"/>
    <w:rsid w:val="00FA56ED"/>
    <w:rsid w:val="00FA62F8"/>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36F51"/>
    <w:rPr>
      <w:color w:val="605E5C"/>
      <w:shd w:val="clear" w:color="auto" w:fill="E1DFDD"/>
    </w:rPr>
  </w:style>
  <w:style w:type="character" w:styleId="FollowedHyperlink">
    <w:name w:val="FollowedHyperlink"/>
    <w:basedOn w:val="DefaultParagraphFont"/>
    <w:uiPriority w:val="99"/>
    <w:semiHidden/>
    <w:unhideWhenUsed/>
    <w:rsid w:val="00636F51"/>
    <w:rPr>
      <w:color w:val="954F72" w:themeColor="followedHyperlink"/>
      <w:u w:val="single"/>
    </w:rPr>
  </w:style>
  <w:style w:type="character" w:styleId="Strong">
    <w:name w:val="Strong"/>
    <w:basedOn w:val="DefaultParagraphFont"/>
    <w:uiPriority w:val="22"/>
    <w:qFormat/>
    <w:rsid w:val="00636F51"/>
    <w:rPr>
      <w:b/>
      <w:bCs/>
    </w:rPr>
  </w:style>
  <w:style w:type="character" w:styleId="HTMLCite">
    <w:name w:val="HTML Cite"/>
    <w:basedOn w:val="DefaultParagraphFont"/>
    <w:uiPriority w:val="99"/>
    <w:semiHidden/>
    <w:unhideWhenUsed/>
    <w:rsid w:val="00636F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4479</Words>
  <Characters>22460</Characters>
  <Application>Microsoft Office Word</Application>
  <DocSecurity>0</DocSecurity>
  <Lines>187</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Lorna Davies</cp:lastModifiedBy>
  <cp:revision>11</cp:revision>
  <cp:lastPrinted>2020-02-11T19:20:00Z</cp:lastPrinted>
  <dcterms:created xsi:type="dcterms:W3CDTF">2023-09-26T12:58:00Z</dcterms:created>
  <dcterms:modified xsi:type="dcterms:W3CDTF">2023-10-23T08:25:00Z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