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footer1.xml" ContentType="application/vnd.openxmlformats-officedocument.wordprocessingml.footer+xml"/>
  <Default Extension="jpeg" ContentType="image/jpeg"/>
  <Default Extension="png" ContentType="image/png"/>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body>
    <w:p>
      <w:pPr>
        <w:pStyle w:val="BodyText"/>
        <w:spacing w:before="8"/>
        <w:rPr>
          <w:rFonts w:ascii="Times New Roman"/>
          <w:sz w:val="2"/>
        </w:rPr>
      </w:pPr>
    </w:p>
    <w:p>
      <w:pPr>
        <w:pStyle w:val="BodyText"/>
        <w:ind w:left="2405"/>
        <w:rPr>
          <w:rFonts w:ascii="Times New Roman"/>
          <w:sz w:val="20"/>
        </w:rPr>
      </w:pPr>
      <w:r>
        <w:rPr>
          <w:rFonts w:ascii="Times New Roman"/>
          <w:sz w:val="20"/>
        </w:rPr>
        <w:drawing>
          <wp:inline distT="0" distB="0" distL="0" distR="0">
            <wp:extent cx="2920557" cy="1010030"/>
            <wp:effectExtent l="0" t="0" r="0" b="0"/>
            <wp:docPr id="2" name="Image 2" descr="University of Wales Trinity Saint David launches new digital healthcare  course - Digital Health and Care Wales"/>
            <wp:cNvGraphicFramePr>
              <a:graphicFrameLocks/>
            </wp:cNvGraphicFramePr>
            <a:graphic>
              <a:graphicData uri="http://schemas.openxmlformats.org/drawingml/2006/picture">
                <pic:pic>
                  <pic:nvPicPr>
                    <pic:cNvPr id="2" name="Image 2" descr="University of Wales Trinity Saint David launches new digital healthcare  course - Digital Health and Care Wales"/>
                    <pic:cNvPicPr/>
                  </pic:nvPicPr>
                  <pic:blipFill>
                    <a:blip r:embed="rId6" cstate="print"/>
                    <a:stretch>
                      <a:fillRect/>
                    </a:stretch>
                  </pic:blipFill>
                  <pic:spPr>
                    <a:xfrm>
                      <a:off x="0" y="0"/>
                      <a:ext cx="2920557" cy="1010030"/>
                    </a:xfrm>
                    <a:prstGeom prst="rect">
                      <a:avLst/>
                    </a:prstGeom>
                  </pic:spPr>
                </pic:pic>
              </a:graphicData>
            </a:graphic>
          </wp:inline>
        </w:drawing>
      </w:r>
      <w:r>
        <w:rPr>
          <w:rFonts w:ascii="Times New Roman"/>
          <w:sz w:val="20"/>
        </w:rPr>
      </w:r>
    </w:p>
    <w:p>
      <w:pPr>
        <w:pStyle w:val="BodyText"/>
        <w:rPr>
          <w:rFonts w:ascii="Times New Roman"/>
        </w:rPr>
      </w:pPr>
    </w:p>
    <w:p>
      <w:pPr>
        <w:pStyle w:val="BodyText"/>
        <w:rPr>
          <w:rFonts w:ascii="Times New Roman"/>
        </w:rPr>
      </w:pPr>
    </w:p>
    <w:p>
      <w:pPr>
        <w:pStyle w:val="BodyText"/>
        <w:rPr>
          <w:rFonts w:ascii="Times New Roman"/>
        </w:rPr>
      </w:pPr>
    </w:p>
    <w:p>
      <w:pPr>
        <w:pStyle w:val="BodyText"/>
        <w:spacing w:before="31"/>
        <w:rPr>
          <w:rFonts w:ascii="Times New Roman"/>
        </w:rPr>
      </w:pPr>
    </w:p>
    <w:p>
      <w:pPr>
        <w:pStyle w:val="Heading2"/>
        <w:spacing w:line="362" w:lineRule="auto"/>
        <w:ind w:right="365"/>
        <w:jc w:val="center"/>
        <w:rPr>
          <w:rFonts w:ascii="Calibri"/>
        </w:rPr>
      </w:pPr>
      <w:r>
        <w:rPr>
          <w:rFonts w:ascii="Calibri"/>
        </w:rPr>
        <w:t>Strategic</w:t>
      </w:r>
      <w:r>
        <w:rPr>
          <w:rFonts w:ascii="Calibri"/>
          <w:spacing w:val="-8"/>
        </w:rPr>
        <w:t> </w:t>
      </w:r>
      <w:r>
        <w:rPr>
          <w:rFonts w:ascii="Calibri"/>
        </w:rPr>
        <w:t>Financial</w:t>
      </w:r>
      <w:r>
        <w:rPr>
          <w:rFonts w:ascii="Calibri"/>
          <w:spacing w:val="-9"/>
        </w:rPr>
        <w:t> </w:t>
      </w:r>
      <w:r>
        <w:rPr>
          <w:rFonts w:ascii="Calibri"/>
        </w:rPr>
        <w:t>Analysis</w:t>
      </w:r>
      <w:r>
        <w:rPr>
          <w:rFonts w:ascii="Calibri"/>
          <w:spacing w:val="-8"/>
        </w:rPr>
        <w:t> </w:t>
      </w:r>
      <w:r>
        <w:rPr>
          <w:rFonts w:ascii="Calibri"/>
        </w:rPr>
        <w:t>and</w:t>
      </w:r>
      <w:r>
        <w:rPr>
          <w:rFonts w:ascii="Calibri"/>
          <w:spacing w:val="-7"/>
        </w:rPr>
        <w:t> </w:t>
      </w:r>
      <w:r>
        <w:rPr>
          <w:rFonts w:ascii="Calibri"/>
        </w:rPr>
        <w:t>Investment</w:t>
      </w:r>
      <w:r>
        <w:rPr>
          <w:rFonts w:ascii="Calibri"/>
          <w:spacing w:val="-10"/>
        </w:rPr>
        <w:t> </w:t>
      </w:r>
      <w:r>
        <w:rPr>
          <w:rFonts w:ascii="Calibri"/>
        </w:rPr>
        <w:t>Appraisal</w:t>
      </w:r>
      <w:r>
        <w:rPr>
          <w:rFonts w:ascii="Calibri"/>
          <w:spacing w:val="-9"/>
        </w:rPr>
        <w:t> </w:t>
      </w:r>
      <w:r>
        <w:rPr>
          <w:rFonts w:ascii="Calibri"/>
        </w:rPr>
        <w:t>of</w:t>
      </w:r>
      <w:r>
        <w:rPr>
          <w:rFonts w:ascii="Calibri"/>
          <w:spacing w:val="-7"/>
        </w:rPr>
        <w:t> </w:t>
      </w:r>
      <w:r>
        <w:rPr>
          <w:rFonts w:ascii="Calibri"/>
        </w:rPr>
        <w:t>NIO</w:t>
      </w:r>
      <w:r>
        <w:rPr>
          <w:rFonts w:ascii="Calibri"/>
          <w:spacing w:val="-7"/>
        </w:rPr>
        <w:t> </w:t>
      </w:r>
      <w:r>
        <w:rPr>
          <w:rFonts w:ascii="Calibri"/>
        </w:rPr>
        <w:t>Inc.:</w:t>
      </w:r>
      <w:r>
        <w:rPr>
          <w:rFonts w:ascii="Calibri"/>
          <w:spacing w:val="-7"/>
        </w:rPr>
        <w:t> </w:t>
      </w:r>
      <w:r>
        <w:rPr>
          <w:rFonts w:ascii="Calibri"/>
        </w:rPr>
        <w:t>A</w:t>
      </w:r>
      <w:r>
        <w:rPr>
          <w:rFonts w:ascii="Calibri"/>
          <w:spacing w:val="-6"/>
        </w:rPr>
        <w:t> </w:t>
      </w:r>
      <w:r>
        <w:rPr>
          <w:rFonts w:ascii="Calibri"/>
        </w:rPr>
        <w:t>CFO</w:t>
      </w:r>
      <w:r>
        <w:rPr>
          <w:rFonts w:ascii="Calibri"/>
          <w:spacing w:val="-7"/>
        </w:rPr>
        <w:t> </w:t>
      </w:r>
      <w:r>
        <w:rPr>
          <w:rFonts w:ascii="Calibri"/>
        </w:rPr>
        <w:t>Perspective</w:t>
      </w:r>
      <w:r>
        <w:rPr>
          <w:rFonts w:ascii="Calibri"/>
          <w:spacing w:val="-9"/>
        </w:rPr>
        <w:t> </w:t>
      </w:r>
      <w:r>
        <w:rPr>
          <w:rFonts w:ascii="Calibri"/>
        </w:rPr>
        <w:t>on Performance, Liquidity, and Value Creation</w:t>
      </w:r>
    </w:p>
    <w:p>
      <w:pPr>
        <w:pStyle w:val="BodyText"/>
        <w:rPr>
          <w:rFonts w:ascii="Calibri"/>
          <w:b/>
        </w:rPr>
      </w:pPr>
    </w:p>
    <w:p>
      <w:pPr>
        <w:pStyle w:val="BodyText"/>
        <w:spacing w:before="71"/>
        <w:rPr>
          <w:rFonts w:ascii="Calibri"/>
          <w:b/>
        </w:rPr>
      </w:pPr>
    </w:p>
    <w:p>
      <w:pPr>
        <w:spacing w:before="0"/>
        <w:ind w:left="0" w:right="361" w:firstLine="0"/>
        <w:jc w:val="center"/>
        <w:rPr>
          <w:rFonts w:ascii="Calibri"/>
          <w:sz w:val="24"/>
        </w:rPr>
      </w:pPr>
      <w:r>
        <w:rPr>
          <w:rFonts w:ascii="Calibri"/>
          <w:b/>
          <w:sz w:val="24"/>
        </w:rPr>
        <w:t>Programme:</w:t>
      </w:r>
      <w:r>
        <w:rPr>
          <w:rFonts w:ascii="Calibri"/>
          <w:b/>
          <w:spacing w:val="-10"/>
          <w:sz w:val="24"/>
        </w:rPr>
        <w:t> </w:t>
      </w:r>
      <w:r>
        <w:rPr>
          <w:rFonts w:ascii="Calibri"/>
          <w:sz w:val="24"/>
        </w:rPr>
        <w:t>Master</w:t>
      </w:r>
      <w:r>
        <w:rPr>
          <w:rFonts w:ascii="Calibri"/>
          <w:spacing w:val="-13"/>
          <w:sz w:val="24"/>
        </w:rPr>
        <w:t> </w:t>
      </w:r>
      <w:r>
        <w:rPr>
          <w:rFonts w:ascii="Calibri"/>
          <w:sz w:val="24"/>
        </w:rPr>
        <w:t>of</w:t>
      </w:r>
      <w:r>
        <w:rPr>
          <w:rFonts w:ascii="Calibri"/>
          <w:spacing w:val="-12"/>
          <w:sz w:val="24"/>
        </w:rPr>
        <w:t> </w:t>
      </w:r>
      <w:r>
        <w:rPr>
          <w:rFonts w:ascii="Calibri"/>
          <w:sz w:val="24"/>
        </w:rPr>
        <w:t>Business</w:t>
      </w:r>
      <w:r>
        <w:rPr>
          <w:rFonts w:ascii="Calibri"/>
          <w:spacing w:val="-10"/>
          <w:sz w:val="24"/>
        </w:rPr>
        <w:t> </w:t>
      </w:r>
      <w:r>
        <w:rPr>
          <w:rFonts w:ascii="Calibri"/>
          <w:sz w:val="24"/>
        </w:rPr>
        <w:t>Administration</w:t>
      </w:r>
      <w:r>
        <w:rPr>
          <w:rFonts w:ascii="Calibri"/>
          <w:spacing w:val="-9"/>
          <w:sz w:val="24"/>
        </w:rPr>
        <w:t> </w:t>
      </w:r>
      <w:r>
        <w:rPr>
          <w:rFonts w:ascii="Calibri"/>
          <w:spacing w:val="-2"/>
          <w:sz w:val="24"/>
        </w:rPr>
        <w:t>(MBA)</w:t>
      </w:r>
    </w:p>
    <w:p>
      <w:pPr>
        <w:spacing w:before="43"/>
        <w:ind w:left="0" w:right="355" w:firstLine="0"/>
        <w:jc w:val="center"/>
        <w:rPr>
          <w:rFonts w:ascii="Calibri"/>
          <w:sz w:val="24"/>
        </w:rPr>
      </w:pPr>
      <w:r>
        <w:rPr>
          <w:rFonts w:ascii="Calibri"/>
          <w:b/>
          <w:sz w:val="24"/>
        </w:rPr>
        <w:t>Module:</w:t>
      </w:r>
      <w:r>
        <w:rPr>
          <w:rFonts w:ascii="Calibri"/>
          <w:b/>
          <w:spacing w:val="-5"/>
          <w:sz w:val="24"/>
        </w:rPr>
        <w:t> </w:t>
      </w:r>
      <w:r>
        <w:rPr>
          <w:rFonts w:ascii="Calibri"/>
          <w:sz w:val="24"/>
        </w:rPr>
        <w:t>Financial</w:t>
      </w:r>
      <w:r>
        <w:rPr>
          <w:rFonts w:ascii="Calibri"/>
          <w:spacing w:val="-8"/>
          <w:sz w:val="24"/>
        </w:rPr>
        <w:t> </w:t>
      </w:r>
      <w:r>
        <w:rPr>
          <w:rFonts w:ascii="Calibri"/>
          <w:spacing w:val="-2"/>
          <w:sz w:val="24"/>
        </w:rPr>
        <w:t>Management</w:t>
      </w:r>
    </w:p>
    <w:p>
      <w:pPr>
        <w:spacing w:before="48"/>
        <w:ind w:left="0" w:right="353" w:firstLine="0"/>
        <w:jc w:val="center"/>
        <w:rPr>
          <w:rFonts w:ascii="Calibri"/>
          <w:sz w:val="24"/>
        </w:rPr>
      </w:pPr>
      <w:r>
        <w:rPr>
          <w:rFonts w:ascii="Calibri"/>
          <w:b/>
          <w:sz w:val="24"/>
        </w:rPr>
        <w:t>Module</w:t>
      </w:r>
      <w:r>
        <w:rPr>
          <w:rFonts w:ascii="Calibri"/>
          <w:b/>
          <w:spacing w:val="-5"/>
          <w:sz w:val="24"/>
        </w:rPr>
        <w:t> </w:t>
      </w:r>
      <w:r>
        <w:rPr>
          <w:rFonts w:ascii="Calibri"/>
          <w:b/>
          <w:sz w:val="24"/>
        </w:rPr>
        <w:t>Code:</w:t>
      </w:r>
      <w:r>
        <w:rPr>
          <w:rFonts w:ascii="Calibri"/>
          <w:b/>
          <w:spacing w:val="-1"/>
          <w:sz w:val="24"/>
        </w:rPr>
        <w:t> </w:t>
      </w:r>
      <w:r>
        <w:rPr>
          <w:rFonts w:ascii="Calibri"/>
          <w:spacing w:val="-2"/>
          <w:sz w:val="24"/>
        </w:rPr>
        <w:t>LCMB7002</w:t>
      </w:r>
    </w:p>
    <w:p>
      <w:pPr>
        <w:pStyle w:val="BodyText"/>
        <w:rPr>
          <w:rFonts w:ascii="Calibri"/>
        </w:rPr>
      </w:pPr>
    </w:p>
    <w:p>
      <w:pPr>
        <w:pStyle w:val="BodyText"/>
        <w:spacing w:before="120"/>
        <w:rPr>
          <w:rFonts w:ascii="Calibri"/>
        </w:rPr>
      </w:pPr>
    </w:p>
    <w:p>
      <w:pPr>
        <w:spacing w:before="0"/>
        <w:ind w:left="0" w:right="357" w:firstLine="0"/>
        <w:jc w:val="center"/>
        <w:rPr>
          <w:rFonts w:ascii="Calibri"/>
          <w:sz w:val="24"/>
        </w:rPr>
      </w:pPr>
      <w:r>
        <w:rPr>
          <w:rFonts w:ascii="Calibri"/>
          <w:b/>
          <w:sz w:val="24"/>
        </w:rPr>
        <w:t>Assessment</w:t>
      </w:r>
      <w:r>
        <w:rPr>
          <w:rFonts w:ascii="Calibri"/>
          <w:b/>
          <w:spacing w:val="-14"/>
          <w:sz w:val="24"/>
        </w:rPr>
        <w:t> </w:t>
      </w:r>
      <w:r>
        <w:rPr>
          <w:rFonts w:ascii="Calibri"/>
          <w:b/>
          <w:sz w:val="24"/>
        </w:rPr>
        <w:t>Type:</w:t>
      </w:r>
      <w:r>
        <w:rPr>
          <w:rFonts w:ascii="Calibri"/>
          <w:b/>
          <w:spacing w:val="-7"/>
          <w:sz w:val="24"/>
        </w:rPr>
        <w:t> </w:t>
      </w:r>
      <w:r>
        <w:rPr>
          <w:rFonts w:ascii="Calibri"/>
          <w:sz w:val="24"/>
        </w:rPr>
        <w:t>Financial</w:t>
      </w:r>
      <w:r>
        <w:rPr>
          <w:rFonts w:ascii="Calibri"/>
          <w:spacing w:val="-7"/>
          <w:sz w:val="24"/>
        </w:rPr>
        <w:t> </w:t>
      </w:r>
      <w:r>
        <w:rPr>
          <w:rFonts w:ascii="Calibri"/>
          <w:sz w:val="24"/>
        </w:rPr>
        <w:t>performance</w:t>
      </w:r>
      <w:r>
        <w:rPr>
          <w:rFonts w:ascii="Calibri"/>
          <w:spacing w:val="-8"/>
          <w:sz w:val="24"/>
        </w:rPr>
        <w:t> </w:t>
      </w:r>
      <w:r>
        <w:rPr>
          <w:rFonts w:ascii="Calibri"/>
          <w:sz w:val="24"/>
        </w:rPr>
        <w:t>and</w:t>
      </w:r>
      <w:r>
        <w:rPr>
          <w:rFonts w:ascii="Calibri"/>
          <w:spacing w:val="-10"/>
          <w:sz w:val="24"/>
        </w:rPr>
        <w:t> </w:t>
      </w:r>
      <w:r>
        <w:rPr>
          <w:rFonts w:ascii="Calibri"/>
          <w:spacing w:val="-2"/>
          <w:sz w:val="24"/>
        </w:rPr>
        <w:t>management</w:t>
      </w:r>
    </w:p>
    <w:p>
      <w:pPr>
        <w:pStyle w:val="BodyText"/>
        <w:rPr>
          <w:rFonts w:ascii="Calibri"/>
        </w:rPr>
      </w:pPr>
    </w:p>
    <w:p>
      <w:pPr>
        <w:pStyle w:val="BodyText"/>
        <w:spacing w:before="119"/>
        <w:rPr>
          <w:rFonts w:ascii="Calibri"/>
        </w:rPr>
      </w:pPr>
    </w:p>
    <w:p>
      <w:pPr>
        <w:spacing w:before="0"/>
        <w:ind w:left="0" w:right="361" w:firstLine="0"/>
        <w:jc w:val="center"/>
        <w:rPr>
          <w:rFonts w:ascii="Calibri"/>
          <w:sz w:val="24"/>
        </w:rPr>
      </w:pPr>
      <w:r>
        <w:rPr>
          <w:rFonts w:ascii="Calibri"/>
          <w:b/>
          <w:sz w:val="24"/>
        </w:rPr>
        <w:t>Submitted</w:t>
      </w:r>
      <w:r>
        <w:rPr>
          <w:rFonts w:ascii="Calibri"/>
          <w:b/>
          <w:spacing w:val="-7"/>
          <w:sz w:val="24"/>
        </w:rPr>
        <w:t> </w:t>
      </w:r>
      <w:r>
        <w:rPr>
          <w:rFonts w:ascii="Calibri"/>
          <w:b/>
          <w:sz w:val="24"/>
        </w:rPr>
        <w:t>by:</w:t>
      </w:r>
      <w:r>
        <w:rPr>
          <w:rFonts w:ascii="Calibri"/>
          <w:b/>
          <w:spacing w:val="43"/>
          <w:sz w:val="24"/>
        </w:rPr>
        <w:t> </w:t>
      </w:r>
      <w:r>
        <w:rPr>
          <w:rFonts w:ascii="Calibri"/>
          <w:sz w:val="24"/>
        </w:rPr>
        <w:t>Tirth</w:t>
      </w:r>
      <w:r>
        <w:rPr>
          <w:rFonts w:ascii="Calibri"/>
          <w:spacing w:val="-8"/>
          <w:sz w:val="24"/>
        </w:rPr>
        <w:t> </w:t>
      </w:r>
      <w:r>
        <w:rPr>
          <w:rFonts w:ascii="Calibri"/>
          <w:spacing w:val="-2"/>
          <w:sz w:val="24"/>
        </w:rPr>
        <w:t>Patel</w:t>
      </w:r>
    </w:p>
    <w:p>
      <w:pPr>
        <w:pStyle w:val="BodyText"/>
        <w:spacing w:before="255"/>
        <w:rPr>
          <w:rFonts w:ascii="Calibri"/>
        </w:rPr>
      </w:pPr>
    </w:p>
    <w:p>
      <w:pPr>
        <w:spacing w:before="0"/>
        <w:ind w:left="0" w:right="361" w:firstLine="0"/>
        <w:jc w:val="center"/>
        <w:rPr>
          <w:rFonts w:ascii="Calibri"/>
          <w:sz w:val="24"/>
        </w:rPr>
      </w:pPr>
      <w:r>
        <w:rPr>
          <w:rFonts w:ascii="Calibri"/>
          <w:b/>
          <w:sz w:val="24"/>
        </w:rPr>
        <w:t>Student</w:t>
      </w:r>
      <w:r>
        <w:rPr>
          <w:rFonts w:ascii="Calibri"/>
          <w:b/>
          <w:spacing w:val="-4"/>
          <w:sz w:val="24"/>
        </w:rPr>
        <w:t> </w:t>
      </w:r>
      <w:r>
        <w:rPr>
          <w:rFonts w:ascii="Calibri"/>
          <w:b/>
          <w:sz w:val="24"/>
        </w:rPr>
        <w:t>Number</w:t>
      </w:r>
      <w:r>
        <w:rPr>
          <w:rFonts w:ascii="Calibri"/>
          <w:sz w:val="24"/>
        </w:rPr>
        <w:t>:</w:t>
      </w:r>
      <w:r>
        <w:rPr>
          <w:rFonts w:ascii="Calibri"/>
          <w:spacing w:val="-3"/>
          <w:sz w:val="24"/>
        </w:rPr>
        <w:t> </w:t>
      </w:r>
      <w:r>
        <w:rPr>
          <w:rFonts w:ascii="Calibri"/>
          <w:spacing w:val="-2"/>
          <w:sz w:val="24"/>
        </w:rPr>
        <w:t>2532962</w:t>
      </w:r>
    </w:p>
    <w:p>
      <w:pPr>
        <w:pStyle w:val="BodyText"/>
        <w:rPr>
          <w:rFonts w:ascii="Calibri"/>
        </w:rPr>
      </w:pPr>
    </w:p>
    <w:p>
      <w:pPr>
        <w:pStyle w:val="BodyText"/>
        <w:spacing w:before="120"/>
        <w:rPr>
          <w:rFonts w:ascii="Calibri"/>
        </w:rPr>
      </w:pPr>
    </w:p>
    <w:p>
      <w:pPr>
        <w:spacing w:before="0"/>
        <w:ind w:left="0" w:right="353" w:firstLine="0"/>
        <w:jc w:val="center"/>
        <w:rPr>
          <w:rFonts w:ascii="Calibri"/>
          <w:sz w:val="24"/>
        </w:rPr>
      </w:pPr>
      <w:r>
        <w:rPr>
          <w:rFonts w:ascii="Calibri"/>
          <w:b/>
          <w:sz w:val="24"/>
        </w:rPr>
        <w:t>Lecturer</w:t>
      </w:r>
      <w:r>
        <w:rPr>
          <w:rFonts w:ascii="Calibri"/>
          <w:sz w:val="24"/>
        </w:rPr>
        <w:t>:</w:t>
      </w:r>
      <w:r>
        <w:rPr>
          <w:rFonts w:ascii="Calibri"/>
          <w:spacing w:val="39"/>
          <w:sz w:val="24"/>
        </w:rPr>
        <w:t> </w:t>
      </w:r>
      <w:r>
        <w:rPr>
          <w:rFonts w:ascii="Calibri"/>
          <w:sz w:val="24"/>
        </w:rPr>
        <w:t>Shengfeng</w:t>
      </w:r>
      <w:r>
        <w:rPr>
          <w:rFonts w:ascii="Calibri"/>
          <w:spacing w:val="-6"/>
          <w:sz w:val="24"/>
        </w:rPr>
        <w:t> </w:t>
      </w:r>
      <w:r>
        <w:rPr>
          <w:rFonts w:ascii="Calibri"/>
          <w:spacing w:val="-5"/>
          <w:sz w:val="24"/>
        </w:rPr>
        <w:t>Mei</w:t>
      </w:r>
    </w:p>
    <w:p>
      <w:pPr>
        <w:pStyle w:val="BodyText"/>
        <w:rPr>
          <w:rFonts w:ascii="Calibri"/>
        </w:rPr>
      </w:pPr>
    </w:p>
    <w:p>
      <w:pPr>
        <w:pStyle w:val="BodyText"/>
        <w:spacing w:before="119"/>
        <w:rPr>
          <w:rFonts w:ascii="Calibri"/>
        </w:rPr>
      </w:pPr>
    </w:p>
    <w:p>
      <w:pPr>
        <w:spacing w:before="0"/>
        <w:ind w:left="0" w:right="355" w:firstLine="0"/>
        <w:jc w:val="center"/>
        <w:rPr>
          <w:rFonts w:ascii="Calibri"/>
          <w:sz w:val="24"/>
        </w:rPr>
      </w:pPr>
      <w:r>
        <w:rPr>
          <w:rFonts w:ascii="Calibri"/>
          <w:b/>
          <w:sz w:val="24"/>
        </w:rPr>
        <w:t>Word</w:t>
      </w:r>
      <w:r>
        <w:rPr>
          <w:rFonts w:ascii="Calibri"/>
          <w:b/>
          <w:spacing w:val="-11"/>
          <w:sz w:val="24"/>
        </w:rPr>
        <w:t> </w:t>
      </w:r>
      <w:r>
        <w:rPr>
          <w:rFonts w:ascii="Calibri"/>
          <w:b/>
          <w:sz w:val="24"/>
        </w:rPr>
        <w:t>Count:</w:t>
      </w:r>
      <w:r>
        <w:rPr>
          <w:rFonts w:ascii="Calibri"/>
          <w:b/>
          <w:spacing w:val="-8"/>
          <w:sz w:val="24"/>
        </w:rPr>
        <w:t> </w:t>
      </w:r>
      <w:r>
        <w:rPr>
          <w:rFonts w:ascii="Calibri"/>
          <w:sz w:val="24"/>
        </w:rPr>
        <w:t>5280</w:t>
      </w:r>
      <w:r>
        <w:rPr>
          <w:rFonts w:ascii="Calibri"/>
          <w:spacing w:val="-10"/>
          <w:sz w:val="24"/>
        </w:rPr>
        <w:t> </w:t>
      </w:r>
      <w:r>
        <w:rPr>
          <w:rFonts w:ascii="Calibri"/>
          <w:spacing w:val="-4"/>
          <w:sz w:val="24"/>
        </w:rPr>
        <w:t>Words</w:t>
      </w:r>
    </w:p>
    <w:p>
      <w:pPr>
        <w:pStyle w:val="BodyText"/>
        <w:rPr>
          <w:rFonts w:ascii="Calibri"/>
        </w:rPr>
      </w:pPr>
    </w:p>
    <w:p>
      <w:pPr>
        <w:pStyle w:val="BodyText"/>
        <w:spacing w:before="120"/>
        <w:rPr>
          <w:rFonts w:ascii="Calibri"/>
        </w:rPr>
      </w:pPr>
    </w:p>
    <w:p>
      <w:pPr>
        <w:spacing w:before="0"/>
        <w:ind w:left="0" w:right="356" w:firstLine="0"/>
        <w:jc w:val="center"/>
        <w:rPr>
          <w:rFonts w:ascii="Calibri"/>
          <w:sz w:val="24"/>
        </w:rPr>
      </w:pPr>
      <w:r>
        <w:rPr>
          <w:rFonts w:ascii="Calibri"/>
          <w:b/>
          <w:sz w:val="24"/>
        </w:rPr>
        <w:t>Submission</w:t>
      </w:r>
      <w:r>
        <w:rPr>
          <w:rFonts w:ascii="Calibri"/>
          <w:b/>
          <w:spacing w:val="-5"/>
          <w:sz w:val="24"/>
        </w:rPr>
        <w:t> </w:t>
      </w:r>
      <w:r>
        <w:rPr>
          <w:rFonts w:ascii="Calibri"/>
          <w:b/>
          <w:sz w:val="24"/>
        </w:rPr>
        <w:t>Date:</w:t>
      </w:r>
      <w:r>
        <w:rPr>
          <w:rFonts w:ascii="Calibri"/>
          <w:b/>
          <w:spacing w:val="-2"/>
          <w:sz w:val="24"/>
        </w:rPr>
        <w:t> </w:t>
      </w:r>
      <w:r>
        <w:rPr>
          <w:rFonts w:ascii="Calibri"/>
          <w:sz w:val="24"/>
        </w:rPr>
        <w:t>24</w:t>
      </w:r>
      <w:r>
        <w:rPr>
          <w:rFonts w:ascii="Calibri"/>
          <w:spacing w:val="-7"/>
          <w:sz w:val="24"/>
        </w:rPr>
        <w:t> </w:t>
      </w:r>
      <w:r>
        <w:rPr>
          <w:rFonts w:ascii="Calibri"/>
          <w:sz w:val="24"/>
        </w:rPr>
        <w:t>April</w:t>
      </w:r>
      <w:r>
        <w:rPr>
          <w:rFonts w:ascii="Calibri"/>
          <w:spacing w:val="-5"/>
          <w:sz w:val="24"/>
        </w:rPr>
        <w:t> </w:t>
      </w:r>
      <w:r>
        <w:rPr>
          <w:rFonts w:ascii="Calibri"/>
          <w:spacing w:val="-4"/>
          <w:sz w:val="24"/>
        </w:rPr>
        <w:t>2026</w:t>
      </w:r>
    </w:p>
    <w:p>
      <w:pPr>
        <w:spacing w:after="0"/>
        <w:jc w:val="center"/>
        <w:rPr>
          <w:rFonts w:ascii="Calibri"/>
          <w:sz w:val="24"/>
        </w:rPr>
        <w:sectPr>
          <w:footerReference w:type="default" r:id="rId5"/>
          <w:type w:val="continuous"/>
          <w:pgSz w:w="12240" w:h="15840"/>
          <w:pgMar w:header="0" w:footer="1051" w:top="1820" w:bottom="1240" w:left="1440" w:right="1080"/>
          <w:pgNumType w:start="1"/>
        </w:sectPr>
      </w:pPr>
    </w:p>
    <w:p>
      <w:pPr>
        <w:pStyle w:val="BodyText"/>
        <w:spacing w:before="269"/>
      </w:pPr>
      <w:r>
        <w:rPr/>
        <w:t>Table</w:t>
      </w:r>
      <w:r>
        <w:rPr>
          <w:spacing w:val="1"/>
        </w:rPr>
        <w:t> </w:t>
      </w:r>
      <w:r>
        <w:rPr/>
        <w:t>of</w:t>
      </w:r>
      <w:r>
        <w:rPr>
          <w:spacing w:val="1"/>
        </w:rPr>
        <w:t> </w:t>
      </w:r>
      <w:r>
        <w:rPr>
          <w:spacing w:val="-2"/>
        </w:rPr>
        <w:t>Contents</w:t>
      </w:r>
    </w:p>
    <w:p>
      <w:pPr>
        <w:pStyle w:val="BodyText"/>
        <w:spacing w:after="0"/>
        <w:sectPr>
          <w:pgSz w:w="12240" w:h="15840"/>
          <w:pgMar w:header="0" w:footer="1051" w:top="1820" w:bottom="1591" w:left="1440" w:right="1080"/>
        </w:sectPr>
      </w:pPr>
    </w:p>
    <w:sdt>
      <w:sdtPr>
        <w:docPartObj>
          <w:docPartGallery w:val="Table of Contents"/>
          <w:docPartUnique/>
        </w:docPartObj>
      </w:sdtPr>
      <w:sdtEndPr/>
      <w:sdtContent>
        <w:p>
          <w:pPr>
            <w:pStyle w:val="TOC1"/>
            <w:numPr>
              <w:ilvl w:val="0"/>
              <w:numId w:val="1"/>
            </w:numPr>
            <w:tabs>
              <w:tab w:pos="267" w:val="left" w:leader="none"/>
              <w:tab w:pos="9355" w:val="right" w:leader="dot"/>
            </w:tabs>
            <w:spacing w:line="240" w:lineRule="auto" w:before="143" w:after="0"/>
            <w:ind w:left="267" w:right="0" w:hanging="267"/>
            <w:jc w:val="left"/>
            <w:rPr>
              <w:rFonts w:ascii="Calibri"/>
              <w:b w:val="0"/>
            </w:rPr>
          </w:pPr>
          <w:hyperlink w:history="true" w:anchor="_bookmark0">
            <w:r>
              <w:rPr>
                <w:spacing w:val="-2"/>
              </w:rPr>
              <w:t>Introduction</w:t>
            </w:r>
            <w:r>
              <w:rPr>
                <w:rFonts w:ascii="Times New Roman"/>
                <w:b w:val="0"/>
              </w:rPr>
              <w:tab/>
            </w:r>
            <w:r>
              <w:rPr>
                <w:rFonts w:ascii="Calibri"/>
                <w:b w:val="0"/>
                <w:spacing w:val="-10"/>
              </w:rPr>
              <w:t>4</w:t>
            </w:r>
          </w:hyperlink>
        </w:p>
        <w:p>
          <w:pPr>
            <w:pStyle w:val="TOC3"/>
            <w:numPr>
              <w:ilvl w:val="1"/>
              <w:numId w:val="1"/>
            </w:numPr>
            <w:tabs>
              <w:tab w:pos="640" w:val="left" w:leader="none"/>
              <w:tab w:pos="9355" w:val="right" w:leader="dot"/>
            </w:tabs>
            <w:spacing w:line="240" w:lineRule="auto" w:before="149" w:after="0"/>
            <w:ind w:left="640" w:right="0" w:hanging="400"/>
            <w:jc w:val="left"/>
            <w:rPr>
              <w:rFonts w:ascii="Calibri"/>
              <w:b w:val="0"/>
            </w:rPr>
          </w:pPr>
          <w:hyperlink w:history="true" w:anchor="_bookmark1">
            <w:r>
              <w:rPr/>
              <w:t>Overview</w:t>
            </w:r>
            <w:r>
              <w:rPr>
                <w:spacing w:val="-5"/>
              </w:rPr>
              <w:t> </w:t>
            </w:r>
            <w:r>
              <w:rPr/>
              <w:t>of</w:t>
            </w:r>
            <w:r>
              <w:rPr>
                <w:spacing w:val="-3"/>
              </w:rPr>
              <w:t> </w:t>
            </w:r>
            <w:r>
              <w:rPr/>
              <w:t>EV</w:t>
            </w:r>
            <w:r>
              <w:rPr>
                <w:spacing w:val="-5"/>
              </w:rPr>
              <w:t> </w:t>
            </w:r>
            <w:r>
              <w:rPr>
                <w:spacing w:val="-2"/>
              </w:rPr>
              <w:t>Industry</w:t>
            </w:r>
            <w:r>
              <w:rPr>
                <w:rFonts w:ascii="Times New Roman"/>
                <w:b w:val="0"/>
              </w:rPr>
              <w:tab/>
            </w:r>
            <w:r>
              <w:rPr>
                <w:rFonts w:ascii="Calibri"/>
                <w:b w:val="0"/>
                <w:spacing w:val="-10"/>
              </w:rPr>
              <w:t>4</w:t>
            </w:r>
          </w:hyperlink>
        </w:p>
        <w:p>
          <w:pPr>
            <w:pStyle w:val="TOC3"/>
            <w:numPr>
              <w:ilvl w:val="1"/>
              <w:numId w:val="1"/>
            </w:numPr>
            <w:tabs>
              <w:tab w:pos="640" w:val="left" w:leader="none"/>
              <w:tab w:pos="9355" w:val="right" w:leader="dot"/>
            </w:tabs>
            <w:spacing w:line="240" w:lineRule="auto" w:before="148" w:after="0"/>
            <w:ind w:left="640" w:right="0" w:hanging="400"/>
            <w:jc w:val="left"/>
            <w:rPr>
              <w:rFonts w:ascii="Calibri" w:hAnsi="Calibri"/>
              <w:b w:val="0"/>
            </w:rPr>
          </w:pPr>
          <w:hyperlink w:history="true" w:anchor="_bookmark2">
            <w:r>
              <w:rPr/>
              <w:t>Company</w:t>
            </w:r>
            <w:r>
              <w:rPr>
                <w:spacing w:val="-8"/>
              </w:rPr>
              <w:t> </w:t>
            </w:r>
            <w:r>
              <w:rPr/>
              <w:t>Background</w:t>
            </w:r>
            <w:r>
              <w:rPr>
                <w:spacing w:val="1"/>
              </w:rPr>
              <w:t> </w:t>
            </w:r>
            <w:r>
              <w:rPr/>
              <w:t>–</w:t>
            </w:r>
            <w:r>
              <w:rPr>
                <w:spacing w:val="-3"/>
              </w:rPr>
              <w:t> </w:t>
            </w:r>
            <w:r>
              <w:rPr/>
              <w:t>NIO</w:t>
            </w:r>
            <w:r>
              <w:rPr>
                <w:spacing w:val="-4"/>
              </w:rPr>
              <w:t> </w:t>
            </w:r>
            <w:r>
              <w:rPr>
                <w:spacing w:val="-5"/>
              </w:rPr>
              <w:t>Inc</w:t>
            </w:r>
            <w:r>
              <w:rPr>
                <w:rFonts w:ascii="Times New Roman" w:hAnsi="Times New Roman"/>
                <w:b w:val="0"/>
              </w:rPr>
              <w:tab/>
            </w:r>
            <w:r>
              <w:rPr>
                <w:rFonts w:ascii="Calibri" w:hAnsi="Calibri"/>
                <w:b w:val="0"/>
                <w:spacing w:val="-10"/>
              </w:rPr>
              <w:t>4</w:t>
            </w:r>
          </w:hyperlink>
        </w:p>
        <w:p>
          <w:pPr>
            <w:pStyle w:val="TOC3"/>
            <w:numPr>
              <w:ilvl w:val="1"/>
              <w:numId w:val="1"/>
            </w:numPr>
            <w:tabs>
              <w:tab w:pos="631" w:val="left" w:leader="none"/>
              <w:tab w:pos="9355" w:val="right" w:leader="dot"/>
            </w:tabs>
            <w:spacing w:line="240" w:lineRule="auto" w:before="144" w:after="0"/>
            <w:ind w:left="631" w:right="0" w:hanging="391"/>
            <w:jc w:val="left"/>
            <w:rPr>
              <w:rFonts w:ascii="Calibri"/>
              <w:b w:val="0"/>
            </w:rPr>
          </w:pPr>
          <w:hyperlink w:history="true" w:anchor="_bookmark3">
            <w:r>
              <w:rPr/>
              <w:t>Aim</w:t>
            </w:r>
            <w:r>
              <w:rPr>
                <w:spacing w:val="-5"/>
              </w:rPr>
              <w:t> </w:t>
            </w:r>
            <w:r>
              <w:rPr/>
              <w:t>&amp;</w:t>
            </w:r>
            <w:r>
              <w:rPr>
                <w:spacing w:val="-3"/>
              </w:rPr>
              <w:t> </w:t>
            </w:r>
            <w:r>
              <w:rPr/>
              <w:t>Structure</w:t>
            </w:r>
            <w:r>
              <w:rPr>
                <w:spacing w:val="-3"/>
              </w:rPr>
              <w:t> </w:t>
            </w:r>
            <w:r>
              <w:rPr/>
              <w:t>of</w:t>
            </w:r>
            <w:r>
              <w:rPr>
                <w:spacing w:val="-2"/>
              </w:rPr>
              <w:t> Report</w:t>
            </w:r>
            <w:r>
              <w:rPr>
                <w:rFonts w:ascii="Times New Roman"/>
                <w:b w:val="0"/>
              </w:rPr>
              <w:tab/>
            </w:r>
            <w:r>
              <w:rPr>
                <w:rFonts w:ascii="Calibri"/>
                <w:b w:val="0"/>
                <w:spacing w:val="-10"/>
              </w:rPr>
              <w:t>5</w:t>
            </w:r>
          </w:hyperlink>
        </w:p>
        <w:p>
          <w:pPr>
            <w:pStyle w:val="TOC1"/>
            <w:numPr>
              <w:ilvl w:val="0"/>
              <w:numId w:val="1"/>
            </w:numPr>
            <w:tabs>
              <w:tab w:pos="266" w:val="left" w:leader="none"/>
              <w:tab w:pos="9355" w:val="right" w:leader="dot"/>
            </w:tabs>
            <w:spacing w:line="240" w:lineRule="auto" w:before="149" w:after="0"/>
            <w:ind w:left="266" w:right="0" w:hanging="266"/>
            <w:jc w:val="left"/>
            <w:rPr>
              <w:rFonts w:ascii="Calibri"/>
              <w:b w:val="0"/>
            </w:rPr>
          </w:pPr>
          <w:hyperlink w:history="true" w:anchor="_bookmark4">
            <w:r>
              <w:rPr/>
              <w:t>Financial</w:t>
            </w:r>
            <w:r>
              <w:rPr>
                <w:spacing w:val="-10"/>
              </w:rPr>
              <w:t> </w:t>
            </w:r>
            <w:r>
              <w:rPr/>
              <w:t>Performance</w:t>
            </w:r>
            <w:r>
              <w:rPr>
                <w:spacing w:val="-16"/>
              </w:rPr>
              <w:t> </w:t>
            </w:r>
            <w:r>
              <w:rPr>
                <w:spacing w:val="-2"/>
              </w:rPr>
              <w:t>Analysis</w:t>
            </w:r>
            <w:r>
              <w:rPr>
                <w:rFonts w:ascii="Times New Roman"/>
                <w:b w:val="0"/>
              </w:rPr>
              <w:tab/>
            </w:r>
            <w:r>
              <w:rPr>
                <w:rFonts w:ascii="Calibri"/>
                <w:b w:val="0"/>
                <w:spacing w:val="-10"/>
              </w:rPr>
              <w:t>6</w:t>
            </w:r>
          </w:hyperlink>
        </w:p>
        <w:p>
          <w:pPr>
            <w:pStyle w:val="TOC3"/>
            <w:numPr>
              <w:ilvl w:val="1"/>
              <w:numId w:val="1"/>
            </w:numPr>
            <w:tabs>
              <w:tab w:pos="640" w:val="left" w:leader="none"/>
              <w:tab w:pos="9355" w:val="right" w:leader="dot"/>
            </w:tabs>
            <w:spacing w:line="240" w:lineRule="auto" w:before="144" w:after="0"/>
            <w:ind w:left="640" w:right="0" w:hanging="400"/>
            <w:jc w:val="left"/>
            <w:rPr>
              <w:rFonts w:ascii="Calibri"/>
              <w:b w:val="0"/>
            </w:rPr>
          </w:pPr>
          <w:hyperlink w:history="true" w:anchor="_bookmark5">
            <w:r>
              <w:rPr/>
              <w:t>Overview</w:t>
            </w:r>
            <w:r>
              <w:rPr>
                <w:spacing w:val="-5"/>
              </w:rPr>
              <w:t> </w:t>
            </w:r>
            <w:r>
              <w:rPr/>
              <w:t>of</w:t>
            </w:r>
            <w:r>
              <w:rPr>
                <w:spacing w:val="-4"/>
              </w:rPr>
              <w:t> </w:t>
            </w:r>
            <w:r>
              <w:rPr/>
              <w:t>Financial</w:t>
            </w:r>
            <w:r>
              <w:rPr>
                <w:spacing w:val="-4"/>
              </w:rPr>
              <w:t> </w:t>
            </w:r>
            <w:r>
              <w:rPr>
                <w:spacing w:val="-2"/>
              </w:rPr>
              <w:t>Statements</w:t>
            </w:r>
            <w:r>
              <w:rPr>
                <w:rFonts w:ascii="Times New Roman"/>
                <w:b w:val="0"/>
              </w:rPr>
              <w:tab/>
            </w:r>
            <w:r>
              <w:rPr>
                <w:rFonts w:ascii="Calibri"/>
                <w:b w:val="0"/>
                <w:spacing w:val="-10"/>
              </w:rPr>
              <w:t>6</w:t>
            </w:r>
          </w:hyperlink>
        </w:p>
        <w:p>
          <w:pPr>
            <w:pStyle w:val="TOC3"/>
            <w:numPr>
              <w:ilvl w:val="1"/>
              <w:numId w:val="1"/>
            </w:numPr>
            <w:tabs>
              <w:tab w:pos="640" w:val="left" w:leader="none"/>
              <w:tab w:pos="9355" w:val="right" w:leader="dot"/>
            </w:tabs>
            <w:spacing w:line="240" w:lineRule="auto" w:before="149" w:after="0"/>
            <w:ind w:left="640" w:right="0" w:hanging="400"/>
            <w:jc w:val="left"/>
            <w:rPr>
              <w:rFonts w:ascii="Calibri"/>
              <w:b w:val="0"/>
            </w:rPr>
          </w:pPr>
          <w:hyperlink w:history="true" w:anchor="_bookmark6">
            <w:r>
              <w:rPr>
                <w:spacing w:val="-2"/>
              </w:rPr>
              <w:t>Profitability</w:t>
            </w:r>
            <w:r>
              <w:rPr>
                <w:spacing w:val="9"/>
              </w:rPr>
              <w:t> </w:t>
            </w:r>
            <w:r>
              <w:rPr>
                <w:spacing w:val="-2"/>
              </w:rPr>
              <w:t>Analysis</w:t>
            </w:r>
            <w:r>
              <w:rPr>
                <w:rFonts w:ascii="Times New Roman"/>
                <w:b w:val="0"/>
              </w:rPr>
              <w:tab/>
            </w:r>
            <w:r>
              <w:rPr>
                <w:rFonts w:ascii="Calibri"/>
                <w:b w:val="0"/>
                <w:spacing w:val="-10"/>
              </w:rPr>
              <w:t>6</w:t>
            </w:r>
          </w:hyperlink>
        </w:p>
        <w:p>
          <w:pPr>
            <w:pStyle w:val="TOC3"/>
            <w:numPr>
              <w:ilvl w:val="1"/>
              <w:numId w:val="1"/>
            </w:numPr>
            <w:tabs>
              <w:tab w:pos="640" w:val="left" w:leader="none"/>
              <w:tab w:pos="9355" w:val="right" w:leader="dot"/>
            </w:tabs>
            <w:spacing w:line="240" w:lineRule="auto" w:before="144" w:after="0"/>
            <w:ind w:left="640" w:right="0" w:hanging="400"/>
            <w:jc w:val="left"/>
            <w:rPr>
              <w:rFonts w:ascii="Calibri"/>
              <w:b w:val="0"/>
            </w:rPr>
          </w:pPr>
          <w:hyperlink w:history="true" w:anchor="_bookmark7">
            <w:r>
              <w:rPr/>
              <w:t>Liquidity</w:t>
            </w:r>
            <w:r>
              <w:rPr>
                <w:spacing w:val="-15"/>
              </w:rPr>
              <w:t> </w:t>
            </w:r>
            <w:r>
              <w:rPr>
                <w:spacing w:val="-2"/>
              </w:rPr>
              <w:t>Analysis</w:t>
            </w:r>
            <w:r>
              <w:rPr>
                <w:rFonts w:ascii="Times New Roman"/>
                <w:b w:val="0"/>
              </w:rPr>
              <w:tab/>
            </w:r>
            <w:r>
              <w:rPr>
                <w:rFonts w:ascii="Calibri"/>
                <w:b w:val="0"/>
                <w:spacing w:val="-10"/>
              </w:rPr>
              <w:t>9</w:t>
            </w:r>
          </w:hyperlink>
        </w:p>
        <w:p>
          <w:pPr>
            <w:pStyle w:val="TOC3"/>
            <w:numPr>
              <w:ilvl w:val="1"/>
              <w:numId w:val="1"/>
            </w:numPr>
            <w:tabs>
              <w:tab w:pos="641" w:val="left" w:leader="none"/>
              <w:tab w:pos="9349" w:val="right" w:leader="dot"/>
            </w:tabs>
            <w:spacing w:line="240" w:lineRule="auto" w:before="149" w:after="0"/>
            <w:ind w:left="641" w:right="0" w:hanging="401"/>
            <w:jc w:val="left"/>
            <w:rPr>
              <w:rFonts w:ascii="Calibri"/>
              <w:b w:val="0"/>
            </w:rPr>
          </w:pPr>
          <w:hyperlink w:history="true" w:anchor="_bookmark8">
            <w:r>
              <w:rPr>
                <w:spacing w:val="-2"/>
              </w:rPr>
              <w:t>Efficiency</w:t>
            </w:r>
            <w:r>
              <w:rPr>
                <w:spacing w:val="3"/>
              </w:rPr>
              <w:t> </w:t>
            </w:r>
            <w:r>
              <w:rPr>
                <w:spacing w:val="-2"/>
              </w:rPr>
              <w:t>Analysis</w:t>
            </w:r>
            <w:r>
              <w:rPr>
                <w:rFonts w:ascii="Times New Roman"/>
                <w:b w:val="0"/>
              </w:rPr>
              <w:tab/>
            </w:r>
            <w:r>
              <w:rPr>
                <w:rFonts w:ascii="Calibri"/>
                <w:b w:val="0"/>
                <w:spacing w:val="-5"/>
              </w:rPr>
              <w:t>10</w:t>
            </w:r>
          </w:hyperlink>
        </w:p>
        <w:p>
          <w:pPr>
            <w:pStyle w:val="TOC3"/>
            <w:numPr>
              <w:ilvl w:val="1"/>
              <w:numId w:val="2"/>
            </w:numPr>
            <w:tabs>
              <w:tab w:pos="640" w:val="left" w:leader="none"/>
              <w:tab w:pos="9349" w:val="right" w:leader="dot"/>
            </w:tabs>
            <w:spacing w:line="240" w:lineRule="auto" w:before="144" w:after="0"/>
            <w:ind w:left="640" w:right="0" w:hanging="400"/>
            <w:jc w:val="left"/>
            <w:rPr>
              <w:rFonts w:ascii="Calibri"/>
              <w:b w:val="0"/>
            </w:rPr>
          </w:pPr>
          <w:hyperlink w:history="true" w:anchor="_bookmark9">
            <w:r>
              <w:rPr/>
              <w:t>Cash</w:t>
            </w:r>
            <w:r>
              <w:rPr>
                <w:spacing w:val="-5"/>
              </w:rPr>
              <w:t> </w:t>
            </w:r>
            <w:r>
              <w:rPr/>
              <w:t>Flow</w:t>
            </w:r>
            <w:r>
              <w:rPr>
                <w:spacing w:val="-10"/>
              </w:rPr>
              <w:t> </w:t>
            </w:r>
            <w:r>
              <w:rPr>
                <w:spacing w:val="-2"/>
              </w:rPr>
              <w:t>Analysis</w:t>
            </w:r>
            <w:r>
              <w:rPr>
                <w:rFonts w:ascii="Times New Roman"/>
                <w:b w:val="0"/>
              </w:rPr>
              <w:tab/>
            </w:r>
            <w:r>
              <w:rPr>
                <w:rFonts w:ascii="Calibri"/>
                <w:b w:val="0"/>
                <w:spacing w:val="-5"/>
              </w:rPr>
              <w:t>13</w:t>
            </w:r>
          </w:hyperlink>
        </w:p>
        <w:p>
          <w:pPr>
            <w:pStyle w:val="TOC3"/>
            <w:numPr>
              <w:ilvl w:val="1"/>
              <w:numId w:val="2"/>
            </w:numPr>
            <w:tabs>
              <w:tab w:pos="640" w:val="left" w:leader="none"/>
              <w:tab w:pos="9349" w:val="right" w:leader="dot"/>
            </w:tabs>
            <w:spacing w:line="240" w:lineRule="auto" w:before="148" w:after="0"/>
            <w:ind w:left="640" w:right="0" w:hanging="400"/>
            <w:jc w:val="left"/>
            <w:rPr>
              <w:rFonts w:ascii="Calibri"/>
              <w:b w:val="0"/>
            </w:rPr>
          </w:pPr>
          <w:hyperlink w:history="true" w:anchor="_bookmark10">
            <w:r>
              <w:rPr/>
              <w:t>Critical</w:t>
            </w:r>
            <w:r>
              <w:rPr>
                <w:spacing w:val="-4"/>
              </w:rPr>
              <w:t> </w:t>
            </w:r>
            <w:r>
              <w:rPr/>
              <w:t>Evaluation</w:t>
            </w:r>
            <w:r>
              <w:rPr>
                <w:spacing w:val="-6"/>
              </w:rPr>
              <w:t> </w:t>
            </w:r>
            <w:r>
              <w:rPr/>
              <w:t>and</w:t>
            </w:r>
            <w:r>
              <w:rPr>
                <w:spacing w:val="-1"/>
              </w:rPr>
              <w:t> </w:t>
            </w:r>
            <w:r>
              <w:rPr/>
              <w:t>main</w:t>
            </w:r>
            <w:r>
              <w:rPr>
                <w:spacing w:val="-6"/>
              </w:rPr>
              <w:t> </w:t>
            </w:r>
            <w:r>
              <w:rPr>
                <w:spacing w:val="-2"/>
              </w:rPr>
              <w:t>insights</w:t>
            </w:r>
            <w:r>
              <w:rPr>
                <w:rFonts w:ascii="Times New Roman"/>
                <w:b w:val="0"/>
              </w:rPr>
              <w:tab/>
            </w:r>
            <w:r>
              <w:rPr>
                <w:rFonts w:ascii="Calibri"/>
                <w:b w:val="0"/>
                <w:spacing w:val="-5"/>
              </w:rPr>
              <w:t>14</w:t>
            </w:r>
          </w:hyperlink>
        </w:p>
        <w:p>
          <w:pPr>
            <w:pStyle w:val="TOC4"/>
            <w:numPr>
              <w:ilvl w:val="2"/>
              <w:numId w:val="2"/>
            </w:numPr>
            <w:tabs>
              <w:tab w:pos="1075" w:val="left" w:leader="none"/>
              <w:tab w:pos="9349" w:val="right" w:leader="dot"/>
            </w:tabs>
            <w:spacing w:line="240" w:lineRule="auto" w:before="145" w:after="0"/>
            <w:ind w:left="1075" w:right="0" w:hanging="595"/>
            <w:jc w:val="left"/>
            <w:rPr>
              <w:rFonts w:ascii="Calibri"/>
              <w:b w:val="0"/>
            </w:rPr>
          </w:pPr>
          <w:hyperlink w:history="true" w:anchor="_bookmark11">
            <w:r>
              <w:rPr/>
              <w:t>Trends,</w:t>
            </w:r>
            <w:r>
              <w:rPr>
                <w:spacing w:val="-8"/>
              </w:rPr>
              <w:t> </w:t>
            </w:r>
            <w:r>
              <w:rPr/>
              <w:t>Strengths</w:t>
            </w:r>
            <w:r>
              <w:rPr>
                <w:spacing w:val="-8"/>
              </w:rPr>
              <w:t> </w:t>
            </w:r>
            <w:r>
              <w:rPr/>
              <w:t>and</w:t>
            </w:r>
            <w:r>
              <w:rPr>
                <w:spacing w:val="-10"/>
              </w:rPr>
              <w:t> </w:t>
            </w:r>
            <w:r>
              <w:rPr>
                <w:spacing w:val="-2"/>
              </w:rPr>
              <w:t>Threats</w:t>
            </w:r>
            <w:r>
              <w:rPr>
                <w:rFonts w:ascii="Times New Roman"/>
                <w:b w:val="0"/>
              </w:rPr>
              <w:tab/>
            </w:r>
            <w:r>
              <w:rPr>
                <w:rFonts w:ascii="Calibri"/>
                <w:b w:val="0"/>
                <w:spacing w:val="-5"/>
              </w:rPr>
              <w:t>14</w:t>
            </w:r>
          </w:hyperlink>
        </w:p>
        <w:p>
          <w:pPr>
            <w:pStyle w:val="TOC1"/>
            <w:numPr>
              <w:ilvl w:val="0"/>
              <w:numId w:val="1"/>
            </w:numPr>
            <w:tabs>
              <w:tab w:pos="266" w:val="left" w:leader="none"/>
              <w:tab w:pos="9349" w:val="right" w:leader="dot"/>
            </w:tabs>
            <w:spacing w:line="240" w:lineRule="auto" w:before="148" w:after="0"/>
            <w:ind w:left="266" w:right="0" w:hanging="266"/>
            <w:jc w:val="left"/>
            <w:rPr>
              <w:rFonts w:ascii="Calibri"/>
              <w:b w:val="0"/>
            </w:rPr>
          </w:pPr>
          <w:hyperlink w:history="true" w:anchor="_bookmark12">
            <w:r>
              <w:rPr/>
              <w:t>Working</w:t>
            </w:r>
            <w:r>
              <w:rPr>
                <w:spacing w:val="-6"/>
              </w:rPr>
              <w:t> </w:t>
            </w:r>
            <w:r>
              <w:rPr/>
              <w:t>Capital</w:t>
            </w:r>
            <w:r>
              <w:rPr>
                <w:spacing w:val="-7"/>
              </w:rPr>
              <w:t> </w:t>
            </w:r>
            <w:r>
              <w:rPr>
                <w:spacing w:val="-2"/>
              </w:rPr>
              <w:t>Management</w:t>
            </w:r>
            <w:r>
              <w:rPr>
                <w:rFonts w:ascii="Times New Roman"/>
                <w:b w:val="0"/>
              </w:rPr>
              <w:tab/>
            </w:r>
            <w:r>
              <w:rPr>
                <w:rFonts w:ascii="Calibri"/>
                <w:b w:val="0"/>
                <w:spacing w:val="-5"/>
              </w:rPr>
              <w:t>16</w:t>
            </w:r>
          </w:hyperlink>
        </w:p>
        <w:p>
          <w:pPr>
            <w:pStyle w:val="TOC3"/>
            <w:numPr>
              <w:ilvl w:val="1"/>
              <w:numId w:val="1"/>
            </w:numPr>
            <w:tabs>
              <w:tab w:pos="640" w:val="left" w:leader="none"/>
              <w:tab w:pos="9349" w:val="right" w:leader="dot"/>
            </w:tabs>
            <w:spacing w:line="240" w:lineRule="auto" w:before="144" w:after="0"/>
            <w:ind w:left="640" w:right="0" w:hanging="400"/>
            <w:jc w:val="left"/>
            <w:rPr>
              <w:rFonts w:ascii="Calibri"/>
              <w:b w:val="0"/>
            </w:rPr>
          </w:pPr>
          <w:hyperlink w:history="true" w:anchor="_bookmark13">
            <w:r>
              <w:rPr/>
              <w:t>Overview</w:t>
            </w:r>
            <w:r>
              <w:rPr>
                <w:spacing w:val="-7"/>
              </w:rPr>
              <w:t> </w:t>
            </w:r>
            <w:r>
              <w:rPr/>
              <w:t>of</w:t>
            </w:r>
            <w:r>
              <w:rPr>
                <w:spacing w:val="-6"/>
              </w:rPr>
              <w:t> </w:t>
            </w:r>
            <w:r>
              <w:rPr/>
              <w:t>Working</w:t>
            </w:r>
            <w:r>
              <w:rPr>
                <w:spacing w:val="-5"/>
              </w:rPr>
              <w:t> </w:t>
            </w:r>
            <w:r>
              <w:rPr>
                <w:spacing w:val="-2"/>
              </w:rPr>
              <w:t>Capital</w:t>
            </w:r>
            <w:r>
              <w:rPr>
                <w:rFonts w:ascii="Times New Roman"/>
                <w:b w:val="0"/>
              </w:rPr>
              <w:tab/>
            </w:r>
            <w:r>
              <w:rPr>
                <w:rFonts w:ascii="Calibri"/>
                <w:b w:val="0"/>
                <w:spacing w:val="-5"/>
              </w:rPr>
              <w:t>16</w:t>
            </w:r>
          </w:hyperlink>
        </w:p>
        <w:p>
          <w:pPr>
            <w:pStyle w:val="TOC3"/>
            <w:numPr>
              <w:ilvl w:val="1"/>
              <w:numId w:val="1"/>
            </w:numPr>
            <w:tabs>
              <w:tab w:pos="631" w:val="left" w:leader="none"/>
              <w:tab w:pos="9349" w:val="right" w:leader="dot"/>
            </w:tabs>
            <w:spacing w:line="240" w:lineRule="auto" w:before="149" w:after="0"/>
            <w:ind w:left="631" w:right="0" w:hanging="391"/>
            <w:jc w:val="left"/>
            <w:rPr>
              <w:rFonts w:ascii="Calibri"/>
              <w:b w:val="0"/>
            </w:rPr>
          </w:pPr>
          <w:hyperlink w:history="true" w:anchor="_bookmark14">
            <w:r>
              <w:rPr/>
              <w:t>Analysis</w:t>
            </w:r>
            <w:r>
              <w:rPr>
                <w:spacing w:val="-3"/>
              </w:rPr>
              <w:t> </w:t>
            </w:r>
            <w:r>
              <w:rPr/>
              <w:t>of</w:t>
            </w:r>
            <w:r>
              <w:rPr>
                <w:spacing w:val="-3"/>
              </w:rPr>
              <w:t> </w:t>
            </w:r>
            <w:r>
              <w:rPr/>
              <w:t>Cash</w:t>
            </w:r>
            <w:r>
              <w:rPr>
                <w:spacing w:val="-7"/>
              </w:rPr>
              <w:t> </w:t>
            </w:r>
            <w:r>
              <w:rPr/>
              <w:t>Conversion</w:t>
            </w:r>
            <w:r>
              <w:rPr>
                <w:spacing w:val="-6"/>
              </w:rPr>
              <w:t> </w:t>
            </w:r>
            <w:r>
              <w:rPr>
                <w:spacing w:val="-4"/>
              </w:rPr>
              <w:t>Cycle</w:t>
            </w:r>
            <w:r>
              <w:rPr>
                <w:rFonts w:ascii="Times New Roman"/>
                <w:b w:val="0"/>
              </w:rPr>
              <w:tab/>
            </w:r>
            <w:r>
              <w:rPr>
                <w:rFonts w:ascii="Calibri"/>
                <w:b w:val="0"/>
                <w:spacing w:val="-5"/>
              </w:rPr>
              <w:t>16</w:t>
            </w:r>
          </w:hyperlink>
        </w:p>
        <w:p>
          <w:pPr>
            <w:pStyle w:val="TOC3"/>
            <w:numPr>
              <w:ilvl w:val="1"/>
              <w:numId w:val="1"/>
            </w:numPr>
            <w:tabs>
              <w:tab w:pos="640" w:val="left" w:leader="none"/>
              <w:tab w:pos="9349" w:val="right" w:leader="dot"/>
            </w:tabs>
            <w:spacing w:line="240" w:lineRule="auto" w:before="144" w:after="0"/>
            <w:ind w:left="640" w:right="0" w:hanging="400"/>
            <w:jc w:val="left"/>
            <w:rPr>
              <w:rFonts w:ascii="Calibri"/>
              <w:b w:val="0"/>
            </w:rPr>
          </w:pPr>
          <w:hyperlink w:history="true" w:anchor="_bookmark15">
            <w:r>
              <w:rPr/>
              <w:t>NIO</w:t>
            </w:r>
            <w:r>
              <w:rPr>
                <w:spacing w:val="-2"/>
              </w:rPr>
              <w:t> </w:t>
            </w:r>
            <w:r>
              <w:rPr/>
              <w:t>has</w:t>
            </w:r>
            <w:r>
              <w:rPr>
                <w:spacing w:val="-1"/>
              </w:rPr>
              <w:t> </w:t>
            </w:r>
            <w:r>
              <w:rPr/>
              <w:t>Liquidity</w:t>
            </w:r>
            <w:r>
              <w:rPr>
                <w:spacing w:val="-5"/>
              </w:rPr>
              <w:t> </w:t>
            </w:r>
            <w:r>
              <w:rPr>
                <w:spacing w:val="-2"/>
              </w:rPr>
              <w:t>Problems</w:t>
            </w:r>
            <w:r>
              <w:rPr>
                <w:rFonts w:ascii="Times New Roman"/>
                <w:b w:val="0"/>
              </w:rPr>
              <w:tab/>
            </w:r>
            <w:r>
              <w:rPr>
                <w:rFonts w:ascii="Calibri"/>
                <w:b w:val="0"/>
                <w:spacing w:val="-5"/>
              </w:rPr>
              <w:t>18</w:t>
            </w:r>
          </w:hyperlink>
        </w:p>
        <w:p>
          <w:pPr>
            <w:pStyle w:val="TOC3"/>
            <w:numPr>
              <w:ilvl w:val="1"/>
              <w:numId w:val="1"/>
            </w:numPr>
            <w:tabs>
              <w:tab w:pos="640" w:val="left" w:leader="none"/>
              <w:tab w:pos="9349" w:val="right" w:leader="dot"/>
            </w:tabs>
            <w:spacing w:line="240" w:lineRule="auto" w:before="149" w:after="0"/>
            <w:ind w:left="640" w:right="0" w:hanging="400"/>
            <w:jc w:val="left"/>
            <w:rPr>
              <w:rFonts w:ascii="Calibri"/>
              <w:b w:val="0"/>
            </w:rPr>
          </w:pPr>
          <w:hyperlink w:history="true" w:anchor="_bookmark16">
            <w:r>
              <w:rPr/>
              <w:t>Financing</w:t>
            </w:r>
            <w:r>
              <w:rPr>
                <w:spacing w:val="-5"/>
              </w:rPr>
              <w:t> </w:t>
            </w:r>
            <w:r>
              <w:rPr>
                <w:spacing w:val="-2"/>
              </w:rPr>
              <w:t>Options</w:t>
            </w:r>
            <w:r>
              <w:rPr>
                <w:rFonts w:ascii="Times New Roman"/>
                <w:b w:val="0"/>
              </w:rPr>
              <w:tab/>
            </w:r>
            <w:r>
              <w:rPr>
                <w:rFonts w:ascii="Calibri"/>
                <w:b w:val="0"/>
                <w:spacing w:val="-5"/>
              </w:rPr>
              <w:t>18</w:t>
            </w:r>
          </w:hyperlink>
        </w:p>
        <w:p>
          <w:pPr>
            <w:pStyle w:val="TOC3"/>
            <w:numPr>
              <w:ilvl w:val="1"/>
              <w:numId w:val="1"/>
            </w:numPr>
            <w:tabs>
              <w:tab w:pos="640" w:val="left" w:leader="none"/>
              <w:tab w:pos="9349" w:val="right" w:leader="dot"/>
            </w:tabs>
            <w:spacing w:line="240" w:lineRule="auto" w:before="148" w:after="0"/>
            <w:ind w:left="640" w:right="0" w:hanging="400"/>
            <w:jc w:val="left"/>
            <w:rPr>
              <w:rFonts w:ascii="Calibri"/>
              <w:b w:val="0"/>
            </w:rPr>
          </w:pPr>
          <w:hyperlink w:history="true" w:anchor="_bookmark17">
            <w:r>
              <w:rPr/>
              <w:t>Strategic</w:t>
            </w:r>
            <w:r>
              <w:rPr>
                <w:spacing w:val="-7"/>
              </w:rPr>
              <w:t> </w:t>
            </w:r>
            <w:r>
              <w:rPr>
                <w:spacing w:val="-2"/>
              </w:rPr>
              <w:t>Recommendations</w:t>
            </w:r>
            <w:r>
              <w:rPr>
                <w:rFonts w:ascii="Times New Roman"/>
                <w:b w:val="0"/>
              </w:rPr>
              <w:tab/>
            </w:r>
            <w:r>
              <w:rPr>
                <w:rFonts w:ascii="Calibri"/>
                <w:b w:val="0"/>
                <w:spacing w:val="-5"/>
              </w:rPr>
              <w:t>20</w:t>
            </w:r>
          </w:hyperlink>
        </w:p>
        <w:p>
          <w:pPr>
            <w:pStyle w:val="TOC1"/>
            <w:numPr>
              <w:ilvl w:val="0"/>
              <w:numId w:val="1"/>
            </w:numPr>
            <w:tabs>
              <w:tab w:pos="266" w:val="left" w:leader="none"/>
              <w:tab w:pos="9349" w:val="right" w:leader="dot"/>
            </w:tabs>
            <w:spacing w:line="240" w:lineRule="auto" w:before="144" w:after="0"/>
            <w:ind w:left="266" w:right="0" w:hanging="266"/>
            <w:jc w:val="left"/>
            <w:rPr>
              <w:rFonts w:ascii="Calibri"/>
              <w:b w:val="0"/>
            </w:rPr>
          </w:pPr>
          <w:hyperlink w:history="true" w:anchor="_bookmark18">
            <w:r>
              <w:rPr/>
              <w:t>Financial</w:t>
            </w:r>
            <w:r>
              <w:rPr>
                <w:spacing w:val="-10"/>
              </w:rPr>
              <w:t> </w:t>
            </w:r>
            <w:r>
              <w:rPr/>
              <w:t>Restructuring</w:t>
            </w:r>
            <w:r>
              <w:rPr>
                <w:spacing w:val="-7"/>
              </w:rPr>
              <w:t> </w:t>
            </w:r>
            <w:r>
              <w:rPr>
                <w:spacing w:val="-2"/>
              </w:rPr>
              <w:t>Strategy</w:t>
            </w:r>
            <w:r>
              <w:rPr>
                <w:rFonts w:ascii="Times New Roman"/>
                <w:b w:val="0"/>
              </w:rPr>
              <w:tab/>
            </w:r>
            <w:r>
              <w:rPr>
                <w:rFonts w:ascii="Calibri"/>
                <w:b w:val="0"/>
                <w:spacing w:val="-5"/>
              </w:rPr>
              <w:t>21</w:t>
            </w:r>
          </w:hyperlink>
        </w:p>
        <w:p>
          <w:pPr>
            <w:pStyle w:val="TOC3"/>
            <w:numPr>
              <w:ilvl w:val="1"/>
              <w:numId w:val="1"/>
            </w:numPr>
            <w:tabs>
              <w:tab w:pos="640" w:val="left" w:leader="none"/>
              <w:tab w:pos="9349" w:val="right" w:leader="dot"/>
            </w:tabs>
            <w:spacing w:line="240" w:lineRule="auto" w:before="149" w:after="0"/>
            <w:ind w:left="640" w:right="0" w:hanging="400"/>
            <w:jc w:val="left"/>
            <w:rPr>
              <w:rFonts w:ascii="Calibri"/>
              <w:b w:val="0"/>
            </w:rPr>
          </w:pPr>
          <w:hyperlink w:history="true" w:anchor="_bookmark19">
            <w:r>
              <w:rPr/>
              <w:t>Current</w:t>
            </w:r>
            <w:r>
              <w:rPr>
                <w:spacing w:val="-10"/>
              </w:rPr>
              <w:t> </w:t>
            </w:r>
            <w:r>
              <w:rPr/>
              <w:t>Financial</w:t>
            </w:r>
            <w:r>
              <w:rPr>
                <w:spacing w:val="-7"/>
              </w:rPr>
              <w:t> </w:t>
            </w:r>
            <w:r>
              <w:rPr>
                <w:spacing w:val="-2"/>
              </w:rPr>
              <w:t>Issues</w:t>
            </w:r>
            <w:r>
              <w:rPr>
                <w:rFonts w:ascii="Times New Roman"/>
                <w:b w:val="0"/>
              </w:rPr>
              <w:tab/>
            </w:r>
            <w:r>
              <w:rPr>
                <w:rFonts w:ascii="Calibri"/>
                <w:b w:val="0"/>
                <w:spacing w:val="-5"/>
              </w:rPr>
              <w:t>21</w:t>
            </w:r>
          </w:hyperlink>
        </w:p>
        <w:p>
          <w:pPr>
            <w:pStyle w:val="TOC3"/>
            <w:numPr>
              <w:ilvl w:val="1"/>
              <w:numId w:val="1"/>
            </w:numPr>
            <w:tabs>
              <w:tab w:pos="640" w:val="left" w:leader="none"/>
              <w:tab w:pos="9349" w:val="right" w:leader="dot"/>
            </w:tabs>
            <w:spacing w:line="240" w:lineRule="auto" w:before="144" w:after="0"/>
            <w:ind w:left="640" w:right="0" w:hanging="400"/>
            <w:jc w:val="left"/>
            <w:rPr>
              <w:rFonts w:ascii="Calibri"/>
              <w:b w:val="0"/>
            </w:rPr>
          </w:pPr>
          <w:hyperlink w:history="true" w:anchor="_bookmark20">
            <w:r>
              <w:rPr/>
              <w:t>Strategic</w:t>
            </w:r>
            <w:r>
              <w:rPr>
                <w:spacing w:val="-7"/>
              </w:rPr>
              <w:t> </w:t>
            </w:r>
            <w:r>
              <w:rPr>
                <w:spacing w:val="-2"/>
              </w:rPr>
              <w:t>Options</w:t>
            </w:r>
            <w:r>
              <w:rPr>
                <w:rFonts w:ascii="Times New Roman"/>
                <w:b w:val="0"/>
              </w:rPr>
              <w:tab/>
            </w:r>
            <w:r>
              <w:rPr>
                <w:rFonts w:ascii="Calibri"/>
                <w:b w:val="0"/>
                <w:spacing w:val="-5"/>
              </w:rPr>
              <w:t>22</w:t>
            </w:r>
          </w:hyperlink>
        </w:p>
        <w:p>
          <w:pPr>
            <w:pStyle w:val="TOC3"/>
            <w:numPr>
              <w:ilvl w:val="1"/>
              <w:numId w:val="1"/>
            </w:numPr>
            <w:tabs>
              <w:tab w:pos="640" w:val="left" w:leader="none"/>
              <w:tab w:pos="9349" w:val="right" w:leader="dot"/>
            </w:tabs>
            <w:spacing w:line="240" w:lineRule="auto" w:before="149" w:after="0"/>
            <w:ind w:left="640" w:right="0" w:hanging="400"/>
            <w:jc w:val="left"/>
            <w:rPr>
              <w:rFonts w:ascii="Calibri"/>
              <w:b w:val="0"/>
            </w:rPr>
          </w:pPr>
          <w:hyperlink w:history="true" w:anchor="_bookmark21">
            <w:r>
              <w:rPr/>
              <w:t>Impact</w:t>
            </w:r>
            <w:r>
              <w:rPr>
                <w:spacing w:val="-14"/>
              </w:rPr>
              <w:t> </w:t>
            </w:r>
            <w:r>
              <w:rPr>
                <w:spacing w:val="-2"/>
              </w:rPr>
              <w:t>Analysis</w:t>
            </w:r>
            <w:r>
              <w:rPr>
                <w:rFonts w:ascii="Times New Roman"/>
                <w:b w:val="0"/>
              </w:rPr>
              <w:tab/>
            </w:r>
            <w:r>
              <w:rPr>
                <w:rFonts w:ascii="Calibri"/>
                <w:b w:val="0"/>
                <w:spacing w:val="-5"/>
              </w:rPr>
              <w:t>23</w:t>
            </w:r>
          </w:hyperlink>
        </w:p>
        <w:p>
          <w:pPr>
            <w:pStyle w:val="TOC3"/>
            <w:numPr>
              <w:ilvl w:val="1"/>
              <w:numId w:val="1"/>
            </w:numPr>
            <w:tabs>
              <w:tab w:pos="640" w:val="left" w:leader="none"/>
              <w:tab w:pos="9349" w:val="right" w:leader="dot"/>
            </w:tabs>
            <w:spacing w:line="240" w:lineRule="auto" w:before="143" w:after="0"/>
            <w:ind w:left="640" w:right="0" w:hanging="400"/>
            <w:jc w:val="left"/>
            <w:rPr>
              <w:rFonts w:ascii="Calibri"/>
              <w:b w:val="0"/>
            </w:rPr>
          </w:pPr>
          <w:hyperlink w:history="true" w:anchor="_bookmark22">
            <w:r>
              <w:rPr/>
              <w:t>Global</w:t>
            </w:r>
            <w:r>
              <w:rPr>
                <w:spacing w:val="-5"/>
              </w:rPr>
              <w:t> </w:t>
            </w:r>
            <w:r>
              <w:rPr/>
              <w:t>&amp;</w:t>
            </w:r>
            <w:r>
              <w:rPr>
                <w:spacing w:val="-4"/>
              </w:rPr>
              <w:t> </w:t>
            </w:r>
            <w:r>
              <w:rPr/>
              <w:t>Economic</w:t>
            </w:r>
            <w:r>
              <w:rPr>
                <w:spacing w:val="-3"/>
              </w:rPr>
              <w:t> </w:t>
            </w:r>
            <w:r>
              <w:rPr>
                <w:spacing w:val="-2"/>
              </w:rPr>
              <w:t>Factors</w:t>
            </w:r>
            <w:r>
              <w:rPr>
                <w:rFonts w:ascii="Times New Roman"/>
                <w:b w:val="0"/>
              </w:rPr>
              <w:tab/>
            </w:r>
            <w:r>
              <w:rPr>
                <w:rFonts w:ascii="Calibri"/>
                <w:b w:val="0"/>
                <w:spacing w:val="-5"/>
              </w:rPr>
              <w:t>24</w:t>
            </w:r>
          </w:hyperlink>
        </w:p>
        <w:p>
          <w:pPr>
            <w:pStyle w:val="TOC3"/>
            <w:numPr>
              <w:ilvl w:val="1"/>
              <w:numId w:val="1"/>
            </w:numPr>
            <w:tabs>
              <w:tab w:pos="640" w:val="left" w:leader="none"/>
              <w:tab w:pos="9349" w:val="right" w:leader="dot"/>
            </w:tabs>
            <w:spacing w:line="240" w:lineRule="auto" w:before="150" w:after="0"/>
            <w:ind w:left="640" w:right="0" w:hanging="400"/>
            <w:jc w:val="left"/>
            <w:rPr>
              <w:rFonts w:ascii="Calibri"/>
              <w:b w:val="0"/>
            </w:rPr>
          </w:pPr>
          <w:hyperlink w:history="true" w:anchor="_bookmark23">
            <w:r>
              <w:rPr/>
              <w:t>Ethical</w:t>
            </w:r>
            <w:r>
              <w:rPr>
                <w:spacing w:val="-2"/>
              </w:rPr>
              <w:t> </w:t>
            </w:r>
            <w:r>
              <w:rPr/>
              <w:t>&amp;</w:t>
            </w:r>
            <w:r>
              <w:rPr>
                <w:spacing w:val="-2"/>
              </w:rPr>
              <w:t> Sustainability</w:t>
            </w:r>
            <w:r>
              <w:rPr>
                <w:rFonts w:ascii="Times New Roman"/>
                <w:b w:val="0"/>
              </w:rPr>
              <w:tab/>
            </w:r>
            <w:r>
              <w:rPr>
                <w:rFonts w:ascii="Calibri"/>
                <w:b w:val="0"/>
                <w:spacing w:val="-5"/>
              </w:rPr>
              <w:t>24</w:t>
            </w:r>
          </w:hyperlink>
        </w:p>
        <w:p>
          <w:pPr>
            <w:pStyle w:val="TOC1"/>
            <w:numPr>
              <w:ilvl w:val="0"/>
              <w:numId w:val="1"/>
            </w:numPr>
            <w:tabs>
              <w:tab w:pos="266" w:val="left" w:leader="none"/>
              <w:tab w:pos="9349" w:val="right" w:leader="dot"/>
            </w:tabs>
            <w:spacing w:line="240" w:lineRule="auto" w:before="143" w:after="0"/>
            <w:ind w:left="266" w:right="0" w:hanging="266"/>
            <w:jc w:val="left"/>
            <w:rPr>
              <w:rFonts w:ascii="Calibri"/>
              <w:b w:val="0"/>
            </w:rPr>
          </w:pPr>
          <w:hyperlink w:history="true" w:anchor="_bookmark24">
            <w:r>
              <w:rPr/>
              <w:t>Investment</w:t>
            </w:r>
            <w:r>
              <w:rPr>
                <w:spacing w:val="-16"/>
              </w:rPr>
              <w:t> </w:t>
            </w:r>
            <w:r>
              <w:rPr>
                <w:spacing w:val="-2"/>
              </w:rPr>
              <w:t>Appraisal</w:t>
            </w:r>
            <w:r>
              <w:rPr>
                <w:rFonts w:ascii="Times New Roman"/>
                <w:b w:val="0"/>
              </w:rPr>
              <w:tab/>
            </w:r>
            <w:r>
              <w:rPr>
                <w:rFonts w:ascii="Calibri"/>
                <w:b w:val="0"/>
                <w:spacing w:val="-5"/>
              </w:rPr>
              <w:t>25</w:t>
            </w:r>
          </w:hyperlink>
        </w:p>
        <w:p>
          <w:pPr>
            <w:pStyle w:val="TOC3"/>
            <w:numPr>
              <w:ilvl w:val="1"/>
              <w:numId w:val="1"/>
            </w:numPr>
            <w:tabs>
              <w:tab w:pos="640" w:val="left" w:leader="none"/>
              <w:tab w:pos="9349" w:val="right" w:leader="dot"/>
            </w:tabs>
            <w:spacing w:line="240" w:lineRule="auto" w:before="149" w:after="0"/>
            <w:ind w:left="640" w:right="0" w:hanging="400"/>
            <w:jc w:val="left"/>
            <w:rPr>
              <w:rFonts w:ascii="Calibri"/>
              <w:b w:val="0"/>
            </w:rPr>
          </w:pPr>
          <w:hyperlink w:history="true" w:anchor="_bookmark25">
            <w:r>
              <w:rPr/>
              <w:t>Introduction</w:t>
            </w:r>
            <w:r>
              <w:rPr>
                <w:spacing w:val="-10"/>
              </w:rPr>
              <w:t> </w:t>
            </w:r>
            <w:r>
              <w:rPr/>
              <w:t>to</w:t>
            </w:r>
            <w:r>
              <w:rPr>
                <w:spacing w:val="-6"/>
              </w:rPr>
              <w:t> </w:t>
            </w:r>
            <w:r>
              <w:rPr/>
              <w:t>Investment</w:t>
            </w:r>
            <w:r>
              <w:rPr>
                <w:spacing w:val="-6"/>
              </w:rPr>
              <w:t> </w:t>
            </w:r>
            <w:r>
              <w:rPr>
                <w:spacing w:val="-2"/>
              </w:rPr>
              <w:t>Decision</w:t>
            </w:r>
            <w:r>
              <w:rPr>
                <w:rFonts w:ascii="Times New Roman"/>
                <w:b w:val="0"/>
              </w:rPr>
              <w:tab/>
            </w:r>
            <w:r>
              <w:rPr>
                <w:rFonts w:ascii="Calibri"/>
                <w:b w:val="0"/>
                <w:spacing w:val="-5"/>
              </w:rPr>
              <w:t>25</w:t>
            </w:r>
          </w:hyperlink>
        </w:p>
        <w:p>
          <w:pPr>
            <w:pStyle w:val="TOC3"/>
            <w:numPr>
              <w:ilvl w:val="1"/>
              <w:numId w:val="1"/>
            </w:numPr>
            <w:tabs>
              <w:tab w:pos="640" w:val="left" w:leader="none"/>
              <w:tab w:pos="9349" w:val="right" w:leader="dot"/>
            </w:tabs>
            <w:spacing w:line="240" w:lineRule="auto" w:before="144" w:after="20"/>
            <w:ind w:left="640" w:right="0" w:hanging="400"/>
            <w:jc w:val="left"/>
            <w:rPr>
              <w:rFonts w:ascii="Calibri"/>
              <w:b w:val="0"/>
            </w:rPr>
          </w:pPr>
          <w:hyperlink w:history="true" w:anchor="_bookmark26">
            <w:r>
              <w:rPr/>
              <w:t>Payback</w:t>
            </w:r>
            <w:r>
              <w:rPr>
                <w:spacing w:val="-5"/>
              </w:rPr>
              <w:t> </w:t>
            </w:r>
            <w:r>
              <w:rPr>
                <w:spacing w:val="-2"/>
              </w:rPr>
              <w:t>Period</w:t>
            </w:r>
            <w:r>
              <w:rPr>
                <w:rFonts w:ascii="Times New Roman"/>
                <w:b w:val="0"/>
              </w:rPr>
              <w:tab/>
            </w:r>
            <w:r>
              <w:rPr>
                <w:rFonts w:ascii="Calibri"/>
                <w:b w:val="0"/>
                <w:spacing w:val="-5"/>
              </w:rPr>
              <w:t>25</w:t>
            </w:r>
          </w:hyperlink>
        </w:p>
        <w:p>
          <w:pPr>
            <w:pStyle w:val="TOC3"/>
            <w:numPr>
              <w:ilvl w:val="1"/>
              <w:numId w:val="1"/>
            </w:numPr>
            <w:tabs>
              <w:tab w:pos="631" w:val="left" w:leader="none"/>
              <w:tab w:pos="9349" w:val="right" w:leader="dot"/>
            </w:tabs>
            <w:spacing w:line="240" w:lineRule="auto" w:before="62" w:after="0"/>
            <w:ind w:left="631" w:right="0" w:hanging="391"/>
            <w:jc w:val="left"/>
            <w:rPr>
              <w:rFonts w:ascii="Calibri"/>
              <w:b w:val="0"/>
            </w:rPr>
          </w:pPr>
          <w:hyperlink w:history="true" w:anchor="_bookmark27">
            <w:r>
              <w:rPr/>
              <w:t>Accounting</w:t>
            </w:r>
            <w:r>
              <w:rPr>
                <w:spacing w:val="-4"/>
              </w:rPr>
              <w:t> </w:t>
            </w:r>
            <w:r>
              <w:rPr/>
              <w:t>Rate</w:t>
            </w:r>
            <w:r>
              <w:rPr>
                <w:spacing w:val="-5"/>
              </w:rPr>
              <w:t> </w:t>
            </w:r>
            <w:r>
              <w:rPr/>
              <w:t>of</w:t>
            </w:r>
            <w:r>
              <w:rPr>
                <w:spacing w:val="-4"/>
              </w:rPr>
              <w:t> </w:t>
            </w:r>
            <w:r>
              <w:rPr/>
              <w:t>Return</w:t>
            </w:r>
            <w:r>
              <w:rPr>
                <w:spacing w:val="-8"/>
              </w:rPr>
              <w:t> </w:t>
            </w:r>
            <w:r>
              <w:rPr>
                <w:spacing w:val="-4"/>
              </w:rPr>
              <w:t>(ARR)</w:t>
            </w:r>
            <w:r>
              <w:rPr>
                <w:rFonts w:ascii="Times New Roman"/>
                <w:b w:val="0"/>
              </w:rPr>
              <w:tab/>
            </w:r>
            <w:r>
              <w:rPr>
                <w:rFonts w:ascii="Calibri"/>
                <w:b w:val="0"/>
                <w:spacing w:val="-5"/>
              </w:rPr>
              <w:t>25</w:t>
            </w:r>
          </w:hyperlink>
        </w:p>
        <w:p>
          <w:pPr>
            <w:pStyle w:val="TOC3"/>
            <w:numPr>
              <w:ilvl w:val="1"/>
              <w:numId w:val="1"/>
            </w:numPr>
            <w:tabs>
              <w:tab w:pos="640" w:val="left" w:leader="none"/>
              <w:tab w:pos="9349" w:val="right" w:leader="dot"/>
            </w:tabs>
            <w:spacing w:line="240" w:lineRule="auto" w:before="149" w:after="0"/>
            <w:ind w:left="640" w:right="0" w:hanging="400"/>
            <w:jc w:val="left"/>
            <w:rPr>
              <w:rFonts w:ascii="Calibri"/>
              <w:b w:val="0"/>
            </w:rPr>
          </w:pPr>
          <w:hyperlink w:history="true" w:anchor="_bookmark28">
            <w:r>
              <w:rPr/>
              <w:t>Net</w:t>
            </w:r>
            <w:r>
              <w:rPr>
                <w:spacing w:val="-9"/>
              </w:rPr>
              <w:t> </w:t>
            </w:r>
            <w:r>
              <w:rPr/>
              <w:t>Present</w:t>
            </w:r>
            <w:r>
              <w:rPr>
                <w:spacing w:val="-8"/>
              </w:rPr>
              <w:t> </w:t>
            </w:r>
            <w:r>
              <w:rPr/>
              <w:t>Value</w:t>
            </w:r>
            <w:r>
              <w:rPr>
                <w:spacing w:val="-9"/>
              </w:rPr>
              <w:t> </w:t>
            </w:r>
            <w:r>
              <w:rPr>
                <w:spacing w:val="-4"/>
              </w:rPr>
              <w:t>(NPV)</w:t>
            </w:r>
            <w:r>
              <w:rPr>
                <w:rFonts w:ascii="Times New Roman"/>
                <w:b w:val="0"/>
              </w:rPr>
              <w:tab/>
            </w:r>
            <w:r>
              <w:rPr>
                <w:rFonts w:ascii="Calibri"/>
                <w:b w:val="0"/>
                <w:spacing w:val="-5"/>
              </w:rPr>
              <w:t>26</w:t>
            </w:r>
          </w:hyperlink>
        </w:p>
        <w:p>
          <w:pPr>
            <w:pStyle w:val="TOC3"/>
            <w:numPr>
              <w:ilvl w:val="1"/>
              <w:numId w:val="1"/>
            </w:numPr>
            <w:tabs>
              <w:tab w:pos="640" w:val="left" w:leader="none"/>
              <w:tab w:pos="9349" w:val="right" w:leader="dot"/>
            </w:tabs>
            <w:spacing w:line="240" w:lineRule="auto" w:before="144" w:after="0"/>
            <w:ind w:left="640" w:right="0" w:hanging="400"/>
            <w:jc w:val="left"/>
            <w:rPr>
              <w:rFonts w:ascii="Calibri"/>
              <w:b w:val="0"/>
            </w:rPr>
          </w:pPr>
          <w:hyperlink w:history="true" w:anchor="_bookmark29">
            <w:r>
              <w:rPr/>
              <w:t>Internal</w:t>
            </w:r>
            <w:r>
              <w:rPr>
                <w:spacing w:val="-4"/>
              </w:rPr>
              <w:t> </w:t>
            </w:r>
            <w:r>
              <w:rPr/>
              <w:t>Rate</w:t>
            </w:r>
            <w:r>
              <w:rPr>
                <w:spacing w:val="-4"/>
              </w:rPr>
              <w:t> </w:t>
            </w:r>
            <w:r>
              <w:rPr/>
              <w:t>of</w:t>
            </w:r>
            <w:r>
              <w:rPr>
                <w:spacing w:val="-3"/>
              </w:rPr>
              <w:t> </w:t>
            </w:r>
            <w:r>
              <w:rPr/>
              <w:t>Return</w:t>
            </w:r>
            <w:r>
              <w:rPr>
                <w:spacing w:val="-6"/>
              </w:rPr>
              <w:t> </w:t>
            </w:r>
            <w:r>
              <w:rPr>
                <w:spacing w:val="-4"/>
              </w:rPr>
              <w:t>(IRR)</w:t>
            </w:r>
            <w:r>
              <w:rPr>
                <w:rFonts w:ascii="Times New Roman"/>
                <w:b w:val="0"/>
              </w:rPr>
              <w:tab/>
            </w:r>
            <w:r>
              <w:rPr>
                <w:rFonts w:ascii="Calibri"/>
                <w:b w:val="0"/>
                <w:spacing w:val="-5"/>
              </w:rPr>
              <w:t>27</w:t>
            </w:r>
          </w:hyperlink>
        </w:p>
        <w:p>
          <w:pPr>
            <w:pStyle w:val="TOC3"/>
            <w:numPr>
              <w:ilvl w:val="1"/>
              <w:numId w:val="1"/>
            </w:numPr>
            <w:tabs>
              <w:tab w:pos="640" w:val="left" w:leader="none"/>
              <w:tab w:pos="9349" w:val="right" w:leader="dot"/>
            </w:tabs>
            <w:spacing w:line="240" w:lineRule="auto" w:before="149" w:after="0"/>
            <w:ind w:left="640" w:right="0" w:hanging="400"/>
            <w:jc w:val="left"/>
            <w:rPr>
              <w:rFonts w:ascii="Calibri"/>
              <w:b w:val="0"/>
            </w:rPr>
          </w:pPr>
          <w:hyperlink w:history="true" w:anchor="_bookmark30">
            <w:r>
              <w:rPr/>
              <w:t>Profitability</w:t>
            </w:r>
            <w:r>
              <w:rPr>
                <w:spacing w:val="-11"/>
              </w:rPr>
              <w:t> </w:t>
            </w:r>
            <w:r>
              <w:rPr/>
              <w:t>Index</w:t>
            </w:r>
            <w:r>
              <w:rPr>
                <w:spacing w:val="-5"/>
              </w:rPr>
              <w:t> </w:t>
            </w:r>
            <w:r>
              <w:rPr>
                <w:spacing w:val="-4"/>
              </w:rPr>
              <w:t>(PI)</w:t>
            </w:r>
            <w:r>
              <w:rPr>
                <w:rFonts w:ascii="Times New Roman"/>
                <w:b w:val="0"/>
              </w:rPr>
              <w:tab/>
            </w:r>
            <w:r>
              <w:rPr>
                <w:rFonts w:ascii="Calibri"/>
                <w:b w:val="0"/>
                <w:spacing w:val="-5"/>
              </w:rPr>
              <w:t>28</w:t>
            </w:r>
          </w:hyperlink>
        </w:p>
        <w:p>
          <w:pPr>
            <w:pStyle w:val="TOC3"/>
            <w:numPr>
              <w:ilvl w:val="1"/>
              <w:numId w:val="1"/>
            </w:numPr>
            <w:tabs>
              <w:tab w:pos="640" w:val="left" w:leader="none"/>
              <w:tab w:pos="9349" w:val="right" w:leader="dot"/>
            </w:tabs>
            <w:spacing w:line="240" w:lineRule="auto" w:before="144" w:after="0"/>
            <w:ind w:left="640" w:right="0" w:hanging="400"/>
            <w:jc w:val="left"/>
            <w:rPr>
              <w:rFonts w:ascii="Calibri"/>
              <w:b w:val="0"/>
            </w:rPr>
          </w:pPr>
          <w:hyperlink w:history="true" w:anchor="_bookmark31">
            <w:r>
              <w:rPr/>
              <w:t>Comparative</w:t>
            </w:r>
            <w:r>
              <w:rPr>
                <w:spacing w:val="-16"/>
              </w:rPr>
              <w:t> </w:t>
            </w:r>
            <w:r>
              <w:rPr/>
              <w:t>Analysis</w:t>
            </w:r>
            <w:r>
              <w:rPr>
                <w:spacing w:val="-6"/>
              </w:rPr>
              <w:t> </w:t>
            </w:r>
            <w:r>
              <w:rPr/>
              <w:t>of</w:t>
            </w:r>
            <w:r>
              <w:rPr>
                <w:spacing w:val="-6"/>
              </w:rPr>
              <w:t> </w:t>
            </w:r>
            <w:r>
              <w:rPr>
                <w:spacing w:val="-2"/>
              </w:rPr>
              <w:t>Projects</w:t>
            </w:r>
            <w:r>
              <w:rPr>
                <w:rFonts w:ascii="Times New Roman"/>
                <w:b w:val="0"/>
              </w:rPr>
              <w:tab/>
            </w:r>
            <w:r>
              <w:rPr>
                <w:rFonts w:ascii="Calibri"/>
                <w:b w:val="0"/>
                <w:spacing w:val="-5"/>
              </w:rPr>
              <w:t>28</w:t>
            </w:r>
          </w:hyperlink>
        </w:p>
        <w:p>
          <w:pPr>
            <w:pStyle w:val="TOC3"/>
            <w:numPr>
              <w:ilvl w:val="1"/>
              <w:numId w:val="1"/>
            </w:numPr>
            <w:tabs>
              <w:tab w:pos="640" w:val="left" w:leader="none"/>
              <w:tab w:pos="9349" w:val="right" w:leader="dot"/>
            </w:tabs>
            <w:spacing w:line="240" w:lineRule="auto" w:before="148" w:after="0"/>
            <w:ind w:left="640" w:right="0" w:hanging="400"/>
            <w:jc w:val="left"/>
            <w:rPr>
              <w:rFonts w:ascii="Calibri"/>
              <w:b w:val="0"/>
            </w:rPr>
          </w:pPr>
          <w:hyperlink w:history="true" w:anchor="_bookmark32">
            <w:r>
              <w:rPr/>
              <w:t>Final</w:t>
            </w:r>
            <w:r>
              <w:rPr>
                <w:spacing w:val="-9"/>
              </w:rPr>
              <w:t> </w:t>
            </w:r>
            <w:r>
              <w:rPr/>
              <w:t>Investment</w:t>
            </w:r>
            <w:r>
              <w:rPr>
                <w:spacing w:val="-8"/>
              </w:rPr>
              <w:t> </w:t>
            </w:r>
            <w:r>
              <w:rPr>
                <w:spacing w:val="-2"/>
              </w:rPr>
              <w:t>Decision</w:t>
            </w:r>
            <w:r>
              <w:rPr>
                <w:rFonts w:ascii="Times New Roman"/>
                <w:b w:val="0"/>
              </w:rPr>
              <w:tab/>
            </w:r>
            <w:r>
              <w:rPr>
                <w:rFonts w:ascii="Calibri"/>
                <w:b w:val="0"/>
                <w:spacing w:val="-5"/>
              </w:rPr>
              <w:t>28</w:t>
            </w:r>
          </w:hyperlink>
        </w:p>
        <w:p>
          <w:pPr>
            <w:pStyle w:val="TOC2"/>
            <w:numPr>
              <w:ilvl w:val="0"/>
              <w:numId w:val="1"/>
            </w:numPr>
            <w:tabs>
              <w:tab w:pos="266" w:val="left" w:leader="none"/>
              <w:tab w:pos="9349" w:val="right" w:leader="dot"/>
            </w:tabs>
            <w:spacing w:line="240" w:lineRule="auto" w:before="144" w:after="0"/>
            <w:ind w:left="266" w:right="0" w:hanging="266"/>
            <w:jc w:val="left"/>
            <w:rPr>
              <w:rFonts w:ascii="Calibri"/>
              <w:b w:val="0"/>
              <w:i w:val="0"/>
              <w:sz w:val="24"/>
            </w:rPr>
          </w:pPr>
          <w:hyperlink w:history="true" w:anchor="_bookmark33">
            <w:r>
              <w:rPr>
                <w:i w:val="0"/>
                <w:spacing w:val="-2"/>
                <w:sz w:val="24"/>
              </w:rPr>
              <w:t>Conclusion</w:t>
            </w:r>
            <w:r>
              <w:rPr>
                <w:rFonts w:ascii="Times New Roman"/>
                <w:b w:val="0"/>
                <w:i w:val="0"/>
                <w:sz w:val="24"/>
              </w:rPr>
              <w:tab/>
            </w:r>
            <w:r>
              <w:rPr>
                <w:rFonts w:ascii="Calibri"/>
                <w:b w:val="0"/>
                <w:i w:val="0"/>
                <w:spacing w:val="-5"/>
                <w:sz w:val="24"/>
              </w:rPr>
              <w:t>29</w:t>
            </w:r>
          </w:hyperlink>
        </w:p>
        <w:p>
          <w:pPr>
            <w:pStyle w:val="TOC3"/>
            <w:numPr>
              <w:ilvl w:val="1"/>
              <w:numId w:val="1"/>
            </w:numPr>
            <w:tabs>
              <w:tab w:pos="640" w:val="left" w:leader="none"/>
              <w:tab w:pos="9349" w:val="right" w:leader="dot"/>
            </w:tabs>
            <w:spacing w:line="240" w:lineRule="auto" w:before="149" w:after="0"/>
            <w:ind w:left="640" w:right="0" w:hanging="400"/>
            <w:jc w:val="left"/>
            <w:rPr>
              <w:rFonts w:ascii="Calibri"/>
              <w:b w:val="0"/>
            </w:rPr>
          </w:pPr>
          <w:hyperlink w:history="true" w:anchor="_bookmark34">
            <w:r>
              <w:rPr/>
              <w:t>Summarised</w:t>
            </w:r>
            <w:r>
              <w:rPr>
                <w:spacing w:val="-4"/>
              </w:rPr>
              <w:t> </w:t>
            </w:r>
            <w:r>
              <w:rPr/>
              <w:t>the</w:t>
            </w:r>
            <w:r>
              <w:rPr>
                <w:spacing w:val="-5"/>
              </w:rPr>
              <w:t> </w:t>
            </w:r>
            <w:r>
              <w:rPr/>
              <w:t>key</w:t>
            </w:r>
            <w:r>
              <w:rPr>
                <w:spacing w:val="-8"/>
              </w:rPr>
              <w:t> </w:t>
            </w:r>
            <w:r>
              <w:rPr>
                <w:spacing w:val="-2"/>
              </w:rPr>
              <w:t>results</w:t>
            </w:r>
            <w:r>
              <w:rPr>
                <w:rFonts w:ascii="Times New Roman"/>
                <w:b w:val="0"/>
              </w:rPr>
              <w:tab/>
            </w:r>
            <w:r>
              <w:rPr>
                <w:rFonts w:ascii="Calibri"/>
                <w:b w:val="0"/>
                <w:spacing w:val="-5"/>
              </w:rPr>
              <w:t>29</w:t>
            </w:r>
          </w:hyperlink>
        </w:p>
        <w:p>
          <w:pPr>
            <w:pStyle w:val="TOC3"/>
            <w:numPr>
              <w:ilvl w:val="1"/>
              <w:numId w:val="1"/>
            </w:numPr>
            <w:tabs>
              <w:tab w:pos="640" w:val="left" w:leader="none"/>
              <w:tab w:pos="9349" w:val="right" w:leader="dot"/>
            </w:tabs>
            <w:spacing w:line="240" w:lineRule="auto" w:before="144" w:after="0"/>
            <w:ind w:left="640" w:right="0" w:hanging="400"/>
            <w:jc w:val="left"/>
            <w:rPr>
              <w:rFonts w:ascii="Calibri"/>
              <w:b w:val="0"/>
            </w:rPr>
          </w:pPr>
          <w:hyperlink w:history="true" w:anchor="_bookmark35">
            <w:r>
              <w:rPr/>
              <w:t>Final</w:t>
            </w:r>
            <w:r>
              <w:rPr>
                <w:spacing w:val="-4"/>
              </w:rPr>
              <w:t> </w:t>
            </w:r>
            <w:r>
              <w:rPr/>
              <w:t>Strategic</w:t>
            </w:r>
            <w:r>
              <w:rPr>
                <w:spacing w:val="-3"/>
              </w:rPr>
              <w:t> </w:t>
            </w:r>
            <w:r>
              <w:rPr>
                <w:spacing w:val="-2"/>
              </w:rPr>
              <w:t>Recommendations</w:t>
            </w:r>
            <w:r>
              <w:rPr>
                <w:rFonts w:ascii="Times New Roman"/>
                <w:b w:val="0"/>
              </w:rPr>
              <w:tab/>
            </w:r>
            <w:r>
              <w:rPr>
                <w:rFonts w:ascii="Calibri"/>
                <w:b w:val="0"/>
                <w:spacing w:val="-5"/>
              </w:rPr>
              <w:t>29</w:t>
            </w:r>
          </w:hyperlink>
        </w:p>
        <w:p>
          <w:pPr>
            <w:pStyle w:val="TOC1"/>
            <w:tabs>
              <w:tab w:pos="9349" w:val="right" w:leader="dot"/>
            </w:tabs>
            <w:spacing w:before="148"/>
            <w:ind w:left="0" w:firstLine="0"/>
            <w:rPr>
              <w:rFonts w:ascii="Calibri"/>
              <w:b w:val="0"/>
            </w:rPr>
          </w:pPr>
          <w:hyperlink w:history="true" w:anchor="_bookmark36">
            <w:r>
              <w:rPr/>
              <w:t>Reference</w:t>
            </w:r>
            <w:r>
              <w:rPr>
                <w:spacing w:val="-7"/>
              </w:rPr>
              <w:t> </w:t>
            </w:r>
            <w:r>
              <w:rPr>
                <w:spacing w:val="-4"/>
              </w:rPr>
              <w:t>list</w:t>
            </w:r>
            <w:r>
              <w:rPr>
                <w:rFonts w:ascii="Times New Roman"/>
                <w:b w:val="0"/>
              </w:rPr>
              <w:tab/>
            </w:r>
            <w:r>
              <w:rPr>
                <w:rFonts w:ascii="Calibri"/>
                <w:b w:val="0"/>
                <w:spacing w:val="-5"/>
              </w:rPr>
              <w:t>31</w:t>
            </w:r>
          </w:hyperlink>
        </w:p>
        <w:p>
          <w:pPr>
            <w:pStyle w:val="TOC2"/>
            <w:tabs>
              <w:tab w:pos="9349" w:val="right" w:leader="dot"/>
            </w:tabs>
            <w:spacing w:before="145"/>
            <w:ind w:firstLine="0"/>
            <w:rPr>
              <w:rFonts w:ascii="Calibri"/>
              <w:b w:val="0"/>
              <w:i w:val="0"/>
              <w:sz w:val="24"/>
            </w:rPr>
          </w:pPr>
          <w:hyperlink w:history="true" w:anchor="_bookmark37">
            <w:r>
              <w:rPr>
                <w:i w:val="0"/>
                <w:spacing w:val="-2"/>
                <w:sz w:val="24"/>
              </w:rPr>
              <w:t>Appendix</w:t>
            </w:r>
            <w:r>
              <w:rPr>
                <w:rFonts w:ascii="Times New Roman"/>
                <w:b w:val="0"/>
                <w:i w:val="0"/>
                <w:sz w:val="24"/>
              </w:rPr>
              <w:tab/>
            </w:r>
            <w:r>
              <w:rPr>
                <w:rFonts w:ascii="Calibri"/>
                <w:b w:val="0"/>
                <w:i w:val="0"/>
                <w:spacing w:val="-5"/>
                <w:sz w:val="24"/>
              </w:rPr>
              <w:t>34</w:t>
            </w:r>
          </w:hyperlink>
        </w:p>
      </w:sdtContent>
    </w:sdt>
    <w:p>
      <w:pPr>
        <w:pStyle w:val="TOC2"/>
        <w:spacing w:after="0"/>
        <w:rPr>
          <w:rFonts w:ascii="Calibri"/>
          <w:b w:val="0"/>
          <w:i w:val="0"/>
          <w:sz w:val="24"/>
        </w:rPr>
        <w:sectPr>
          <w:type w:val="continuous"/>
          <w:pgSz w:w="12240" w:h="15840"/>
          <w:pgMar w:header="0" w:footer="1051" w:top="1380" w:bottom="1591" w:left="1440" w:right="1080"/>
        </w:sectPr>
      </w:pPr>
    </w:p>
    <w:p>
      <w:pPr>
        <w:pStyle w:val="Heading2"/>
        <w:numPr>
          <w:ilvl w:val="0"/>
          <w:numId w:val="3"/>
        </w:numPr>
        <w:tabs>
          <w:tab w:pos="266" w:val="left" w:leader="none"/>
        </w:tabs>
        <w:spacing w:line="240" w:lineRule="auto" w:before="71" w:after="0"/>
        <w:ind w:left="266" w:right="0" w:hanging="266"/>
        <w:jc w:val="left"/>
      </w:pPr>
      <w:bookmarkStart w:name="1. Introduction" w:id="1"/>
      <w:bookmarkEnd w:id="1"/>
      <w:r>
        <w:rPr>
          <w:b w:val="0"/>
        </w:rPr>
      </w:r>
      <w:bookmarkStart w:name="_bookmark0" w:id="2"/>
      <w:bookmarkEnd w:id="2"/>
      <w:r>
        <w:rPr>
          <w:b w:val="0"/>
        </w:rPr>
      </w:r>
      <w:r>
        <w:rPr>
          <w:spacing w:val="-2"/>
        </w:rPr>
        <w:t>Introduction</w:t>
      </w:r>
    </w:p>
    <w:p>
      <w:pPr>
        <w:pStyle w:val="BodyText"/>
        <w:spacing w:before="24"/>
        <w:rPr>
          <w:rFonts w:ascii="Arial"/>
          <w:b/>
        </w:rPr>
      </w:pPr>
    </w:p>
    <w:p>
      <w:pPr>
        <w:pStyle w:val="Heading2"/>
        <w:numPr>
          <w:ilvl w:val="1"/>
          <w:numId w:val="3"/>
        </w:numPr>
        <w:tabs>
          <w:tab w:pos="400" w:val="left" w:leader="none"/>
        </w:tabs>
        <w:spacing w:line="240" w:lineRule="auto" w:before="0" w:after="0"/>
        <w:ind w:left="400" w:right="0" w:hanging="400"/>
        <w:jc w:val="left"/>
      </w:pPr>
      <w:bookmarkStart w:name="1.1 Overview of EV Industry" w:id="3"/>
      <w:bookmarkEnd w:id="3"/>
      <w:r>
        <w:rPr>
          <w:b w:val="0"/>
        </w:rPr>
      </w:r>
      <w:bookmarkStart w:name="_bookmark1" w:id="4"/>
      <w:bookmarkEnd w:id="4"/>
      <w:r>
        <w:rPr>
          <w:b w:val="0"/>
        </w:rPr>
      </w:r>
      <w:r>
        <w:rPr/>
        <w:t>Overview</w:t>
      </w:r>
      <w:r>
        <w:rPr>
          <w:spacing w:val="-5"/>
        </w:rPr>
        <w:t> </w:t>
      </w:r>
      <w:r>
        <w:rPr/>
        <w:t>of</w:t>
      </w:r>
      <w:r>
        <w:rPr>
          <w:spacing w:val="-3"/>
        </w:rPr>
        <w:t> </w:t>
      </w:r>
      <w:r>
        <w:rPr/>
        <w:t>EV</w:t>
      </w:r>
      <w:r>
        <w:rPr>
          <w:spacing w:val="-5"/>
        </w:rPr>
        <w:t> </w:t>
      </w:r>
      <w:r>
        <w:rPr>
          <w:spacing w:val="-2"/>
        </w:rPr>
        <w:t>Industry</w:t>
      </w:r>
    </w:p>
    <w:p>
      <w:pPr>
        <w:pStyle w:val="BodyText"/>
        <w:spacing w:line="360" w:lineRule="auto" w:before="219"/>
        <w:ind w:right="351"/>
        <w:jc w:val="both"/>
      </w:pPr>
      <w:r>
        <w:rPr/>
        <w:t>Climate</w:t>
      </w:r>
      <w:r>
        <w:rPr>
          <w:spacing w:val="-7"/>
        </w:rPr>
        <w:t> </w:t>
      </w:r>
      <w:r>
        <w:rPr/>
        <w:t>policy,</w:t>
      </w:r>
      <w:r>
        <w:rPr>
          <w:spacing w:val="-12"/>
        </w:rPr>
        <w:t> </w:t>
      </w:r>
      <w:r>
        <w:rPr/>
        <w:t>a</w:t>
      </w:r>
      <w:r>
        <w:rPr>
          <w:spacing w:val="-12"/>
        </w:rPr>
        <w:t> </w:t>
      </w:r>
      <w:r>
        <w:rPr/>
        <w:t>drop</w:t>
      </w:r>
      <w:r>
        <w:rPr>
          <w:spacing w:val="-12"/>
        </w:rPr>
        <w:t> </w:t>
      </w:r>
      <w:r>
        <w:rPr/>
        <w:t>in</w:t>
      </w:r>
      <w:r>
        <w:rPr>
          <w:spacing w:val="-12"/>
        </w:rPr>
        <w:t> </w:t>
      </w:r>
      <w:r>
        <w:rPr/>
        <w:t>battery</w:t>
      </w:r>
      <w:r>
        <w:rPr>
          <w:spacing w:val="-13"/>
        </w:rPr>
        <w:t> </w:t>
      </w:r>
      <w:r>
        <w:rPr/>
        <w:t>costs</w:t>
      </w:r>
      <w:r>
        <w:rPr>
          <w:spacing w:val="-12"/>
        </w:rPr>
        <w:t> </w:t>
      </w:r>
      <w:r>
        <w:rPr/>
        <w:t>and</w:t>
      </w:r>
      <w:r>
        <w:rPr>
          <w:spacing w:val="-12"/>
        </w:rPr>
        <w:t> </w:t>
      </w:r>
      <w:r>
        <w:rPr/>
        <w:t>stricter</w:t>
      </w:r>
      <w:r>
        <w:rPr>
          <w:spacing w:val="-6"/>
        </w:rPr>
        <w:t> </w:t>
      </w:r>
      <w:r>
        <w:rPr/>
        <w:t>emissions</w:t>
      </w:r>
      <w:r>
        <w:rPr>
          <w:spacing w:val="-13"/>
        </w:rPr>
        <w:t> </w:t>
      </w:r>
      <w:r>
        <w:rPr/>
        <w:t>regulations</w:t>
      </w:r>
      <w:r>
        <w:rPr>
          <w:spacing w:val="-13"/>
        </w:rPr>
        <w:t> </w:t>
      </w:r>
      <w:r>
        <w:rPr/>
        <w:t>around</w:t>
      </w:r>
      <w:r>
        <w:rPr>
          <w:spacing w:val="-12"/>
        </w:rPr>
        <w:t> </w:t>
      </w:r>
      <w:r>
        <w:rPr/>
        <w:t>the</w:t>
      </w:r>
      <w:r>
        <w:rPr>
          <w:spacing w:val="-12"/>
        </w:rPr>
        <w:t> </w:t>
      </w:r>
      <w:r>
        <w:rPr/>
        <w:t>world have pushed electric vehicles (EVs) out of niche technology and into a mainstream solution to decarbonise road transport. In 2023, global EV sales grew approximately 14 million vehicles, a 35% increase over 2022 and approximately 16-18% of new light- vehicle sales (Jing Tang Xing, Liu and Zhang, 2023). The largest EV market is China, which accounted for nearly</w:t>
      </w:r>
      <w:r>
        <w:rPr>
          <w:spacing w:val="-1"/>
        </w:rPr>
        <w:t> </w:t>
      </w:r>
      <w:r>
        <w:rPr/>
        <w:t>60% of global EV</w:t>
      </w:r>
      <w:r>
        <w:rPr>
          <w:spacing w:val="-3"/>
        </w:rPr>
        <w:t> </w:t>
      </w:r>
      <w:r>
        <w:rPr/>
        <w:t>sales in 2023,</w:t>
      </w:r>
      <w:r>
        <w:rPr>
          <w:spacing w:val="-1"/>
        </w:rPr>
        <w:t> </w:t>
      </w:r>
      <w:r>
        <w:rPr/>
        <w:t>followed by Europe</w:t>
      </w:r>
      <w:r>
        <w:rPr>
          <w:spacing w:val="-1"/>
        </w:rPr>
        <w:t> </w:t>
      </w:r>
      <w:r>
        <w:rPr/>
        <w:t>and the United</w:t>
      </w:r>
      <w:r>
        <w:rPr>
          <w:spacing w:val="-17"/>
        </w:rPr>
        <w:t> </w:t>
      </w:r>
      <w:r>
        <w:rPr/>
        <w:t>States.</w:t>
      </w:r>
      <w:r>
        <w:rPr>
          <w:spacing w:val="-17"/>
        </w:rPr>
        <w:t> </w:t>
      </w:r>
      <w:r>
        <w:rPr/>
        <w:t>In</w:t>
      </w:r>
      <w:r>
        <w:rPr>
          <w:spacing w:val="-14"/>
        </w:rPr>
        <w:t> </w:t>
      </w:r>
      <w:r>
        <w:rPr/>
        <w:t>the</w:t>
      </w:r>
      <w:r>
        <w:rPr>
          <w:spacing w:val="-15"/>
        </w:rPr>
        <w:t> </w:t>
      </w:r>
      <w:r>
        <w:rPr/>
        <w:t>Chinese</w:t>
      </w:r>
      <w:r>
        <w:rPr>
          <w:spacing w:val="-15"/>
        </w:rPr>
        <w:t> </w:t>
      </w:r>
      <w:r>
        <w:rPr/>
        <w:t>new</w:t>
      </w:r>
      <w:r>
        <w:rPr>
          <w:spacing w:val="-17"/>
        </w:rPr>
        <w:t> </w:t>
      </w:r>
      <w:r>
        <w:rPr/>
        <w:t>energy</w:t>
      </w:r>
      <w:r>
        <w:rPr>
          <w:spacing w:val="-15"/>
        </w:rPr>
        <w:t> </w:t>
      </w:r>
      <w:r>
        <w:rPr/>
        <w:t>vehicle</w:t>
      </w:r>
      <w:r>
        <w:rPr>
          <w:spacing w:val="-15"/>
        </w:rPr>
        <w:t> </w:t>
      </w:r>
      <w:r>
        <w:rPr/>
        <w:t>market,</w:t>
      </w:r>
      <w:r>
        <w:rPr>
          <w:spacing w:val="-15"/>
        </w:rPr>
        <w:t> </w:t>
      </w:r>
      <w:r>
        <w:rPr/>
        <w:t>NIO</w:t>
      </w:r>
      <w:r>
        <w:rPr>
          <w:spacing w:val="-15"/>
        </w:rPr>
        <w:t> </w:t>
      </w:r>
      <w:r>
        <w:rPr/>
        <w:t>is</w:t>
      </w:r>
      <w:r>
        <w:rPr>
          <w:spacing w:val="-15"/>
        </w:rPr>
        <w:t> </w:t>
      </w:r>
      <w:r>
        <w:rPr/>
        <w:t>competing,</w:t>
      </w:r>
      <w:r>
        <w:rPr>
          <w:spacing w:val="-15"/>
        </w:rPr>
        <w:t> </w:t>
      </w:r>
      <w:r>
        <w:rPr/>
        <w:t>together</w:t>
      </w:r>
      <w:r>
        <w:rPr>
          <w:spacing w:val="-14"/>
        </w:rPr>
        <w:t> </w:t>
      </w:r>
      <w:r>
        <w:rPr/>
        <w:t>with other industry players like BYD and Tesla, in a rapidly growing and ever-changing environment (Zhang, 2024).</w:t>
      </w:r>
    </w:p>
    <w:p>
      <w:pPr>
        <w:pStyle w:val="BodyText"/>
      </w:pPr>
    </w:p>
    <w:p>
      <w:pPr>
        <w:pStyle w:val="BodyText"/>
        <w:spacing w:before="182"/>
      </w:pPr>
    </w:p>
    <w:p>
      <w:pPr>
        <w:pStyle w:val="Heading2"/>
        <w:numPr>
          <w:ilvl w:val="1"/>
          <w:numId w:val="3"/>
        </w:numPr>
        <w:tabs>
          <w:tab w:pos="400" w:val="left" w:leader="none"/>
        </w:tabs>
        <w:spacing w:line="240" w:lineRule="auto" w:before="1" w:after="0"/>
        <w:ind w:left="400" w:right="0" w:hanging="400"/>
        <w:jc w:val="left"/>
      </w:pPr>
      <w:bookmarkStart w:name="1.2 Company Background – NIO Inc." w:id="5"/>
      <w:bookmarkEnd w:id="5"/>
      <w:r>
        <w:rPr>
          <w:b w:val="0"/>
        </w:rPr>
      </w:r>
      <w:bookmarkStart w:name="_bookmark2" w:id="6"/>
      <w:bookmarkEnd w:id="6"/>
      <w:r>
        <w:rPr>
          <w:b w:val="0"/>
        </w:rPr>
      </w:r>
      <w:r>
        <w:rPr/>
        <w:t>Company</w:t>
      </w:r>
      <w:r>
        <w:rPr>
          <w:spacing w:val="-8"/>
        </w:rPr>
        <w:t> </w:t>
      </w:r>
      <w:r>
        <w:rPr/>
        <w:t>Background</w:t>
      </w:r>
      <w:r>
        <w:rPr>
          <w:spacing w:val="1"/>
        </w:rPr>
        <w:t> </w:t>
      </w:r>
      <w:r>
        <w:rPr/>
        <w:t>–</w:t>
      </w:r>
      <w:r>
        <w:rPr>
          <w:spacing w:val="-2"/>
        </w:rPr>
        <w:t> </w:t>
      </w:r>
      <w:r>
        <w:rPr/>
        <w:t>NIO</w:t>
      </w:r>
      <w:r>
        <w:rPr>
          <w:spacing w:val="-4"/>
        </w:rPr>
        <w:t> Inc.</w:t>
      </w:r>
    </w:p>
    <w:p>
      <w:pPr>
        <w:pStyle w:val="BodyText"/>
        <w:spacing w:line="360" w:lineRule="auto" w:before="218"/>
        <w:ind w:right="351"/>
        <w:jc w:val="both"/>
      </w:pPr>
      <w:r>
        <w:rPr/>
        <w:t>NIO Inc. is a Chinese manufacturer of smart electric vehicles that was established in 2014,</w:t>
      </w:r>
      <w:r>
        <w:rPr>
          <w:spacing w:val="-17"/>
        </w:rPr>
        <w:t> </w:t>
      </w:r>
      <w:r>
        <w:rPr/>
        <w:t>and</w:t>
      </w:r>
      <w:r>
        <w:rPr>
          <w:spacing w:val="-17"/>
        </w:rPr>
        <w:t> </w:t>
      </w:r>
      <w:r>
        <w:rPr/>
        <w:t>it</w:t>
      </w:r>
      <w:r>
        <w:rPr>
          <w:spacing w:val="-16"/>
        </w:rPr>
        <w:t> </w:t>
      </w:r>
      <w:r>
        <w:rPr/>
        <w:t>is</w:t>
      </w:r>
      <w:r>
        <w:rPr>
          <w:spacing w:val="-16"/>
        </w:rPr>
        <w:t> </w:t>
      </w:r>
      <w:r>
        <w:rPr/>
        <w:t>based</w:t>
      </w:r>
      <w:r>
        <w:rPr>
          <w:spacing w:val="-17"/>
        </w:rPr>
        <w:t> </w:t>
      </w:r>
      <w:r>
        <w:rPr/>
        <w:t>in</w:t>
      </w:r>
      <w:r>
        <w:rPr>
          <w:spacing w:val="-10"/>
        </w:rPr>
        <w:t> </w:t>
      </w:r>
      <w:r>
        <w:rPr/>
        <w:t>Shanghai</w:t>
      </w:r>
      <w:r>
        <w:rPr>
          <w:spacing w:val="-7"/>
        </w:rPr>
        <w:t> </w:t>
      </w:r>
      <w:r>
        <w:rPr/>
        <w:t>(NIO</w:t>
      </w:r>
      <w:r>
        <w:rPr>
          <w:spacing w:val="-16"/>
        </w:rPr>
        <w:t> </w:t>
      </w:r>
      <w:r>
        <w:rPr/>
        <w:t>Inc,</w:t>
      </w:r>
      <w:r>
        <w:rPr>
          <w:spacing w:val="-16"/>
        </w:rPr>
        <w:t> </w:t>
      </w:r>
      <w:r>
        <w:rPr/>
        <w:t>2025).</w:t>
      </w:r>
      <w:r>
        <w:rPr>
          <w:spacing w:val="-17"/>
        </w:rPr>
        <w:t> </w:t>
      </w:r>
      <w:r>
        <w:rPr/>
        <w:t>The</w:t>
      </w:r>
      <w:r>
        <w:rPr>
          <w:spacing w:val="-14"/>
        </w:rPr>
        <w:t> </w:t>
      </w:r>
      <w:r>
        <w:rPr/>
        <w:t>company</w:t>
      </w:r>
      <w:r>
        <w:rPr>
          <w:spacing w:val="-12"/>
        </w:rPr>
        <w:t> </w:t>
      </w:r>
      <w:r>
        <w:rPr/>
        <w:t>plans,</w:t>
      </w:r>
      <w:r>
        <w:rPr>
          <w:spacing w:val="-11"/>
        </w:rPr>
        <w:t> </w:t>
      </w:r>
      <w:r>
        <w:rPr/>
        <w:t>creates,</w:t>
      </w:r>
      <w:r>
        <w:rPr>
          <w:spacing w:val="-16"/>
        </w:rPr>
        <w:t> </w:t>
      </w:r>
      <w:r>
        <w:rPr/>
        <w:t>produces and markets high-end electric SUVs and sedans, backed by a unique ecosystem of energy and service offerings. Its products include home and public charging, mobile charging</w:t>
      </w:r>
      <w:r>
        <w:rPr>
          <w:spacing w:val="-7"/>
        </w:rPr>
        <w:t> </w:t>
      </w:r>
      <w:r>
        <w:rPr/>
        <w:t>vans,</w:t>
      </w:r>
      <w:r>
        <w:rPr>
          <w:spacing w:val="-8"/>
        </w:rPr>
        <w:t> </w:t>
      </w:r>
      <w:r>
        <w:rPr/>
        <w:t>and</w:t>
      </w:r>
      <w:r>
        <w:rPr>
          <w:spacing w:val="-7"/>
        </w:rPr>
        <w:t> </w:t>
      </w:r>
      <w:r>
        <w:rPr/>
        <w:t>a</w:t>
      </w:r>
      <w:r>
        <w:rPr>
          <w:spacing w:val="-7"/>
        </w:rPr>
        <w:t> </w:t>
      </w:r>
      <w:r>
        <w:rPr/>
        <w:t>large</w:t>
      </w:r>
      <w:r>
        <w:rPr>
          <w:spacing w:val="-7"/>
        </w:rPr>
        <w:t> </w:t>
      </w:r>
      <w:r>
        <w:rPr/>
        <w:t>battery-swapping</w:t>
      </w:r>
      <w:r>
        <w:rPr>
          <w:spacing w:val="-7"/>
        </w:rPr>
        <w:t> </w:t>
      </w:r>
      <w:r>
        <w:rPr/>
        <w:t>network,</w:t>
      </w:r>
      <w:r>
        <w:rPr>
          <w:spacing w:val="-3"/>
        </w:rPr>
        <w:t> </w:t>
      </w:r>
      <w:r>
        <w:rPr/>
        <w:t>which</w:t>
      </w:r>
      <w:r>
        <w:rPr>
          <w:spacing w:val="-3"/>
        </w:rPr>
        <w:t> </w:t>
      </w:r>
      <w:r>
        <w:rPr/>
        <w:t>facilitate</w:t>
      </w:r>
      <w:r>
        <w:rPr>
          <w:spacing w:val="-3"/>
        </w:rPr>
        <w:t> </w:t>
      </w:r>
      <w:r>
        <w:rPr/>
        <w:t>high</w:t>
      </w:r>
      <w:r>
        <w:rPr>
          <w:spacing w:val="-3"/>
        </w:rPr>
        <w:t> </w:t>
      </w:r>
      <w:r>
        <w:rPr/>
        <w:t>utilisation</w:t>
      </w:r>
      <w:r>
        <w:rPr>
          <w:spacing w:val="-3"/>
        </w:rPr>
        <w:t> </w:t>
      </w:r>
      <w:r>
        <w:rPr/>
        <w:t>and minimise range anxiety among customers (NIO Inc, 2025). To differentiate itself, NIO describes itself as a user enterprise, with community, digital services and over-the-air upgradability as priorities. The firm has suffered net losses and has experienced high cash consumption, and capital structure and liquidity are central to strategising despite fast growth in revenues (NIO Inc, 2025).</w:t>
      </w:r>
    </w:p>
    <w:p>
      <w:pPr>
        <w:pStyle w:val="BodyText"/>
        <w:spacing w:after="0" w:line="360" w:lineRule="auto"/>
        <w:jc w:val="both"/>
        <w:sectPr>
          <w:pgSz w:w="12240" w:h="15840"/>
          <w:pgMar w:header="0" w:footer="1051" w:top="1360" w:bottom="1240" w:left="1440" w:right="1080"/>
        </w:sectPr>
      </w:pPr>
    </w:p>
    <w:p>
      <w:pPr>
        <w:pStyle w:val="BodyText"/>
        <w:ind w:left="290"/>
        <w:rPr>
          <w:sz w:val="20"/>
        </w:rPr>
      </w:pPr>
      <w:r>
        <w:rPr>
          <w:sz w:val="20"/>
        </w:rPr>
        <mc:AlternateContent>
          <mc:Choice Requires="wps">
            <w:drawing>
              <wp:inline distT="0" distB="0" distL="0" distR="0">
                <wp:extent cx="5575935" cy="3555365"/>
                <wp:effectExtent l="0" t="0" r="0" b="6985"/>
                <wp:docPr id="3" name="Group 3"/>
                <wp:cNvGraphicFramePr>
                  <a:graphicFrameLocks/>
                </wp:cNvGraphicFramePr>
                <a:graphic>
                  <a:graphicData uri="http://schemas.microsoft.com/office/word/2010/wordprocessingGroup">
                    <wpg:wgp>
                      <wpg:cNvPr id="3" name="Group 3"/>
                      <wpg:cNvGrpSpPr/>
                      <wpg:grpSpPr>
                        <a:xfrm>
                          <a:off x="0" y="0"/>
                          <a:ext cx="5575935" cy="3555365"/>
                          <a:chExt cx="5575935" cy="3555365"/>
                        </a:xfrm>
                      </wpg:grpSpPr>
                      <pic:pic>
                        <pic:nvPicPr>
                          <pic:cNvPr id="4" name="Image 4"/>
                          <pic:cNvPicPr/>
                        </pic:nvPicPr>
                        <pic:blipFill>
                          <a:blip r:embed="rId7" cstate="print"/>
                          <a:stretch>
                            <a:fillRect/>
                          </a:stretch>
                        </pic:blipFill>
                        <pic:spPr>
                          <a:xfrm>
                            <a:off x="0" y="0"/>
                            <a:ext cx="5575565" cy="3554747"/>
                          </a:xfrm>
                          <a:prstGeom prst="rect">
                            <a:avLst/>
                          </a:prstGeom>
                        </pic:spPr>
                      </pic:pic>
                      <pic:pic>
                        <pic:nvPicPr>
                          <pic:cNvPr id="5" name="Image 5"/>
                          <pic:cNvPicPr/>
                        </pic:nvPicPr>
                        <pic:blipFill>
                          <a:blip r:embed="rId8" cstate="print"/>
                          <a:stretch>
                            <a:fillRect/>
                          </a:stretch>
                        </pic:blipFill>
                        <pic:spPr>
                          <a:xfrm>
                            <a:off x="53726" y="53348"/>
                            <a:ext cx="5417820" cy="3398520"/>
                          </a:xfrm>
                          <a:prstGeom prst="rect">
                            <a:avLst/>
                          </a:prstGeom>
                        </pic:spPr>
                      </pic:pic>
                      <wps:wsp>
                        <wps:cNvPr id="6" name="Graphic 6"/>
                        <wps:cNvSpPr/>
                        <wps:spPr>
                          <a:xfrm>
                            <a:off x="34676" y="34298"/>
                            <a:ext cx="5455920" cy="3436620"/>
                          </a:xfrm>
                          <a:custGeom>
                            <a:avLst/>
                            <a:gdLst/>
                            <a:ahLst/>
                            <a:cxnLst/>
                            <a:rect l="l" t="t" r="r" b="b"/>
                            <a:pathLst>
                              <a:path w="5455920" h="3436620">
                                <a:moveTo>
                                  <a:pt x="0" y="3436620"/>
                                </a:moveTo>
                                <a:lnTo>
                                  <a:pt x="5455920" y="3436620"/>
                                </a:lnTo>
                                <a:lnTo>
                                  <a:pt x="5455920" y="0"/>
                                </a:lnTo>
                                <a:lnTo>
                                  <a:pt x="0" y="0"/>
                                </a:lnTo>
                                <a:lnTo>
                                  <a:pt x="0" y="3436620"/>
                                </a:lnTo>
                                <a:close/>
                              </a:path>
                            </a:pathLst>
                          </a:custGeom>
                          <a:ln w="3810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439.05pt;height:279.95pt;mso-position-horizontal-relative:char;mso-position-vertical-relative:line" id="docshapegroup2" coordorigin="0,0" coordsize="8781,5599">
                <v:shape style="position:absolute;left:0;top:0;width:8781;height:5599" type="#_x0000_t75" id="docshape3" stroked="false">
                  <v:imagedata r:id="rId7" o:title=""/>
                </v:shape>
                <v:shape style="position:absolute;left:84;top:84;width:8532;height:5352" type="#_x0000_t75" id="docshape4" stroked="false">
                  <v:imagedata r:id="rId8" o:title=""/>
                </v:shape>
                <v:rect style="position:absolute;left:54;top:54;width:8592;height:5412" id="docshape5" filled="false" stroked="true" strokeweight="3pt" strokecolor="#000000">
                  <v:stroke dashstyle="solid"/>
                </v:rect>
              </v:group>
            </w:pict>
          </mc:Fallback>
        </mc:AlternateContent>
      </w:r>
      <w:r>
        <w:rPr>
          <w:sz w:val="20"/>
        </w:rPr>
      </w:r>
    </w:p>
    <w:p>
      <w:pPr>
        <w:pStyle w:val="BodyText"/>
        <w:spacing w:before="23"/>
      </w:pPr>
    </w:p>
    <w:p>
      <w:pPr>
        <w:spacing w:before="0"/>
        <w:ind w:left="0" w:right="351" w:firstLine="0"/>
        <w:jc w:val="center"/>
        <w:rPr>
          <w:rFonts w:ascii="Arial"/>
          <w:b/>
          <w:i/>
          <w:sz w:val="24"/>
        </w:rPr>
      </w:pPr>
      <w:r>
        <w:rPr>
          <w:rFonts w:ascii="Arial"/>
          <w:i/>
          <w:sz w:val="24"/>
        </w:rPr>
        <w:t>Figure</w:t>
      </w:r>
      <w:r>
        <w:rPr>
          <w:rFonts w:ascii="Arial"/>
          <w:i/>
          <w:spacing w:val="-1"/>
          <w:sz w:val="24"/>
        </w:rPr>
        <w:t> </w:t>
      </w:r>
      <w:r>
        <w:rPr>
          <w:rFonts w:ascii="Arial"/>
          <w:i/>
          <w:sz w:val="24"/>
        </w:rPr>
        <w:t>1</w:t>
      </w:r>
      <w:r>
        <w:rPr>
          <w:rFonts w:ascii="Arial"/>
          <w:i/>
          <w:spacing w:val="-3"/>
          <w:sz w:val="24"/>
        </w:rPr>
        <w:t> </w:t>
      </w:r>
      <w:r>
        <w:rPr>
          <w:rFonts w:ascii="Arial"/>
          <w:b/>
          <w:i/>
          <w:sz w:val="24"/>
        </w:rPr>
        <w:t>NIO</w:t>
      </w:r>
      <w:r>
        <w:rPr>
          <w:rFonts w:ascii="Arial"/>
          <w:b/>
          <w:i/>
          <w:spacing w:val="-4"/>
          <w:sz w:val="24"/>
        </w:rPr>
        <w:t> </w:t>
      </w:r>
      <w:r>
        <w:rPr>
          <w:rFonts w:ascii="Arial"/>
          <w:b/>
          <w:i/>
          <w:sz w:val="24"/>
        </w:rPr>
        <w:t>service</w:t>
      </w:r>
      <w:r>
        <w:rPr>
          <w:rFonts w:ascii="Arial"/>
          <w:b/>
          <w:i/>
          <w:spacing w:val="-4"/>
          <w:sz w:val="24"/>
        </w:rPr>
        <w:t> </w:t>
      </w:r>
      <w:r>
        <w:rPr>
          <w:rFonts w:ascii="Arial"/>
          <w:b/>
          <w:i/>
          <w:sz w:val="24"/>
        </w:rPr>
        <w:t>van/building</w:t>
      </w:r>
      <w:r>
        <w:rPr>
          <w:rFonts w:ascii="Arial"/>
          <w:b/>
          <w:i/>
          <w:spacing w:val="-6"/>
          <w:sz w:val="24"/>
        </w:rPr>
        <w:t> </w:t>
      </w:r>
      <w:r>
        <w:rPr>
          <w:rFonts w:ascii="Arial"/>
          <w:b/>
          <w:i/>
          <w:spacing w:val="-2"/>
          <w:sz w:val="24"/>
        </w:rPr>
        <w:t>exterior</w:t>
      </w:r>
    </w:p>
    <w:p>
      <w:pPr>
        <w:spacing w:before="142"/>
        <w:ind w:left="0" w:right="293" w:firstLine="0"/>
        <w:jc w:val="center"/>
        <w:rPr>
          <w:rFonts w:ascii="Arial"/>
          <w:i/>
          <w:sz w:val="24"/>
        </w:rPr>
      </w:pPr>
      <w:r>
        <w:rPr>
          <w:rFonts w:ascii="Arial"/>
          <w:i/>
          <w:sz w:val="24"/>
        </w:rPr>
        <w:t>Image</w:t>
      </w:r>
      <w:r>
        <w:rPr>
          <w:rFonts w:ascii="Arial"/>
          <w:i/>
          <w:spacing w:val="-4"/>
          <w:sz w:val="24"/>
        </w:rPr>
        <w:t> </w:t>
      </w:r>
      <w:r>
        <w:rPr>
          <w:rFonts w:ascii="Arial"/>
          <w:i/>
          <w:sz w:val="24"/>
        </w:rPr>
        <w:t>source:</w:t>
      </w:r>
      <w:r>
        <w:rPr>
          <w:rFonts w:ascii="Arial"/>
          <w:i/>
          <w:spacing w:val="-3"/>
          <w:sz w:val="24"/>
        </w:rPr>
        <w:t> </w:t>
      </w:r>
      <w:r>
        <w:rPr>
          <w:rFonts w:ascii="Arial"/>
          <w:i/>
          <w:sz w:val="24"/>
        </w:rPr>
        <w:t>Company</w:t>
      </w:r>
      <w:r>
        <w:rPr>
          <w:rFonts w:ascii="Arial"/>
          <w:i/>
          <w:spacing w:val="-7"/>
          <w:sz w:val="24"/>
        </w:rPr>
        <w:t> </w:t>
      </w:r>
      <w:r>
        <w:rPr>
          <w:rFonts w:ascii="Arial"/>
          <w:i/>
          <w:spacing w:val="-2"/>
          <w:sz w:val="24"/>
        </w:rPr>
        <w:t>website</w:t>
      </w:r>
    </w:p>
    <w:p>
      <w:pPr>
        <w:pStyle w:val="BodyText"/>
        <w:rPr>
          <w:rFonts w:ascii="Arial"/>
          <w:i/>
        </w:rPr>
      </w:pPr>
    </w:p>
    <w:p>
      <w:pPr>
        <w:pStyle w:val="BodyText"/>
        <w:rPr>
          <w:rFonts w:ascii="Arial"/>
          <w:i/>
        </w:rPr>
      </w:pPr>
    </w:p>
    <w:p>
      <w:pPr>
        <w:pStyle w:val="BodyText"/>
        <w:rPr>
          <w:rFonts w:ascii="Arial"/>
          <w:i/>
        </w:rPr>
      </w:pPr>
    </w:p>
    <w:p>
      <w:pPr>
        <w:pStyle w:val="BodyText"/>
        <w:rPr>
          <w:rFonts w:ascii="Arial"/>
          <w:i/>
        </w:rPr>
      </w:pPr>
    </w:p>
    <w:p>
      <w:pPr>
        <w:pStyle w:val="BodyText"/>
        <w:spacing w:before="101"/>
        <w:rPr>
          <w:rFonts w:ascii="Arial"/>
          <w:i/>
        </w:rPr>
      </w:pPr>
    </w:p>
    <w:p>
      <w:pPr>
        <w:pStyle w:val="Heading2"/>
        <w:numPr>
          <w:ilvl w:val="1"/>
          <w:numId w:val="3"/>
        </w:numPr>
        <w:tabs>
          <w:tab w:pos="391" w:val="left" w:leader="none"/>
        </w:tabs>
        <w:spacing w:line="240" w:lineRule="auto" w:before="0" w:after="0"/>
        <w:ind w:left="391" w:right="0" w:hanging="391"/>
        <w:jc w:val="left"/>
      </w:pPr>
      <w:bookmarkStart w:name="1.3 Aim &amp; Structure of Report" w:id="7"/>
      <w:bookmarkEnd w:id="7"/>
      <w:r>
        <w:rPr>
          <w:b w:val="0"/>
        </w:rPr>
      </w:r>
      <w:bookmarkStart w:name="_bookmark3" w:id="8"/>
      <w:bookmarkEnd w:id="8"/>
      <w:r>
        <w:rPr>
          <w:b w:val="0"/>
        </w:rPr>
      </w:r>
      <w:r>
        <w:rPr/>
        <w:t>Aim</w:t>
      </w:r>
      <w:r>
        <w:rPr>
          <w:spacing w:val="-5"/>
        </w:rPr>
        <w:t> </w:t>
      </w:r>
      <w:r>
        <w:rPr/>
        <w:t>&amp;</w:t>
      </w:r>
      <w:r>
        <w:rPr>
          <w:spacing w:val="-3"/>
        </w:rPr>
        <w:t> </w:t>
      </w:r>
      <w:r>
        <w:rPr/>
        <w:t>Structure</w:t>
      </w:r>
      <w:r>
        <w:rPr>
          <w:spacing w:val="-3"/>
        </w:rPr>
        <w:t> </w:t>
      </w:r>
      <w:r>
        <w:rPr/>
        <w:t>of</w:t>
      </w:r>
      <w:r>
        <w:rPr>
          <w:spacing w:val="-2"/>
        </w:rPr>
        <w:t> Report</w:t>
      </w:r>
    </w:p>
    <w:p>
      <w:pPr>
        <w:pStyle w:val="BodyText"/>
        <w:spacing w:line="360" w:lineRule="auto" w:before="223"/>
        <w:ind w:right="355"/>
        <w:jc w:val="both"/>
      </w:pPr>
      <w:r>
        <w:rPr/>
        <w:t>This</w:t>
      </w:r>
      <w:r>
        <w:rPr>
          <w:spacing w:val="-9"/>
        </w:rPr>
        <w:t> </w:t>
      </w:r>
      <w:r>
        <w:rPr/>
        <w:t>report</w:t>
      </w:r>
      <w:r>
        <w:rPr>
          <w:spacing w:val="-13"/>
        </w:rPr>
        <w:t> </w:t>
      </w:r>
      <w:r>
        <w:rPr/>
        <w:t>will</w:t>
      </w:r>
      <w:r>
        <w:rPr>
          <w:spacing w:val="-9"/>
        </w:rPr>
        <w:t> </w:t>
      </w:r>
      <w:r>
        <w:rPr/>
        <w:t>analyse</w:t>
      </w:r>
      <w:r>
        <w:rPr>
          <w:spacing w:val="-5"/>
        </w:rPr>
        <w:t> </w:t>
      </w:r>
      <w:r>
        <w:rPr/>
        <w:t>the</w:t>
      </w:r>
      <w:r>
        <w:rPr>
          <w:spacing w:val="-8"/>
        </w:rPr>
        <w:t> </w:t>
      </w:r>
      <w:r>
        <w:rPr/>
        <w:t>most</w:t>
      </w:r>
      <w:r>
        <w:rPr>
          <w:spacing w:val="-8"/>
        </w:rPr>
        <w:t> </w:t>
      </w:r>
      <w:r>
        <w:rPr/>
        <w:t>recent</w:t>
      </w:r>
      <w:r>
        <w:rPr>
          <w:spacing w:val="-13"/>
        </w:rPr>
        <w:t> </w:t>
      </w:r>
      <w:r>
        <w:rPr/>
        <w:t>performance</w:t>
      </w:r>
      <w:r>
        <w:rPr>
          <w:spacing w:val="-8"/>
        </w:rPr>
        <w:t> </w:t>
      </w:r>
      <w:r>
        <w:rPr/>
        <w:t>and</w:t>
      </w:r>
      <w:r>
        <w:rPr>
          <w:spacing w:val="-8"/>
        </w:rPr>
        <w:t> </w:t>
      </w:r>
      <w:r>
        <w:rPr/>
        <w:t>strategic</w:t>
      </w:r>
      <w:r>
        <w:rPr>
          <w:spacing w:val="-9"/>
        </w:rPr>
        <w:t> </w:t>
      </w:r>
      <w:r>
        <w:rPr/>
        <w:t>positioning</w:t>
      </w:r>
      <w:r>
        <w:rPr>
          <w:spacing w:val="-13"/>
        </w:rPr>
        <w:t> </w:t>
      </w:r>
      <w:r>
        <w:rPr/>
        <w:t>of</w:t>
      </w:r>
      <w:r>
        <w:rPr>
          <w:spacing w:val="-8"/>
        </w:rPr>
        <w:t> </w:t>
      </w:r>
      <w:r>
        <w:rPr/>
        <w:t>NIO</w:t>
      </w:r>
      <w:r>
        <w:rPr>
          <w:spacing w:val="-13"/>
        </w:rPr>
        <w:t> </w:t>
      </w:r>
      <w:r>
        <w:rPr/>
        <w:t>Inc. in the global EV industry based on the evidence mostly presented in the annual reports published in 2021-25. The report initially details macro trends in the EV industry and in Chinese and key external markets. It then examines the financial statements of NIO, particularly its profitability, liquidity, leverage and cash -flow dynamics over the years. Later sections evaluate the business model, technology, and growth strategy of NIO, followed by a discussion of important risks and future opportunities, and recommendations to stakeholders.</w:t>
      </w:r>
    </w:p>
    <w:p>
      <w:pPr>
        <w:pStyle w:val="BodyText"/>
        <w:spacing w:after="0" w:line="360" w:lineRule="auto"/>
        <w:jc w:val="both"/>
        <w:sectPr>
          <w:pgSz w:w="12240" w:h="15840"/>
          <w:pgMar w:header="0" w:footer="1051" w:top="1480" w:bottom="1240" w:left="1440" w:right="1080"/>
        </w:sectPr>
      </w:pPr>
    </w:p>
    <w:p>
      <w:pPr>
        <w:pStyle w:val="Heading2"/>
        <w:numPr>
          <w:ilvl w:val="0"/>
          <w:numId w:val="3"/>
        </w:numPr>
        <w:tabs>
          <w:tab w:pos="266" w:val="left" w:leader="none"/>
        </w:tabs>
        <w:spacing w:line="240" w:lineRule="auto" w:before="71" w:after="0"/>
        <w:ind w:left="266" w:right="0" w:hanging="266"/>
        <w:jc w:val="left"/>
      </w:pPr>
      <w:bookmarkStart w:name="2. Financial Performance Analysis" w:id="9"/>
      <w:bookmarkEnd w:id="9"/>
      <w:r>
        <w:rPr>
          <w:b w:val="0"/>
        </w:rPr>
      </w:r>
      <w:bookmarkStart w:name="_bookmark4" w:id="10"/>
      <w:bookmarkEnd w:id="10"/>
      <w:r>
        <w:rPr>
          <w:b w:val="0"/>
        </w:rPr>
      </w:r>
      <w:r>
        <w:rPr/>
        <w:t>Financial</w:t>
      </w:r>
      <w:r>
        <w:rPr>
          <w:spacing w:val="-10"/>
        </w:rPr>
        <w:t> </w:t>
      </w:r>
      <w:r>
        <w:rPr/>
        <w:t>Performance</w:t>
      </w:r>
      <w:r>
        <w:rPr>
          <w:spacing w:val="-16"/>
        </w:rPr>
        <w:t> </w:t>
      </w:r>
      <w:r>
        <w:rPr>
          <w:spacing w:val="-2"/>
        </w:rPr>
        <w:t>Analysis</w:t>
      </w:r>
    </w:p>
    <w:p>
      <w:pPr>
        <w:pStyle w:val="BodyText"/>
        <w:rPr>
          <w:rFonts w:ascii="Arial"/>
          <w:b/>
        </w:rPr>
      </w:pPr>
    </w:p>
    <w:p>
      <w:pPr>
        <w:pStyle w:val="BodyText"/>
        <w:spacing w:before="238"/>
        <w:rPr>
          <w:rFonts w:ascii="Arial"/>
          <w:b/>
        </w:rPr>
      </w:pPr>
    </w:p>
    <w:p>
      <w:pPr>
        <w:pStyle w:val="Heading2"/>
        <w:numPr>
          <w:ilvl w:val="1"/>
          <w:numId w:val="3"/>
        </w:numPr>
        <w:tabs>
          <w:tab w:pos="400" w:val="left" w:leader="none"/>
        </w:tabs>
        <w:spacing w:line="240" w:lineRule="auto" w:before="0" w:after="0"/>
        <w:ind w:left="400" w:right="0" w:hanging="400"/>
        <w:jc w:val="left"/>
      </w:pPr>
      <w:bookmarkStart w:name="2.1 Overview of Financial Statements" w:id="11"/>
      <w:bookmarkEnd w:id="11"/>
      <w:r>
        <w:rPr>
          <w:b w:val="0"/>
        </w:rPr>
      </w:r>
      <w:bookmarkStart w:name="_bookmark5" w:id="12"/>
      <w:bookmarkEnd w:id="12"/>
      <w:r>
        <w:rPr>
          <w:b w:val="0"/>
        </w:rPr>
      </w:r>
      <w:r>
        <w:rPr/>
        <w:t>Overview</w:t>
      </w:r>
      <w:r>
        <w:rPr>
          <w:spacing w:val="-5"/>
        </w:rPr>
        <w:t> </w:t>
      </w:r>
      <w:r>
        <w:rPr/>
        <w:t>of</w:t>
      </w:r>
      <w:r>
        <w:rPr>
          <w:spacing w:val="-4"/>
        </w:rPr>
        <w:t> </w:t>
      </w:r>
      <w:r>
        <w:rPr/>
        <w:t>Financial</w:t>
      </w:r>
      <w:r>
        <w:rPr>
          <w:spacing w:val="-4"/>
        </w:rPr>
        <w:t> </w:t>
      </w:r>
      <w:r>
        <w:rPr>
          <w:spacing w:val="-2"/>
        </w:rPr>
        <w:t>Statements</w:t>
      </w:r>
    </w:p>
    <w:p>
      <w:pPr>
        <w:pStyle w:val="BodyText"/>
        <w:spacing w:line="360" w:lineRule="auto" w:before="223"/>
        <w:ind w:right="358"/>
        <w:jc w:val="both"/>
      </w:pPr>
      <w:r>
        <w:rPr/>
        <w:t>NIO reports the financial performance in the form of consolidated statements of comprehensive loss (income statement), consolidated balance sheets and consolidated statements of cash flows that are supported by notes and parent-company information (NIO, 2026).</w:t>
      </w:r>
      <w:r>
        <w:rPr>
          <w:spacing w:val="-6"/>
        </w:rPr>
        <w:t> </w:t>
      </w:r>
      <w:r>
        <w:rPr/>
        <w:t>According to the income statement, the revenues will grow rapidly in 2023 and 2025</w:t>
      </w:r>
      <w:r>
        <w:rPr>
          <w:spacing w:val="-2"/>
        </w:rPr>
        <w:t> </w:t>
      </w:r>
      <w:r>
        <w:rPr/>
        <w:t>(RMB 55.6</w:t>
      </w:r>
      <w:r>
        <w:rPr>
          <w:spacing w:val="-1"/>
        </w:rPr>
        <w:t> </w:t>
      </w:r>
      <w:r>
        <w:rPr/>
        <w:t>billion and</w:t>
      </w:r>
      <w:r>
        <w:rPr>
          <w:spacing w:val="-2"/>
        </w:rPr>
        <w:t> </w:t>
      </w:r>
      <w:r>
        <w:rPr/>
        <w:t>87.5</w:t>
      </w:r>
      <w:r>
        <w:rPr>
          <w:spacing w:val="-1"/>
        </w:rPr>
        <w:t> </w:t>
      </w:r>
      <w:r>
        <w:rPr/>
        <w:t>billion,</w:t>
      </w:r>
      <w:r>
        <w:rPr>
          <w:spacing w:val="-2"/>
        </w:rPr>
        <w:t> </w:t>
      </w:r>
      <w:r>
        <w:rPr/>
        <w:t>respectively)</w:t>
      </w:r>
      <w:r>
        <w:rPr>
          <w:spacing w:val="-1"/>
        </w:rPr>
        <w:t> </w:t>
      </w:r>
      <w:r>
        <w:rPr/>
        <w:t>and</w:t>
      </w:r>
      <w:r>
        <w:rPr>
          <w:spacing w:val="-1"/>
        </w:rPr>
        <w:t> </w:t>
      </w:r>
      <w:r>
        <w:rPr/>
        <w:t>keep</w:t>
      </w:r>
      <w:r>
        <w:rPr>
          <w:spacing w:val="-1"/>
        </w:rPr>
        <w:t> </w:t>
      </w:r>
      <w:r>
        <w:rPr/>
        <w:t>recording</w:t>
      </w:r>
      <w:r>
        <w:rPr>
          <w:spacing w:val="-1"/>
        </w:rPr>
        <w:t> </w:t>
      </w:r>
      <w:r>
        <w:rPr/>
        <w:t>net</w:t>
      </w:r>
      <w:r>
        <w:rPr>
          <w:spacing w:val="-2"/>
        </w:rPr>
        <w:t> </w:t>
      </w:r>
      <w:r>
        <w:rPr/>
        <w:t>losses (NIO,</w:t>
      </w:r>
      <w:r>
        <w:rPr>
          <w:spacing w:val="-7"/>
        </w:rPr>
        <w:t> </w:t>
      </w:r>
      <w:r>
        <w:rPr/>
        <w:t>2026).</w:t>
      </w:r>
      <w:r>
        <w:rPr>
          <w:spacing w:val="-16"/>
        </w:rPr>
        <w:t> </w:t>
      </w:r>
      <w:r>
        <w:rPr/>
        <w:t>The</w:t>
      </w:r>
      <w:r>
        <w:rPr>
          <w:spacing w:val="-11"/>
        </w:rPr>
        <w:t> </w:t>
      </w:r>
      <w:r>
        <w:rPr/>
        <w:t>balance</w:t>
      </w:r>
      <w:r>
        <w:rPr>
          <w:spacing w:val="-11"/>
        </w:rPr>
        <w:t> </w:t>
      </w:r>
      <w:r>
        <w:rPr/>
        <w:t>sheet</w:t>
      </w:r>
      <w:r>
        <w:rPr>
          <w:spacing w:val="-11"/>
        </w:rPr>
        <w:t> </w:t>
      </w:r>
      <w:r>
        <w:rPr/>
        <w:t>shows</w:t>
      </w:r>
      <w:r>
        <w:rPr>
          <w:spacing w:val="-8"/>
        </w:rPr>
        <w:t> </w:t>
      </w:r>
      <w:r>
        <w:rPr/>
        <w:t>that</w:t>
      </w:r>
      <w:r>
        <w:rPr>
          <w:spacing w:val="-11"/>
        </w:rPr>
        <w:t> </w:t>
      </w:r>
      <w:r>
        <w:rPr/>
        <w:t>it</w:t>
      </w:r>
      <w:r>
        <w:rPr>
          <w:spacing w:val="-11"/>
        </w:rPr>
        <w:t> </w:t>
      </w:r>
      <w:r>
        <w:rPr/>
        <w:t>has high</w:t>
      </w:r>
      <w:r>
        <w:rPr>
          <w:spacing w:val="-7"/>
        </w:rPr>
        <w:t> </w:t>
      </w:r>
      <w:r>
        <w:rPr/>
        <w:t>fixed</w:t>
      </w:r>
      <w:r>
        <w:rPr>
          <w:spacing w:val="-7"/>
        </w:rPr>
        <w:t> </w:t>
      </w:r>
      <w:r>
        <w:rPr/>
        <w:t>assets,</w:t>
      </w:r>
      <w:r>
        <w:rPr>
          <w:spacing w:val="-11"/>
        </w:rPr>
        <w:t> </w:t>
      </w:r>
      <w:r>
        <w:rPr/>
        <w:t>large</w:t>
      </w:r>
      <w:r>
        <w:rPr>
          <w:spacing w:val="-7"/>
        </w:rPr>
        <w:t> </w:t>
      </w:r>
      <w:r>
        <w:rPr/>
        <w:t>trade</w:t>
      </w:r>
      <w:r>
        <w:rPr>
          <w:spacing w:val="-11"/>
        </w:rPr>
        <w:t> </w:t>
      </w:r>
      <w:r>
        <w:rPr/>
        <w:t>payables, and a high degree of borrowings with a capital-intensive model, relatively thin shareholders' equity and huge redeemable non-controlling interests (NIO, 2026). The cash</w:t>
      </w:r>
      <w:r>
        <w:rPr>
          <w:spacing w:val="-7"/>
        </w:rPr>
        <w:t> </w:t>
      </w:r>
      <w:r>
        <w:rPr/>
        <w:t>flow</w:t>
      </w:r>
      <w:r>
        <w:rPr>
          <w:spacing w:val="-13"/>
        </w:rPr>
        <w:t> </w:t>
      </w:r>
      <w:r>
        <w:rPr/>
        <w:t>statement</w:t>
      </w:r>
      <w:r>
        <w:rPr>
          <w:spacing w:val="-7"/>
        </w:rPr>
        <w:t> </w:t>
      </w:r>
      <w:r>
        <w:rPr/>
        <w:t>shows</w:t>
      </w:r>
      <w:r>
        <w:rPr>
          <w:spacing w:val="-8"/>
        </w:rPr>
        <w:t> </w:t>
      </w:r>
      <w:r>
        <w:rPr/>
        <w:t>that</w:t>
      </w:r>
      <w:r>
        <w:rPr>
          <w:spacing w:val="-7"/>
        </w:rPr>
        <w:t> </w:t>
      </w:r>
      <w:r>
        <w:rPr/>
        <w:t>there</w:t>
      </w:r>
      <w:r>
        <w:rPr>
          <w:spacing w:val="-7"/>
        </w:rPr>
        <w:t> </w:t>
      </w:r>
      <w:r>
        <w:rPr/>
        <w:t>are</w:t>
      </w:r>
      <w:r>
        <w:rPr>
          <w:spacing w:val="-12"/>
        </w:rPr>
        <w:t> </w:t>
      </w:r>
      <w:r>
        <w:rPr/>
        <w:t>increasing but</w:t>
      </w:r>
      <w:r>
        <w:rPr>
          <w:spacing w:val="-7"/>
        </w:rPr>
        <w:t> </w:t>
      </w:r>
      <w:r>
        <w:rPr/>
        <w:t>fluctuating</w:t>
      </w:r>
      <w:r>
        <w:rPr>
          <w:spacing w:val="-7"/>
        </w:rPr>
        <w:t> </w:t>
      </w:r>
      <w:r>
        <w:rPr/>
        <w:t>operating</w:t>
      </w:r>
      <w:r>
        <w:rPr>
          <w:spacing w:val="-7"/>
        </w:rPr>
        <w:t> </w:t>
      </w:r>
      <w:r>
        <w:rPr/>
        <w:t>cash</w:t>
      </w:r>
      <w:r>
        <w:rPr>
          <w:spacing w:val="-7"/>
        </w:rPr>
        <w:t> </w:t>
      </w:r>
      <w:r>
        <w:rPr/>
        <w:t>flows, which are offset by large investing cash flows and continuous reliance on external financing (Stock Titan, 2026).</w:t>
      </w:r>
    </w:p>
    <w:p>
      <w:pPr>
        <w:pStyle w:val="BodyText"/>
      </w:pPr>
    </w:p>
    <w:p>
      <w:pPr>
        <w:pStyle w:val="BodyText"/>
        <w:spacing w:before="181"/>
      </w:pPr>
    </w:p>
    <w:p>
      <w:pPr>
        <w:pStyle w:val="Heading2"/>
        <w:numPr>
          <w:ilvl w:val="1"/>
          <w:numId w:val="3"/>
        </w:numPr>
        <w:tabs>
          <w:tab w:pos="400" w:val="left" w:leader="none"/>
        </w:tabs>
        <w:spacing w:line="434" w:lineRule="auto" w:before="0" w:after="0"/>
        <w:ind w:left="0" w:right="6957" w:firstLine="0"/>
        <w:jc w:val="left"/>
      </w:pPr>
      <w:bookmarkStart w:name="2.2 Profitability Analysis" w:id="13"/>
      <w:bookmarkEnd w:id="13"/>
      <w:r>
        <w:rPr>
          <w:b w:val="0"/>
        </w:rPr>
      </w:r>
      <w:bookmarkStart w:name="_bookmark6" w:id="14"/>
      <w:bookmarkEnd w:id="14"/>
      <w:r>
        <w:rPr>
          <w:b w:val="0"/>
        </w:rPr>
      </w:r>
      <w:r>
        <w:rPr>
          <w:spacing w:val="-2"/>
        </w:rPr>
        <w:t>Profitability</w:t>
      </w:r>
      <w:r>
        <w:rPr>
          <w:spacing w:val="-10"/>
        </w:rPr>
        <w:t> </w:t>
      </w:r>
      <w:r>
        <w:rPr>
          <w:spacing w:val="-2"/>
        </w:rPr>
        <w:t>Analysis </w:t>
      </w:r>
      <w:r>
        <w:rPr/>
        <w:t>Gross Profit Margin</w:t>
      </w:r>
    </w:p>
    <w:p>
      <w:pPr>
        <w:pStyle w:val="BodyText"/>
        <w:spacing w:line="367" w:lineRule="auto" w:before="72"/>
        <w:ind w:right="350"/>
        <w:jc w:val="both"/>
      </w:pPr>
      <w:r>
        <w:rPr/>
        <w:t>Gross</w:t>
      </w:r>
      <w:r>
        <w:rPr>
          <w:spacing w:val="-2"/>
        </w:rPr>
        <w:t> </w:t>
      </w:r>
      <w:r>
        <w:rPr/>
        <w:t>Profit</w:t>
      </w:r>
      <w:r>
        <w:rPr>
          <w:spacing w:val="-7"/>
        </w:rPr>
        <w:t> </w:t>
      </w:r>
      <w:r>
        <w:rPr/>
        <w:t>Margin</w:t>
      </w:r>
      <w:r>
        <w:rPr>
          <w:spacing w:val="-6"/>
        </w:rPr>
        <w:t> </w:t>
      </w:r>
      <w:r>
        <w:rPr/>
        <w:t>is</w:t>
      </w:r>
      <w:r>
        <w:rPr>
          <w:spacing w:val="-2"/>
        </w:rPr>
        <w:t> </w:t>
      </w:r>
      <w:r>
        <w:rPr/>
        <w:t>the</w:t>
      </w:r>
      <w:r>
        <w:rPr>
          <w:spacing w:val="-6"/>
        </w:rPr>
        <w:t> </w:t>
      </w:r>
      <w:r>
        <w:rPr/>
        <w:t>ratio</w:t>
      </w:r>
      <w:r>
        <w:rPr>
          <w:spacing w:val="-2"/>
        </w:rPr>
        <w:t> </w:t>
      </w:r>
      <w:r>
        <w:rPr/>
        <w:t>of</w:t>
      </w:r>
      <w:r>
        <w:rPr>
          <w:spacing w:val="-2"/>
        </w:rPr>
        <w:t> </w:t>
      </w:r>
      <w:r>
        <w:rPr/>
        <w:t>revenue</w:t>
      </w:r>
      <w:r>
        <w:rPr>
          <w:spacing w:val="-6"/>
        </w:rPr>
        <w:t> </w:t>
      </w:r>
      <w:r>
        <w:rPr/>
        <w:t>left</w:t>
      </w:r>
      <w:r>
        <w:rPr>
          <w:spacing w:val="-6"/>
        </w:rPr>
        <w:t> </w:t>
      </w:r>
      <w:r>
        <w:rPr/>
        <w:t>after subtracting</w:t>
      </w:r>
      <w:r>
        <w:rPr>
          <w:spacing w:val="-1"/>
        </w:rPr>
        <w:t> </w:t>
      </w:r>
      <w:r>
        <w:rPr/>
        <w:t>the</w:t>
      </w:r>
      <w:r>
        <w:rPr>
          <w:spacing w:val="-2"/>
        </w:rPr>
        <w:t> </w:t>
      </w:r>
      <w:r>
        <w:rPr/>
        <w:t>cost</w:t>
      </w:r>
      <w:r>
        <w:rPr>
          <w:spacing w:val="-7"/>
        </w:rPr>
        <w:t> </w:t>
      </w:r>
      <w:r>
        <w:rPr/>
        <w:t>of</w:t>
      </w:r>
      <w:r>
        <w:rPr>
          <w:spacing w:val="-2"/>
        </w:rPr>
        <w:t> </w:t>
      </w:r>
      <w:r>
        <w:rPr/>
        <w:t>sales,</w:t>
      </w:r>
      <w:r>
        <w:rPr>
          <w:spacing w:val="-1"/>
        </w:rPr>
        <w:t> </w:t>
      </w:r>
      <w:r>
        <w:rPr/>
        <w:t>and</w:t>
      </w:r>
      <w:r>
        <w:rPr>
          <w:spacing w:val="-6"/>
        </w:rPr>
        <w:t> </w:t>
      </w:r>
      <w:r>
        <w:rPr/>
        <w:t>it</w:t>
      </w:r>
      <w:r>
        <w:rPr>
          <w:spacing w:val="-6"/>
        </w:rPr>
        <w:t> </w:t>
      </w:r>
      <w:r>
        <w:rPr/>
        <w:t>is computed as:</w:t>
      </w:r>
    </w:p>
    <w:p>
      <w:pPr>
        <w:pStyle w:val="BodyText"/>
        <w:spacing w:after="0" w:line="367" w:lineRule="auto"/>
        <w:jc w:val="both"/>
        <w:sectPr>
          <w:pgSz w:w="12240" w:h="15840"/>
          <w:pgMar w:header="0" w:footer="1051" w:top="1360" w:bottom="1240" w:left="1440" w:right="1080"/>
        </w:sectPr>
      </w:pPr>
    </w:p>
    <w:p>
      <w:pPr>
        <w:pStyle w:val="BodyText"/>
      </w:pPr>
    </w:p>
    <w:p>
      <w:pPr>
        <w:pStyle w:val="BodyText"/>
      </w:pPr>
    </w:p>
    <w:p>
      <w:pPr>
        <w:pStyle w:val="BodyText"/>
        <w:spacing w:before="176"/>
      </w:pPr>
    </w:p>
    <w:p>
      <w:pPr>
        <w:pStyle w:val="Heading2"/>
        <w:jc w:val="right"/>
      </w:pPr>
      <w:r>
        <w:rPr>
          <w:spacing w:val="-2"/>
        </w:rPr>
        <w:t>Calculation:</w:t>
      </w:r>
    </w:p>
    <w:p>
      <w:pPr>
        <w:pStyle w:val="BodyText"/>
        <w:spacing w:before="19"/>
        <w:rPr>
          <w:rFonts w:ascii="Arial"/>
          <w:b/>
        </w:rPr>
      </w:pPr>
    </w:p>
    <w:p>
      <w:pPr>
        <w:spacing w:before="0"/>
        <w:ind w:left="0" w:right="33" w:firstLine="0"/>
        <w:jc w:val="right"/>
        <w:rPr>
          <w:rFonts w:ascii="Arial"/>
          <w:b/>
          <w:sz w:val="24"/>
        </w:rPr>
      </w:pPr>
      <w:r>
        <w:rPr>
          <w:rFonts w:ascii="Arial"/>
          <w:b/>
          <w:spacing w:val="-2"/>
          <w:sz w:val="24"/>
        </w:rPr>
        <w:t>2023:</w:t>
      </w:r>
    </w:p>
    <w:p>
      <w:pPr>
        <w:spacing w:line="240" w:lineRule="auto" w:before="33"/>
        <w:rPr>
          <w:rFonts w:ascii="Arial"/>
          <w:b/>
          <w:sz w:val="24"/>
        </w:rPr>
      </w:pPr>
      <w:r>
        <w:rPr/>
        <w:br w:type="column"/>
      </w:r>
      <w:r>
        <w:rPr>
          <w:rFonts w:ascii="Arial"/>
          <w:b/>
          <w:sz w:val="24"/>
        </w:rPr>
      </w:r>
    </w:p>
    <w:p>
      <w:pPr>
        <w:pStyle w:val="BodyText"/>
        <w:rPr>
          <w:rFonts w:ascii="Cambria Math"/>
        </w:rPr>
      </w:pPr>
      <w:r>
        <w:rPr/>
        <w:t>Gross</w:t>
      </w:r>
      <w:r>
        <w:rPr>
          <w:spacing w:val="-2"/>
        </w:rPr>
        <w:t> </w:t>
      </w:r>
      <w:r>
        <w:rPr/>
        <w:t>Profit</w:t>
      </w:r>
      <w:r>
        <w:rPr>
          <w:spacing w:val="-1"/>
        </w:rPr>
        <w:t> </w:t>
      </w:r>
      <w:r>
        <w:rPr/>
        <w:t>Margin</w:t>
      </w:r>
      <w:r>
        <w:rPr>
          <w:spacing w:val="-3"/>
        </w:rPr>
        <w:t> </w:t>
      </w:r>
      <w:r>
        <w:rPr>
          <w:rFonts w:ascii="Cambria Math"/>
          <w:spacing w:val="-10"/>
        </w:rPr>
        <w:t>=</w:t>
      </w:r>
    </w:p>
    <w:p>
      <w:pPr>
        <w:pStyle w:val="BodyText"/>
        <w:spacing w:line="231" w:lineRule="exact" w:before="127"/>
      </w:pPr>
      <w:r>
        <w:rPr/>
        <w:br w:type="column"/>
      </w:r>
      <w:r>
        <w:rPr/>
        <w:t>Revenue</w:t>
      </w:r>
      <w:r>
        <w:rPr>
          <w:spacing w:val="-17"/>
        </w:rPr>
        <w:t> </w:t>
      </w:r>
      <w:r>
        <w:rPr>
          <w:rFonts w:ascii="Cambria Math" w:hAnsi="Cambria Math"/>
        </w:rPr>
        <w:t>−</w:t>
      </w:r>
      <w:r>
        <w:rPr>
          <w:rFonts w:ascii="Cambria Math" w:hAnsi="Cambria Math"/>
          <w:spacing w:val="2"/>
        </w:rPr>
        <w:t> </w:t>
      </w:r>
      <w:r>
        <w:rPr/>
        <w:t>Cost of </w:t>
      </w:r>
      <w:r>
        <w:rPr>
          <w:spacing w:val="-2"/>
        </w:rPr>
        <w:t>Sales</w:t>
      </w:r>
    </w:p>
    <w:p>
      <w:pPr>
        <w:pStyle w:val="BodyText"/>
        <w:tabs>
          <w:tab w:pos="2727" w:val="left" w:leader="none"/>
        </w:tabs>
        <w:spacing w:line="389" w:lineRule="exact"/>
        <w:ind w:left="855"/>
        <w:rPr>
          <w:rFonts w:ascii="Cambria Math" w:hAnsi="Cambria Math"/>
          <w:position w:val="16"/>
        </w:rPr>
      </w:pPr>
      <w:r>
        <w:rPr>
          <w:rFonts w:ascii="Cambria Math" w:hAnsi="Cambria Math"/>
          <w:position w:val="16"/>
        </w:rPr>
        <mc:AlternateContent>
          <mc:Choice Requires="wps">
            <w:drawing>
              <wp:anchor distT="0" distB="0" distL="0" distR="0" allowOverlap="1" layoutInCell="1" locked="0" behindDoc="1" simplePos="0" relativeHeight="486780416">
                <wp:simplePos x="0" y="0"/>
                <wp:positionH relativeFrom="page">
                  <wp:posOffset>3579621</wp:posOffset>
                </wp:positionH>
                <wp:positionV relativeFrom="paragraph">
                  <wp:posOffset>65037</wp:posOffset>
                </wp:positionV>
                <wp:extent cx="1698625" cy="9525"/>
                <wp:effectExtent l="0" t="0" r="0" b="0"/>
                <wp:wrapNone/>
                <wp:docPr id="7" name="Graphic 7"/>
                <wp:cNvGraphicFramePr>
                  <a:graphicFrameLocks/>
                </wp:cNvGraphicFramePr>
                <a:graphic>
                  <a:graphicData uri="http://schemas.microsoft.com/office/word/2010/wordprocessingShape">
                    <wps:wsp>
                      <wps:cNvPr id="7" name="Graphic 7"/>
                      <wps:cNvSpPr/>
                      <wps:spPr>
                        <a:xfrm>
                          <a:off x="0" y="0"/>
                          <a:ext cx="1698625" cy="9525"/>
                        </a:xfrm>
                        <a:custGeom>
                          <a:avLst/>
                          <a:gdLst/>
                          <a:ahLst/>
                          <a:cxnLst/>
                          <a:rect l="l" t="t" r="r" b="b"/>
                          <a:pathLst>
                            <a:path w="1698625" h="9525">
                              <a:moveTo>
                                <a:pt x="1698371" y="0"/>
                              </a:moveTo>
                              <a:lnTo>
                                <a:pt x="0" y="0"/>
                              </a:lnTo>
                              <a:lnTo>
                                <a:pt x="0" y="9143"/>
                              </a:lnTo>
                              <a:lnTo>
                                <a:pt x="1698371" y="9143"/>
                              </a:lnTo>
                              <a:lnTo>
                                <a:pt x="1698371"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rect style="position:absolute;margin-left:281.859985pt;margin-top:5.121049pt;width:133.730pt;height:.71997pt;mso-position-horizontal-relative:page;mso-position-vertical-relative:paragraph;z-index:-16536064" id="docshape6" filled="true" fillcolor="#000000" stroked="false">
                <v:fill type="solid"/>
                <w10:wrap type="none"/>
              </v:rect>
            </w:pict>
          </mc:Fallback>
        </mc:AlternateContent>
      </w:r>
      <w:r>
        <w:rPr>
          <w:spacing w:val="-2"/>
        </w:rPr>
        <w:t>Revenue</w:t>
      </w:r>
      <w:r>
        <w:rPr/>
        <w:tab/>
      </w:r>
      <w:r>
        <w:rPr>
          <w:rFonts w:ascii="Cambria Math" w:hAnsi="Cambria Math"/>
          <w:position w:val="16"/>
        </w:rPr>
        <w:t>×</w:t>
      </w:r>
      <w:r>
        <w:rPr>
          <w:rFonts w:ascii="Cambria Math" w:hAnsi="Cambria Math"/>
          <w:spacing w:val="-1"/>
          <w:position w:val="16"/>
        </w:rPr>
        <w:t> </w:t>
      </w:r>
      <w:r>
        <w:rPr>
          <w:rFonts w:ascii="Cambria Math" w:hAnsi="Cambria Math"/>
          <w:spacing w:val="-5"/>
          <w:position w:val="16"/>
        </w:rPr>
        <w:t>100</w:t>
      </w:r>
    </w:p>
    <w:p>
      <w:pPr>
        <w:pStyle w:val="BodyText"/>
        <w:spacing w:after="0" w:line="389" w:lineRule="exact"/>
        <w:rPr>
          <w:rFonts w:ascii="Cambria Math" w:hAnsi="Cambria Math"/>
          <w:position w:val="16"/>
        </w:rPr>
        <w:sectPr>
          <w:type w:val="continuous"/>
          <w:pgSz w:w="12240" w:h="15840"/>
          <w:pgMar w:header="0" w:footer="1051" w:top="1820" w:bottom="1240" w:left="1440" w:right="1080"/>
          <w:cols w:num="3" w:equalWidth="0">
            <w:col w:w="1376" w:space="440"/>
            <w:col w:w="2317" w:space="64"/>
            <w:col w:w="5523"/>
          </w:cols>
        </w:sectPr>
      </w:pPr>
    </w:p>
    <w:p>
      <w:pPr>
        <w:pStyle w:val="BodyText"/>
        <w:spacing w:line="232" w:lineRule="exact" w:before="279"/>
        <w:ind w:left="3333"/>
        <w:rPr>
          <w:rFonts w:ascii="Cambria Math" w:hAnsi="Cambria Math"/>
        </w:rPr>
      </w:pPr>
      <w:r>
        <w:rPr>
          <w:rFonts w:ascii="Cambria Math" w:hAnsi="Cambria Math"/>
        </w:rPr>
        <w:t>55.6</w:t>
      </w:r>
      <w:r>
        <w:rPr>
          <w:rFonts w:ascii="Cambria Math" w:hAnsi="Cambria Math"/>
          <w:spacing w:val="-4"/>
        </w:rPr>
        <w:t> </w:t>
      </w:r>
      <w:r>
        <w:rPr>
          <w:rFonts w:ascii="Cambria Math" w:hAnsi="Cambria Math"/>
        </w:rPr>
        <w:t>−</w:t>
      </w:r>
      <w:r>
        <w:rPr>
          <w:rFonts w:ascii="Cambria Math" w:hAnsi="Cambria Math"/>
          <w:spacing w:val="3"/>
        </w:rPr>
        <w:t> </w:t>
      </w:r>
      <w:r>
        <w:rPr>
          <w:rFonts w:ascii="Cambria Math" w:hAnsi="Cambria Math"/>
          <w:spacing w:val="-4"/>
        </w:rPr>
        <w:t>52.6</w:t>
      </w:r>
    </w:p>
    <w:p>
      <w:pPr>
        <w:pStyle w:val="BodyText"/>
        <w:tabs>
          <w:tab w:pos="4567" w:val="left" w:leader="none"/>
        </w:tabs>
        <w:spacing w:line="187" w:lineRule="auto"/>
        <w:ind w:left="3697"/>
        <w:rPr>
          <w:rFonts w:ascii="Cambria Math" w:hAnsi="Cambria Math"/>
        </w:rPr>
      </w:pPr>
      <w:r>
        <w:rPr>
          <w:rFonts w:ascii="Cambria Math" w:hAnsi="Cambria Math"/>
        </w:rPr>
        <mc:AlternateContent>
          <mc:Choice Requires="wps">
            <w:drawing>
              <wp:anchor distT="0" distB="0" distL="0" distR="0" allowOverlap="1" layoutInCell="1" locked="0" behindDoc="1" simplePos="0" relativeHeight="486780928">
                <wp:simplePos x="0" y="0"/>
                <wp:positionH relativeFrom="page">
                  <wp:posOffset>3030982</wp:posOffset>
                </wp:positionH>
                <wp:positionV relativeFrom="paragraph">
                  <wp:posOffset>64555</wp:posOffset>
                </wp:positionV>
                <wp:extent cx="750570" cy="9525"/>
                <wp:effectExtent l="0" t="0" r="0" b="0"/>
                <wp:wrapNone/>
                <wp:docPr id="8" name="Graphic 8"/>
                <wp:cNvGraphicFramePr>
                  <a:graphicFrameLocks/>
                </wp:cNvGraphicFramePr>
                <a:graphic>
                  <a:graphicData uri="http://schemas.microsoft.com/office/word/2010/wordprocessingShape">
                    <wps:wsp>
                      <wps:cNvPr id="8" name="Graphic 8"/>
                      <wps:cNvSpPr/>
                      <wps:spPr>
                        <a:xfrm>
                          <a:off x="0" y="0"/>
                          <a:ext cx="750570" cy="9525"/>
                        </a:xfrm>
                        <a:custGeom>
                          <a:avLst/>
                          <a:gdLst/>
                          <a:ahLst/>
                          <a:cxnLst/>
                          <a:rect l="l" t="t" r="r" b="b"/>
                          <a:pathLst>
                            <a:path w="750570" h="9525">
                              <a:moveTo>
                                <a:pt x="750112" y="0"/>
                              </a:moveTo>
                              <a:lnTo>
                                <a:pt x="0" y="0"/>
                              </a:lnTo>
                              <a:lnTo>
                                <a:pt x="0" y="9143"/>
                              </a:lnTo>
                              <a:lnTo>
                                <a:pt x="750112" y="9143"/>
                              </a:lnTo>
                              <a:lnTo>
                                <a:pt x="750112"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rect style="position:absolute;margin-left:238.660004pt;margin-top:5.083072pt;width:59.064pt;height:.71997pt;mso-position-horizontal-relative:page;mso-position-vertical-relative:paragraph;z-index:-16535552" id="docshape7" filled="true" fillcolor="#000000" stroked="false">
                <v:fill type="solid"/>
                <w10:wrap type="none"/>
              </v:rect>
            </w:pict>
          </mc:Fallback>
        </mc:AlternateContent>
      </w:r>
      <w:r>
        <w:rPr>
          <w:rFonts w:ascii="Cambria Math" w:hAnsi="Cambria Math"/>
          <w:spacing w:val="-4"/>
          <w:position w:val="-15"/>
        </w:rPr>
        <w:t>55.6</w:t>
      </w:r>
      <w:r>
        <w:rPr>
          <w:rFonts w:ascii="Cambria Math" w:hAnsi="Cambria Math"/>
          <w:position w:val="-15"/>
        </w:rPr>
        <w:tab/>
      </w:r>
      <w:r>
        <w:rPr>
          <w:rFonts w:ascii="Cambria Math" w:hAnsi="Cambria Math"/>
        </w:rPr>
        <w:t>×</w:t>
      </w:r>
      <w:r>
        <w:rPr>
          <w:rFonts w:ascii="Cambria Math" w:hAnsi="Cambria Math"/>
          <w:spacing w:val="-1"/>
        </w:rPr>
        <w:t> </w:t>
      </w:r>
      <w:r>
        <w:rPr>
          <w:rFonts w:ascii="Cambria Math" w:hAnsi="Cambria Math"/>
        </w:rPr>
        <w:t>100</w:t>
      </w:r>
      <w:r>
        <w:rPr>
          <w:rFonts w:ascii="Cambria Math" w:hAnsi="Cambria Math"/>
          <w:spacing w:val="12"/>
        </w:rPr>
        <w:t> </w:t>
      </w:r>
      <w:r>
        <w:rPr>
          <w:rFonts w:ascii="Cambria Math" w:hAnsi="Cambria Math"/>
        </w:rPr>
        <w:t>=</w:t>
      </w:r>
      <w:r>
        <w:rPr>
          <w:rFonts w:ascii="Cambria Math" w:hAnsi="Cambria Math"/>
          <w:spacing w:val="13"/>
        </w:rPr>
        <w:t> </w:t>
      </w:r>
      <w:r>
        <w:rPr>
          <w:rFonts w:ascii="Cambria Math" w:hAnsi="Cambria Math"/>
          <w:spacing w:val="-4"/>
        </w:rPr>
        <w:t>5.4%</w:t>
      </w:r>
    </w:p>
    <w:p>
      <w:pPr>
        <w:pStyle w:val="BodyText"/>
        <w:rPr>
          <w:rFonts w:ascii="Cambria Math"/>
        </w:rPr>
      </w:pPr>
    </w:p>
    <w:p>
      <w:pPr>
        <w:pStyle w:val="BodyText"/>
        <w:spacing w:before="105"/>
        <w:rPr>
          <w:rFonts w:ascii="Cambria Math"/>
        </w:rPr>
      </w:pPr>
    </w:p>
    <w:p>
      <w:pPr>
        <w:pStyle w:val="Heading2"/>
        <w:ind w:left="721"/>
      </w:pPr>
      <w:r>
        <w:rPr>
          <w:spacing w:val="-2"/>
        </w:rPr>
        <w:t>2025:</w:t>
      </w:r>
    </w:p>
    <w:p>
      <w:pPr>
        <w:pStyle w:val="Heading2"/>
        <w:spacing w:after="0"/>
        <w:sectPr>
          <w:type w:val="continuous"/>
          <w:pgSz w:w="12240" w:h="15840"/>
          <w:pgMar w:header="0" w:footer="1051" w:top="1820" w:bottom="1240" w:left="1440" w:right="1080"/>
        </w:sectPr>
      </w:pPr>
    </w:p>
    <w:p>
      <w:pPr>
        <w:pStyle w:val="BodyText"/>
        <w:spacing w:line="232" w:lineRule="exact" w:before="34"/>
        <w:ind w:left="3266"/>
        <w:rPr>
          <w:rFonts w:ascii="Cambria Math" w:hAnsi="Cambria Math"/>
        </w:rPr>
      </w:pPr>
      <w:r>
        <w:rPr>
          <w:rFonts w:ascii="Cambria Math" w:hAnsi="Cambria Math"/>
        </w:rPr>
        <w:t>87.5</w:t>
      </w:r>
      <w:r>
        <w:rPr>
          <w:rFonts w:ascii="Cambria Math" w:hAnsi="Cambria Math"/>
          <w:spacing w:val="-4"/>
        </w:rPr>
        <w:t> </w:t>
      </w:r>
      <w:r>
        <w:rPr>
          <w:rFonts w:ascii="Cambria Math" w:hAnsi="Cambria Math"/>
        </w:rPr>
        <w:t>−</w:t>
      </w:r>
      <w:r>
        <w:rPr>
          <w:rFonts w:ascii="Cambria Math" w:hAnsi="Cambria Math"/>
          <w:spacing w:val="3"/>
        </w:rPr>
        <w:t> </w:t>
      </w:r>
      <w:r>
        <w:rPr>
          <w:rFonts w:ascii="Cambria Math" w:hAnsi="Cambria Math"/>
          <w:spacing w:val="-4"/>
        </w:rPr>
        <w:t>75.6</w:t>
      </w:r>
    </w:p>
    <w:p>
      <w:pPr>
        <w:pStyle w:val="BodyText"/>
        <w:tabs>
          <w:tab w:pos="4499" w:val="left" w:leader="none"/>
        </w:tabs>
        <w:spacing w:line="187" w:lineRule="auto"/>
        <w:ind w:left="3630"/>
        <w:rPr>
          <w:rFonts w:ascii="Cambria Math" w:hAnsi="Cambria Math"/>
        </w:rPr>
      </w:pPr>
      <w:r>
        <w:rPr>
          <w:rFonts w:ascii="Cambria Math" w:hAnsi="Cambria Math"/>
        </w:rPr>
        <mc:AlternateContent>
          <mc:Choice Requires="wps">
            <w:drawing>
              <wp:anchor distT="0" distB="0" distL="0" distR="0" allowOverlap="1" layoutInCell="1" locked="0" behindDoc="1" simplePos="0" relativeHeight="486781440">
                <wp:simplePos x="0" y="0"/>
                <wp:positionH relativeFrom="page">
                  <wp:posOffset>2988310</wp:posOffset>
                </wp:positionH>
                <wp:positionV relativeFrom="paragraph">
                  <wp:posOffset>64589</wp:posOffset>
                </wp:positionV>
                <wp:extent cx="750570" cy="9525"/>
                <wp:effectExtent l="0" t="0" r="0" b="0"/>
                <wp:wrapNone/>
                <wp:docPr id="9" name="Graphic 9"/>
                <wp:cNvGraphicFramePr>
                  <a:graphicFrameLocks/>
                </wp:cNvGraphicFramePr>
                <a:graphic>
                  <a:graphicData uri="http://schemas.microsoft.com/office/word/2010/wordprocessingShape">
                    <wps:wsp>
                      <wps:cNvPr id="9" name="Graphic 9"/>
                      <wps:cNvSpPr/>
                      <wps:spPr>
                        <a:xfrm>
                          <a:off x="0" y="0"/>
                          <a:ext cx="750570" cy="9525"/>
                        </a:xfrm>
                        <a:custGeom>
                          <a:avLst/>
                          <a:gdLst/>
                          <a:ahLst/>
                          <a:cxnLst/>
                          <a:rect l="l" t="t" r="r" b="b"/>
                          <a:pathLst>
                            <a:path w="750570" h="9525">
                              <a:moveTo>
                                <a:pt x="750112" y="0"/>
                              </a:moveTo>
                              <a:lnTo>
                                <a:pt x="0" y="0"/>
                              </a:lnTo>
                              <a:lnTo>
                                <a:pt x="0" y="9144"/>
                              </a:lnTo>
                              <a:lnTo>
                                <a:pt x="750112" y="9144"/>
                              </a:lnTo>
                              <a:lnTo>
                                <a:pt x="750112"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rect style="position:absolute;margin-left:235.300003pt;margin-top:5.085823pt;width:59.064pt;height:.72pt;mso-position-horizontal-relative:page;mso-position-vertical-relative:paragraph;z-index:-16535040" id="docshape8" filled="true" fillcolor="#000000" stroked="false">
                <v:fill type="solid"/>
                <w10:wrap type="none"/>
              </v:rect>
            </w:pict>
          </mc:Fallback>
        </mc:AlternateContent>
      </w:r>
      <w:r>
        <w:rPr>
          <w:rFonts w:ascii="Cambria Math" w:hAnsi="Cambria Math"/>
          <w:spacing w:val="-4"/>
          <w:position w:val="-15"/>
        </w:rPr>
        <w:t>87.5</w:t>
      </w:r>
      <w:r>
        <w:rPr>
          <w:rFonts w:ascii="Cambria Math" w:hAnsi="Cambria Math"/>
          <w:position w:val="-15"/>
        </w:rPr>
        <w:tab/>
      </w:r>
      <w:r>
        <w:rPr>
          <w:rFonts w:ascii="Cambria Math" w:hAnsi="Cambria Math"/>
        </w:rPr>
        <w:t>×</w:t>
      </w:r>
      <w:r>
        <w:rPr>
          <w:rFonts w:ascii="Cambria Math" w:hAnsi="Cambria Math"/>
          <w:spacing w:val="-1"/>
        </w:rPr>
        <w:t> </w:t>
      </w:r>
      <w:r>
        <w:rPr>
          <w:rFonts w:ascii="Cambria Math" w:hAnsi="Cambria Math"/>
        </w:rPr>
        <w:t>100</w:t>
      </w:r>
      <w:r>
        <w:rPr>
          <w:rFonts w:ascii="Cambria Math" w:hAnsi="Cambria Math"/>
          <w:spacing w:val="12"/>
        </w:rPr>
        <w:t> </w:t>
      </w:r>
      <w:r>
        <w:rPr>
          <w:rFonts w:ascii="Cambria Math" w:hAnsi="Cambria Math"/>
        </w:rPr>
        <w:t>=</w:t>
      </w:r>
      <w:r>
        <w:rPr>
          <w:rFonts w:ascii="Cambria Math" w:hAnsi="Cambria Math"/>
          <w:spacing w:val="13"/>
        </w:rPr>
        <w:t> </w:t>
      </w:r>
      <w:r>
        <w:rPr>
          <w:rFonts w:ascii="Cambria Math" w:hAnsi="Cambria Math"/>
          <w:spacing w:val="-4"/>
        </w:rPr>
        <w:t>13.6%</w:t>
      </w:r>
    </w:p>
    <w:p>
      <w:pPr>
        <w:pStyle w:val="BodyText"/>
        <w:rPr>
          <w:rFonts w:ascii="Cambria Math"/>
        </w:rPr>
      </w:pPr>
    </w:p>
    <w:p>
      <w:pPr>
        <w:pStyle w:val="BodyText"/>
        <w:spacing w:before="106"/>
        <w:rPr>
          <w:rFonts w:ascii="Cambria Math"/>
        </w:rPr>
      </w:pPr>
    </w:p>
    <w:p>
      <w:pPr>
        <w:pStyle w:val="Heading2"/>
      </w:pPr>
      <w:r>
        <w:rPr>
          <w:spacing w:val="-2"/>
        </w:rPr>
        <w:t>Analysis:</w:t>
      </w:r>
    </w:p>
    <w:p>
      <w:pPr>
        <w:pStyle w:val="BodyText"/>
        <w:spacing w:line="360" w:lineRule="auto" w:before="142"/>
        <w:ind w:right="351"/>
        <w:jc w:val="both"/>
      </w:pPr>
      <w:r>
        <w:rPr/>
        <w:t>The</w:t>
      </w:r>
      <w:r>
        <w:rPr>
          <w:spacing w:val="-17"/>
        </w:rPr>
        <w:t> </w:t>
      </w:r>
      <w:r>
        <w:rPr/>
        <w:t>gross</w:t>
      </w:r>
      <w:r>
        <w:rPr>
          <w:spacing w:val="-17"/>
        </w:rPr>
        <w:t> </w:t>
      </w:r>
      <w:r>
        <w:rPr/>
        <w:t>profit</w:t>
      </w:r>
      <w:r>
        <w:rPr>
          <w:spacing w:val="-16"/>
        </w:rPr>
        <w:t> </w:t>
      </w:r>
      <w:r>
        <w:rPr/>
        <w:t>margin</w:t>
      </w:r>
      <w:r>
        <w:rPr>
          <w:spacing w:val="-17"/>
        </w:rPr>
        <w:t> </w:t>
      </w:r>
      <w:r>
        <w:rPr/>
        <w:t>of</w:t>
      </w:r>
      <w:r>
        <w:rPr>
          <w:spacing w:val="-17"/>
        </w:rPr>
        <w:t> </w:t>
      </w:r>
      <w:r>
        <w:rPr/>
        <w:t>NIO</w:t>
      </w:r>
      <w:r>
        <w:rPr>
          <w:spacing w:val="-17"/>
        </w:rPr>
        <w:t> </w:t>
      </w:r>
      <w:r>
        <w:rPr/>
        <w:t>increased</w:t>
      </w:r>
      <w:r>
        <w:rPr>
          <w:spacing w:val="-16"/>
        </w:rPr>
        <w:t> </w:t>
      </w:r>
      <w:r>
        <w:rPr/>
        <w:t>dramatically,</w:t>
      </w:r>
      <w:r>
        <w:rPr>
          <w:spacing w:val="-17"/>
        </w:rPr>
        <w:t> </w:t>
      </w:r>
      <w:r>
        <w:rPr/>
        <w:t>from</w:t>
      </w:r>
      <w:r>
        <w:rPr>
          <w:spacing w:val="-17"/>
        </w:rPr>
        <w:t> </w:t>
      </w:r>
      <w:r>
        <w:rPr/>
        <w:t>around</w:t>
      </w:r>
      <w:r>
        <w:rPr>
          <w:spacing w:val="-16"/>
        </w:rPr>
        <w:t> </w:t>
      </w:r>
      <w:r>
        <w:rPr/>
        <w:t>5.4%</w:t>
      </w:r>
      <w:r>
        <w:rPr>
          <w:spacing w:val="-17"/>
        </w:rPr>
        <w:t> </w:t>
      </w:r>
      <w:r>
        <w:rPr/>
        <w:t>in</w:t>
      </w:r>
      <w:r>
        <w:rPr>
          <w:spacing w:val="-17"/>
        </w:rPr>
        <w:t> </w:t>
      </w:r>
      <w:r>
        <w:rPr/>
        <w:t>2023</w:t>
      </w:r>
      <w:r>
        <w:rPr>
          <w:spacing w:val="-16"/>
        </w:rPr>
        <w:t> </w:t>
      </w:r>
      <w:r>
        <w:rPr/>
        <w:t>to</w:t>
      </w:r>
      <w:r>
        <w:rPr>
          <w:spacing w:val="-17"/>
        </w:rPr>
        <w:t> </w:t>
      </w:r>
      <w:r>
        <w:rPr/>
        <w:t>13.6% in 2025, a sign of better cost management, economies of scale and better product mix. This is a sign of the development of production and supply chain efficiency in its operations.</w:t>
      </w:r>
      <w:r>
        <w:rPr>
          <w:spacing w:val="-17"/>
        </w:rPr>
        <w:t> </w:t>
      </w:r>
      <w:r>
        <w:rPr/>
        <w:t>That</w:t>
      </w:r>
      <w:r>
        <w:rPr>
          <w:spacing w:val="-15"/>
        </w:rPr>
        <w:t> </w:t>
      </w:r>
      <w:r>
        <w:rPr/>
        <w:t>the</w:t>
      </w:r>
      <w:r>
        <w:rPr>
          <w:spacing w:val="-13"/>
        </w:rPr>
        <w:t> </w:t>
      </w:r>
      <w:r>
        <w:rPr/>
        <w:t>margins</w:t>
      </w:r>
      <w:r>
        <w:rPr>
          <w:spacing w:val="-14"/>
        </w:rPr>
        <w:t> </w:t>
      </w:r>
      <w:r>
        <w:rPr/>
        <w:t>are</w:t>
      </w:r>
      <w:r>
        <w:rPr>
          <w:spacing w:val="-13"/>
        </w:rPr>
        <w:t> </w:t>
      </w:r>
      <w:r>
        <w:rPr/>
        <w:t>relatively</w:t>
      </w:r>
      <w:r>
        <w:rPr>
          <w:spacing w:val="-17"/>
        </w:rPr>
        <w:t> </w:t>
      </w:r>
      <w:r>
        <w:rPr/>
        <w:t>low</w:t>
      </w:r>
      <w:r>
        <w:rPr>
          <w:spacing w:val="-17"/>
        </w:rPr>
        <w:t> </w:t>
      </w:r>
      <w:r>
        <w:rPr/>
        <w:t>relative</w:t>
      </w:r>
      <w:r>
        <w:rPr>
          <w:spacing w:val="-3"/>
        </w:rPr>
        <w:t> </w:t>
      </w:r>
      <w:r>
        <w:rPr/>
        <w:t>to</w:t>
      </w:r>
      <w:r>
        <w:rPr>
          <w:spacing w:val="-12"/>
        </w:rPr>
        <w:t> </w:t>
      </w:r>
      <w:r>
        <w:rPr/>
        <w:t>major</w:t>
      </w:r>
      <w:r>
        <w:rPr>
          <w:spacing w:val="-12"/>
        </w:rPr>
        <w:t> </w:t>
      </w:r>
      <w:r>
        <w:rPr/>
        <w:t>EV</w:t>
      </w:r>
      <w:r>
        <w:rPr>
          <w:spacing w:val="-15"/>
        </w:rPr>
        <w:t> </w:t>
      </w:r>
      <w:r>
        <w:rPr/>
        <w:t>competitors,</w:t>
      </w:r>
      <w:r>
        <w:rPr>
          <w:spacing w:val="-13"/>
        </w:rPr>
        <w:t> </w:t>
      </w:r>
      <w:r>
        <w:rPr/>
        <w:t>however, implies</w:t>
      </w:r>
      <w:r>
        <w:rPr>
          <w:spacing w:val="-16"/>
        </w:rPr>
        <w:t> </w:t>
      </w:r>
      <w:r>
        <w:rPr/>
        <w:t>that</w:t>
      </w:r>
      <w:r>
        <w:rPr>
          <w:spacing w:val="-16"/>
        </w:rPr>
        <w:t> </w:t>
      </w:r>
      <w:r>
        <w:rPr/>
        <w:t>the</w:t>
      </w:r>
      <w:r>
        <w:rPr>
          <w:spacing w:val="-16"/>
        </w:rPr>
        <w:t> </w:t>
      </w:r>
      <w:r>
        <w:rPr/>
        <w:t>company</w:t>
      </w:r>
      <w:r>
        <w:rPr>
          <w:spacing w:val="-16"/>
        </w:rPr>
        <w:t> </w:t>
      </w:r>
      <w:r>
        <w:rPr/>
        <w:t>continues</w:t>
      </w:r>
      <w:r>
        <w:rPr>
          <w:spacing w:val="-16"/>
        </w:rPr>
        <w:t> </w:t>
      </w:r>
      <w:r>
        <w:rPr/>
        <w:t>to</w:t>
      </w:r>
      <w:r>
        <w:rPr>
          <w:spacing w:val="-15"/>
        </w:rPr>
        <w:t> </w:t>
      </w:r>
      <w:r>
        <w:rPr/>
        <w:t>face</w:t>
      </w:r>
      <w:r>
        <w:rPr>
          <w:spacing w:val="-16"/>
        </w:rPr>
        <w:t> </w:t>
      </w:r>
      <w:r>
        <w:rPr/>
        <w:t>price</w:t>
      </w:r>
      <w:r>
        <w:rPr>
          <w:spacing w:val="-16"/>
        </w:rPr>
        <w:t> </w:t>
      </w:r>
      <w:r>
        <w:rPr/>
        <w:t>pressure,</w:t>
      </w:r>
      <w:r>
        <w:rPr>
          <w:spacing w:val="-16"/>
        </w:rPr>
        <w:t> </w:t>
      </w:r>
      <w:r>
        <w:rPr/>
        <w:t>battery</w:t>
      </w:r>
      <w:r>
        <w:rPr>
          <w:spacing w:val="-16"/>
        </w:rPr>
        <w:t> </w:t>
      </w:r>
      <w:r>
        <w:rPr/>
        <w:t>prices,</w:t>
      </w:r>
      <w:r>
        <w:rPr>
          <w:spacing w:val="-16"/>
        </w:rPr>
        <w:t> </w:t>
      </w:r>
      <w:r>
        <w:rPr/>
        <w:t>and</w:t>
      </w:r>
      <w:r>
        <w:rPr>
          <w:spacing w:val="-16"/>
        </w:rPr>
        <w:t> </w:t>
      </w:r>
      <w:r>
        <w:rPr/>
        <w:t>competitive forces (Stock Titan, 2026).</w:t>
      </w:r>
    </w:p>
    <w:p>
      <w:pPr>
        <w:pStyle w:val="BodyText"/>
      </w:pPr>
    </w:p>
    <w:p>
      <w:pPr>
        <w:pStyle w:val="BodyText"/>
        <w:spacing w:before="181"/>
      </w:pPr>
    </w:p>
    <w:p>
      <w:pPr>
        <w:pStyle w:val="Heading2"/>
      </w:pPr>
      <w:r>
        <w:rPr/>
        <w:t>Net</w:t>
      </w:r>
      <w:r>
        <w:rPr>
          <w:spacing w:val="-1"/>
        </w:rPr>
        <w:t> </w:t>
      </w:r>
      <w:r>
        <w:rPr/>
        <w:t>Profit </w:t>
      </w:r>
      <w:r>
        <w:rPr>
          <w:spacing w:val="-2"/>
        </w:rPr>
        <w:t>Margin</w:t>
      </w:r>
    </w:p>
    <w:p>
      <w:pPr>
        <w:pStyle w:val="BodyText"/>
        <w:spacing w:before="24"/>
        <w:rPr>
          <w:rFonts w:ascii="Arial"/>
          <w:b/>
        </w:rPr>
      </w:pPr>
    </w:p>
    <w:p>
      <w:pPr>
        <w:pStyle w:val="BodyText"/>
        <w:spacing w:line="362" w:lineRule="auto"/>
        <w:ind w:right="350"/>
        <w:jc w:val="both"/>
      </w:pPr>
      <w:r>
        <w:rPr/>
        <w:t>Net Profit Margin is used to analyse the general profitability after all expenses and is calculated as follows:</w:t>
      </w:r>
    </w:p>
    <w:p>
      <w:pPr>
        <w:pStyle w:val="BodyText"/>
        <w:spacing w:after="0" w:line="362" w:lineRule="auto"/>
        <w:jc w:val="both"/>
        <w:sectPr>
          <w:pgSz w:w="12240" w:h="15840"/>
          <w:pgMar w:header="0" w:footer="1051" w:top="1380" w:bottom="1240" w:left="1440" w:right="1080"/>
        </w:sectPr>
      </w:pPr>
    </w:p>
    <w:p>
      <w:pPr>
        <w:pStyle w:val="BodyText"/>
      </w:pPr>
    </w:p>
    <w:p>
      <w:pPr>
        <w:pStyle w:val="BodyText"/>
      </w:pPr>
    </w:p>
    <w:p>
      <w:pPr>
        <w:pStyle w:val="BodyText"/>
        <w:spacing w:before="182"/>
      </w:pPr>
    </w:p>
    <w:p>
      <w:pPr>
        <w:pStyle w:val="Heading2"/>
        <w:jc w:val="right"/>
      </w:pPr>
      <w:r>
        <w:rPr>
          <w:spacing w:val="-2"/>
        </w:rPr>
        <w:t>Calculation:</w:t>
      </w:r>
    </w:p>
    <w:p>
      <w:pPr>
        <w:pStyle w:val="BodyText"/>
        <w:spacing w:before="24"/>
        <w:rPr>
          <w:rFonts w:ascii="Arial"/>
          <w:b/>
        </w:rPr>
      </w:pPr>
    </w:p>
    <w:p>
      <w:pPr>
        <w:spacing w:before="0"/>
        <w:ind w:left="0" w:right="33" w:firstLine="0"/>
        <w:jc w:val="right"/>
        <w:rPr>
          <w:rFonts w:ascii="Arial"/>
          <w:b/>
          <w:sz w:val="24"/>
        </w:rPr>
      </w:pPr>
      <w:r>
        <w:rPr>
          <w:rFonts w:ascii="Arial"/>
          <w:b/>
          <w:spacing w:val="-2"/>
          <w:sz w:val="24"/>
        </w:rPr>
        <w:t>2023:</w:t>
      </w:r>
    </w:p>
    <w:p>
      <w:pPr>
        <w:pStyle w:val="BodyText"/>
        <w:spacing w:line="228" w:lineRule="exact" w:before="141"/>
        <w:ind w:left="2113"/>
      </w:pPr>
      <w:r>
        <w:rPr/>
        <w:br w:type="column"/>
      </w:r>
      <w:r>
        <w:rPr/>
        <w:t>Net</w:t>
      </w:r>
      <w:r>
        <w:rPr>
          <w:spacing w:val="-2"/>
        </w:rPr>
        <w:t> Profit</w:t>
      </w:r>
    </w:p>
    <w:p>
      <w:pPr>
        <w:pStyle w:val="BodyText"/>
        <w:spacing w:line="187" w:lineRule="auto"/>
        <w:rPr>
          <w:rFonts w:ascii="Cambria Math" w:hAnsi="Cambria Math"/>
        </w:rPr>
      </w:pPr>
      <w:r>
        <w:rPr>
          <w:rFonts w:ascii="Cambria Math" w:hAnsi="Cambria Math"/>
        </w:rPr>
        <mc:AlternateContent>
          <mc:Choice Requires="wps">
            <w:drawing>
              <wp:anchor distT="0" distB="0" distL="0" distR="0" allowOverlap="1" layoutInCell="1" locked="0" behindDoc="1" simplePos="0" relativeHeight="486781952">
                <wp:simplePos x="0" y="0"/>
                <wp:positionH relativeFrom="page">
                  <wp:posOffset>4024884</wp:posOffset>
                </wp:positionH>
                <wp:positionV relativeFrom="paragraph">
                  <wp:posOffset>65704</wp:posOffset>
                </wp:positionV>
                <wp:extent cx="634365" cy="9525"/>
                <wp:effectExtent l="0" t="0" r="0" b="0"/>
                <wp:wrapNone/>
                <wp:docPr id="10" name="Graphic 10"/>
                <wp:cNvGraphicFramePr>
                  <a:graphicFrameLocks/>
                </wp:cNvGraphicFramePr>
                <a:graphic>
                  <a:graphicData uri="http://schemas.microsoft.com/office/word/2010/wordprocessingShape">
                    <wps:wsp>
                      <wps:cNvPr id="10" name="Graphic 10"/>
                      <wps:cNvSpPr/>
                      <wps:spPr>
                        <a:xfrm>
                          <a:off x="0" y="0"/>
                          <a:ext cx="634365" cy="9525"/>
                        </a:xfrm>
                        <a:custGeom>
                          <a:avLst/>
                          <a:gdLst/>
                          <a:ahLst/>
                          <a:cxnLst/>
                          <a:rect l="l" t="t" r="r" b="b"/>
                          <a:pathLst>
                            <a:path w="634365" h="9525">
                              <a:moveTo>
                                <a:pt x="634288" y="0"/>
                              </a:moveTo>
                              <a:lnTo>
                                <a:pt x="0" y="0"/>
                              </a:lnTo>
                              <a:lnTo>
                                <a:pt x="0" y="9144"/>
                              </a:lnTo>
                              <a:lnTo>
                                <a:pt x="634288" y="9144"/>
                              </a:lnTo>
                              <a:lnTo>
                                <a:pt x="634288"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rect style="position:absolute;margin-left:316.920013pt;margin-top:5.17356pt;width:49.944pt;height:.72pt;mso-position-horizontal-relative:page;mso-position-vertical-relative:paragraph;z-index:-16534528" id="docshape9" filled="true" fillcolor="#000000" stroked="false">
                <v:fill type="solid"/>
                <w10:wrap type="none"/>
              </v:rect>
            </w:pict>
          </mc:Fallback>
        </mc:AlternateContent>
      </w:r>
      <w:r>
        <w:rPr/>
        <w:t>Net</w:t>
      </w:r>
      <w:r>
        <w:rPr>
          <w:spacing w:val="-3"/>
        </w:rPr>
        <w:t> </w:t>
      </w:r>
      <w:r>
        <w:rPr/>
        <w:t>Profit</w:t>
      </w:r>
      <w:r>
        <w:rPr>
          <w:spacing w:val="-5"/>
        </w:rPr>
        <w:t> </w:t>
      </w:r>
      <w:r>
        <w:rPr/>
        <w:t>Margin</w:t>
      </w:r>
      <w:r>
        <w:rPr>
          <w:spacing w:val="-2"/>
        </w:rPr>
        <w:t> </w:t>
      </w:r>
      <w:r>
        <w:rPr>
          <w:rFonts w:ascii="Cambria Math" w:hAnsi="Cambria Math"/>
        </w:rPr>
        <w:t>=</w:t>
      </w:r>
      <w:r>
        <w:rPr>
          <w:rFonts w:ascii="Cambria Math" w:hAnsi="Cambria Math"/>
          <w:spacing w:val="30"/>
        </w:rPr>
        <w:t> </w:t>
      </w:r>
      <w:r>
        <w:rPr>
          <w:position w:val="-15"/>
        </w:rPr>
        <w:t>Revenue</w:t>
      </w:r>
      <w:r>
        <w:rPr>
          <w:spacing w:val="6"/>
          <w:position w:val="-15"/>
        </w:rPr>
        <w:t> </w:t>
      </w:r>
      <w:r>
        <w:rPr>
          <w:rFonts w:ascii="Cambria Math" w:hAnsi="Cambria Math"/>
        </w:rPr>
        <w:t>×</w:t>
      </w:r>
      <w:r>
        <w:rPr>
          <w:rFonts w:ascii="Cambria Math" w:hAnsi="Cambria Math"/>
          <w:spacing w:val="1"/>
        </w:rPr>
        <w:t> </w:t>
      </w:r>
      <w:r>
        <w:rPr>
          <w:rFonts w:ascii="Cambria Math" w:hAnsi="Cambria Math"/>
          <w:spacing w:val="-5"/>
        </w:rPr>
        <w:t>100</w:t>
      </w:r>
    </w:p>
    <w:p>
      <w:pPr>
        <w:pStyle w:val="BodyText"/>
        <w:spacing w:after="0" w:line="187" w:lineRule="auto"/>
        <w:rPr>
          <w:rFonts w:ascii="Cambria Math" w:hAnsi="Cambria Math"/>
        </w:rPr>
        <w:sectPr>
          <w:type w:val="continuous"/>
          <w:pgSz w:w="12240" w:h="15840"/>
          <w:pgMar w:header="0" w:footer="1051" w:top="1820" w:bottom="1240" w:left="1440" w:right="1080"/>
          <w:cols w:num="2" w:equalWidth="0">
            <w:col w:w="1376" w:space="1409"/>
            <w:col w:w="6935"/>
          </w:cols>
        </w:sectPr>
      </w:pPr>
    </w:p>
    <w:p>
      <w:pPr>
        <w:pStyle w:val="BodyText"/>
        <w:spacing w:line="232" w:lineRule="exact" w:before="269"/>
        <w:ind w:left="767" w:right="2951"/>
        <w:jc w:val="center"/>
        <w:rPr>
          <w:rFonts w:ascii="Cambria Math" w:hAnsi="Cambria Math"/>
        </w:rPr>
      </w:pPr>
      <w:r>
        <w:rPr>
          <w:rFonts w:ascii="Cambria Math" w:hAnsi="Cambria Math"/>
          <w:spacing w:val="-2"/>
        </w:rPr>
        <w:t>−20.7</w:t>
      </w:r>
    </w:p>
    <w:p>
      <w:pPr>
        <w:pStyle w:val="BodyText"/>
        <w:spacing w:line="187" w:lineRule="auto"/>
        <w:ind w:left="3544"/>
        <w:rPr>
          <w:rFonts w:ascii="Cambria Math" w:hAnsi="Cambria Math"/>
        </w:rPr>
      </w:pPr>
      <w:r>
        <w:rPr>
          <w:rFonts w:ascii="Cambria Math" w:hAnsi="Cambria Math"/>
        </w:rPr>
        <mc:AlternateContent>
          <mc:Choice Requires="wps">
            <w:drawing>
              <wp:anchor distT="0" distB="0" distL="0" distR="0" allowOverlap="1" layoutInCell="1" locked="0" behindDoc="1" simplePos="0" relativeHeight="486782464">
                <wp:simplePos x="0" y="0"/>
                <wp:positionH relativeFrom="page">
                  <wp:posOffset>3107182</wp:posOffset>
                </wp:positionH>
                <wp:positionV relativeFrom="paragraph">
                  <wp:posOffset>64675</wp:posOffset>
                </wp:positionV>
                <wp:extent cx="399415" cy="9525"/>
                <wp:effectExtent l="0" t="0" r="0" b="0"/>
                <wp:wrapNone/>
                <wp:docPr id="11" name="Graphic 11"/>
                <wp:cNvGraphicFramePr>
                  <a:graphicFrameLocks/>
                </wp:cNvGraphicFramePr>
                <a:graphic>
                  <a:graphicData uri="http://schemas.microsoft.com/office/word/2010/wordprocessingShape">
                    <wps:wsp>
                      <wps:cNvPr id="11" name="Graphic 11"/>
                      <wps:cNvSpPr/>
                      <wps:spPr>
                        <a:xfrm>
                          <a:off x="0" y="0"/>
                          <a:ext cx="399415" cy="9525"/>
                        </a:xfrm>
                        <a:custGeom>
                          <a:avLst/>
                          <a:gdLst/>
                          <a:ahLst/>
                          <a:cxnLst/>
                          <a:rect l="l" t="t" r="r" b="b"/>
                          <a:pathLst>
                            <a:path w="399415" h="9525">
                              <a:moveTo>
                                <a:pt x="399288" y="0"/>
                              </a:moveTo>
                              <a:lnTo>
                                <a:pt x="0" y="0"/>
                              </a:lnTo>
                              <a:lnTo>
                                <a:pt x="0" y="9144"/>
                              </a:lnTo>
                              <a:lnTo>
                                <a:pt x="399288" y="9144"/>
                              </a:lnTo>
                              <a:lnTo>
                                <a:pt x="399288"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rect style="position:absolute;margin-left:244.660004pt;margin-top:5.092568pt;width:31.44pt;height:.72pt;mso-position-horizontal-relative:page;mso-position-vertical-relative:paragraph;z-index:-16534016" id="docshape10" filled="true" fillcolor="#000000" stroked="false">
                <v:fill type="solid"/>
                <w10:wrap type="none"/>
              </v:rect>
            </w:pict>
          </mc:Fallback>
        </mc:AlternateContent>
      </w:r>
      <w:r>
        <w:rPr>
          <w:rFonts w:ascii="Cambria Math" w:hAnsi="Cambria Math"/>
          <w:position w:val="-15"/>
        </w:rPr>
        <w:t>55.6</w:t>
      </w:r>
      <w:r>
        <w:rPr>
          <w:rFonts w:ascii="Cambria Math" w:hAnsi="Cambria Math"/>
          <w:spacing w:val="61"/>
          <w:w w:val="150"/>
          <w:position w:val="-15"/>
        </w:rPr>
        <w:t> </w:t>
      </w:r>
      <w:r>
        <w:rPr>
          <w:rFonts w:ascii="Cambria Math" w:hAnsi="Cambria Math"/>
        </w:rPr>
        <w:t>×</w:t>
      </w:r>
      <w:r>
        <w:rPr>
          <w:rFonts w:ascii="Cambria Math" w:hAnsi="Cambria Math"/>
          <w:spacing w:val="1"/>
        </w:rPr>
        <w:t> </w:t>
      </w:r>
      <w:r>
        <w:rPr>
          <w:rFonts w:ascii="Cambria Math" w:hAnsi="Cambria Math"/>
        </w:rPr>
        <w:t>100</w:t>
      </w:r>
      <w:r>
        <w:rPr>
          <w:rFonts w:ascii="Cambria Math" w:hAnsi="Cambria Math"/>
          <w:spacing w:val="12"/>
        </w:rPr>
        <w:t> </w:t>
      </w:r>
      <w:r>
        <w:rPr>
          <w:rFonts w:ascii="Cambria Math" w:hAnsi="Cambria Math"/>
        </w:rPr>
        <w:t>=</w:t>
      </w:r>
      <w:r>
        <w:rPr>
          <w:rFonts w:ascii="Cambria Math" w:hAnsi="Cambria Math"/>
          <w:spacing w:val="12"/>
        </w:rPr>
        <w:t> </w:t>
      </w:r>
      <w:r>
        <w:rPr>
          <w:rFonts w:ascii="Cambria Math" w:hAnsi="Cambria Math"/>
          <w:spacing w:val="-2"/>
        </w:rPr>
        <w:t>−37.2%</w:t>
      </w:r>
    </w:p>
    <w:p>
      <w:pPr>
        <w:pStyle w:val="BodyText"/>
        <w:rPr>
          <w:rFonts w:ascii="Cambria Math"/>
        </w:rPr>
      </w:pPr>
    </w:p>
    <w:p>
      <w:pPr>
        <w:pStyle w:val="BodyText"/>
        <w:spacing w:before="111"/>
        <w:rPr>
          <w:rFonts w:ascii="Cambria Math"/>
        </w:rPr>
      </w:pPr>
    </w:p>
    <w:p>
      <w:pPr>
        <w:pStyle w:val="Heading2"/>
        <w:ind w:left="721"/>
      </w:pPr>
      <w:r>
        <w:rPr>
          <w:spacing w:val="-2"/>
        </w:rPr>
        <w:t>2025:</w:t>
      </w:r>
    </w:p>
    <w:p>
      <w:pPr>
        <w:pStyle w:val="BodyText"/>
        <w:spacing w:line="232" w:lineRule="exact" w:before="268"/>
        <w:ind w:left="767" w:right="2951"/>
        <w:jc w:val="center"/>
        <w:rPr>
          <w:rFonts w:ascii="Cambria Math" w:hAnsi="Cambria Math"/>
        </w:rPr>
      </w:pPr>
      <w:r>
        <w:rPr>
          <w:rFonts w:ascii="Cambria Math" w:hAnsi="Cambria Math"/>
          <w:spacing w:val="-2"/>
        </w:rPr>
        <w:t>−14.9</w:t>
      </w:r>
    </w:p>
    <w:p>
      <w:pPr>
        <w:pStyle w:val="BodyText"/>
        <w:spacing w:line="187" w:lineRule="auto"/>
        <w:ind w:left="3544"/>
        <w:rPr>
          <w:rFonts w:ascii="Cambria Math" w:hAnsi="Cambria Math"/>
        </w:rPr>
      </w:pPr>
      <w:r>
        <w:rPr>
          <w:rFonts w:ascii="Cambria Math" w:hAnsi="Cambria Math"/>
        </w:rPr>
        <mc:AlternateContent>
          <mc:Choice Requires="wps">
            <w:drawing>
              <wp:anchor distT="0" distB="0" distL="0" distR="0" allowOverlap="1" layoutInCell="1" locked="0" behindDoc="1" simplePos="0" relativeHeight="486782976">
                <wp:simplePos x="0" y="0"/>
                <wp:positionH relativeFrom="page">
                  <wp:posOffset>3107182</wp:posOffset>
                </wp:positionH>
                <wp:positionV relativeFrom="paragraph">
                  <wp:posOffset>64891</wp:posOffset>
                </wp:positionV>
                <wp:extent cx="399415" cy="9525"/>
                <wp:effectExtent l="0" t="0" r="0" b="0"/>
                <wp:wrapNone/>
                <wp:docPr id="12" name="Graphic 12"/>
                <wp:cNvGraphicFramePr>
                  <a:graphicFrameLocks/>
                </wp:cNvGraphicFramePr>
                <a:graphic>
                  <a:graphicData uri="http://schemas.microsoft.com/office/word/2010/wordprocessingShape">
                    <wps:wsp>
                      <wps:cNvPr id="12" name="Graphic 12"/>
                      <wps:cNvSpPr/>
                      <wps:spPr>
                        <a:xfrm>
                          <a:off x="0" y="0"/>
                          <a:ext cx="399415" cy="9525"/>
                        </a:xfrm>
                        <a:custGeom>
                          <a:avLst/>
                          <a:gdLst/>
                          <a:ahLst/>
                          <a:cxnLst/>
                          <a:rect l="l" t="t" r="r" b="b"/>
                          <a:pathLst>
                            <a:path w="399415" h="9525">
                              <a:moveTo>
                                <a:pt x="399288" y="0"/>
                              </a:moveTo>
                              <a:lnTo>
                                <a:pt x="0" y="0"/>
                              </a:lnTo>
                              <a:lnTo>
                                <a:pt x="0" y="9143"/>
                              </a:lnTo>
                              <a:lnTo>
                                <a:pt x="399288" y="9143"/>
                              </a:lnTo>
                              <a:lnTo>
                                <a:pt x="399288"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rect style="position:absolute;margin-left:244.660004pt;margin-top:5.109553pt;width:31.44pt;height:.71997pt;mso-position-horizontal-relative:page;mso-position-vertical-relative:paragraph;z-index:-16533504" id="docshape11" filled="true" fillcolor="#000000" stroked="false">
                <v:fill type="solid"/>
                <w10:wrap type="none"/>
              </v:rect>
            </w:pict>
          </mc:Fallback>
        </mc:AlternateContent>
      </w:r>
      <w:r>
        <w:rPr>
          <w:rFonts w:ascii="Cambria Math" w:hAnsi="Cambria Math"/>
          <w:position w:val="-15"/>
        </w:rPr>
        <w:t>87.5</w:t>
      </w:r>
      <w:r>
        <w:rPr>
          <w:rFonts w:ascii="Cambria Math" w:hAnsi="Cambria Math"/>
          <w:spacing w:val="61"/>
          <w:w w:val="150"/>
          <w:position w:val="-15"/>
        </w:rPr>
        <w:t> </w:t>
      </w:r>
      <w:r>
        <w:rPr>
          <w:rFonts w:ascii="Cambria Math" w:hAnsi="Cambria Math"/>
        </w:rPr>
        <w:t>×</w:t>
      </w:r>
      <w:r>
        <w:rPr>
          <w:rFonts w:ascii="Cambria Math" w:hAnsi="Cambria Math"/>
          <w:spacing w:val="1"/>
        </w:rPr>
        <w:t> </w:t>
      </w:r>
      <w:r>
        <w:rPr>
          <w:rFonts w:ascii="Cambria Math" w:hAnsi="Cambria Math"/>
        </w:rPr>
        <w:t>100</w:t>
      </w:r>
      <w:r>
        <w:rPr>
          <w:rFonts w:ascii="Cambria Math" w:hAnsi="Cambria Math"/>
          <w:spacing w:val="12"/>
        </w:rPr>
        <w:t> </w:t>
      </w:r>
      <w:r>
        <w:rPr>
          <w:rFonts w:ascii="Cambria Math" w:hAnsi="Cambria Math"/>
        </w:rPr>
        <w:t>=</w:t>
      </w:r>
      <w:r>
        <w:rPr>
          <w:rFonts w:ascii="Cambria Math" w:hAnsi="Cambria Math"/>
          <w:spacing w:val="12"/>
        </w:rPr>
        <w:t> </w:t>
      </w:r>
      <w:r>
        <w:rPr>
          <w:rFonts w:ascii="Cambria Math" w:hAnsi="Cambria Math"/>
          <w:spacing w:val="-2"/>
        </w:rPr>
        <w:t>−17.0%</w:t>
      </w:r>
    </w:p>
    <w:p>
      <w:pPr>
        <w:pStyle w:val="BodyText"/>
        <w:rPr>
          <w:rFonts w:ascii="Cambria Math"/>
        </w:rPr>
      </w:pPr>
    </w:p>
    <w:p>
      <w:pPr>
        <w:pStyle w:val="BodyText"/>
        <w:spacing w:before="106"/>
        <w:rPr>
          <w:rFonts w:ascii="Cambria Math"/>
        </w:rPr>
      </w:pPr>
    </w:p>
    <w:p>
      <w:pPr>
        <w:pStyle w:val="Heading2"/>
      </w:pPr>
      <w:r>
        <w:rPr>
          <w:spacing w:val="-2"/>
        </w:rPr>
        <w:t>Analysis:</w:t>
      </w:r>
    </w:p>
    <w:p>
      <w:pPr>
        <w:pStyle w:val="BodyText"/>
        <w:spacing w:line="360" w:lineRule="auto" w:before="142"/>
        <w:ind w:right="351"/>
      </w:pPr>
      <w:r>
        <w:rPr/>
        <w:t>Though</w:t>
      </w:r>
      <w:r>
        <w:rPr>
          <w:spacing w:val="-11"/>
        </w:rPr>
        <w:t> </w:t>
      </w:r>
      <w:r>
        <w:rPr/>
        <w:t>NIO</w:t>
      </w:r>
      <w:r>
        <w:rPr>
          <w:spacing w:val="-11"/>
        </w:rPr>
        <w:t> </w:t>
      </w:r>
      <w:r>
        <w:rPr/>
        <w:t>has</w:t>
      </w:r>
      <w:r>
        <w:rPr>
          <w:spacing w:val="-12"/>
        </w:rPr>
        <w:t> </w:t>
      </w:r>
      <w:r>
        <w:rPr/>
        <w:t>continued</w:t>
      </w:r>
      <w:r>
        <w:rPr>
          <w:spacing w:val="-11"/>
        </w:rPr>
        <w:t> </w:t>
      </w:r>
      <w:r>
        <w:rPr/>
        <w:t>to</w:t>
      </w:r>
      <w:r>
        <w:rPr>
          <w:spacing w:val="-7"/>
        </w:rPr>
        <w:t> </w:t>
      </w:r>
      <w:r>
        <w:rPr/>
        <w:t>make</w:t>
      </w:r>
      <w:r>
        <w:rPr>
          <w:spacing w:val="-11"/>
        </w:rPr>
        <w:t> </w:t>
      </w:r>
      <w:r>
        <w:rPr/>
        <w:t>losses,</w:t>
      </w:r>
      <w:r>
        <w:rPr>
          <w:spacing w:val="-5"/>
        </w:rPr>
        <w:t> </w:t>
      </w:r>
      <w:r>
        <w:rPr/>
        <w:t>the</w:t>
      </w:r>
      <w:r>
        <w:rPr>
          <w:spacing w:val="-7"/>
        </w:rPr>
        <w:t> </w:t>
      </w:r>
      <w:r>
        <w:rPr/>
        <w:t>net</w:t>
      </w:r>
      <w:r>
        <w:rPr>
          <w:spacing w:val="-11"/>
        </w:rPr>
        <w:t> </w:t>
      </w:r>
      <w:r>
        <w:rPr/>
        <w:t>profit</w:t>
      </w:r>
      <w:r>
        <w:rPr>
          <w:spacing w:val="-7"/>
        </w:rPr>
        <w:t> </w:t>
      </w:r>
      <w:r>
        <w:rPr/>
        <w:t>margin</w:t>
      </w:r>
      <w:r>
        <w:rPr>
          <w:spacing w:val="-11"/>
        </w:rPr>
        <w:t> </w:t>
      </w:r>
      <w:r>
        <w:rPr/>
        <w:t>has</w:t>
      </w:r>
      <w:r>
        <w:rPr>
          <w:spacing w:val="-16"/>
        </w:rPr>
        <w:t> </w:t>
      </w:r>
      <w:r>
        <w:rPr/>
        <w:t>increased</w:t>
      </w:r>
      <w:r>
        <w:rPr>
          <w:spacing w:val="-11"/>
        </w:rPr>
        <w:t> </w:t>
      </w:r>
      <w:r>
        <w:rPr/>
        <w:t>to</w:t>
      </w:r>
      <w:r>
        <w:rPr>
          <w:spacing w:val="-6"/>
        </w:rPr>
        <w:t> </w:t>
      </w:r>
      <w:r>
        <w:rPr/>
        <w:t>-17.0% as</w:t>
      </w:r>
      <w:r>
        <w:rPr>
          <w:spacing w:val="59"/>
        </w:rPr>
        <w:t> </w:t>
      </w:r>
      <w:r>
        <w:rPr/>
        <w:t>compared</w:t>
      </w:r>
      <w:r>
        <w:rPr>
          <w:spacing w:val="59"/>
        </w:rPr>
        <w:t> </w:t>
      </w:r>
      <w:r>
        <w:rPr/>
        <w:t>to</w:t>
      </w:r>
      <w:r>
        <w:rPr>
          <w:spacing w:val="64"/>
        </w:rPr>
        <w:t> </w:t>
      </w:r>
      <w:r>
        <w:rPr/>
        <w:t>-37.2%,</w:t>
      </w:r>
      <w:r>
        <w:rPr>
          <w:spacing w:val="59"/>
        </w:rPr>
        <w:t> </w:t>
      </w:r>
      <w:r>
        <w:rPr/>
        <w:t>which</w:t>
      </w:r>
      <w:r>
        <w:rPr>
          <w:spacing w:val="59"/>
        </w:rPr>
        <w:t> </w:t>
      </w:r>
      <w:r>
        <w:rPr/>
        <w:t>shows</w:t>
      </w:r>
      <w:r>
        <w:rPr>
          <w:spacing w:val="59"/>
        </w:rPr>
        <w:t> </w:t>
      </w:r>
      <w:r>
        <w:rPr/>
        <w:t>that</w:t>
      </w:r>
      <w:r>
        <w:rPr>
          <w:spacing w:val="54"/>
        </w:rPr>
        <w:t> </w:t>
      </w:r>
      <w:r>
        <w:rPr/>
        <w:t>the</w:t>
      </w:r>
      <w:r>
        <w:rPr>
          <w:spacing w:val="59"/>
        </w:rPr>
        <w:t> </w:t>
      </w:r>
      <w:r>
        <w:rPr/>
        <w:t>losses</w:t>
      </w:r>
      <w:r>
        <w:rPr>
          <w:spacing w:val="60"/>
        </w:rPr>
        <w:t> </w:t>
      </w:r>
      <w:r>
        <w:rPr/>
        <w:t>decreased</w:t>
      </w:r>
      <w:r>
        <w:rPr>
          <w:spacing w:val="54"/>
        </w:rPr>
        <w:t> </w:t>
      </w:r>
      <w:r>
        <w:rPr/>
        <w:t>in</w:t>
      </w:r>
      <w:r>
        <w:rPr>
          <w:spacing w:val="59"/>
        </w:rPr>
        <w:t> </w:t>
      </w:r>
      <w:r>
        <w:rPr/>
        <w:t>comparison</w:t>
      </w:r>
      <w:r>
        <w:rPr>
          <w:spacing w:val="59"/>
        </w:rPr>
        <w:t> </w:t>
      </w:r>
      <w:r>
        <w:rPr>
          <w:spacing w:val="-5"/>
        </w:rPr>
        <w:t>to</w:t>
      </w:r>
    </w:p>
    <w:p>
      <w:pPr>
        <w:pStyle w:val="BodyText"/>
        <w:spacing w:after="0" w:line="360" w:lineRule="auto"/>
        <w:sectPr>
          <w:type w:val="continuous"/>
          <w:pgSz w:w="12240" w:h="15840"/>
          <w:pgMar w:header="0" w:footer="1051" w:top="1820" w:bottom="1240" w:left="1440" w:right="1080"/>
        </w:sectPr>
      </w:pPr>
    </w:p>
    <w:p>
      <w:pPr>
        <w:pStyle w:val="BodyText"/>
        <w:spacing w:line="362" w:lineRule="auto" w:before="76"/>
        <w:ind w:right="351"/>
        <w:jc w:val="both"/>
      </w:pPr>
      <w:r>
        <w:rPr/>
        <w:t>revenue. This enhancement indicates greater growth in revenue and certain cost- efficiency. Nevertheless, consistently negative margins indicate structural difficulties, especially</w:t>
      </w:r>
      <w:r>
        <w:rPr>
          <w:spacing w:val="-17"/>
        </w:rPr>
        <w:t> </w:t>
      </w:r>
      <w:r>
        <w:rPr/>
        <w:t>high</w:t>
      </w:r>
      <w:r>
        <w:rPr>
          <w:spacing w:val="-10"/>
        </w:rPr>
        <w:t> </w:t>
      </w:r>
      <w:r>
        <w:rPr/>
        <w:t>research</w:t>
      </w:r>
      <w:r>
        <w:rPr>
          <w:spacing w:val="-12"/>
        </w:rPr>
        <w:t> </w:t>
      </w:r>
      <w:r>
        <w:rPr/>
        <w:t>and</w:t>
      </w:r>
      <w:r>
        <w:rPr>
          <w:spacing w:val="-12"/>
        </w:rPr>
        <w:t> </w:t>
      </w:r>
      <w:r>
        <w:rPr/>
        <w:t>development</w:t>
      </w:r>
      <w:r>
        <w:rPr>
          <w:spacing w:val="-12"/>
        </w:rPr>
        <w:t> </w:t>
      </w:r>
      <w:r>
        <w:rPr/>
        <w:t>(R&amp;D)</w:t>
      </w:r>
      <w:r>
        <w:rPr>
          <w:spacing w:val="-12"/>
        </w:rPr>
        <w:t> </w:t>
      </w:r>
      <w:r>
        <w:rPr/>
        <w:t>and</w:t>
      </w:r>
      <w:r>
        <w:rPr>
          <w:spacing w:val="-12"/>
        </w:rPr>
        <w:t> </w:t>
      </w:r>
      <w:r>
        <w:rPr/>
        <w:t>selling,</w:t>
      </w:r>
      <w:r>
        <w:rPr>
          <w:spacing w:val="-12"/>
        </w:rPr>
        <w:t> </w:t>
      </w:r>
      <w:r>
        <w:rPr/>
        <w:t>general,</w:t>
      </w:r>
      <w:r>
        <w:rPr>
          <w:spacing w:val="-12"/>
        </w:rPr>
        <w:t> </w:t>
      </w:r>
      <w:r>
        <w:rPr/>
        <w:t>and</w:t>
      </w:r>
      <w:r>
        <w:rPr>
          <w:spacing w:val="-12"/>
        </w:rPr>
        <w:t> </w:t>
      </w:r>
      <w:r>
        <w:rPr/>
        <w:t>administrative (SG&amp;A) costs, and financing costs. This implies that the company is in an operationally upward trend, but it has yet to attain sustainable profitability (Stock Titan, 2026).</w:t>
      </w:r>
    </w:p>
    <w:p>
      <w:pPr>
        <w:pStyle w:val="BodyText"/>
      </w:pPr>
    </w:p>
    <w:p>
      <w:pPr>
        <w:pStyle w:val="BodyText"/>
        <w:spacing w:before="168"/>
      </w:pPr>
    </w:p>
    <w:p>
      <w:pPr>
        <w:pStyle w:val="Heading2"/>
        <w:jc w:val="both"/>
      </w:pPr>
      <w:r>
        <w:rPr/>
        <w:t>ROCE</w:t>
      </w:r>
      <w:r>
        <w:rPr>
          <w:spacing w:val="-4"/>
        </w:rPr>
        <w:t> </w:t>
      </w:r>
      <w:r>
        <w:rPr/>
        <w:t>(Return</w:t>
      </w:r>
      <w:r>
        <w:rPr>
          <w:spacing w:val="-3"/>
        </w:rPr>
        <w:t> </w:t>
      </w:r>
      <w:r>
        <w:rPr/>
        <w:t>on</w:t>
      </w:r>
      <w:r>
        <w:rPr>
          <w:spacing w:val="-3"/>
        </w:rPr>
        <w:t> </w:t>
      </w:r>
      <w:r>
        <w:rPr/>
        <w:t>Capital </w:t>
      </w:r>
      <w:r>
        <w:rPr>
          <w:spacing w:val="-2"/>
        </w:rPr>
        <w:t>Employed)</w:t>
      </w:r>
    </w:p>
    <w:p>
      <w:pPr>
        <w:pStyle w:val="BodyText"/>
        <w:spacing w:before="24"/>
        <w:rPr>
          <w:rFonts w:ascii="Arial"/>
          <w:b/>
        </w:rPr>
      </w:pPr>
    </w:p>
    <w:p>
      <w:pPr>
        <w:pStyle w:val="BodyText"/>
        <w:spacing w:line="362" w:lineRule="auto"/>
        <w:ind w:right="371"/>
        <w:jc w:val="both"/>
      </w:pPr>
      <w:r>
        <w:rPr/>
        <w:t>ROCE is the efficiency with which a firm</w:t>
      </w:r>
      <w:r>
        <w:rPr>
          <w:spacing w:val="-5"/>
        </w:rPr>
        <w:t> </w:t>
      </w:r>
      <w:r>
        <w:rPr/>
        <w:t>can make operating profit out of the capital it</w:t>
      </w:r>
      <w:r>
        <w:rPr>
          <w:spacing w:val="-2"/>
        </w:rPr>
        <w:t> </w:t>
      </w:r>
      <w:r>
        <w:rPr/>
        <w:t>is using and is calculated as:</w:t>
      </w:r>
    </w:p>
    <w:p>
      <w:pPr>
        <w:pStyle w:val="BodyText"/>
        <w:spacing w:after="0" w:line="362" w:lineRule="auto"/>
        <w:jc w:val="both"/>
        <w:sectPr>
          <w:pgSz w:w="12240" w:h="15840"/>
          <w:pgMar w:header="0" w:footer="1051" w:top="1360" w:bottom="1240" w:left="1440" w:right="1080"/>
        </w:sectPr>
      </w:pPr>
    </w:p>
    <w:p>
      <w:pPr>
        <w:pStyle w:val="BodyText"/>
        <w:spacing w:before="50"/>
      </w:pPr>
    </w:p>
    <w:p>
      <w:pPr>
        <w:pStyle w:val="BodyText"/>
        <w:jc w:val="right"/>
        <w:rPr>
          <w:rFonts w:ascii="Cambria Math"/>
        </w:rPr>
      </w:pPr>
      <w:r>
        <w:rPr>
          <w:rFonts w:ascii="Cambria Math"/>
        </w:rPr>
        <mc:AlternateContent>
          <mc:Choice Requires="wps">
            <w:drawing>
              <wp:anchor distT="0" distB="0" distL="0" distR="0" allowOverlap="1" layoutInCell="1" locked="0" behindDoc="1" simplePos="0" relativeHeight="486783488">
                <wp:simplePos x="0" y="0"/>
                <wp:positionH relativeFrom="page">
                  <wp:posOffset>3216910</wp:posOffset>
                </wp:positionH>
                <wp:positionV relativeFrom="paragraph">
                  <wp:posOffset>96421</wp:posOffset>
                </wp:positionV>
                <wp:extent cx="1549400" cy="9525"/>
                <wp:effectExtent l="0" t="0" r="0" b="0"/>
                <wp:wrapNone/>
                <wp:docPr id="13" name="Graphic 13"/>
                <wp:cNvGraphicFramePr>
                  <a:graphicFrameLocks/>
                </wp:cNvGraphicFramePr>
                <a:graphic>
                  <a:graphicData uri="http://schemas.microsoft.com/office/word/2010/wordprocessingShape">
                    <wps:wsp>
                      <wps:cNvPr id="13" name="Graphic 13"/>
                      <wps:cNvSpPr/>
                      <wps:spPr>
                        <a:xfrm>
                          <a:off x="0" y="0"/>
                          <a:ext cx="1549400" cy="9525"/>
                        </a:xfrm>
                        <a:custGeom>
                          <a:avLst/>
                          <a:gdLst/>
                          <a:ahLst/>
                          <a:cxnLst/>
                          <a:rect l="l" t="t" r="r" b="b"/>
                          <a:pathLst>
                            <a:path w="1549400" h="9525">
                              <a:moveTo>
                                <a:pt x="1549018" y="0"/>
                              </a:moveTo>
                              <a:lnTo>
                                <a:pt x="0" y="0"/>
                              </a:lnTo>
                              <a:lnTo>
                                <a:pt x="0" y="9144"/>
                              </a:lnTo>
                              <a:lnTo>
                                <a:pt x="1549018" y="9144"/>
                              </a:lnTo>
                              <a:lnTo>
                                <a:pt x="1549018"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rect style="position:absolute;margin-left:253.300003pt;margin-top:7.592246pt;width:121.97pt;height:.72pt;mso-position-horizontal-relative:page;mso-position-vertical-relative:paragraph;z-index:-16532992" id="docshape12" filled="true" fillcolor="#000000" stroked="false">
                <v:fill type="solid"/>
                <w10:wrap type="none"/>
              </v:rect>
            </w:pict>
          </mc:Fallback>
        </mc:AlternateContent>
      </w:r>
      <w:r>
        <w:rPr/>
        <w:t>ROCE</w:t>
      </w:r>
      <w:r>
        <w:rPr>
          <w:spacing w:val="3"/>
        </w:rPr>
        <w:t> </w:t>
      </w:r>
      <w:r>
        <w:rPr>
          <w:rFonts w:ascii="Cambria Math"/>
          <w:spacing w:val="-10"/>
        </w:rPr>
        <w:t>=</w:t>
      </w:r>
    </w:p>
    <w:p>
      <w:pPr>
        <w:pStyle w:val="BodyText"/>
        <w:tabs>
          <w:tab w:pos="2522" w:val="left" w:leader="none"/>
        </w:tabs>
        <w:spacing w:line="187" w:lineRule="auto" w:before="196"/>
        <w:ind w:left="303" w:right="2971" w:hanging="279"/>
        <w:rPr>
          <w:rFonts w:ascii="Cambria Math" w:hAnsi="Cambria Math"/>
          <w:position w:val="16"/>
        </w:rPr>
      </w:pPr>
      <w:r>
        <w:rPr/>
        <w:br w:type="column"/>
      </w:r>
      <w:r>
        <w:rPr/>
        <w:t>Operating Profit (EBIT) Capital Employed</w:t>
        <w:tab/>
      </w:r>
      <w:r>
        <w:rPr>
          <w:rFonts w:ascii="Cambria Math" w:hAnsi="Cambria Math"/>
          <w:position w:val="16"/>
        </w:rPr>
        <w:t>×</w:t>
      </w:r>
      <w:r>
        <w:rPr>
          <w:rFonts w:ascii="Cambria Math" w:hAnsi="Cambria Math"/>
          <w:spacing w:val="-14"/>
          <w:position w:val="16"/>
        </w:rPr>
        <w:t> </w:t>
      </w:r>
      <w:r>
        <w:rPr>
          <w:rFonts w:ascii="Cambria Math" w:hAnsi="Cambria Math"/>
          <w:position w:val="16"/>
        </w:rPr>
        <w:t>100</w:t>
      </w:r>
    </w:p>
    <w:p>
      <w:pPr>
        <w:pStyle w:val="BodyText"/>
        <w:spacing w:after="0" w:line="187" w:lineRule="auto"/>
        <w:rPr>
          <w:rFonts w:ascii="Cambria Math" w:hAnsi="Cambria Math"/>
          <w:position w:val="16"/>
        </w:rPr>
        <w:sectPr>
          <w:type w:val="continuous"/>
          <w:pgSz w:w="12240" w:h="15840"/>
          <w:pgMar w:header="0" w:footer="1051" w:top="1820" w:bottom="1240" w:left="1440" w:right="1080"/>
          <w:cols w:num="2" w:equalWidth="0">
            <w:col w:w="3561" w:space="40"/>
            <w:col w:w="6119"/>
          </w:cols>
        </w:sectPr>
      </w:pPr>
    </w:p>
    <w:p>
      <w:pPr>
        <w:pStyle w:val="Heading2"/>
        <w:spacing w:before="271"/>
      </w:pPr>
      <w:r>
        <w:rPr/>
        <w:t>Calculation</w:t>
      </w:r>
      <w:r>
        <w:rPr>
          <w:spacing w:val="-3"/>
        </w:rPr>
        <w:t> </w:t>
      </w:r>
      <w:r>
        <w:rPr>
          <w:spacing w:val="-2"/>
        </w:rPr>
        <w:t>(Approximate):</w:t>
      </w:r>
    </w:p>
    <w:p>
      <w:pPr>
        <w:pStyle w:val="BodyText"/>
        <w:spacing w:before="24"/>
        <w:rPr>
          <w:rFonts w:ascii="Arial"/>
          <w:b/>
        </w:rPr>
      </w:pPr>
    </w:p>
    <w:p>
      <w:pPr>
        <w:pStyle w:val="BodyText"/>
      </w:pPr>
      <w:r>
        <w:rPr/>
        <w:t>Capital</w:t>
      </w:r>
      <w:r>
        <w:rPr>
          <w:spacing w:val="-4"/>
        </w:rPr>
        <w:t> </w:t>
      </w:r>
      <w:r>
        <w:rPr/>
        <w:t>Employed</w:t>
      </w:r>
      <w:r>
        <w:rPr>
          <w:spacing w:val="-8"/>
        </w:rPr>
        <w:t> </w:t>
      </w:r>
      <w:r>
        <w:rPr/>
        <w:t>=</w:t>
      </w:r>
      <w:r>
        <w:rPr>
          <w:spacing w:val="-11"/>
        </w:rPr>
        <w:t> </w:t>
      </w:r>
      <w:r>
        <w:rPr/>
        <w:t>Total</w:t>
      </w:r>
      <w:r>
        <w:rPr>
          <w:spacing w:val="-17"/>
        </w:rPr>
        <w:t> </w:t>
      </w:r>
      <w:r>
        <w:rPr/>
        <w:t>Assets</w:t>
      </w:r>
      <w:r>
        <w:rPr>
          <w:spacing w:val="-3"/>
        </w:rPr>
        <w:t> </w:t>
      </w:r>
      <w:r>
        <w:rPr/>
        <w:t>–</w:t>
      </w:r>
      <w:r>
        <w:rPr>
          <w:spacing w:val="-6"/>
        </w:rPr>
        <w:t> </w:t>
      </w:r>
      <w:r>
        <w:rPr/>
        <w:t>Current</w:t>
      </w:r>
      <w:r>
        <w:rPr>
          <w:spacing w:val="-7"/>
        </w:rPr>
        <w:t> </w:t>
      </w:r>
      <w:r>
        <w:rPr>
          <w:spacing w:val="-2"/>
        </w:rPr>
        <w:t>Liabilities</w:t>
      </w:r>
    </w:p>
    <w:p>
      <w:pPr>
        <w:pStyle w:val="BodyText"/>
        <w:spacing w:before="24"/>
      </w:pPr>
    </w:p>
    <w:p>
      <w:pPr>
        <w:pStyle w:val="BodyText"/>
        <w:spacing w:line="496" w:lineRule="auto"/>
        <w:ind w:left="67" w:right="5306" w:firstLine="653"/>
      </w:pPr>
      <w:r>
        <w:rPr/>
        <w:t>=</w:t>
      </w:r>
      <w:r>
        <w:rPr>
          <w:spacing w:val="-8"/>
        </w:rPr>
        <w:t> </w:t>
      </w:r>
      <w:r>
        <w:rPr/>
        <w:t>124.4</w:t>
      </w:r>
      <w:r>
        <w:rPr>
          <w:spacing w:val="-5"/>
        </w:rPr>
        <w:t> </w:t>
      </w:r>
      <w:r>
        <w:rPr/>
        <w:t>–</w:t>
      </w:r>
      <w:r>
        <w:rPr>
          <w:spacing w:val="-6"/>
        </w:rPr>
        <w:t> </w:t>
      </w:r>
      <w:r>
        <w:rPr/>
        <w:t>78.6</w:t>
      </w:r>
      <w:r>
        <w:rPr>
          <w:spacing w:val="-6"/>
        </w:rPr>
        <w:t> </w:t>
      </w:r>
      <w:r>
        <w:rPr/>
        <w:t>=</w:t>
      </w:r>
      <w:r>
        <w:rPr>
          <w:spacing w:val="-7"/>
        </w:rPr>
        <w:t> </w:t>
      </w:r>
      <w:r>
        <w:rPr/>
        <w:t>45.8</w:t>
      </w:r>
      <w:r>
        <w:rPr>
          <w:spacing w:val="-4"/>
        </w:rPr>
        <w:t> </w:t>
      </w:r>
      <w:r>
        <w:rPr/>
        <w:t>billion Correct calculation:</w:t>
      </w:r>
    </w:p>
    <w:p>
      <w:pPr>
        <w:pStyle w:val="BodyText"/>
        <w:spacing w:after="0" w:line="496" w:lineRule="auto"/>
        <w:sectPr>
          <w:type w:val="continuous"/>
          <w:pgSz w:w="12240" w:h="15840"/>
          <w:pgMar w:header="0" w:footer="1051" w:top="1820" w:bottom="1240" w:left="1440" w:right="1080"/>
        </w:sectPr>
      </w:pPr>
    </w:p>
    <w:p>
      <w:pPr>
        <w:spacing w:before="156"/>
        <w:ind w:left="0" w:right="0" w:firstLine="0"/>
        <w:jc w:val="right"/>
        <w:rPr>
          <w:rFonts w:ascii="Cambria Math" w:eastAsia="Cambria Math"/>
          <w:sz w:val="24"/>
        </w:rPr>
      </w:pPr>
      <w:r>
        <w:rPr>
          <w:rFonts w:ascii="Cambria Math" w:eastAsia="Cambria Math"/>
          <w:sz w:val="24"/>
        </w:rPr>
        <w:t>𝑹𝑶𝑪𝑬</w:t>
      </w:r>
      <w:r>
        <w:rPr>
          <w:rFonts w:ascii="Cambria Math" w:eastAsia="Cambria Math"/>
          <w:spacing w:val="13"/>
          <w:sz w:val="24"/>
        </w:rPr>
        <w:t> </w:t>
      </w:r>
      <w:r>
        <w:rPr>
          <w:rFonts w:ascii="Cambria Math" w:eastAsia="Cambria Math"/>
          <w:spacing w:val="-10"/>
          <w:sz w:val="24"/>
        </w:rPr>
        <w:t>=</w:t>
      </w:r>
    </w:p>
    <w:p>
      <w:pPr>
        <w:spacing w:line="206" w:lineRule="exact" w:before="0"/>
        <w:ind w:left="25" w:right="0" w:firstLine="0"/>
        <w:jc w:val="left"/>
        <w:rPr>
          <w:rFonts w:ascii="Cambria Math" w:hAnsi="Cambria Math" w:eastAsia="Cambria Math"/>
          <w:sz w:val="24"/>
        </w:rPr>
      </w:pPr>
      <w:r>
        <w:rPr/>
        <w:br w:type="column"/>
      </w:r>
      <w:r>
        <w:rPr>
          <w:rFonts w:ascii="Cambria Math" w:hAnsi="Cambria Math" w:eastAsia="Cambria Math"/>
          <w:sz w:val="24"/>
        </w:rPr>
        <w:t>−𝟏𝟒.</w:t>
      </w:r>
      <w:r>
        <w:rPr>
          <w:rFonts w:ascii="Cambria Math" w:hAnsi="Cambria Math" w:eastAsia="Cambria Math"/>
          <w:spacing w:val="-15"/>
          <w:sz w:val="24"/>
        </w:rPr>
        <w:t> </w:t>
      </w:r>
      <w:r>
        <w:rPr>
          <w:rFonts w:ascii="Cambria Math" w:hAnsi="Cambria Math" w:eastAsia="Cambria Math"/>
          <w:spacing w:val="-10"/>
          <w:sz w:val="24"/>
        </w:rPr>
        <w:t>𝟎</w:t>
      </w:r>
    </w:p>
    <w:p>
      <w:pPr>
        <w:spacing w:line="187" w:lineRule="auto" w:before="0"/>
        <w:ind w:left="116" w:right="0" w:firstLine="0"/>
        <w:jc w:val="left"/>
        <w:rPr>
          <w:rFonts w:ascii="Cambria Math" w:hAnsi="Cambria Math" w:eastAsia="Cambria Math"/>
          <w:sz w:val="24"/>
        </w:rPr>
      </w:pPr>
      <w:r>
        <w:rPr>
          <w:rFonts w:ascii="Cambria Math" w:hAnsi="Cambria Math" w:eastAsia="Cambria Math"/>
          <w:sz w:val="24"/>
        </w:rPr>
        <mc:AlternateContent>
          <mc:Choice Requires="wps">
            <w:drawing>
              <wp:anchor distT="0" distB="0" distL="0" distR="0" allowOverlap="1" layoutInCell="1" locked="0" behindDoc="1" simplePos="0" relativeHeight="486784000">
                <wp:simplePos x="0" y="0"/>
                <wp:positionH relativeFrom="page">
                  <wp:posOffset>3357117</wp:posOffset>
                </wp:positionH>
                <wp:positionV relativeFrom="paragraph">
                  <wp:posOffset>64619</wp:posOffset>
                </wp:positionV>
                <wp:extent cx="445770" cy="9525"/>
                <wp:effectExtent l="0" t="0" r="0" b="0"/>
                <wp:wrapNone/>
                <wp:docPr id="14" name="Graphic 14"/>
                <wp:cNvGraphicFramePr>
                  <a:graphicFrameLocks/>
                </wp:cNvGraphicFramePr>
                <a:graphic>
                  <a:graphicData uri="http://schemas.microsoft.com/office/word/2010/wordprocessingShape">
                    <wps:wsp>
                      <wps:cNvPr id="14" name="Graphic 14"/>
                      <wps:cNvSpPr/>
                      <wps:spPr>
                        <a:xfrm>
                          <a:off x="0" y="0"/>
                          <a:ext cx="445770" cy="9525"/>
                        </a:xfrm>
                        <a:custGeom>
                          <a:avLst/>
                          <a:gdLst/>
                          <a:ahLst/>
                          <a:cxnLst/>
                          <a:rect l="l" t="t" r="r" b="b"/>
                          <a:pathLst>
                            <a:path w="445770" h="9525">
                              <a:moveTo>
                                <a:pt x="445312" y="0"/>
                              </a:moveTo>
                              <a:lnTo>
                                <a:pt x="0" y="0"/>
                              </a:lnTo>
                              <a:lnTo>
                                <a:pt x="0" y="9144"/>
                              </a:lnTo>
                              <a:lnTo>
                                <a:pt x="445312" y="9144"/>
                              </a:lnTo>
                              <a:lnTo>
                                <a:pt x="445312"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rect style="position:absolute;margin-left:264.339996pt;margin-top:5.088165pt;width:35.064pt;height:.72pt;mso-position-horizontal-relative:page;mso-position-vertical-relative:paragraph;z-index:-16532480" id="docshape13" filled="true" fillcolor="#000000" stroked="false">
                <v:fill type="solid"/>
                <w10:wrap type="none"/>
              </v:rect>
            </w:pict>
          </mc:Fallback>
        </mc:AlternateContent>
      </w:r>
      <w:r>
        <w:rPr>
          <w:rFonts w:ascii="Cambria Math" w:hAnsi="Cambria Math" w:eastAsia="Cambria Math"/>
          <w:position w:val="-15"/>
          <w:sz w:val="24"/>
        </w:rPr>
        <w:t>𝟒𝟓.</w:t>
      </w:r>
      <w:r>
        <w:rPr>
          <w:rFonts w:ascii="Cambria Math" w:hAnsi="Cambria Math" w:eastAsia="Cambria Math"/>
          <w:spacing w:val="-16"/>
          <w:position w:val="-15"/>
          <w:sz w:val="24"/>
        </w:rPr>
        <w:t> </w:t>
      </w:r>
      <w:r>
        <w:rPr>
          <w:rFonts w:ascii="Cambria Math" w:hAnsi="Cambria Math" w:eastAsia="Cambria Math"/>
          <w:position w:val="-15"/>
          <w:sz w:val="24"/>
        </w:rPr>
        <w:t>𝟖</w:t>
      </w:r>
      <w:r>
        <w:rPr>
          <w:rFonts w:ascii="Cambria Math" w:hAnsi="Cambria Math" w:eastAsia="Cambria Math"/>
          <w:spacing w:val="63"/>
          <w:w w:val="150"/>
          <w:position w:val="-15"/>
          <w:sz w:val="24"/>
        </w:rPr>
        <w:t> </w:t>
      </w:r>
      <w:r>
        <w:rPr>
          <w:rFonts w:ascii="Cambria Math" w:hAnsi="Cambria Math" w:eastAsia="Cambria Math"/>
          <w:sz w:val="24"/>
        </w:rPr>
        <w:t>×</w:t>
      </w:r>
      <w:r>
        <w:rPr>
          <w:rFonts w:ascii="Cambria Math" w:hAnsi="Cambria Math" w:eastAsia="Cambria Math"/>
          <w:spacing w:val="1"/>
          <w:sz w:val="24"/>
        </w:rPr>
        <w:t> </w:t>
      </w:r>
      <w:r>
        <w:rPr>
          <w:rFonts w:ascii="Cambria Math" w:hAnsi="Cambria Math" w:eastAsia="Cambria Math"/>
          <w:sz w:val="24"/>
        </w:rPr>
        <w:t>𝟏𝟎𝟎</w:t>
      </w:r>
      <w:r>
        <w:rPr>
          <w:rFonts w:ascii="Cambria Math" w:hAnsi="Cambria Math" w:eastAsia="Cambria Math"/>
          <w:spacing w:val="8"/>
          <w:sz w:val="24"/>
        </w:rPr>
        <w:t> </w:t>
      </w:r>
      <w:r>
        <w:rPr>
          <w:rFonts w:ascii="Cambria Math" w:hAnsi="Cambria Math" w:eastAsia="Cambria Math"/>
          <w:sz w:val="24"/>
        </w:rPr>
        <w:t>=</w:t>
      </w:r>
      <w:r>
        <w:rPr>
          <w:rFonts w:ascii="Cambria Math" w:hAnsi="Cambria Math" w:eastAsia="Cambria Math"/>
          <w:spacing w:val="17"/>
          <w:sz w:val="24"/>
        </w:rPr>
        <w:t> </w:t>
      </w:r>
      <w:r>
        <w:rPr>
          <w:rFonts w:ascii="Cambria Math" w:hAnsi="Cambria Math" w:eastAsia="Cambria Math"/>
          <w:sz w:val="24"/>
        </w:rPr>
        <w:t>−𝟑𝟎.</w:t>
      </w:r>
      <w:r>
        <w:rPr>
          <w:rFonts w:ascii="Cambria Math" w:hAnsi="Cambria Math" w:eastAsia="Cambria Math"/>
          <w:spacing w:val="-16"/>
          <w:sz w:val="24"/>
        </w:rPr>
        <w:t> </w:t>
      </w:r>
      <w:r>
        <w:rPr>
          <w:rFonts w:ascii="Cambria Math" w:hAnsi="Cambria Math" w:eastAsia="Cambria Math"/>
          <w:spacing w:val="-5"/>
          <w:sz w:val="24"/>
        </w:rPr>
        <w:t>𝟔%</w:t>
      </w:r>
    </w:p>
    <w:p>
      <w:pPr>
        <w:spacing w:after="0" w:line="187" w:lineRule="auto"/>
        <w:jc w:val="left"/>
        <w:rPr>
          <w:rFonts w:ascii="Cambria Math" w:hAnsi="Cambria Math" w:eastAsia="Cambria Math"/>
          <w:sz w:val="24"/>
        </w:rPr>
        <w:sectPr>
          <w:type w:val="continuous"/>
          <w:pgSz w:w="12240" w:h="15840"/>
          <w:pgMar w:header="0" w:footer="1051" w:top="1820" w:bottom="1240" w:left="1440" w:right="1080"/>
          <w:cols w:num="2" w:equalWidth="0">
            <w:col w:w="3782" w:space="40"/>
            <w:col w:w="5898"/>
          </w:cols>
        </w:sectPr>
      </w:pPr>
    </w:p>
    <w:p>
      <w:pPr>
        <w:pStyle w:val="BodyText"/>
        <w:rPr>
          <w:rFonts w:ascii="Cambria Math"/>
        </w:rPr>
      </w:pPr>
    </w:p>
    <w:p>
      <w:pPr>
        <w:pStyle w:val="BodyText"/>
        <w:rPr>
          <w:rFonts w:ascii="Cambria Math"/>
        </w:rPr>
      </w:pPr>
    </w:p>
    <w:p>
      <w:pPr>
        <w:pStyle w:val="BodyText"/>
        <w:spacing w:before="247"/>
        <w:rPr>
          <w:rFonts w:ascii="Cambria Math"/>
        </w:rPr>
      </w:pPr>
    </w:p>
    <w:p>
      <w:pPr>
        <w:pStyle w:val="Heading2"/>
      </w:pPr>
      <w:r>
        <w:rPr>
          <w:spacing w:val="-2"/>
        </w:rPr>
        <w:t>Analysis:</w:t>
      </w:r>
    </w:p>
    <w:p>
      <w:pPr>
        <w:pStyle w:val="BodyText"/>
        <w:spacing w:line="360" w:lineRule="auto" w:before="142"/>
        <w:ind w:right="349"/>
        <w:jc w:val="both"/>
      </w:pPr>
      <w:r>
        <w:rPr/>
        <w:t>ROCE is still very negative and means that the capital is not utilised efficiently and that they are unable to generate returns on invested capital. The operating losses are, however, decreasing, and this indicates a slow improvement pattern. Strategically, it is indicative</w:t>
      </w:r>
      <w:r>
        <w:rPr>
          <w:spacing w:val="-11"/>
        </w:rPr>
        <w:t> </w:t>
      </w:r>
      <w:r>
        <w:rPr/>
        <w:t>of</w:t>
      </w:r>
      <w:r>
        <w:rPr>
          <w:spacing w:val="-11"/>
        </w:rPr>
        <w:t> </w:t>
      </w:r>
      <w:r>
        <w:rPr/>
        <w:t>a</w:t>
      </w:r>
      <w:r>
        <w:rPr>
          <w:spacing w:val="-11"/>
        </w:rPr>
        <w:t> </w:t>
      </w:r>
      <w:r>
        <w:rPr/>
        <w:t>classic</w:t>
      </w:r>
      <w:r>
        <w:rPr>
          <w:spacing w:val="-12"/>
        </w:rPr>
        <w:t> </w:t>
      </w:r>
      <w:r>
        <w:rPr/>
        <w:t>growth-stage</w:t>
      </w:r>
      <w:r>
        <w:rPr>
          <w:spacing w:val="-11"/>
        </w:rPr>
        <w:t> </w:t>
      </w:r>
      <w:r>
        <w:rPr/>
        <w:t>company</w:t>
      </w:r>
      <w:r>
        <w:rPr>
          <w:spacing w:val="-12"/>
        </w:rPr>
        <w:t> </w:t>
      </w:r>
      <w:r>
        <w:rPr/>
        <w:t>that</w:t>
      </w:r>
      <w:r>
        <w:rPr>
          <w:spacing w:val="-11"/>
        </w:rPr>
        <w:t> </w:t>
      </w:r>
      <w:r>
        <w:rPr/>
        <w:t>is</w:t>
      </w:r>
      <w:r>
        <w:rPr>
          <w:spacing w:val="-12"/>
        </w:rPr>
        <w:t> </w:t>
      </w:r>
      <w:r>
        <w:rPr/>
        <w:t>making</w:t>
      </w:r>
      <w:r>
        <w:rPr>
          <w:spacing w:val="-11"/>
        </w:rPr>
        <w:t> </w:t>
      </w:r>
      <w:r>
        <w:rPr/>
        <w:t>a</w:t>
      </w:r>
      <w:r>
        <w:rPr>
          <w:spacing w:val="-7"/>
        </w:rPr>
        <w:t> </w:t>
      </w:r>
      <w:r>
        <w:rPr/>
        <w:t>heavy</w:t>
      </w:r>
      <w:r>
        <w:rPr>
          <w:spacing w:val="-12"/>
        </w:rPr>
        <w:t> </w:t>
      </w:r>
      <w:r>
        <w:rPr/>
        <w:t>investment</w:t>
      </w:r>
      <w:r>
        <w:rPr>
          <w:spacing w:val="-11"/>
        </w:rPr>
        <w:t> </w:t>
      </w:r>
      <w:r>
        <w:rPr/>
        <w:t>in</w:t>
      </w:r>
      <w:r>
        <w:rPr>
          <w:spacing w:val="-11"/>
        </w:rPr>
        <w:t> </w:t>
      </w:r>
      <w:r>
        <w:rPr/>
        <w:t>growth and innovation (Lou, 2024). However, a long-run positive and competitive returns on capital</w:t>
      </w:r>
      <w:r>
        <w:rPr>
          <w:spacing w:val="-2"/>
        </w:rPr>
        <w:t> </w:t>
      </w:r>
      <w:r>
        <w:rPr/>
        <w:t>would</w:t>
      </w:r>
      <w:r>
        <w:rPr>
          <w:spacing w:val="-2"/>
        </w:rPr>
        <w:t> </w:t>
      </w:r>
      <w:r>
        <w:rPr/>
        <w:t>require</w:t>
      </w:r>
      <w:r>
        <w:rPr>
          <w:spacing w:val="-2"/>
        </w:rPr>
        <w:t> </w:t>
      </w:r>
      <w:r>
        <w:rPr/>
        <w:t>NIO</w:t>
      </w:r>
      <w:r>
        <w:rPr>
          <w:spacing w:val="-2"/>
        </w:rPr>
        <w:t> </w:t>
      </w:r>
      <w:r>
        <w:rPr/>
        <w:t>to</w:t>
      </w:r>
      <w:r>
        <w:rPr>
          <w:spacing w:val="-2"/>
        </w:rPr>
        <w:t> </w:t>
      </w:r>
      <w:r>
        <w:rPr/>
        <w:t>have</w:t>
      </w:r>
      <w:r>
        <w:rPr>
          <w:spacing w:val="-2"/>
        </w:rPr>
        <w:t> </w:t>
      </w:r>
      <w:r>
        <w:rPr/>
        <w:t>sustained</w:t>
      </w:r>
      <w:r>
        <w:rPr>
          <w:spacing w:val="-2"/>
        </w:rPr>
        <w:t> </w:t>
      </w:r>
      <w:r>
        <w:rPr/>
        <w:t>gains</w:t>
      </w:r>
      <w:r>
        <w:rPr>
          <w:spacing w:val="-7"/>
        </w:rPr>
        <w:t> </w:t>
      </w:r>
      <w:r>
        <w:rPr/>
        <w:t>in</w:t>
      </w:r>
      <w:r>
        <w:rPr>
          <w:spacing w:val="-2"/>
        </w:rPr>
        <w:t> </w:t>
      </w:r>
      <w:r>
        <w:rPr/>
        <w:t>pricing,</w:t>
      </w:r>
      <w:r>
        <w:rPr>
          <w:spacing w:val="-7"/>
        </w:rPr>
        <w:t> </w:t>
      </w:r>
      <w:r>
        <w:rPr/>
        <w:t>cost</w:t>
      </w:r>
      <w:r>
        <w:rPr>
          <w:spacing w:val="-2"/>
        </w:rPr>
        <w:t> </w:t>
      </w:r>
      <w:r>
        <w:rPr/>
        <w:t>efficiency</w:t>
      </w:r>
      <w:r>
        <w:rPr>
          <w:spacing w:val="-2"/>
        </w:rPr>
        <w:t> </w:t>
      </w:r>
      <w:r>
        <w:rPr/>
        <w:t>and</w:t>
      </w:r>
      <w:r>
        <w:rPr>
          <w:spacing w:val="-2"/>
        </w:rPr>
        <w:t> </w:t>
      </w:r>
      <w:r>
        <w:rPr/>
        <w:t>capacity </w:t>
      </w:r>
      <w:r>
        <w:rPr>
          <w:spacing w:val="-2"/>
        </w:rPr>
        <w:t>utilization.</w:t>
      </w:r>
    </w:p>
    <w:p>
      <w:pPr>
        <w:pStyle w:val="BodyText"/>
        <w:spacing w:after="0" w:line="360" w:lineRule="auto"/>
        <w:jc w:val="both"/>
        <w:sectPr>
          <w:type w:val="continuous"/>
          <w:pgSz w:w="12240" w:h="15840"/>
          <w:pgMar w:header="0" w:footer="1051" w:top="1820" w:bottom="1240" w:left="1440" w:right="1080"/>
        </w:sectPr>
      </w:pPr>
    </w:p>
    <w:p>
      <w:pPr>
        <w:pStyle w:val="Heading2"/>
        <w:numPr>
          <w:ilvl w:val="1"/>
          <w:numId w:val="3"/>
        </w:numPr>
        <w:tabs>
          <w:tab w:pos="400" w:val="left" w:leader="none"/>
        </w:tabs>
        <w:spacing w:line="240" w:lineRule="auto" w:before="187" w:after="0"/>
        <w:ind w:left="400" w:right="0" w:hanging="400"/>
        <w:jc w:val="left"/>
      </w:pPr>
      <w:bookmarkStart w:name="2.3 Liquidity Analysis" w:id="15"/>
      <w:bookmarkEnd w:id="15"/>
      <w:r>
        <w:rPr>
          <w:b w:val="0"/>
        </w:rPr>
      </w:r>
      <w:bookmarkStart w:name="_bookmark7" w:id="16"/>
      <w:bookmarkEnd w:id="16"/>
      <w:r>
        <w:rPr>
          <w:b w:val="0"/>
        </w:rPr>
      </w:r>
      <w:r>
        <w:rPr/>
        <w:t>Liquidity</w:t>
      </w:r>
      <w:r>
        <w:rPr>
          <w:spacing w:val="-15"/>
        </w:rPr>
        <w:t> </w:t>
      </w:r>
      <w:r>
        <w:rPr>
          <w:spacing w:val="-2"/>
        </w:rPr>
        <w:t>Analysis</w:t>
      </w:r>
    </w:p>
    <w:p>
      <w:pPr>
        <w:pStyle w:val="BodyText"/>
        <w:spacing w:line="367" w:lineRule="auto" w:before="219"/>
        <w:ind w:right="24"/>
      </w:pPr>
      <w:r>
        <w:rPr/>
        <w:t>Liquidity</w:t>
      </w:r>
      <w:r>
        <w:rPr>
          <w:spacing w:val="40"/>
        </w:rPr>
        <w:t> </w:t>
      </w:r>
      <w:r>
        <w:rPr/>
        <w:t>ratios</w:t>
      </w:r>
      <w:r>
        <w:rPr>
          <w:spacing w:val="40"/>
        </w:rPr>
        <w:t> </w:t>
      </w:r>
      <w:r>
        <w:rPr/>
        <w:t>indicate</w:t>
      </w:r>
      <w:r>
        <w:rPr>
          <w:spacing w:val="40"/>
        </w:rPr>
        <w:t> </w:t>
      </w:r>
      <w:r>
        <w:rPr/>
        <w:t>whether</w:t>
      </w:r>
      <w:r>
        <w:rPr>
          <w:spacing w:val="40"/>
        </w:rPr>
        <w:t> </w:t>
      </w:r>
      <w:r>
        <w:rPr/>
        <w:t>NIO</w:t>
      </w:r>
      <w:r>
        <w:rPr>
          <w:spacing w:val="40"/>
        </w:rPr>
        <w:t> </w:t>
      </w:r>
      <w:r>
        <w:rPr/>
        <w:t>Inc.</w:t>
      </w:r>
      <w:r>
        <w:rPr>
          <w:spacing w:val="40"/>
        </w:rPr>
        <w:t> </w:t>
      </w:r>
      <w:r>
        <w:rPr/>
        <w:t>can</w:t>
      </w:r>
      <w:r>
        <w:rPr>
          <w:spacing w:val="40"/>
        </w:rPr>
        <w:t> </w:t>
      </w:r>
      <w:r>
        <w:rPr/>
        <w:t>pay</w:t>
      </w:r>
      <w:r>
        <w:rPr>
          <w:spacing w:val="40"/>
        </w:rPr>
        <w:t> </w:t>
      </w:r>
      <w:r>
        <w:rPr/>
        <w:t>its</w:t>
      </w:r>
      <w:r>
        <w:rPr>
          <w:spacing w:val="40"/>
        </w:rPr>
        <w:t> </w:t>
      </w:r>
      <w:r>
        <w:rPr/>
        <w:t>short-term</w:t>
      </w:r>
      <w:r>
        <w:rPr>
          <w:spacing w:val="40"/>
        </w:rPr>
        <w:t> </w:t>
      </w:r>
      <w:r>
        <w:rPr/>
        <w:t>debts</w:t>
      </w:r>
      <w:r>
        <w:rPr>
          <w:spacing w:val="40"/>
        </w:rPr>
        <w:t> </w:t>
      </w:r>
      <w:r>
        <w:rPr/>
        <w:t>and</w:t>
      </w:r>
      <w:r>
        <w:rPr>
          <w:spacing w:val="40"/>
        </w:rPr>
        <w:t> </w:t>
      </w:r>
      <w:r>
        <w:rPr/>
        <w:t>remain</w:t>
      </w:r>
      <w:r>
        <w:rPr>
          <w:spacing w:val="40"/>
        </w:rPr>
        <w:t> </w:t>
      </w:r>
      <w:r>
        <w:rPr/>
        <w:t>financially afloat.</w:t>
      </w:r>
    </w:p>
    <w:p>
      <w:pPr>
        <w:pStyle w:val="Heading2"/>
        <w:spacing w:before="144"/>
      </w:pPr>
      <w:r>
        <w:rPr/>
        <w:t>Current</w:t>
      </w:r>
      <w:r>
        <w:rPr>
          <w:spacing w:val="-9"/>
        </w:rPr>
        <w:t> </w:t>
      </w:r>
      <w:r>
        <w:rPr>
          <w:spacing w:val="-4"/>
        </w:rPr>
        <w:t>Ratio</w:t>
      </w:r>
    </w:p>
    <w:p>
      <w:pPr>
        <w:pStyle w:val="BodyText"/>
        <w:spacing w:before="29"/>
        <w:rPr>
          <w:rFonts w:ascii="Arial"/>
          <w:b/>
        </w:rPr>
      </w:pPr>
    </w:p>
    <w:p>
      <w:pPr>
        <w:pStyle w:val="BodyText"/>
        <w:spacing w:before="1"/>
      </w:pPr>
      <w:r>
        <w:rPr/>
        <w:t>The</w:t>
      </w:r>
      <w:r>
        <w:rPr>
          <w:spacing w:val="-12"/>
        </w:rPr>
        <w:t> </w:t>
      </w:r>
      <w:r>
        <w:rPr/>
        <w:t>current</w:t>
      </w:r>
      <w:r>
        <w:rPr>
          <w:spacing w:val="-12"/>
        </w:rPr>
        <w:t> </w:t>
      </w:r>
      <w:r>
        <w:rPr/>
        <w:t>ratio</w:t>
      </w:r>
      <w:r>
        <w:rPr>
          <w:spacing w:val="-12"/>
        </w:rPr>
        <w:t> </w:t>
      </w:r>
      <w:r>
        <w:rPr/>
        <w:t>measures</w:t>
      </w:r>
      <w:r>
        <w:rPr>
          <w:spacing w:val="-12"/>
        </w:rPr>
        <w:t> </w:t>
      </w:r>
      <w:r>
        <w:rPr/>
        <w:t>the</w:t>
      </w:r>
      <w:r>
        <w:rPr>
          <w:spacing w:val="-12"/>
        </w:rPr>
        <w:t> </w:t>
      </w:r>
      <w:r>
        <w:rPr/>
        <w:t>relationship</w:t>
      </w:r>
      <w:r>
        <w:rPr>
          <w:spacing w:val="-12"/>
        </w:rPr>
        <w:t> </w:t>
      </w:r>
      <w:r>
        <w:rPr/>
        <w:t>between</w:t>
      </w:r>
      <w:r>
        <w:rPr>
          <w:spacing w:val="-12"/>
        </w:rPr>
        <w:t> </w:t>
      </w:r>
      <w:r>
        <w:rPr/>
        <w:t>current</w:t>
      </w:r>
      <w:r>
        <w:rPr>
          <w:spacing w:val="-11"/>
        </w:rPr>
        <w:t> </w:t>
      </w:r>
      <w:r>
        <w:rPr/>
        <w:t>assets</w:t>
      </w:r>
      <w:r>
        <w:rPr>
          <w:spacing w:val="-12"/>
        </w:rPr>
        <w:t> </w:t>
      </w:r>
      <w:r>
        <w:rPr/>
        <w:t>and</w:t>
      </w:r>
      <w:r>
        <w:rPr>
          <w:spacing w:val="-12"/>
        </w:rPr>
        <w:t> </w:t>
      </w:r>
      <w:r>
        <w:rPr/>
        <w:t>current</w:t>
      </w:r>
      <w:r>
        <w:rPr>
          <w:spacing w:val="-16"/>
        </w:rPr>
        <w:t> </w:t>
      </w:r>
      <w:r>
        <w:rPr>
          <w:spacing w:val="-2"/>
        </w:rPr>
        <w:t>liabilities:</w:t>
      </w:r>
    </w:p>
    <w:p>
      <w:pPr>
        <w:pStyle w:val="BodyText"/>
        <w:spacing w:before="11"/>
        <w:rPr>
          <w:sz w:val="15"/>
        </w:rPr>
      </w:pPr>
    </w:p>
    <w:p>
      <w:pPr>
        <w:pStyle w:val="BodyText"/>
        <w:spacing w:after="0"/>
        <w:rPr>
          <w:sz w:val="15"/>
        </w:rPr>
        <w:sectPr>
          <w:pgSz w:w="12240" w:h="15840"/>
          <w:pgMar w:header="0" w:footer="1051" w:top="1820" w:bottom="1240" w:left="1440" w:right="1080"/>
        </w:sectPr>
      </w:pPr>
    </w:p>
    <w:p>
      <w:pPr>
        <w:pStyle w:val="BodyText"/>
      </w:pPr>
    </w:p>
    <w:p>
      <w:pPr>
        <w:pStyle w:val="BodyText"/>
      </w:pPr>
    </w:p>
    <w:p>
      <w:pPr>
        <w:pStyle w:val="BodyText"/>
        <w:spacing w:before="138"/>
      </w:pPr>
    </w:p>
    <w:p>
      <w:pPr>
        <w:pStyle w:val="Heading2"/>
      </w:pPr>
      <w:r>
        <w:rPr/>
        <mc:AlternateContent>
          <mc:Choice Requires="wps">
            <w:drawing>
              <wp:anchor distT="0" distB="0" distL="0" distR="0" allowOverlap="1" layoutInCell="1" locked="0" behindDoc="1" simplePos="0" relativeHeight="486785024">
                <wp:simplePos x="0" y="0"/>
                <wp:positionH relativeFrom="page">
                  <wp:posOffset>3851147</wp:posOffset>
                </wp:positionH>
                <wp:positionV relativeFrom="paragraph">
                  <wp:posOffset>-344684</wp:posOffset>
                </wp:positionV>
                <wp:extent cx="1177290" cy="9525"/>
                <wp:effectExtent l="0" t="0" r="0" b="0"/>
                <wp:wrapNone/>
                <wp:docPr id="15" name="Graphic 15"/>
                <wp:cNvGraphicFramePr>
                  <a:graphicFrameLocks/>
                </wp:cNvGraphicFramePr>
                <a:graphic>
                  <a:graphicData uri="http://schemas.microsoft.com/office/word/2010/wordprocessingShape">
                    <wps:wsp>
                      <wps:cNvPr id="15" name="Graphic 15"/>
                      <wps:cNvSpPr/>
                      <wps:spPr>
                        <a:xfrm>
                          <a:off x="0" y="0"/>
                          <a:ext cx="1177290" cy="9525"/>
                        </a:xfrm>
                        <a:custGeom>
                          <a:avLst/>
                          <a:gdLst/>
                          <a:ahLst/>
                          <a:cxnLst/>
                          <a:rect l="l" t="t" r="r" b="b"/>
                          <a:pathLst>
                            <a:path w="1177290" h="9525">
                              <a:moveTo>
                                <a:pt x="1176832" y="0"/>
                              </a:moveTo>
                              <a:lnTo>
                                <a:pt x="0" y="0"/>
                              </a:lnTo>
                              <a:lnTo>
                                <a:pt x="0" y="9144"/>
                              </a:lnTo>
                              <a:lnTo>
                                <a:pt x="1176832" y="9144"/>
                              </a:lnTo>
                              <a:lnTo>
                                <a:pt x="1176832"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rect style="position:absolute;margin-left:303.239990pt;margin-top:-27.140478pt;width:92.664pt;height:.72pt;mso-position-horizontal-relative:page;mso-position-vertical-relative:paragraph;z-index:-16531456" id="docshape14" filled="true" fillcolor="#000000" stroked="false">
                <v:fill type="solid"/>
                <w10:wrap type="none"/>
              </v:rect>
            </w:pict>
          </mc:Fallback>
        </mc:AlternateContent>
      </w:r>
      <w:r>
        <w:rPr/>
        <w:t>Calculation</w:t>
      </w:r>
      <w:r>
        <w:rPr>
          <w:spacing w:val="-3"/>
        </w:rPr>
        <w:t> </w:t>
      </w:r>
      <w:r>
        <w:rPr>
          <w:spacing w:val="-2"/>
        </w:rPr>
        <w:t>(2025):</w:t>
      </w:r>
    </w:p>
    <w:p>
      <w:pPr>
        <w:pStyle w:val="BodyText"/>
        <w:spacing w:line="187" w:lineRule="auto" w:before="142"/>
        <w:ind w:right="3237" w:firstLine="1877"/>
      </w:pPr>
      <w:r>
        <w:rPr/>
        <w:br w:type="column"/>
      </w:r>
      <w:r>
        <w:rPr/>
        <w:t>Current</w:t>
      </w:r>
      <w:r>
        <w:rPr>
          <w:spacing w:val="-2"/>
        </w:rPr>
        <w:t> </w:t>
      </w:r>
      <w:r>
        <w:rPr/>
        <w:t>Assets </w:t>
      </w:r>
      <w:r>
        <w:rPr>
          <w:position w:val="16"/>
        </w:rPr>
        <w:t>Current</w:t>
      </w:r>
      <w:r>
        <w:rPr>
          <w:spacing w:val="-9"/>
          <w:position w:val="16"/>
        </w:rPr>
        <w:t> </w:t>
      </w:r>
      <w:r>
        <w:rPr>
          <w:position w:val="16"/>
        </w:rPr>
        <w:t>Ratio</w:t>
      </w:r>
      <w:r>
        <w:rPr>
          <w:spacing w:val="-10"/>
          <w:position w:val="16"/>
        </w:rPr>
        <w:t> </w:t>
      </w:r>
      <w:r>
        <w:rPr>
          <w:rFonts w:ascii="Cambria Math"/>
          <w:position w:val="16"/>
        </w:rPr>
        <w:t>= </w:t>
      </w:r>
      <w:r>
        <w:rPr/>
        <w:t>Current</w:t>
      </w:r>
      <w:r>
        <w:rPr>
          <w:spacing w:val="-9"/>
        </w:rPr>
        <w:t> </w:t>
      </w:r>
      <w:r>
        <w:rPr/>
        <w:t>Liabilities</w:t>
      </w:r>
    </w:p>
    <w:p>
      <w:pPr>
        <w:pStyle w:val="BodyText"/>
        <w:spacing w:after="0" w:line="187" w:lineRule="auto"/>
        <w:sectPr>
          <w:type w:val="continuous"/>
          <w:pgSz w:w="12240" w:h="15840"/>
          <w:pgMar w:header="0" w:footer="1051" w:top="1820" w:bottom="1240" w:left="1440" w:right="1080"/>
          <w:cols w:num="2" w:equalWidth="0">
            <w:col w:w="2133" w:space="752"/>
            <w:col w:w="6835"/>
          </w:cols>
        </w:sectPr>
      </w:pPr>
    </w:p>
    <w:p>
      <w:pPr>
        <w:pStyle w:val="BodyText"/>
        <w:spacing w:line="232" w:lineRule="exact" w:before="269"/>
        <w:ind w:left="767" w:right="1630"/>
        <w:jc w:val="center"/>
        <w:rPr>
          <w:rFonts w:ascii="Cambria Math"/>
        </w:rPr>
      </w:pPr>
      <w:r>
        <w:rPr>
          <w:rFonts w:ascii="Cambria Math"/>
          <w:spacing w:val="-4"/>
        </w:rPr>
        <w:t>76.6</w:t>
      </w:r>
    </w:p>
    <w:p>
      <w:pPr>
        <w:pStyle w:val="BodyText"/>
        <w:spacing w:line="187" w:lineRule="auto"/>
        <w:ind w:right="348"/>
        <w:jc w:val="center"/>
        <w:rPr>
          <w:rFonts w:ascii="Cambria Math"/>
        </w:rPr>
      </w:pPr>
      <w:r>
        <w:rPr>
          <w:rFonts w:ascii="Cambria Math"/>
        </w:rPr>
        <mc:AlternateContent>
          <mc:Choice Requires="wps">
            <w:drawing>
              <wp:anchor distT="0" distB="0" distL="0" distR="0" allowOverlap="1" layoutInCell="1" locked="0" behindDoc="1" simplePos="0" relativeHeight="486785536">
                <wp:simplePos x="0" y="0"/>
                <wp:positionH relativeFrom="page">
                  <wp:posOffset>3582670</wp:posOffset>
                </wp:positionH>
                <wp:positionV relativeFrom="paragraph">
                  <wp:posOffset>64598</wp:posOffset>
                </wp:positionV>
                <wp:extent cx="283845" cy="9525"/>
                <wp:effectExtent l="0" t="0" r="0" b="0"/>
                <wp:wrapNone/>
                <wp:docPr id="16" name="Graphic 16"/>
                <wp:cNvGraphicFramePr>
                  <a:graphicFrameLocks/>
                </wp:cNvGraphicFramePr>
                <a:graphic>
                  <a:graphicData uri="http://schemas.microsoft.com/office/word/2010/wordprocessingShape">
                    <wps:wsp>
                      <wps:cNvPr id="16" name="Graphic 16"/>
                      <wps:cNvSpPr/>
                      <wps:spPr>
                        <a:xfrm>
                          <a:off x="0" y="0"/>
                          <a:ext cx="283845" cy="9525"/>
                        </a:xfrm>
                        <a:custGeom>
                          <a:avLst/>
                          <a:gdLst/>
                          <a:ahLst/>
                          <a:cxnLst/>
                          <a:rect l="l" t="t" r="r" b="b"/>
                          <a:pathLst>
                            <a:path w="283845" h="9525">
                              <a:moveTo>
                                <a:pt x="283768" y="0"/>
                              </a:moveTo>
                              <a:lnTo>
                                <a:pt x="0" y="0"/>
                              </a:lnTo>
                              <a:lnTo>
                                <a:pt x="0" y="9144"/>
                              </a:lnTo>
                              <a:lnTo>
                                <a:pt x="283768" y="9144"/>
                              </a:lnTo>
                              <a:lnTo>
                                <a:pt x="283768"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rect style="position:absolute;margin-left:282.100006pt;margin-top:5.086516pt;width:22.344pt;height:.72pt;mso-position-horizontal-relative:page;mso-position-vertical-relative:paragraph;z-index:-16530944" id="docshape15" filled="true" fillcolor="#000000" stroked="false">
                <v:fill type="solid"/>
                <w10:wrap type="none"/>
              </v:rect>
            </w:pict>
          </mc:Fallback>
        </mc:AlternateContent>
      </w:r>
      <w:r>
        <w:rPr>
          <w:rFonts w:ascii="Cambria Math"/>
        </w:rPr>
        <w:t>=</w:t>
      </w:r>
      <w:r>
        <w:rPr>
          <w:rFonts w:ascii="Cambria Math"/>
          <w:spacing w:val="10"/>
        </w:rPr>
        <w:t> </w:t>
      </w:r>
      <w:r>
        <w:rPr>
          <w:rFonts w:ascii="Cambria Math"/>
          <w:position w:val="-15"/>
        </w:rPr>
        <w:t>78.6</w:t>
      </w:r>
      <w:r>
        <w:rPr>
          <w:rFonts w:ascii="Cambria Math"/>
          <w:spacing w:val="11"/>
          <w:position w:val="-15"/>
        </w:rPr>
        <w:t> </w:t>
      </w:r>
      <w:r>
        <w:rPr>
          <w:rFonts w:ascii="Cambria Math"/>
        </w:rPr>
        <w:t>=</w:t>
      </w:r>
      <w:r>
        <w:rPr>
          <w:rFonts w:ascii="Cambria Math"/>
          <w:spacing w:val="12"/>
        </w:rPr>
        <w:t> </w:t>
      </w:r>
      <w:r>
        <w:rPr>
          <w:rFonts w:ascii="Cambria Math"/>
          <w:spacing w:val="-4"/>
        </w:rPr>
        <w:t>0.98</w:t>
      </w:r>
    </w:p>
    <w:p>
      <w:pPr>
        <w:pStyle w:val="BodyText"/>
        <w:rPr>
          <w:rFonts w:ascii="Cambria Math"/>
        </w:rPr>
      </w:pPr>
    </w:p>
    <w:p>
      <w:pPr>
        <w:pStyle w:val="BodyText"/>
        <w:spacing w:before="106"/>
        <w:rPr>
          <w:rFonts w:ascii="Cambria Math"/>
        </w:rPr>
      </w:pPr>
    </w:p>
    <w:p>
      <w:pPr>
        <w:pStyle w:val="Heading2"/>
      </w:pPr>
      <w:r>
        <w:rPr>
          <w:spacing w:val="-2"/>
        </w:rPr>
        <w:t>Analysis:</w:t>
      </w:r>
    </w:p>
    <w:p>
      <w:pPr>
        <w:pStyle w:val="BodyText"/>
        <w:spacing w:line="360" w:lineRule="auto" w:before="141"/>
        <w:ind w:right="354"/>
        <w:jc w:val="both"/>
      </w:pPr>
      <w:r>
        <w:rPr/>
        <w:t>The</w:t>
      </w:r>
      <w:r>
        <w:rPr>
          <w:spacing w:val="-17"/>
        </w:rPr>
        <w:t> </w:t>
      </w:r>
      <w:r>
        <w:rPr/>
        <w:t>current</w:t>
      </w:r>
      <w:r>
        <w:rPr>
          <w:spacing w:val="-17"/>
        </w:rPr>
        <w:t> </w:t>
      </w:r>
      <w:r>
        <w:rPr/>
        <w:t>ratio</w:t>
      </w:r>
      <w:r>
        <w:rPr>
          <w:spacing w:val="-16"/>
        </w:rPr>
        <w:t> </w:t>
      </w:r>
      <w:r>
        <w:rPr/>
        <w:t>is</w:t>
      </w:r>
      <w:r>
        <w:rPr>
          <w:spacing w:val="-17"/>
        </w:rPr>
        <w:t> </w:t>
      </w:r>
      <w:r>
        <w:rPr/>
        <w:t>0.98,</w:t>
      </w:r>
      <w:r>
        <w:rPr>
          <w:spacing w:val="-17"/>
        </w:rPr>
        <w:t> </w:t>
      </w:r>
      <w:r>
        <w:rPr/>
        <w:t>which</w:t>
      </w:r>
      <w:r>
        <w:rPr>
          <w:spacing w:val="-17"/>
        </w:rPr>
        <w:t> </w:t>
      </w:r>
      <w:r>
        <w:rPr/>
        <w:t>means</w:t>
      </w:r>
      <w:r>
        <w:rPr>
          <w:spacing w:val="-16"/>
        </w:rPr>
        <w:t> </w:t>
      </w:r>
      <w:r>
        <w:rPr/>
        <w:t>that</w:t>
      </w:r>
      <w:r>
        <w:rPr>
          <w:spacing w:val="-17"/>
        </w:rPr>
        <w:t> </w:t>
      </w:r>
      <w:r>
        <w:rPr/>
        <w:t>current</w:t>
      </w:r>
      <w:r>
        <w:rPr>
          <w:spacing w:val="-17"/>
        </w:rPr>
        <w:t> </w:t>
      </w:r>
      <w:r>
        <w:rPr/>
        <w:t>liabilities</w:t>
      </w:r>
      <w:r>
        <w:rPr>
          <w:spacing w:val="-16"/>
        </w:rPr>
        <w:t> </w:t>
      </w:r>
      <w:r>
        <w:rPr/>
        <w:t>are</w:t>
      </w:r>
      <w:r>
        <w:rPr>
          <w:spacing w:val="-17"/>
        </w:rPr>
        <w:t> </w:t>
      </w:r>
      <w:r>
        <w:rPr/>
        <w:t>a</w:t>
      </w:r>
      <w:r>
        <w:rPr>
          <w:spacing w:val="-17"/>
        </w:rPr>
        <w:t> </w:t>
      </w:r>
      <w:r>
        <w:rPr/>
        <w:t>little</w:t>
      </w:r>
      <w:r>
        <w:rPr>
          <w:spacing w:val="-16"/>
        </w:rPr>
        <w:t> </w:t>
      </w:r>
      <w:r>
        <w:rPr/>
        <w:t>greater</w:t>
      </w:r>
      <w:r>
        <w:rPr>
          <w:spacing w:val="-17"/>
        </w:rPr>
        <w:t> </w:t>
      </w:r>
      <w:r>
        <w:rPr/>
        <w:t>than</w:t>
      </w:r>
      <w:r>
        <w:rPr>
          <w:spacing w:val="-17"/>
        </w:rPr>
        <w:t> </w:t>
      </w:r>
      <w:r>
        <w:rPr/>
        <w:t>current assets,</w:t>
      </w:r>
      <w:r>
        <w:rPr>
          <w:spacing w:val="-2"/>
        </w:rPr>
        <w:t> </w:t>
      </w:r>
      <w:r>
        <w:rPr/>
        <w:t>which</w:t>
      </w:r>
      <w:r>
        <w:rPr>
          <w:spacing w:val="-6"/>
        </w:rPr>
        <w:t> </w:t>
      </w:r>
      <w:r>
        <w:rPr/>
        <w:t>is</w:t>
      </w:r>
      <w:r>
        <w:rPr>
          <w:spacing w:val="-7"/>
        </w:rPr>
        <w:t> </w:t>
      </w:r>
      <w:r>
        <w:rPr/>
        <w:t>a</w:t>
      </w:r>
      <w:r>
        <w:rPr>
          <w:spacing w:val="-1"/>
        </w:rPr>
        <w:t> </w:t>
      </w:r>
      <w:r>
        <w:rPr/>
        <w:t>tight</w:t>
      </w:r>
      <w:r>
        <w:rPr>
          <w:spacing w:val="-6"/>
        </w:rPr>
        <w:t> </w:t>
      </w:r>
      <w:r>
        <w:rPr/>
        <w:t>liquidity</w:t>
      </w:r>
      <w:r>
        <w:rPr>
          <w:spacing w:val="-6"/>
        </w:rPr>
        <w:t> </w:t>
      </w:r>
      <w:r>
        <w:rPr/>
        <w:t>position,</w:t>
      </w:r>
      <w:r>
        <w:rPr>
          <w:spacing w:val="-7"/>
        </w:rPr>
        <w:t> </w:t>
      </w:r>
      <w:r>
        <w:rPr/>
        <w:t>with</w:t>
      </w:r>
      <w:r>
        <w:rPr>
          <w:spacing w:val="-6"/>
        </w:rPr>
        <w:t> </w:t>
      </w:r>
      <w:r>
        <w:rPr/>
        <w:t>a</w:t>
      </w:r>
      <w:r>
        <w:rPr>
          <w:spacing w:val="-2"/>
        </w:rPr>
        <w:t> </w:t>
      </w:r>
      <w:r>
        <w:rPr/>
        <w:t>low</w:t>
      </w:r>
      <w:r>
        <w:rPr>
          <w:spacing w:val="-8"/>
        </w:rPr>
        <w:t> </w:t>
      </w:r>
      <w:r>
        <w:rPr/>
        <w:t>short-term</w:t>
      </w:r>
      <w:r>
        <w:rPr>
          <w:spacing w:val="-10"/>
        </w:rPr>
        <w:t> </w:t>
      </w:r>
      <w:r>
        <w:rPr/>
        <w:t>level</w:t>
      </w:r>
      <w:r>
        <w:rPr>
          <w:spacing w:val="-2"/>
        </w:rPr>
        <w:t> </w:t>
      </w:r>
      <w:r>
        <w:rPr/>
        <w:t>of</w:t>
      </w:r>
      <w:r>
        <w:rPr>
          <w:spacing w:val="-2"/>
        </w:rPr>
        <w:t> </w:t>
      </w:r>
      <w:r>
        <w:rPr/>
        <w:t>safety.</w:t>
      </w:r>
      <w:r>
        <w:rPr>
          <w:spacing w:val="-2"/>
        </w:rPr>
        <w:t> </w:t>
      </w:r>
      <w:r>
        <w:rPr/>
        <w:t>Despite</w:t>
      </w:r>
      <w:r>
        <w:rPr>
          <w:spacing w:val="-2"/>
        </w:rPr>
        <w:t> </w:t>
      </w:r>
      <w:r>
        <w:rPr/>
        <w:t>the increase in current assets, in real terms, this has not resulted in a liquidity buffer that is structurally robust. This will justify the going-concern disclosures of the company that focus on dependence on revenue growth, cost management, working capital effectiveness, and accessibility to external funds.</w:t>
      </w:r>
    </w:p>
    <w:p>
      <w:pPr>
        <w:pStyle w:val="BodyText"/>
      </w:pPr>
    </w:p>
    <w:p>
      <w:pPr>
        <w:pStyle w:val="BodyText"/>
        <w:spacing w:before="186"/>
      </w:pPr>
    </w:p>
    <w:p>
      <w:pPr>
        <w:pStyle w:val="Heading2"/>
      </w:pPr>
      <w:r>
        <w:rPr/>
        <w:t>Quick</w:t>
      </w:r>
      <w:r>
        <w:rPr>
          <w:spacing w:val="-3"/>
        </w:rPr>
        <w:t> </w:t>
      </w:r>
      <w:r>
        <w:rPr>
          <w:spacing w:val="-2"/>
        </w:rPr>
        <w:t>Ratio</w:t>
      </w:r>
    </w:p>
    <w:p>
      <w:pPr>
        <w:pStyle w:val="BodyText"/>
        <w:spacing w:before="24"/>
        <w:rPr>
          <w:rFonts w:ascii="Arial"/>
          <w:b/>
        </w:rPr>
      </w:pPr>
    </w:p>
    <w:p>
      <w:pPr>
        <w:pStyle w:val="BodyText"/>
        <w:jc w:val="both"/>
      </w:pPr>
      <w:r>
        <w:rPr/>
        <w:t>The</w:t>
      </w:r>
      <w:r>
        <w:rPr>
          <w:spacing w:val="-9"/>
        </w:rPr>
        <w:t> </w:t>
      </w:r>
      <w:r>
        <w:rPr/>
        <w:t>quick</w:t>
      </w:r>
      <w:r>
        <w:rPr>
          <w:spacing w:val="-12"/>
        </w:rPr>
        <w:t> </w:t>
      </w:r>
      <w:r>
        <w:rPr/>
        <w:t>ratio</w:t>
      </w:r>
      <w:r>
        <w:rPr>
          <w:spacing w:val="-6"/>
        </w:rPr>
        <w:t> </w:t>
      </w:r>
      <w:r>
        <w:rPr/>
        <w:t>provides</w:t>
      </w:r>
      <w:r>
        <w:rPr>
          <w:spacing w:val="-12"/>
        </w:rPr>
        <w:t> </w:t>
      </w:r>
      <w:r>
        <w:rPr/>
        <w:t>a</w:t>
      </w:r>
      <w:r>
        <w:rPr>
          <w:spacing w:val="-6"/>
        </w:rPr>
        <w:t> </w:t>
      </w:r>
      <w:r>
        <w:rPr/>
        <w:t>more</w:t>
      </w:r>
      <w:r>
        <w:rPr>
          <w:spacing w:val="-7"/>
        </w:rPr>
        <w:t> </w:t>
      </w:r>
      <w:r>
        <w:rPr/>
        <w:t>conservative</w:t>
      </w:r>
      <w:r>
        <w:rPr>
          <w:spacing w:val="-11"/>
        </w:rPr>
        <w:t> </w:t>
      </w:r>
      <w:r>
        <w:rPr/>
        <w:t>measure</w:t>
      </w:r>
      <w:r>
        <w:rPr>
          <w:spacing w:val="-6"/>
        </w:rPr>
        <w:t> </w:t>
      </w:r>
      <w:r>
        <w:rPr/>
        <w:t>of</w:t>
      </w:r>
      <w:r>
        <w:rPr>
          <w:spacing w:val="-6"/>
        </w:rPr>
        <w:t> </w:t>
      </w:r>
      <w:r>
        <w:rPr/>
        <w:t>liquidity</w:t>
      </w:r>
      <w:r>
        <w:rPr>
          <w:spacing w:val="-11"/>
        </w:rPr>
        <w:t> </w:t>
      </w:r>
      <w:r>
        <w:rPr/>
        <w:t>by</w:t>
      </w:r>
      <w:r>
        <w:rPr>
          <w:spacing w:val="-7"/>
        </w:rPr>
        <w:t> </w:t>
      </w:r>
      <w:r>
        <w:rPr/>
        <w:t>excluding</w:t>
      </w:r>
      <w:r>
        <w:rPr>
          <w:spacing w:val="-11"/>
        </w:rPr>
        <w:t> </w:t>
      </w:r>
      <w:r>
        <w:rPr>
          <w:spacing w:val="-2"/>
        </w:rPr>
        <w:t>inventory:</w:t>
      </w:r>
    </w:p>
    <w:p>
      <w:pPr>
        <w:pStyle w:val="BodyText"/>
        <w:spacing w:before="5"/>
        <w:rPr>
          <w:sz w:val="16"/>
        </w:rPr>
      </w:pPr>
    </w:p>
    <w:p>
      <w:pPr>
        <w:pStyle w:val="BodyText"/>
        <w:spacing w:after="0"/>
        <w:rPr>
          <w:sz w:val="16"/>
        </w:rPr>
        <w:sectPr>
          <w:type w:val="continuous"/>
          <w:pgSz w:w="12240" w:h="15840"/>
          <w:pgMar w:header="0" w:footer="1051" w:top="1820" w:bottom="1240" w:left="1440" w:right="1080"/>
        </w:sectPr>
      </w:pPr>
    </w:p>
    <w:p>
      <w:pPr>
        <w:pStyle w:val="BodyText"/>
        <w:spacing w:before="272"/>
        <w:ind w:left="1421"/>
        <w:rPr>
          <w:rFonts w:ascii="Cambria Math"/>
        </w:rPr>
      </w:pPr>
      <w:r>
        <w:rPr>
          <w:rFonts w:ascii="Cambria Math"/>
        </w:rPr>
        <mc:AlternateContent>
          <mc:Choice Requires="wps">
            <w:drawing>
              <wp:anchor distT="0" distB="0" distL="0" distR="0" allowOverlap="1" layoutInCell="1" locked="0" behindDoc="0" simplePos="0" relativeHeight="15734784">
                <wp:simplePos x="0" y="0"/>
                <wp:positionH relativeFrom="page">
                  <wp:posOffset>2805048</wp:posOffset>
                </wp:positionH>
                <wp:positionV relativeFrom="paragraph">
                  <wp:posOffset>268793</wp:posOffset>
                </wp:positionV>
                <wp:extent cx="3153410" cy="9525"/>
                <wp:effectExtent l="0" t="0" r="0" b="0"/>
                <wp:wrapNone/>
                <wp:docPr id="17" name="Graphic 17"/>
                <wp:cNvGraphicFramePr>
                  <a:graphicFrameLocks/>
                </wp:cNvGraphicFramePr>
                <a:graphic>
                  <a:graphicData uri="http://schemas.microsoft.com/office/word/2010/wordprocessingShape">
                    <wps:wsp>
                      <wps:cNvPr id="17" name="Graphic 17"/>
                      <wps:cNvSpPr/>
                      <wps:spPr>
                        <a:xfrm>
                          <a:off x="0" y="0"/>
                          <a:ext cx="3153410" cy="9525"/>
                        </a:xfrm>
                        <a:custGeom>
                          <a:avLst/>
                          <a:gdLst/>
                          <a:ahLst/>
                          <a:cxnLst/>
                          <a:rect l="l" t="t" r="r" b="b"/>
                          <a:pathLst>
                            <a:path w="3153410" h="9525">
                              <a:moveTo>
                                <a:pt x="3152902" y="0"/>
                              </a:moveTo>
                              <a:lnTo>
                                <a:pt x="0" y="0"/>
                              </a:lnTo>
                              <a:lnTo>
                                <a:pt x="0" y="9143"/>
                              </a:lnTo>
                              <a:lnTo>
                                <a:pt x="3152902" y="9143"/>
                              </a:lnTo>
                              <a:lnTo>
                                <a:pt x="3152902"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rect style="position:absolute;margin-left:220.869995pt;margin-top:21.164865pt;width:248.26pt;height:.71997pt;mso-position-horizontal-relative:page;mso-position-vertical-relative:paragraph;z-index:15734784" id="docshape16" filled="true" fillcolor="#000000" stroked="false">
                <v:fill type="solid"/>
                <w10:wrap type="none"/>
              </v:rect>
            </w:pict>
          </mc:Fallback>
        </mc:AlternateContent>
      </w:r>
      <w:r>
        <w:rPr/>
        <w:t>Quick Ratio</w:t>
      </w:r>
      <w:r>
        <w:rPr>
          <w:spacing w:val="-2"/>
        </w:rPr>
        <w:t> </w:t>
      </w:r>
      <w:r>
        <w:rPr>
          <w:rFonts w:ascii="Cambria Math"/>
          <w:spacing w:val="-10"/>
        </w:rPr>
        <w:t>=</w:t>
      </w:r>
    </w:p>
    <w:p>
      <w:pPr>
        <w:pStyle w:val="BodyText"/>
        <w:spacing w:line="297" w:lineRule="auto" w:before="92"/>
        <w:ind w:left="1581" w:right="1775" w:hanging="1557"/>
      </w:pPr>
      <w:r>
        <w:rPr/>
        <w:br w:type="column"/>
      </w:r>
      <w:r>
        <w:rPr/>
        <w:t>Cash</w:t>
      </w:r>
      <w:r>
        <w:rPr>
          <w:spacing w:val="-11"/>
        </w:rPr>
        <w:t> </w:t>
      </w:r>
      <w:r>
        <w:rPr/>
        <w:t>+</w:t>
      </w:r>
      <w:r>
        <w:rPr>
          <w:spacing w:val="-11"/>
        </w:rPr>
        <w:t> </w:t>
      </w:r>
      <w:r>
        <w:rPr/>
        <w:t>Short-Term</w:t>
      </w:r>
      <w:r>
        <w:rPr>
          <w:spacing w:val="-17"/>
        </w:rPr>
        <w:t> </w:t>
      </w:r>
      <w:r>
        <w:rPr/>
        <w:t>Investments</w:t>
      </w:r>
      <w:r>
        <w:rPr>
          <w:spacing w:val="-11"/>
        </w:rPr>
        <w:t> </w:t>
      </w:r>
      <w:r>
        <w:rPr/>
        <w:t>+</w:t>
      </w:r>
      <w:r>
        <w:rPr>
          <w:spacing w:val="-12"/>
        </w:rPr>
        <w:t> </w:t>
      </w:r>
      <w:r>
        <w:rPr/>
        <w:t>Receivables Current Liabilities</w:t>
      </w:r>
    </w:p>
    <w:p>
      <w:pPr>
        <w:pStyle w:val="BodyText"/>
        <w:spacing w:after="0" w:line="297" w:lineRule="auto"/>
        <w:sectPr>
          <w:type w:val="continuous"/>
          <w:pgSz w:w="12240" w:h="15840"/>
          <w:pgMar w:header="0" w:footer="1051" w:top="1820" w:bottom="1240" w:left="1440" w:right="1080"/>
          <w:cols w:num="2" w:equalWidth="0">
            <w:col w:w="2912" w:space="40"/>
            <w:col w:w="6768"/>
          </w:cols>
        </w:sectPr>
      </w:pPr>
    </w:p>
    <w:p>
      <w:pPr>
        <w:pStyle w:val="Heading2"/>
        <w:spacing w:before="185"/>
      </w:pPr>
      <w:r>
        <w:rPr/>
        <w:t>Calculation</w:t>
      </w:r>
      <w:r>
        <w:rPr>
          <w:spacing w:val="-5"/>
        </w:rPr>
        <w:t> </w:t>
      </w:r>
      <w:r>
        <w:rPr/>
        <w:t>(2025</w:t>
      </w:r>
      <w:r>
        <w:rPr>
          <w:spacing w:val="-10"/>
        </w:rPr>
        <w:t> </w:t>
      </w:r>
      <w:r>
        <w:rPr>
          <w:spacing w:val="-2"/>
        </w:rPr>
        <w:t>Approx.):</w:t>
      </w:r>
    </w:p>
    <w:p>
      <w:pPr>
        <w:pStyle w:val="BodyText"/>
        <w:spacing w:before="7"/>
        <w:rPr>
          <w:rFonts w:ascii="Arial"/>
          <w:b/>
          <w:sz w:val="18"/>
        </w:rPr>
      </w:pPr>
    </w:p>
    <w:p>
      <w:pPr>
        <w:pStyle w:val="BodyText"/>
        <w:spacing w:after="0"/>
        <w:rPr>
          <w:rFonts w:ascii="Arial"/>
          <w:b/>
          <w:sz w:val="18"/>
        </w:rPr>
        <w:sectPr>
          <w:type w:val="continuous"/>
          <w:pgSz w:w="12240" w:h="15840"/>
          <w:pgMar w:header="0" w:footer="1051" w:top="1820" w:bottom="1240" w:left="1440" w:right="1080"/>
        </w:sectPr>
      </w:pPr>
    </w:p>
    <w:p>
      <w:pPr>
        <w:pStyle w:val="BodyText"/>
        <w:spacing w:before="242"/>
        <w:jc w:val="right"/>
        <w:rPr>
          <w:rFonts w:ascii="Cambria Math"/>
        </w:rPr>
      </w:pPr>
      <w:r>
        <w:rPr/>
        <w:t>Quick Ratio</w:t>
      </w:r>
      <w:r>
        <w:rPr>
          <w:spacing w:val="-2"/>
        </w:rPr>
        <w:t> </w:t>
      </w:r>
      <w:r>
        <w:rPr>
          <w:rFonts w:ascii="Cambria Math"/>
          <w:spacing w:val="-10"/>
        </w:rPr>
        <w:t>=</w:t>
      </w:r>
    </w:p>
    <w:p>
      <w:pPr>
        <w:pStyle w:val="BodyText"/>
        <w:spacing w:before="59"/>
        <w:ind w:left="25"/>
        <w:rPr>
          <w:rFonts w:ascii="Cambria Math"/>
        </w:rPr>
      </w:pPr>
      <w:r>
        <w:rPr/>
        <w:br w:type="column"/>
      </w:r>
      <w:r>
        <w:rPr>
          <w:rFonts w:ascii="Cambria Math"/>
          <w:spacing w:val="-4"/>
        </w:rPr>
        <w:t>32.2</w:t>
      </w:r>
    </w:p>
    <w:p>
      <w:pPr>
        <w:pStyle w:val="BodyText"/>
        <w:spacing w:before="5"/>
        <w:rPr>
          <w:rFonts w:ascii="Cambria Math"/>
          <w:sz w:val="4"/>
        </w:rPr>
      </w:pPr>
    </w:p>
    <w:p>
      <w:pPr>
        <w:pStyle w:val="BodyText"/>
        <w:spacing w:line="20" w:lineRule="exact"/>
        <w:ind w:left="25" w:right="-58"/>
        <w:rPr>
          <w:rFonts w:ascii="Cambria Math"/>
          <w:sz w:val="2"/>
        </w:rPr>
      </w:pPr>
      <w:r>
        <w:rPr>
          <w:rFonts w:ascii="Cambria Math"/>
          <w:sz w:val="2"/>
        </w:rPr>
        <mc:AlternateContent>
          <mc:Choice Requires="wps">
            <w:drawing>
              <wp:inline distT="0" distB="0" distL="0" distR="0">
                <wp:extent cx="283845" cy="9525"/>
                <wp:effectExtent l="0" t="0" r="0" b="0"/>
                <wp:docPr id="18" name="Group 18"/>
                <wp:cNvGraphicFramePr>
                  <a:graphicFrameLocks/>
                </wp:cNvGraphicFramePr>
                <a:graphic>
                  <a:graphicData uri="http://schemas.microsoft.com/office/word/2010/wordprocessingGroup">
                    <wpg:wgp>
                      <wpg:cNvPr id="18" name="Group 18"/>
                      <wpg:cNvGrpSpPr/>
                      <wpg:grpSpPr>
                        <a:xfrm>
                          <a:off x="0" y="0"/>
                          <a:ext cx="283845" cy="9525"/>
                          <a:chExt cx="283845" cy="9525"/>
                        </a:xfrm>
                      </wpg:grpSpPr>
                      <wps:wsp>
                        <wps:cNvPr id="19" name="Graphic 19"/>
                        <wps:cNvSpPr/>
                        <wps:spPr>
                          <a:xfrm>
                            <a:off x="0" y="0"/>
                            <a:ext cx="283845" cy="9525"/>
                          </a:xfrm>
                          <a:custGeom>
                            <a:avLst/>
                            <a:gdLst/>
                            <a:ahLst/>
                            <a:cxnLst/>
                            <a:rect l="l" t="t" r="r" b="b"/>
                            <a:pathLst>
                              <a:path w="283845" h="9525">
                                <a:moveTo>
                                  <a:pt x="283463" y="0"/>
                                </a:moveTo>
                                <a:lnTo>
                                  <a:pt x="0" y="0"/>
                                </a:lnTo>
                                <a:lnTo>
                                  <a:pt x="0" y="9144"/>
                                </a:lnTo>
                                <a:lnTo>
                                  <a:pt x="283463" y="9144"/>
                                </a:lnTo>
                                <a:lnTo>
                                  <a:pt x="283463"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style="width:22.35pt;height:.75pt;mso-position-horizontal-relative:char;mso-position-vertical-relative:line" id="docshapegroup17" coordorigin="0,0" coordsize="447,15">
                <v:rect style="position:absolute;left:0;top:0;width:447;height:15" id="docshape18" filled="true" fillcolor="#000000" stroked="false">
                  <v:fill type="solid"/>
                </v:rect>
              </v:group>
            </w:pict>
          </mc:Fallback>
        </mc:AlternateContent>
      </w:r>
      <w:r>
        <w:rPr>
          <w:rFonts w:ascii="Cambria Math"/>
          <w:sz w:val="2"/>
        </w:rPr>
      </w:r>
    </w:p>
    <w:p>
      <w:pPr>
        <w:pStyle w:val="BodyText"/>
        <w:ind w:left="25"/>
        <w:rPr>
          <w:rFonts w:ascii="Cambria Math"/>
        </w:rPr>
      </w:pPr>
      <w:r>
        <w:rPr>
          <w:rFonts w:ascii="Cambria Math"/>
          <w:spacing w:val="-4"/>
        </w:rPr>
        <w:t>78.6</w:t>
      </w:r>
    </w:p>
    <w:p>
      <w:pPr>
        <w:pStyle w:val="BodyText"/>
        <w:spacing w:before="242"/>
        <w:ind w:left="23"/>
        <w:rPr>
          <w:rFonts w:ascii="Cambria Math"/>
        </w:rPr>
      </w:pPr>
      <w:r>
        <w:rPr/>
        <w:br w:type="column"/>
      </w:r>
      <w:r>
        <w:rPr>
          <w:rFonts w:ascii="Cambria Math"/>
        </w:rPr>
        <w:t>=</w:t>
      </w:r>
      <w:r>
        <w:rPr>
          <w:rFonts w:ascii="Cambria Math"/>
          <w:spacing w:val="12"/>
        </w:rPr>
        <w:t> </w:t>
      </w:r>
      <w:r>
        <w:rPr>
          <w:rFonts w:ascii="Cambria Math"/>
          <w:spacing w:val="-4"/>
        </w:rPr>
        <w:t>0.41</w:t>
      </w:r>
    </w:p>
    <w:p>
      <w:pPr>
        <w:pStyle w:val="BodyText"/>
        <w:spacing w:after="0"/>
        <w:rPr>
          <w:rFonts w:ascii="Cambria Math"/>
        </w:rPr>
        <w:sectPr>
          <w:type w:val="continuous"/>
          <w:pgSz w:w="12240" w:h="15840"/>
          <w:pgMar w:header="0" w:footer="1051" w:top="1820" w:bottom="1240" w:left="1440" w:right="1080"/>
          <w:cols w:num="3" w:equalWidth="0">
            <w:col w:w="4790" w:space="40"/>
            <w:col w:w="476" w:space="39"/>
            <w:col w:w="4375"/>
          </w:cols>
        </w:sectPr>
      </w:pPr>
    </w:p>
    <w:p>
      <w:pPr>
        <w:pStyle w:val="BodyText"/>
        <w:rPr>
          <w:rFonts w:ascii="Cambria Math"/>
        </w:rPr>
      </w:pPr>
    </w:p>
    <w:p>
      <w:pPr>
        <w:pStyle w:val="BodyText"/>
        <w:spacing w:before="196"/>
        <w:rPr>
          <w:rFonts w:ascii="Cambria Math"/>
        </w:rPr>
      </w:pPr>
    </w:p>
    <w:p>
      <w:pPr>
        <w:pStyle w:val="Heading2"/>
      </w:pPr>
      <w:r>
        <w:rPr>
          <w:spacing w:val="-2"/>
        </w:rPr>
        <w:t>Analysis:</w:t>
      </w:r>
    </w:p>
    <w:p>
      <w:pPr>
        <w:pStyle w:val="BodyText"/>
        <w:spacing w:line="362" w:lineRule="auto" w:before="142"/>
        <w:ind w:right="351"/>
        <w:jc w:val="both"/>
      </w:pPr>
      <w:r>
        <w:rPr/>
        <w:t>The quick ratio of 0.41 is an important indicator that NIO has a limited number of liquid assets within a short period as compared to its short-term</w:t>
      </w:r>
      <w:r>
        <w:rPr>
          <w:spacing w:val="-8"/>
        </w:rPr>
        <w:t> </w:t>
      </w:r>
      <w:r>
        <w:rPr/>
        <w:t>liabilities.</w:t>
      </w:r>
      <w:r>
        <w:rPr>
          <w:spacing w:val="-4"/>
        </w:rPr>
        <w:t> </w:t>
      </w:r>
      <w:r>
        <w:rPr/>
        <w:t>This</w:t>
      </w:r>
      <w:r>
        <w:rPr>
          <w:spacing w:val="-5"/>
        </w:rPr>
        <w:t> </w:t>
      </w:r>
      <w:r>
        <w:rPr/>
        <w:t>implies that the company</w:t>
      </w:r>
      <w:r>
        <w:rPr>
          <w:spacing w:val="-11"/>
        </w:rPr>
        <w:t> </w:t>
      </w:r>
      <w:r>
        <w:rPr/>
        <w:t>might</w:t>
      </w:r>
      <w:r>
        <w:rPr>
          <w:spacing w:val="-11"/>
        </w:rPr>
        <w:t> </w:t>
      </w:r>
      <w:r>
        <w:rPr/>
        <w:t>not</w:t>
      </w:r>
      <w:r>
        <w:rPr>
          <w:spacing w:val="-11"/>
        </w:rPr>
        <w:t> </w:t>
      </w:r>
      <w:r>
        <w:rPr/>
        <w:t>be</w:t>
      </w:r>
      <w:r>
        <w:rPr>
          <w:spacing w:val="-15"/>
        </w:rPr>
        <w:t> </w:t>
      </w:r>
      <w:r>
        <w:rPr/>
        <w:t>able</w:t>
      </w:r>
      <w:r>
        <w:rPr>
          <w:spacing w:val="-11"/>
        </w:rPr>
        <w:t> </w:t>
      </w:r>
      <w:r>
        <w:rPr/>
        <w:t>to</w:t>
      </w:r>
      <w:r>
        <w:rPr>
          <w:spacing w:val="-11"/>
        </w:rPr>
        <w:t> </w:t>
      </w:r>
      <w:r>
        <w:rPr/>
        <w:t>cover</w:t>
      </w:r>
      <w:r>
        <w:rPr>
          <w:spacing w:val="-15"/>
        </w:rPr>
        <w:t> </w:t>
      </w:r>
      <w:r>
        <w:rPr/>
        <w:t>its</w:t>
      </w:r>
      <w:r>
        <w:rPr>
          <w:spacing w:val="-10"/>
        </w:rPr>
        <w:t> </w:t>
      </w:r>
      <w:r>
        <w:rPr/>
        <w:t>liabilities</w:t>
      </w:r>
      <w:r>
        <w:rPr>
          <w:spacing w:val="-12"/>
        </w:rPr>
        <w:t> </w:t>
      </w:r>
      <w:r>
        <w:rPr/>
        <w:t>unless</w:t>
      </w:r>
      <w:r>
        <w:rPr>
          <w:spacing w:val="-16"/>
        </w:rPr>
        <w:t> </w:t>
      </w:r>
      <w:r>
        <w:rPr/>
        <w:t>it</w:t>
      </w:r>
      <w:r>
        <w:rPr>
          <w:spacing w:val="-11"/>
        </w:rPr>
        <w:t> </w:t>
      </w:r>
      <w:r>
        <w:rPr/>
        <w:t>converts</w:t>
      </w:r>
      <w:r>
        <w:rPr>
          <w:spacing w:val="-16"/>
        </w:rPr>
        <w:t> </w:t>
      </w:r>
      <w:r>
        <w:rPr/>
        <w:t>its</w:t>
      </w:r>
      <w:r>
        <w:rPr>
          <w:spacing w:val="-17"/>
        </w:rPr>
        <w:t> </w:t>
      </w:r>
      <w:r>
        <w:rPr/>
        <w:t>inventory</w:t>
      </w:r>
      <w:r>
        <w:rPr>
          <w:spacing w:val="-12"/>
        </w:rPr>
        <w:t> </w:t>
      </w:r>
      <w:r>
        <w:rPr/>
        <w:t>or</w:t>
      </w:r>
      <w:r>
        <w:rPr>
          <w:spacing w:val="-10"/>
        </w:rPr>
        <w:t> </w:t>
      </w:r>
      <w:r>
        <w:rPr/>
        <w:t>through further</w:t>
      </w:r>
      <w:r>
        <w:rPr>
          <w:spacing w:val="-12"/>
        </w:rPr>
        <w:t> </w:t>
      </w:r>
      <w:r>
        <w:rPr/>
        <w:t>financing.</w:t>
      </w:r>
      <w:r>
        <w:rPr>
          <w:spacing w:val="-17"/>
        </w:rPr>
        <w:t> </w:t>
      </w:r>
      <w:r>
        <w:rPr/>
        <w:t>Although</w:t>
      </w:r>
      <w:r>
        <w:rPr>
          <w:spacing w:val="-12"/>
        </w:rPr>
        <w:t> </w:t>
      </w:r>
      <w:r>
        <w:rPr/>
        <w:t>NIO</w:t>
      </w:r>
      <w:r>
        <w:rPr>
          <w:spacing w:val="-8"/>
        </w:rPr>
        <w:t> </w:t>
      </w:r>
      <w:r>
        <w:rPr/>
        <w:t>has</w:t>
      </w:r>
      <w:r>
        <w:rPr>
          <w:spacing w:val="-9"/>
        </w:rPr>
        <w:t> </w:t>
      </w:r>
      <w:r>
        <w:rPr/>
        <w:t>high</w:t>
      </w:r>
      <w:r>
        <w:rPr>
          <w:spacing w:val="-8"/>
        </w:rPr>
        <w:t> </w:t>
      </w:r>
      <w:r>
        <w:rPr/>
        <w:t>balances</w:t>
      </w:r>
      <w:r>
        <w:rPr>
          <w:spacing w:val="-9"/>
        </w:rPr>
        <w:t> </w:t>
      </w:r>
      <w:r>
        <w:rPr/>
        <w:t>in</w:t>
      </w:r>
      <w:r>
        <w:rPr>
          <w:spacing w:val="-8"/>
        </w:rPr>
        <w:t> </w:t>
      </w:r>
      <w:r>
        <w:rPr/>
        <w:t>cash,</w:t>
      </w:r>
      <w:r>
        <w:rPr>
          <w:spacing w:val="-8"/>
        </w:rPr>
        <w:t> </w:t>
      </w:r>
      <w:r>
        <w:rPr/>
        <w:t>restricted</w:t>
      </w:r>
      <w:r>
        <w:rPr>
          <w:spacing w:val="-12"/>
        </w:rPr>
        <w:t> </w:t>
      </w:r>
      <w:r>
        <w:rPr/>
        <w:t>cash</w:t>
      </w:r>
      <w:r>
        <w:rPr>
          <w:spacing w:val="-12"/>
        </w:rPr>
        <w:t> </w:t>
      </w:r>
      <w:r>
        <w:rPr/>
        <w:t>and</w:t>
      </w:r>
      <w:r>
        <w:rPr>
          <w:spacing w:val="-8"/>
        </w:rPr>
        <w:t> </w:t>
      </w:r>
      <w:r>
        <w:rPr/>
        <w:t>short-term investments, some of these assets are not effectively available due to operational or contractual limitations, decreasing effective liquidity.</w:t>
      </w:r>
    </w:p>
    <w:p>
      <w:pPr>
        <w:pStyle w:val="BodyText"/>
      </w:pPr>
    </w:p>
    <w:p>
      <w:pPr>
        <w:pStyle w:val="BodyText"/>
      </w:pPr>
    </w:p>
    <w:p>
      <w:pPr>
        <w:pStyle w:val="BodyText"/>
      </w:pPr>
    </w:p>
    <w:p>
      <w:pPr>
        <w:pStyle w:val="BodyText"/>
        <w:spacing w:before="183"/>
      </w:pPr>
    </w:p>
    <w:p>
      <w:pPr>
        <w:pStyle w:val="Heading2"/>
        <w:numPr>
          <w:ilvl w:val="1"/>
          <w:numId w:val="3"/>
        </w:numPr>
        <w:tabs>
          <w:tab w:pos="400" w:val="left" w:leader="none"/>
        </w:tabs>
        <w:spacing w:line="240" w:lineRule="auto" w:before="1" w:after="0"/>
        <w:ind w:left="400" w:right="0" w:hanging="400"/>
        <w:jc w:val="left"/>
      </w:pPr>
      <w:bookmarkStart w:name="2.4 Efficiency Analysis" w:id="17"/>
      <w:bookmarkEnd w:id="17"/>
      <w:r>
        <w:rPr>
          <w:b w:val="0"/>
        </w:rPr>
      </w:r>
      <w:bookmarkStart w:name="_bookmark8" w:id="18"/>
      <w:bookmarkEnd w:id="18"/>
      <w:r>
        <w:rPr>
          <w:b w:val="0"/>
        </w:rPr>
      </w:r>
      <w:r>
        <w:rPr>
          <w:spacing w:val="-2"/>
        </w:rPr>
        <w:t>Efficiency</w:t>
      </w:r>
      <w:r>
        <w:rPr>
          <w:spacing w:val="3"/>
        </w:rPr>
        <w:t> </w:t>
      </w:r>
      <w:r>
        <w:rPr>
          <w:spacing w:val="-2"/>
        </w:rPr>
        <w:t>Analysis</w:t>
      </w:r>
    </w:p>
    <w:p>
      <w:pPr>
        <w:pStyle w:val="BodyText"/>
        <w:spacing w:line="362" w:lineRule="auto" w:before="223"/>
        <w:ind w:right="365"/>
        <w:jc w:val="both"/>
      </w:pPr>
      <w:r>
        <w:rPr/>
        <w:t>Efficiency ratios determine the effectiveness with which NIO Inc. uses its resources and how it manages its operations within the time frame.</w:t>
      </w:r>
    </w:p>
    <w:p>
      <w:pPr>
        <w:pStyle w:val="Heading2"/>
        <w:spacing w:before="156"/>
      </w:pPr>
      <w:r>
        <w:rPr/>
        <w:t>Asset</w:t>
      </w:r>
      <w:r>
        <w:rPr>
          <w:spacing w:val="-5"/>
        </w:rPr>
        <w:t> </w:t>
      </w:r>
      <w:r>
        <w:rPr>
          <w:spacing w:val="-2"/>
        </w:rPr>
        <w:t>Turnover</w:t>
      </w:r>
    </w:p>
    <w:p>
      <w:pPr>
        <w:pStyle w:val="BodyText"/>
        <w:spacing w:before="28"/>
        <w:rPr>
          <w:rFonts w:ascii="Arial"/>
          <w:b/>
        </w:rPr>
      </w:pPr>
    </w:p>
    <w:p>
      <w:pPr>
        <w:pStyle w:val="BodyText"/>
        <w:jc w:val="both"/>
      </w:pPr>
      <w:r>
        <w:rPr/>
        <w:t>Asset</w:t>
      </w:r>
      <w:r>
        <w:rPr>
          <w:spacing w:val="-2"/>
        </w:rPr>
        <w:t> </w:t>
      </w:r>
      <w:r>
        <w:rPr/>
        <w:t>turnover</w:t>
      </w:r>
      <w:r>
        <w:rPr>
          <w:spacing w:val="-1"/>
        </w:rPr>
        <w:t> </w:t>
      </w:r>
      <w:r>
        <w:rPr/>
        <w:t>measures</w:t>
      </w:r>
      <w:r>
        <w:rPr>
          <w:spacing w:val="-2"/>
        </w:rPr>
        <w:t> </w:t>
      </w:r>
      <w:r>
        <w:rPr/>
        <w:t>the</w:t>
      </w:r>
      <w:r>
        <w:rPr>
          <w:spacing w:val="-2"/>
        </w:rPr>
        <w:t> </w:t>
      </w:r>
      <w:r>
        <w:rPr/>
        <w:t>ability</w:t>
      </w:r>
      <w:r>
        <w:rPr>
          <w:spacing w:val="-6"/>
        </w:rPr>
        <w:t> </w:t>
      </w:r>
      <w:r>
        <w:rPr/>
        <w:t>of</w:t>
      </w:r>
      <w:r>
        <w:rPr>
          <w:spacing w:val="5"/>
        </w:rPr>
        <w:t> </w:t>
      </w:r>
      <w:r>
        <w:rPr/>
        <w:t>the</w:t>
      </w:r>
      <w:r>
        <w:rPr>
          <w:spacing w:val="-1"/>
        </w:rPr>
        <w:t> </w:t>
      </w:r>
      <w:r>
        <w:rPr/>
        <w:t>firm</w:t>
      </w:r>
      <w:r>
        <w:rPr>
          <w:spacing w:val="-6"/>
        </w:rPr>
        <w:t> </w:t>
      </w:r>
      <w:r>
        <w:rPr/>
        <w:t>to</w:t>
      </w:r>
      <w:r>
        <w:rPr>
          <w:spacing w:val="-2"/>
        </w:rPr>
        <w:t> </w:t>
      </w:r>
      <w:r>
        <w:rPr/>
        <w:t>generate</w:t>
      </w:r>
      <w:r>
        <w:rPr>
          <w:spacing w:val="-6"/>
        </w:rPr>
        <w:t> </w:t>
      </w:r>
      <w:r>
        <w:rPr/>
        <w:t>revenue</w:t>
      </w:r>
      <w:r>
        <w:rPr>
          <w:spacing w:val="-1"/>
        </w:rPr>
        <w:t> </w:t>
      </w:r>
      <w:r>
        <w:rPr/>
        <w:t>from</w:t>
      </w:r>
      <w:r>
        <w:rPr>
          <w:spacing w:val="-10"/>
        </w:rPr>
        <w:t> </w:t>
      </w:r>
      <w:r>
        <w:rPr/>
        <w:t>its</w:t>
      </w:r>
      <w:r>
        <w:rPr>
          <w:spacing w:val="-2"/>
        </w:rPr>
        <w:t> </w:t>
      </w:r>
      <w:r>
        <w:rPr/>
        <w:t>asset</w:t>
      </w:r>
      <w:r>
        <w:rPr>
          <w:spacing w:val="-6"/>
        </w:rPr>
        <w:t> </w:t>
      </w:r>
      <w:r>
        <w:rPr>
          <w:spacing w:val="-2"/>
        </w:rPr>
        <w:t>base:</w:t>
      </w:r>
    </w:p>
    <w:p>
      <w:pPr>
        <w:pStyle w:val="BodyText"/>
        <w:spacing w:before="55"/>
      </w:pPr>
    </w:p>
    <w:p>
      <w:pPr>
        <w:pStyle w:val="BodyText"/>
        <w:spacing w:line="187" w:lineRule="auto"/>
        <w:ind w:left="2603" w:right="2955" w:firstLine="2559"/>
      </w:pPr>
      <w:r>
        <w:rPr/>
        <mc:AlternateContent>
          <mc:Choice Requires="wps">
            <w:drawing>
              <wp:anchor distT="0" distB="0" distL="0" distR="0" allowOverlap="1" layoutInCell="1" locked="0" behindDoc="1" simplePos="0" relativeHeight="486786560">
                <wp:simplePos x="0" y="0"/>
                <wp:positionH relativeFrom="page">
                  <wp:posOffset>3790188</wp:posOffset>
                </wp:positionH>
                <wp:positionV relativeFrom="paragraph">
                  <wp:posOffset>178881</wp:posOffset>
                </wp:positionV>
                <wp:extent cx="1417955" cy="9525"/>
                <wp:effectExtent l="0" t="0" r="0" b="0"/>
                <wp:wrapNone/>
                <wp:docPr id="20" name="Graphic 20"/>
                <wp:cNvGraphicFramePr>
                  <a:graphicFrameLocks/>
                </wp:cNvGraphicFramePr>
                <a:graphic>
                  <a:graphicData uri="http://schemas.microsoft.com/office/word/2010/wordprocessingShape">
                    <wps:wsp>
                      <wps:cNvPr id="20" name="Graphic 20"/>
                      <wps:cNvSpPr/>
                      <wps:spPr>
                        <a:xfrm>
                          <a:off x="0" y="0"/>
                          <a:ext cx="1417955" cy="9525"/>
                        </a:xfrm>
                        <a:custGeom>
                          <a:avLst/>
                          <a:gdLst/>
                          <a:ahLst/>
                          <a:cxnLst/>
                          <a:rect l="l" t="t" r="r" b="b"/>
                          <a:pathLst>
                            <a:path w="1417955" h="9525">
                              <a:moveTo>
                                <a:pt x="1417574" y="0"/>
                              </a:moveTo>
                              <a:lnTo>
                                <a:pt x="0" y="0"/>
                              </a:lnTo>
                              <a:lnTo>
                                <a:pt x="0" y="9144"/>
                              </a:lnTo>
                              <a:lnTo>
                                <a:pt x="1417574" y="9144"/>
                              </a:lnTo>
                              <a:lnTo>
                                <a:pt x="1417574"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rect style="position:absolute;margin-left:298.440002pt;margin-top:14.085156pt;width:111.62pt;height:.72pt;mso-position-horizontal-relative:page;mso-position-vertical-relative:paragraph;z-index:-16529920" id="docshape19" filled="true" fillcolor="#000000" stroked="false">
                <v:fill type="solid"/>
                <w10:wrap type="none"/>
              </v:rect>
            </w:pict>
          </mc:Fallback>
        </mc:AlternateContent>
      </w:r>
      <w:r>
        <w:rPr>
          <w:spacing w:val="-2"/>
        </w:rPr>
        <w:t>Revenue</w:t>
      </w:r>
      <w:r>
        <w:rPr>
          <w:spacing w:val="40"/>
        </w:rPr>
        <w:t> </w:t>
      </w:r>
      <w:r>
        <w:rPr>
          <w:position w:val="16"/>
        </w:rPr>
        <w:t>Asset</w:t>
      </w:r>
      <w:r>
        <w:rPr>
          <w:spacing w:val="-17"/>
          <w:position w:val="16"/>
        </w:rPr>
        <w:t> </w:t>
      </w:r>
      <w:r>
        <w:rPr>
          <w:position w:val="16"/>
        </w:rPr>
        <w:t>Turnover</w:t>
      </w:r>
      <w:r>
        <w:rPr>
          <w:spacing w:val="-17"/>
          <w:position w:val="16"/>
        </w:rPr>
        <w:t> </w:t>
      </w:r>
      <w:r>
        <w:rPr>
          <w:rFonts w:ascii="Cambria Math"/>
          <w:position w:val="16"/>
        </w:rPr>
        <w:t>=</w:t>
      </w:r>
      <w:r>
        <w:rPr>
          <w:rFonts w:ascii="Cambria Math"/>
          <w:spacing w:val="-10"/>
          <w:position w:val="16"/>
        </w:rPr>
        <w:t> </w:t>
      </w:r>
      <w:r>
        <w:rPr/>
        <w:t>Average</w:t>
      </w:r>
      <w:r>
        <w:rPr>
          <w:spacing w:val="-17"/>
        </w:rPr>
        <w:t> </w:t>
      </w:r>
      <w:r>
        <w:rPr/>
        <w:t>Total</w:t>
      </w:r>
      <w:r>
        <w:rPr>
          <w:spacing w:val="-16"/>
        </w:rPr>
        <w:t> </w:t>
      </w:r>
      <w:r>
        <w:rPr/>
        <w:t>Assets</w:t>
      </w:r>
    </w:p>
    <w:p>
      <w:pPr>
        <w:pStyle w:val="Heading2"/>
        <w:spacing w:before="270"/>
      </w:pPr>
      <w:r>
        <w:rPr/>
        <w:t>Trend</w:t>
      </w:r>
      <w:r>
        <w:rPr>
          <w:spacing w:val="-13"/>
        </w:rPr>
        <w:t> </w:t>
      </w:r>
      <w:r>
        <w:rPr>
          <w:spacing w:val="-2"/>
        </w:rPr>
        <w:t>(2021–2025):</w:t>
      </w:r>
    </w:p>
    <w:p>
      <w:pPr>
        <w:pStyle w:val="BodyText"/>
        <w:spacing w:before="25"/>
        <w:rPr>
          <w:rFonts w:ascii="Arial"/>
          <w:b/>
        </w:rPr>
      </w:pPr>
    </w:p>
    <w:p>
      <w:pPr>
        <w:pStyle w:val="ListParagraph"/>
        <w:numPr>
          <w:ilvl w:val="0"/>
          <w:numId w:val="4"/>
        </w:numPr>
        <w:tabs>
          <w:tab w:pos="720" w:val="left" w:leader="none"/>
        </w:tabs>
        <w:spacing w:line="240" w:lineRule="auto" w:before="0" w:after="0"/>
        <w:ind w:left="720" w:right="0" w:hanging="360"/>
        <w:jc w:val="left"/>
        <w:rPr>
          <w:rFonts w:ascii="Arial MT" w:hAnsi="Arial MT"/>
          <w:sz w:val="24"/>
        </w:rPr>
      </w:pPr>
      <w:r>
        <w:rPr>
          <w:rFonts w:ascii="Arial MT" w:hAnsi="Arial MT"/>
          <w:sz w:val="24"/>
        </w:rPr>
        <w:t>2021–2022:</w:t>
      </w:r>
      <w:r>
        <w:rPr>
          <w:rFonts w:ascii="Arial MT" w:hAnsi="Arial MT"/>
          <w:spacing w:val="-1"/>
          <w:sz w:val="24"/>
        </w:rPr>
        <w:t> </w:t>
      </w:r>
      <w:r>
        <w:rPr>
          <w:rFonts w:ascii="Arial MT" w:hAnsi="Arial MT"/>
          <w:sz w:val="24"/>
        </w:rPr>
        <w:t>Lower</w:t>
      </w:r>
      <w:r>
        <w:rPr>
          <w:rFonts w:ascii="Arial MT" w:hAnsi="Arial MT"/>
          <w:spacing w:val="-2"/>
          <w:sz w:val="24"/>
        </w:rPr>
        <w:t> </w:t>
      </w:r>
      <w:r>
        <w:rPr>
          <w:rFonts w:ascii="Arial MT" w:hAnsi="Arial MT"/>
          <w:sz w:val="24"/>
        </w:rPr>
        <w:t>ratio</w:t>
      </w:r>
      <w:r>
        <w:rPr>
          <w:rFonts w:ascii="Arial MT" w:hAnsi="Arial MT"/>
          <w:spacing w:val="-2"/>
          <w:sz w:val="24"/>
        </w:rPr>
        <w:t> </w:t>
      </w:r>
      <w:r>
        <w:rPr>
          <w:rFonts w:ascii="Arial MT" w:hAnsi="Arial MT"/>
          <w:sz w:val="24"/>
        </w:rPr>
        <w:t>due</w:t>
      </w:r>
      <w:r>
        <w:rPr>
          <w:rFonts w:ascii="Arial MT" w:hAnsi="Arial MT"/>
          <w:spacing w:val="-6"/>
          <w:sz w:val="24"/>
        </w:rPr>
        <w:t> </w:t>
      </w:r>
      <w:r>
        <w:rPr>
          <w:rFonts w:ascii="Arial MT" w:hAnsi="Arial MT"/>
          <w:sz w:val="24"/>
        </w:rPr>
        <w:t>to</w:t>
      </w:r>
      <w:r>
        <w:rPr>
          <w:rFonts w:ascii="Arial MT" w:hAnsi="Arial MT"/>
          <w:spacing w:val="-3"/>
          <w:sz w:val="24"/>
        </w:rPr>
        <w:t> </w:t>
      </w:r>
      <w:r>
        <w:rPr>
          <w:rFonts w:ascii="Arial MT" w:hAnsi="Arial MT"/>
          <w:sz w:val="24"/>
        </w:rPr>
        <w:t>heavy</w:t>
      </w:r>
      <w:r>
        <w:rPr>
          <w:rFonts w:ascii="Arial MT" w:hAnsi="Arial MT"/>
          <w:spacing w:val="-7"/>
          <w:sz w:val="24"/>
        </w:rPr>
        <w:t> </w:t>
      </w:r>
      <w:r>
        <w:rPr>
          <w:rFonts w:ascii="Arial MT" w:hAnsi="Arial MT"/>
          <w:sz w:val="24"/>
        </w:rPr>
        <w:t>investment</w:t>
      </w:r>
      <w:r>
        <w:rPr>
          <w:rFonts w:ascii="Arial MT" w:hAnsi="Arial MT"/>
          <w:spacing w:val="-2"/>
          <w:sz w:val="24"/>
        </w:rPr>
        <w:t> phase</w:t>
      </w:r>
    </w:p>
    <w:p>
      <w:pPr>
        <w:pStyle w:val="BodyText"/>
        <w:spacing w:before="24"/>
      </w:pPr>
    </w:p>
    <w:p>
      <w:pPr>
        <w:pStyle w:val="ListParagraph"/>
        <w:numPr>
          <w:ilvl w:val="0"/>
          <w:numId w:val="4"/>
        </w:numPr>
        <w:tabs>
          <w:tab w:pos="720" w:val="left" w:leader="none"/>
        </w:tabs>
        <w:spacing w:line="240" w:lineRule="auto" w:before="0" w:after="0"/>
        <w:ind w:left="720" w:right="0" w:hanging="360"/>
        <w:jc w:val="left"/>
        <w:rPr>
          <w:rFonts w:ascii="Arial MT" w:hAnsi="Arial MT"/>
          <w:sz w:val="24"/>
        </w:rPr>
      </w:pPr>
      <w:r>
        <w:rPr>
          <w:rFonts w:ascii="Arial MT" w:hAnsi="Arial MT"/>
          <w:sz w:val="24"/>
        </w:rPr>
        <w:t>2023–2025:</w:t>
      </w:r>
      <w:r>
        <w:rPr>
          <w:rFonts w:ascii="Arial MT" w:hAnsi="Arial MT"/>
          <w:spacing w:val="-5"/>
          <w:sz w:val="24"/>
        </w:rPr>
        <w:t> </w:t>
      </w:r>
      <w:r>
        <w:rPr>
          <w:rFonts w:ascii="Arial MT" w:hAnsi="Arial MT"/>
          <w:sz w:val="24"/>
        </w:rPr>
        <w:t>Gradual</w:t>
      </w:r>
      <w:r>
        <w:rPr>
          <w:rFonts w:ascii="Arial MT" w:hAnsi="Arial MT"/>
          <w:spacing w:val="-6"/>
          <w:sz w:val="24"/>
        </w:rPr>
        <w:t> </w:t>
      </w:r>
      <w:r>
        <w:rPr>
          <w:rFonts w:ascii="Arial MT" w:hAnsi="Arial MT"/>
          <w:sz w:val="24"/>
        </w:rPr>
        <w:t>improvement</w:t>
      </w:r>
      <w:r>
        <w:rPr>
          <w:rFonts w:ascii="Arial MT" w:hAnsi="Arial MT"/>
          <w:spacing w:val="-5"/>
          <w:sz w:val="24"/>
        </w:rPr>
        <w:t> </w:t>
      </w:r>
      <w:r>
        <w:rPr>
          <w:rFonts w:ascii="Arial MT" w:hAnsi="Arial MT"/>
          <w:sz w:val="24"/>
        </w:rPr>
        <w:t>as</w:t>
      </w:r>
      <w:r>
        <w:rPr>
          <w:rFonts w:ascii="Arial MT" w:hAnsi="Arial MT"/>
          <w:spacing w:val="-4"/>
          <w:sz w:val="24"/>
        </w:rPr>
        <w:t> </w:t>
      </w:r>
      <w:r>
        <w:rPr>
          <w:rFonts w:ascii="Arial MT" w:hAnsi="Arial MT"/>
          <w:sz w:val="24"/>
        </w:rPr>
        <w:t>revenue</w:t>
      </w:r>
      <w:r>
        <w:rPr>
          <w:rFonts w:ascii="Arial MT" w:hAnsi="Arial MT"/>
          <w:spacing w:val="-9"/>
          <w:sz w:val="24"/>
        </w:rPr>
        <w:t> </w:t>
      </w:r>
      <w:r>
        <w:rPr>
          <w:rFonts w:ascii="Arial MT" w:hAnsi="Arial MT"/>
          <w:sz w:val="24"/>
        </w:rPr>
        <w:t>growth</w:t>
      </w:r>
      <w:r>
        <w:rPr>
          <w:rFonts w:ascii="Arial MT" w:hAnsi="Arial MT"/>
          <w:spacing w:val="-3"/>
          <w:sz w:val="24"/>
        </w:rPr>
        <w:t> </w:t>
      </w:r>
      <w:r>
        <w:rPr>
          <w:rFonts w:ascii="Arial MT" w:hAnsi="Arial MT"/>
          <w:spacing w:val="-2"/>
          <w:sz w:val="24"/>
        </w:rPr>
        <w:t>accelerates</w:t>
      </w:r>
    </w:p>
    <w:p>
      <w:pPr>
        <w:pStyle w:val="BodyText"/>
        <w:spacing w:before="19"/>
      </w:pPr>
    </w:p>
    <w:p>
      <w:pPr>
        <w:pStyle w:val="Heading2"/>
      </w:pPr>
      <w:r>
        <w:rPr/>
        <w:t>2025 </w:t>
      </w:r>
      <w:r>
        <w:rPr>
          <w:spacing w:val="-2"/>
        </w:rPr>
        <w:t>Calculation:</w:t>
      </w:r>
    </w:p>
    <w:p>
      <w:pPr>
        <w:pStyle w:val="BodyText"/>
        <w:spacing w:line="232" w:lineRule="exact" w:before="274"/>
        <w:ind w:left="767" w:right="1880"/>
        <w:jc w:val="center"/>
        <w:rPr>
          <w:rFonts w:ascii="Cambria Math"/>
        </w:rPr>
      </w:pPr>
      <w:r>
        <w:rPr>
          <w:rFonts w:ascii="Cambria Math"/>
          <w:spacing w:val="-4"/>
        </w:rPr>
        <w:t>87.5</w:t>
      </w:r>
    </w:p>
    <w:p>
      <w:pPr>
        <w:pStyle w:val="BodyText"/>
        <w:spacing w:line="187" w:lineRule="auto"/>
        <w:ind w:left="4010"/>
        <w:rPr>
          <w:rFonts w:ascii="Cambria Math"/>
        </w:rPr>
      </w:pPr>
      <w:r>
        <w:rPr>
          <w:rFonts w:ascii="Cambria Math"/>
        </w:rPr>
        <mc:AlternateContent>
          <mc:Choice Requires="wps">
            <w:drawing>
              <wp:anchor distT="0" distB="0" distL="0" distR="0" allowOverlap="1" layoutInCell="1" locked="0" behindDoc="1" simplePos="0" relativeHeight="486787072">
                <wp:simplePos x="0" y="0"/>
                <wp:positionH relativeFrom="page">
                  <wp:posOffset>3460750</wp:posOffset>
                </wp:positionH>
                <wp:positionV relativeFrom="paragraph">
                  <wp:posOffset>64717</wp:posOffset>
                </wp:positionV>
                <wp:extent cx="369570" cy="9525"/>
                <wp:effectExtent l="0" t="0" r="0" b="0"/>
                <wp:wrapNone/>
                <wp:docPr id="21" name="Graphic 21"/>
                <wp:cNvGraphicFramePr>
                  <a:graphicFrameLocks/>
                </wp:cNvGraphicFramePr>
                <a:graphic>
                  <a:graphicData uri="http://schemas.microsoft.com/office/word/2010/wordprocessingShape">
                    <wps:wsp>
                      <wps:cNvPr id="21" name="Graphic 21"/>
                      <wps:cNvSpPr/>
                      <wps:spPr>
                        <a:xfrm>
                          <a:off x="0" y="0"/>
                          <a:ext cx="369570" cy="9525"/>
                        </a:xfrm>
                        <a:custGeom>
                          <a:avLst/>
                          <a:gdLst/>
                          <a:ahLst/>
                          <a:cxnLst/>
                          <a:rect l="l" t="t" r="r" b="b"/>
                          <a:pathLst>
                            <a:path w="369570" h="9525">
                              <a:moveTo>
                                <a:pt x="369112" y="0"/>
                              </a:moveTo>
                              <a:lnTo>
                                <a:pt x="0" y="0"/>
                              </a:lnTo>
                              <a:lnTo>
                                <a:pt x="0" y="9143"/>
                              </a:lnTo>
                              <a:lnTo>
                                <a:pt x="369112" y="9143"/>
                              </a:lnTo>
                              <a:lnTo>
                                <a:pt x="369112"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rect style="position:absolute;margin-left:272.5pt;margin-top:5.095845pt;width:29.064pt;height:.71997pt;mso-position-horizontal-relative:page;mso-position-vertical-relative:paragraph;z-index:-16529408" id="docshape20" filled="true" fillcolor="#000000" stroked="false">
                <v:fill type="solid"/>
                <w10:wrap type="none"/>
              </v:rect>
            </w:pict>
          </mc:Fallback>
        </mc:AlternateContent>
      </w:r>
      <w:r>
        <w:rPr>
          <w:rFonts w:ascii="Cambria Math"/>
          <w:position w:val="-15"/>
        </w:rPr>
        <w:t>116.0</w:t>
      </w:r>
      <w:r>
        <w:rPr>
          <w:rFonts w:ascii="Cambria Math"/>
          <w:spacing w:val="11"/>
          <w:position w:val="-15"/>
        </w:rPr>
        <w:t> </w:t>
      </w:r>
      <w:r>
        <w:rPr>
          <w:rFonts w:ascii="Cambria Math"/>
        </w:rPr>
        <w:t>=</w:t>
      </w:r>
      <w:r>
        <w:rPr>
          <w:rFonts w:ascii="Cambria Math"/>
          <w:spacing w:val="13"/>
        </w:rPr>
        <w:t> </w:t>
      </w:r>
      <w:r>
        <w:rPr>
          <w:rFonts w:ascii="Cambria Math"/>
          <w:spacing w:val="-4"/>
        </w:rPr>
        <w:t>0.75</w:t>
      </w:r>
    </w:p>
    <w:p>
      <w:pPr>
        <w:pStyle w:val="BodyText"/>
        <w:spacing w:after="0" w:line="187" w:lineRule="auto"/>
        <w:rPr>
          <w:rFonts w:ascii="Cambria Math"/>
        </w:rPr>
        <w:sectPr>
          <w:pgSz w:w="12240" w:h="15840"/>
          <w:pgMar w:header="0" w:footer="1051" w:top="1820" w:bottom="1240" w:left="1440" w:right="1080"/>
        </w:sectPr>
      </w:pPr>
    </w:p>
    <w:p>
      <w:pPr>
        <w:pStyle w:val="Heading2"/>
        <w:spacing w:before="71"/>
      </w:pPr>
      <w:r>
        <w:rPr>
          <w:spacing w:val="-2"/>
        </w:rPr>
        <w:t>Analysis:</w:t>
      </w:r>
    </w:p>
    <w:p>
      <w:pPr>
        <w:pStyle w:val="BodyText"/>
        <w:spacing w:line="360" w:lineRule="auto" w:before="142"/>
        <w:ind w:right="356"/>
        <w:jc w:val="both"/>
      </w:pPr>
      <w:r>
        <w:rPr/>
        <w:t>The asset turnover</w:t>
      </w:r>
      <w:r>
        <w:rPr>
          <w:spacing w:val="-1"/>
        </w:rPr>
        <w:t> </w:t>
      </w:r>
      <w:r>
        <w:rPr/>
        <w:t>ratio</w:t>
      </w:r>
      <w:r>
        <w:rPr>
          <w:spacing w:val="-2"/>
        </w:rPr>
        <w:t> </w:t>
      </w:r>
      <w:r>
        <w:rPr/>
        <w:t>is</w:t>
      </w:r>
      <w:r>
        <w:rPr>
          <w:spacing w:val="-2"/>
        </w:rPr>
        <w:t> </w:t>
      </w:r>
      <w:r>
        <w:rPr/>
        <w:t>0.75, which</w:t>
      </w:r>
      <w:r>
        <w:rPr>
          <w:spacing w:val="-1"/>
        </w:rPr>
        <w:t> </w:t>
      </w:r>
      <w:r>
        <w:rPr/>
        <w:t>means that</w:t>
      </w:r>
      <w:r>
        <w:rPr>
          <w:spacing w:val="-2"/>
        </w:rPr>
        <w:t> </w:t>
      </w:r>
      <w:r>
        <w:rPr/>
        <w:t>every</w:t>
      </w:r>
      <w:r>
        <w:rPr>
          <w:spacing w:val="-2"/>
        </w:rPr>
        <w:t> </w:t>
      </w:r>
      <w:r>
        <w:rPr/>
        <w:t>RMB 1 of</w:t>
      </w:r>
      <w:r>
        <w:rPr>
          <w:spacing w:val="-2"/>
        </w:rPr>
        <w:t> </w:t>
      </w:r>
      <w:r>
        <w:rPr/>
        <w:t>assets will contribute RMB</w:t>
      </w:r>
      <w:r>
        <w:rPr>
          <w:spacing w:val="-14"/>
        </w:rPr>
        <w:t> </w:t>
      </w:r>
      <w:r>
        <w:rPr/>
        <w:t>0.75</w:t>
      </w:r>
      <w:r>
        <w:rPr>
          <w:spacing w:val="-10"/>
        </w:rPr>
        <w:t> </w:t>
      </w:r>
      <w:r>
        <w:rPr/>
        <w:t>of</w:t>
      </w:r>
      <w:r>
        <w:rPr>
          <w:spacing w:val="-10"/>
        </w:rPr>
        <w:t> </w:t>
      </w:r>
      <w:r>
        <w:rPr/>
        <w:t>revenue.</w:t>
      </w:r>
      <w:r>
        <w:rPr>
          <w:spacing w:val="-17"/>
        </w:rPr>
        <w:t> </w:t>
      </w:r>
      <w:r>
        <w:rPr/>
        <w:t>Although</w:t>
      </w:r>
      <w:r>
        <w:rPr>
          <w:spacing w:val="-9"/>
        </w:rPr>
        <w:t> </w:t>
      </w:r>
      <w:r>
        <w:rPr/>
        <w:t>this</w:t>
      </w:r>
      <w:r>
        <w:rPr>
          <w:spacing w:val="-15"/>
        </w:rPr>
        <w:t> </w:t>
      </w:r>
      <w:r>
        <w:rPr/>
        <w:t>is</w:t>
      </w:r>
      <w:r>
        <w:rPr>
          <w:spacing w:val="-11"/>
        </w:rPr>
        <w:t> </w:t>
      </w:r>
      <w:r>
        <w:rPr/>
        <w:t>better</w:t>
      </w:r>
      <w:r>
        <w:rPr>
          <w:spacing w:val="-9"/>
        </w:rPr>
        <w:t> </w:t>
      </w:r>
      <w:r>
        <w:rPr/>
        <w:t>utilisation</w:t>
      </w:r>
      <w:r>
        <w:rPr>
          <w:spacing w:val="-10"/>
        </w:rPr>
        <w:t> </w:t>
      </w:r>
      <w:r>
        <w:rPr/>
        <w:t>than</w:t>
      </w:r>
      <w:r>
        <w:rPr>
          <w:spacing w:val="-10"/>
        </w:rPr>
        <w:t> </w:t>
      </w:r>
      <w:r>
        <w:rPr/>
        <w:t>in</w:t>
      </w:r>
      <w:r>
        <w:rPr>
          <w:spacing w:val="-10"/>
        </w:rPr>
        <w:t> </w:t>
      </w:r>
      <w:r>
        <w:rPr/>
        <w:t>the</w:t>
      </w:r>
      <w:r>
        <w:rPr>
          <w:spacing w:val="-10"/>
        </w:rPr>
        <w:t> </w:t>
      </w:r>
      <w:r>
        <w:rPr/>
        <w:t>previous</w:t>
      </w:r>
      <w:r>
        <w:rPr>
          <w:spacing w:val="-11"/>
        </w:rPr>
        <w:t> </w:t>
      </w:r>
      <w:r>
        <w:rPr/>
        <w:t>years,</w:t>
      </w:r>
      <w:r>
        <w:rPr>
          <w:spacing w:val="-15"/>
        </w:rPr>
        <w:t> </w:t>
      </w:r>
      <w:r>
        <w:rPr/>
        <w:t>it</w:t>
      </w:r>
      <w:r>
        <w:rPr>
          <w:spacing w:val="-15"/>
        </w:rPr>
        <w:t> </w:t>
      </w:r>
      <w:r>
        <w:rPr/>
        <w:t>is</w:t>
      </w:r>
      <w:r>
        <w:rPr>
          <w:spacing w:val="-11"/>
        </w:rPr>
        <w:t> </w:t>
      </w:r>
      <w:r>
        <w:rPr/>
        <w:t>still rather</w:t>
      </w:r>
      <w:r>
        <w:rPr>
          <w:spacing w:val="-3"/>
        </w:rPr>
        <w:t> </w:t>
      </w:r>
      <w:r>
        <w:rPr/>
        <w:t>small,</w:t>
      </w:r>
      <w:r>
        <w:rPr>
          <w:spacing w:val="-4"/>
        </w:rPr>
        <w:t> </w:t>
      </w:r>
      <w:r>
        <w:rPr/>
        <w:t>which</w:t>
      </w:r>
      <w:r>
        <w:rPr>
          <w:spacing w:val="-4"/>
        </w:rPr>
        <w:t> </w:t>
      </w:r>
      <w:r>
        <w:rPr/>
        <w:t>shows</w:t>
      </w:r>
      <w:r>
        <w:rPr>
          <w:spacing w:val="-4"/>
        </w:rPr>
        <w:t> </w:t>
      </w:r>
      <w:r>
        <w:rPr/>
        <w:t>the</w:t>
      </w:r>
      <w:r>
        <w:rPr>
          <w:spacing w:val="-4"/>
        </w:rPr>
        <w:t> </w:t>
      </w:r>
      <w:r>
        <w:rPr/>
        <w:t>capital-intensive</w:t>
      </w:r>
      <w:r>
        <w:rPr>
          <w:spacing w:val="-4"/>
        </w:rPr>
        <w:t> </w:t>
      </w:r>
      <w:r>
        <w:rPr/>
        <w:t>character</w:t>
      </w:r>
      <w:r>
        <w:rPr>
          <w:spacing w:val="-3"/>
        </w:rPr>
        <w:t> </w:t>
      </w:r>
      <w:r>
        <w:rPr/>
        <w:t>of</w:t>
      </w:r>
      <w:r>
        <w:rPr>
          <w:spacing w:val="-4"/>
        </w:rPr>
        <w:t> </w:t>
      </w:r>
      <w:r>
        <w:rPr/>
        <w:t>the</w:t>
      </w:r>
      <w:r>
        <w:rPr>
          <w:spacing w:val="-4"/>
        </w:rPr>
        <w:t> </w:t>
      </w:r>
      <w:r>
        <w:rPr/>
        <w:t>EV</w:t>
      </w:r>
      <w:r>
        <w:rPr>
          <w:spacing w:val="-5"/>
        </w:rPr>
        <w:t> </w:t>
      </w:r>
      <w:r>
        <w:rPr/>
        <w:t>industry.</w:t>
      </w:r>
      <w:r>
        <w:rPr>
          <w:spacing w:val="-7"/>
        </w:rPr>
        <w:t> </w:t>
      </w:r>
      <w:r>
        <w:rPr/>
        <w:t>The</w:t>
      </w:r>
      <w:r>
        <w:rPr>
          <w:spacing w:val="-4"/>
        </w:rPr>
        <w:t> </w:t>
      </w:r>
      <w:r>
        <w:rPr/>
        <w:t>upward slanting trend indicates that NIO is starting to capitalise on its asset base to a greater extent as production and sales volumes rise. Yet, additional enhancement is needed to attain effective capitalisation and better returns.</w:t>
      </w:r>
    </w:p>
    <w:p>
      <w:pPr>
        <w:pStyle w:val="BodyText"/>
      </w:pPr>
    </w:p>
    <w:p>
      <w:pPr>
        <w:pStyle w:val="BodyText"/>
        <w:spacing w:before="185"/>
      </w:pPr>
    </w:p>
    <w:p>
      <w:pPr>
        <w:pStyle w:val="Heading2"/>
        <w:spacing w:before="1"/>
      </w:pPr>
      <w:r>
        <w:rPr/>
        <w:t>Inventory</w:t>
      </w:r>
      <w:r>
        <w:rPr>
          <w:spacing w:val="-11"/>
        </w:rPr>
        <w:t> </w:t>
      </w:r>
      <w:r>
        <w:rPr>
          <w:spacing w:val="-2"/>
        </w:rPr>
        <w:t>Turnover</w:t>
      </w:r>
    </w:p>
    <w:p>
      <w:pPr>
        <w:pStyle w:val="BodyText"/>
        <w:spacing w:before="24"/>
        <w:rPr>
          <w:rFonts w:ascii="Arial"/>
          <w:b/>
        </w:rPr>
      </w:pPr>
    </w:p>
    <w:p>
      <w:pPr>
        <w:pStyle w:val="BodyText"/>
        <w:jc w:val="both"/>
      </w:pPr>
      <w:r>
        <w:rPr/>
        <w:t>Inventory</w:t>
      </w:r>
      <w:r>
        <w:rPr>
          <w:spacing w:val="-9"/>
        </w:rPr>
        <w:t> </w:t>
      </w:r>
      <w:r>
        <w:rPr/>
        <w:t>turnover</w:t>
      </w:r>
      <w:r>
        <w:rPr>
          <w:spacing w:val="-5"/>
        </w:rPr>
        <w:t> </w:t>
      </w:r>
      <w:r>
        <w:rPr/>
        <w:t>is</w:t>
      </w:r>
      <w:r>
        <w:rPr>
          <w:spacing w:val="-2"/>
        </w:rPr>
        <w:t> </w:t>
      </w:r>
      <w:r>
        <w:rPr/>
        <w:t>used</w:t>
      </w:r>
      <w:r>
        <w:rPr>
          <w:spacing w:val="-2"/>
        </w:rPr>
        <w:t> </w:t>
      </w:r>
      <w:r>
        <w:rPr/>
        <w:t>to</w:t>
      </w:r>
      <w:r>
        <w:rPr>
          <w:spacing w:val="-5"/>
        </w:rPr>
        <w:t> </w:t>
      </w:r>
      <w:r>
        <w:rPr/>
        <w:t>determine</w:t>
      </w:r>
      <w:r>
        <w:rPr>
          <w:spacing w:val="-2"/>
        </w:rPr>
        <w:t> </w:t>
      </w:r>
      <w:r>
        <w:rPr/>
        <w:t>how</w:t>
      </w:r>
      <w:r>
        <w:rPr>
          <w:spacing w:val="-8"/>
        </w:rPr>
        <w:t> </w:t>
      </w:r>
      <w:r>
        <w:rPr/>
        <w:t>effectively</w:t>
      </w:r>
      <w:r>
        <w:rPr>
          <w:spacing w:val="-6"/>
        </w:rPr>
        <w:t> </w:t>
      </w:r>
      <w:r>
        <w:rPr/>
        <w:t>inventory</w:t>
      </w:r>
      <w:r>
        <w:rPr>
          <w:spacing w:val="-7"/>
        </w:rPr>
        <w:t> </w:t>
      </w:r>
      <w:r>
        <w:rPr/>
        <w:t>is</w:t>
      </w:r>
      <w:r>
        <w:rPr>
          <w:spacing w:val="-2"/>
        </w:rPr>
        <w:t> </w:t>
      </w:r>
      <w:r>
        <w:rPr/>
        <w:t>turned</w:t>
      </w:r>
      <w:r>
        <w:rPr>
          <w:spacing w:val="-6"/>
        </w:rPr>
        <w:t> </w:t>
      </w:r>
      <w:r>
        <w:rPr/>
        <w:t>into</w:t>
      </w:r>
      <w:r>
        <w:rPr>
          <w:spacing w:val="-1"/>
        </w:rPr>
        <w:t> </w:t>
      </w:r>
      <w:r>
        <w:rPr>
          <w:spacing w:val="-2"/>
        </w:rPr>
        <w:t>sales:</w:t>
      </w:r>
    </w:p>
    <w:p>
      <w:pPr>
        <w:pStyle w:val="BodyText"/>
        <w:spacing w:before="89"/>
      </w:pPr>
    </w:p>
    <w:p>
      <w:pPr>
        <w:pStyle w:val="BodyText"/>
        <w:spacing w:line="156" w:lineRule="auto"/>
        <w:ind w:left="2555" w:right="2693" w:firstLine="2573"/>
        <w:rPr>
          <w:position w:val="-15"/>
        </w:rPr>
      </w:pPr>
      <w:r>
        <w:rPr>
          <w:position w:val="-15"/>
        </w:rPr>
        <mc:AlternateContent>
          <mc:Choice Requires="wps">
            <w:drawing>
              <wp:anchor distT="0" distB="0" distL="0" distR="0" allowOverlap="1" layoutInCell="1" locked="0" behindDoc="1" simplePos="0" relativeHeight="486788096">
                <wp:simplePos x="0" y="0"/>
                <wp:positionH relativeFrom="page">
                  <wp:posOffset>4006596</wp:posOffset>
                </wp:positionH>
                <wp:positionV relativeFrom="paragraph">
                  <wp:posOffset>160004</wp:posOffset>
                </wp:positionV>
                <wp:extent cx="1235075" cy="9525"/>
                <wp:effectExtent l="0" t="0" r="0" b="0"/>
                <wp:wrapNone/>
                <wp:docPr id="22" name="Graphic 22"/>
                <wp:cNvGraphicFramePr>
                  <a:graphicFrameLocks/>
                </wp:cNvGraphicFramePr>
                <a:graphic>
                  <a:graphicData uri="http://schemas.microsoft.com/office/word/2010/wordprocessingShape">
                    <wps:wsp>
                      <wps:cNvPr id="22" name="Graphic 22"/>
                      <wps:cNvSpPr/>
                      <wps:spPr>
                        <a:xfrm>
                          <a:off x="0" y="0"/>
                          <a:ext cx="1235075" cy="9525"/>
                        </a:xfrm>
                        <a:custGeom>
                          <a:avLst/>
                          <a:gdLst/>
                          <a:ahLst/>
                          <a:cxnLst/>
                          <a:rect l="l" t="t" r="r" b="b"/>
                          <a:pathLst>
                            <a:path w="1235075" h="9525">
                              <a:moveTo>
                                <a:pt x="1234744" y="0"/>
                              </a:moveTo>
                              <a:lnTo>
                                <a:pt x="0" y="0"/>
                              </a:lnTo>
                              <a:lnTo>
                                <a:pt x="0" y="9144"/>
                              </a:lnTo>
                              <a:lnTo>
                                <a:pt x="1234744" y="9144"/>
                              </a:lnTo>
                              <a:lnTo>
                                <a:pt x="1234744"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rect style="position:absolute;margin-left:315.480011pt;margin-top:12.59875pt;width:97.224pt;height:.72pt;mso-position-horizontal-relative:page;mso-position-vertical-relative:paragraph;z-index:-16528384" id="docshape21" filled="true" fillcolor="#000000" stroked="false">
                <v:fill type="solid"/>
                <w10:wrap type="none"/>
              </v:rect>
            </w:pict>
          </mc:Fallback>
        </mc:AlternateContent>
      </w:r>
      <w:r>
        <w:rPr/>
        <w:t>Cost of Sales Inventory</w:t>
      </w:r>
      <w:r>
        <w:rPr>
          <w:spacing w:val="-17"/>
        </w:rPr>
        <w:t> </w:t>
      </w:r>
      <w:r>
        <w:rPr/>
        <w:t>Turnover</w:t>
      </w:r>
      <w:r>
        <w:rPr>
          <w:spacing w:val="-17"/>
        </w:rPr>
        <w:t> </w:t>
      </w:r>
      <w:r>
        <w:rPr>
          <w:rFonts w:ascii="Cambria Math"/>
        </w:rPr>
        <w:t>=</w:t>
      </w:r>
      <w:r>
        <w:rPr>
          <w:rFonts w:ascii="Cambria Math"/>
          <w:spacing w:val="4"/>
        </w:rPr>
        <w:t> </w:t>
      </w:r>
      <w:r>
        <w:rPr>
          <w:position w:val="-15"/>
        </w:rPr>
        <w:t>Average</w:t>
      </w:r>
      <w:r>
        <w:rPr>
          <w:spacing w:val="-13"/>
          <w:position w:val="-15"/>
        </w:rPr>
        <w:t> </w:t>
      </w:r>
      <w:r>
        <w:rPr>
          <w:position w:val="-15"/>
        </w:rPr>
        <w:t>Inventory</w:t>
      </w:r>
    </w:p>
    <w:p>
      <w:pPr>
        <w:pStyle w:val="BodyText"/>
        <w:spacing w:before="37"/>
      </w:pPr>
    </w:p>
    <w:p>
      <w:pPr>
        <w:pStyle w:val="Heading2"/>
      </w:pPr>
      <w:r>
        <w:rPr/>
        <w:t>Trend</w:t>
      </w:r>
      <w:r>
        <w:rPr>
          <w:spacing w:val="-13"/>
        </w:rPr>
        <w:t> </w:t>
      </w:r>
      <w:r>
        <w:rPr>
          <w:spacing w:val="-2"/>
        </w:rPr>
        <w:t>(2021–2025):</w:t>
      </w:r>
    </w:p>
    <w:p>
      <w:pPr>
        <w:pStyle w:val="BodyText"/>
        <w:spacing w:before="29"/>
        <w:rPr>
          <w:rFonts w:ascii="Arial"/>
          <w:b/>
        </w:rPr>
      </w:pPr>
    </w:p>
    <w:p>
      <w:pPr>
        <w:pStyle w:val="ListParagraph"/>
        <w:numPr>
          <w:ilvl w:val="0"/>
          <w:numId w:val="4"/>
        </w:numPr>
        <w:tabs>
          <w:tab w:pos="720" w:val="left" w:leader="none"/>
        </w:tabs>
        <w:spacing w:line="240" w:lineRule="auto" w:before="0" w:after="0"/>
        <w:ind w:left="720" w:right="0" w:hanging="360"/>
        <w:jc w:val="left"/>
        <w:rPr>
          <w:rFonts w:ascii="Arial MT" w:hAnsi="Arial MT"/>
          <w:sz w:val="24"/>
        </w:rPr>
      </w:pPr>
      <w:r>
        <w:rPr>
          <w:rFonts w:ascii="Arial MT" w:hAnsi="Arial MT"/>
          <w:sz w:val="24"/>
        </w:rPr>
        <w:t>Earlier</w:t>
      </w:r>
      <w:r>
        <w:rPr>
          <w:rFonts w:ascii="Arial MT" w:hAnsi="Arial MT"/>
          <w:spacing w:val="-4"/>
          <w:sz w:val="24"/>
        </w:rPr>
        <w:t> </w:t>
      </w:r>
      <w:r>
        <w:rPr>
          <w:rFonts w:ascii="Arial MT" w:hAnsi="Arial MT"/>
          <w:sz w:val="24"/>
        </w:rPr>
        <w:t>years:</w:t>
      </w:r>
      <w:r>
        <w:rPr>
          <w:rFonts w:ascii="Arial MT" w:hAnsi="Arial MT"/>
          <w:spacing w:val="-3"/>
          <w:sz w:val="24"/>
        </w:rPr>
        <w:t> </w:t>
      </w:r>
      <w:r>
        <w:rPr>
          <w:rFonts w:ascii="Arial MT" w:hAnsi="Arial MT"/>
          <w:sz w:val="24"/>
        </w:rPr>
        <w:t>Lower</w:t>
      </w:r>
      <w:r>
        <w:rPr>
          <w:rFonts w:ascii="Arial MT" w:hAnsi="Arial MT"/>
          <w:spacing w:val="-4"/>
          <w:sz w:val="24"/>
        </w:rPr>
        <w:t> </w:t>
      </w:r>
      <w:r>
        <w:rPr>
          <w:rFonts w:ascii="Arial MT" w:hAnsi="Arial MT"/>
          <w:sz w:val="24"/>
        </w:rPr>
        <w:t>turnover</w:t>
      </w:r>
      <w:r>
        <w:rPr>
          <w:rFonts w:ascii="Arial MT" w:hAnsi="Arial MT"/>
          <w:spacing w:val="-3"/>
          <w:sz w:val="24"/>
        </w:rPr>
        <w:t> </w:t>
      </w:r>
      <w:r>
        <w:rPr>
          <w:rFonts w:ascii="Arial MT" w:hAnsi="Arial MT"/>
          <w:sz w:val="24"/>
        </w:rPr>
        <w:t>due</w:t>
      </w:r>
      <w:r>
        <w:rPr>
          <w:rFonts w:ascii="Arial MT" w:hAnsi="Arial MT"/>
          <w:spacing w:val="-3"/>
          <w:sz w:val="24"/>
        </w:rPr>
        <w:t> </w:t>
      </w:r>
      <w:r>
        <w:rPr>
          <w:rFonts w:ascii="Arial MT" w:hAnsi="Arial MT"/>
          <w:sz w:val="24"/>
        </w:rPr>
        <w:t>to</w:t>
      </w:r>
      <w:r>
        <w:rPr>
          <w:rFonts w:ascii="Arial MT" w:hAnsi="Arial MT"/>
          <w:spacing w:val="-4"/>
          <w:sz w:val="24"/>
        </w:rPr>
        <w:t> </w:t>
      </w:r>
      <w:r>
        <w:rPr>
          <w:rFonts w:ascii="Arial MT" w:hAnsi="Arial MT"/>
          <w:sz w:val="24"/>
        </w:rPr>
        <w:t>scaling</w:t>
      </w:r>
      <w:r>
        <w:rPr>
          <w:rFonts w:ascii="Arial MT" w:hAnsi="Arial MT"/>
          <w:spacing w:val="-3"/>
          <w:sz w:val="24"/>
        </w:rPr>
        <w:t> </w:t>
      </w:r>
      <w:r>
        <w:rPr>
          <w:rFonts w:ascii="Arial MT" w:hAnsi="Arial MT"/>
          <w:spacing w:val="-2"/>
          <w:sz w:val="24"/>
        </w:rPr>
        <w:t>operations.</w:t>
      </w:r>
    </w:p>
    <w:p>
      <w:pPr>
        <w:pStyle w:val="BodyText"/>
        <w:spacing w:before="19"/>
      </w:pPr>
    </w:p>
    <w:p>
      <w:pPr>
        <w:pStyle w:val="ListParagraph"/>
        <w:numPr>
          <w:ilvl w:val="0"/>
          <w:numId w:val="4"/>
        </w:numPr>
        <w:tabs>
          <w:tab w:pos="720" w:val="left" w:leader="none"/>
        </w:tabs>
        <w:spacing w:line="240" w:lineRule="auto" w:before="1" w:after="0"/>
        <w:ind w:left="720" w:right="0" w:hanging="360"/>
        <w:jc w:val="left"/>
        <w:rPr>
          <w:rFonts w:ascii="Arial MT" w:hAnsi="Arial MT"/>
          <w:sz w:val="24"/>
        </w:rPr>
      </w:pPr>
      <w:r>
        <w:rPr>
          <w:rFonts w:ascii="Arial MT" w:hAnsi="Arial MT"/>
          <w:sz w:val="24"/>
        </w:rPr>
        <w:t>Recent</w:t>
      </w:r>
      <w:r>
        <w:rPr>
          <w:rFonts w:ascii="Arial MT" w:hAnsi="Arial MT"/>
          <w:spacing w:val="-11"/>
          <w:sz w:val="24"/>
        </w:rPr>
        <w:t> </w:t>
      </w:r>
      <w:r>
        <w:rPr>
          <w:rFonts w:ascii="Arial MT" w:hAnsi="Arial MT"/>
          <w:sz w:val="24"/>
        </w:rPr>
        <w:t>years:</w:t>
      </w:r>
      <w:r>
        <w:rPr>
          <w:rFonts w:ascii="Arial MT" w:hAnsi="Arial MT"/>
          <w:spacing w:val="-12"/>
          <w:sz w:val="24"/>
        </w:rPr>
        <w:t> </w:t>
      </w:r>
      <w:r>
        <w:rPr>
          <w:rFonts w:ascii="Arial MT" w:hAnsi="Arial MT"/>
          <w:sz w:val="24"/>
        </w:rPr>
        <w:t>Improvement</w:t>
      </w:r>
      <w:r>
        <w:rPr>
          <w:rFonts w:ascii="Arial MT" w:hAnsi="Arial MT"/>
          <w:spacing w:val="-8"/>
          <w:sz w:val="24"/>
        </w:rPr>
        <w:t> </w:t>
      </w:r>
      <w:r>
        <w:rPr>
          <w:rFonts w:ascii="Arial MT" w:hAnsi="Arial MT"/>
          <w:sz w:val="24"/>
        </w:rPr>
        <w:t>driven</w:t>
      </w:r>
      <w:r>
        <w:rPr>
          <w:rFonts w:ascii="Arial MT" w:hAnsi="Arial MT"/>
          <w:spacing w:val="-13"/>
          <w:sz w:val="24"/>
        </w:rPr>
        <w:t> </w:t>
      </w:r>
      <w:r>
        <w:rPr>
          <w:rFonts w:ascii="Arial MT" w:hAnsi="Arial MT"/>
          <w:sz w:val="24"/>
        </w:rPr>
        <w:t>by</w:t>
      </w:r>
      <w:r>
        <w:rPr>
          <w:rFonts w:ascii="Arial MT" w:hAnsi="Arial MT"/>
          <w:spacing w:val="-14"/>
          <w:sz w:val="24"/>
        </w:rPr>
        <w:t> </w:t>
      </w:r>
      <w:r>
        <w:rPr>
          <w:rFonts w:ascii="Arial MT" w:hAnsi="Arial MT"/>
          <w:sz w:val="24"/>
        </w:rPr>
        <w:t>stronger</w:t>
      </w:r>
      <w:r>
        <w:rPr>
          <w:rFonts w:ascii="Arial MT" w:hAnsi="Arial MT"/>
          <w:spacing w:val="-12"/>
          <w:sz w:val="24"/>
        </w:rPr>
        <w:t> </w:t>
      </w:r>
      <w:r>
        <w:rPr>
          <w:rFonts w:ascii="Arial MT" w:hAnsi="Arial MT"/>
          <w:sz w:val="24"/>
        </w:rPr>
        <w:t>demand</w:t>
      </w:r>
      <w:r>
        <w:rPr>
          <w:rFonts w:ascii="Arial MT" w:hAnsi="Arial MT"/>
          <w:spacing w:val="-8"/>
          <w:sz w:val="24"/>
        </w:rPr>
        <w:t> </w:t>
      </w:r>
      <w:r>
        <w:rPr>
          <w:rFonts w:ascii="Arial MT" w:hAnsi="Arial MT"/>
          <w:sz w:val="24"/>
        </w:rPr>
        <w:t>and</w:t>
      </w:r>
      <w:r>
        <w:rPr>
          <w:rFonts w:ascii="Arial MT" w:hAnsi="Arial MT"/>
          <w:spacing w:val="-13"/>
          <w:sz w:val="24"/>
        </w:rPr>
        <w:t> </w:t>
      </w:r>
      <w:r>
        <w:rPr>
          <w:rFonts w:ascii="Arial MT" w:hAnsi="Arial MT"/>
          <w:sz w:val="24"/>
        </w:rPr>
        <w:t>operational</w:t>
      </w:r>
      <w:r>
        <w:rPr>
          <w:rFonts w:ascii="Arial MT" w:hAnsi="Arial MT"/>
          <w:spacing w:val="-9"/>
          <w:sz w:val="24"/>
        </w:rPr>
        <w:t> </w:t>
      </w:r>
      <w:r>
        <w:rPr>
          <w:rFonts w:ascii="Arial MT" w:hAnsi="Arial MT"/>
          <w:spacing w:val="-2"/>
          <w:sz w:val="24"/>
        </w:rPr>
        <w:t>efficiency.</w:t>
      </w:r>
    </w:p>
    <w:p>
      <w:pPr>
        <w:pStyle w:val="BodyText"/>
        <w:spacing w:before="19"/>
      </w:pPr>
    </w:p>
    <w:p>
      <w:pPr>
        <w:pStyle w:val="Heading2"/>
      </w:pPr>
      <w:r>
        <w:rPr/>
        <w:t>2025 </w:t>
      </w:r>
      <w:r>
        <w:rPr>
          <w:spacing w:val="-2"/>
        </w:rPr>
        <w:t>Calculation:</w:t>
      </w:r>
    </w:p>
    <w:p>
      <w:pPr>
        <w:pStyle w:val="BodyText"/>
        <w:spacing w:before="8"/>
        <w:rPr>
          <w:rFonts w:ascii="Arial"/>
          <w:b/>
          <w:sz w:val="18"/>
        </w:rPr>
      </w:pPr>
    </w:p>
    <w:p>
      <w:pPr>
        <w:pStyle w:val="BodyText"/>
        <w:spacing w:after="0"/>
        <w:rPr>
          <w:rFonts w:ascii="Arial"/>
          <w:b/>
          <w:sz w:val="18"/>
        </w:rPr>
        <w:sectPr>
          <w:pgSz w:w="12240" w:h="15840"/>
          <w:pgMar w:header="0" w:footer="1051" w:top="1360" w:bottom="1240" w:left="1440" w:right="1080"/>
        </w:sectPr>
      </w:pPr>
    </w:p>
    <w:p>
      <w:pPr>
        <w:pStyle w:val="BodyText"/>
        <w:spacing w:before="241"/>
        <w:ind w:left="2919"/>
        <w:rPr>
          <w:rFonts w:ascii="Cambria Math"/>
        </w:rPr>
      </w:pPr>
      <w:r>
        <w:rPr/>
        <w:t>Inventory</w:t>
      </w:r>
      <w:r>
        <w:rPr>
          <w:spacing w:val="-14"/>
        </w:rPr>
        <w:t> </w:t>
      </w:r>
      <w:r>
        <w:rPr/>
        <w:t>Turnover</w:t>
      </w:r>
      <w:r>
        <w:rPr>
          <w:spacing w:val="-8"/>
        </w:rPr>
        <w:t> </w:t>
      </w:r>
      <w:r>
        <w:rPr>
          <w:rFonts w:ascii="Cambria Math"/>
          <w:spacing w:val="-10"/>
        </w:rPr>
        <w:t>=</w:t>
      </w:r>
    </w:p>
    <w:p>
      <w:pPr>
        <w:pStyle w:val="BodyText"/>
        <w:spacing w:before="58"/>
        <w:ind w:left="25"/>
        <w:rPr>
          <w:rFonts w:ascii="Cambria Math"/>
        </w:rPr>
      </w:pPr>
      <w:r>
        <w:rPr/>
        <w:br w:type="column"/>
      </w:r>
      <w:r>
        <w:rPr>
          <w:rFonts w:ascii="Cambria Math"/>
          <w:spacing w:val="-4"/>
        </w:rPr>
        <w:t>75.6</w:t>
      </w:r>
    </w:p>
    <w:p>
      <w:pPr>
        <w:pStyle w:val="BodyText"/>
        <w:spacing w:before="6"/>
        <w:rPr>
          <w:rFonts w:ascii="Cambria Math"/>
          <w:sz w:val="4"/>
        </w:rPr>
      </w:pPr>
    </w:p>
    <w:p>
      <w:pPr>
        <w:pStyle w:val="BodyText"/>
        <w:spacing w:line="20" w:lineRule="exact"/>
        <w:ind w:left="25" w:right="-58"/>
        <w:rPr>
          <w:rFonts w:ascii="Cambria Math"/>
          <w:sz w:val="2"/>
        </w:rPr>
      </w:pPr>
      <w:r>
        <w:rPr>
          <w:rFonts w:ascii="Cambria Math"/>
          <w:sz w:val="2"/>
        </w:rPr>
        <mc:AlternateContent>
          <mc:Choice Requires="wps">
            <w:drawing>
              <wp:inline distT="0" distB="0" distL="0" distR="0">
                <wp:extent cx="283845" cy="9525"/>
                <wp:effectExtent l="0" t="0" r="0" b="0"/>
                <wp:docPr id="23" name="Group 23"/>
                <wp:cNvGraphicFramePr>
                  <a:graphicFrameLocks/>
                </wp:cNvGraphicFramePr>
                <a:graphic>
                  <a:graphicData uri="http://schemas.microsoft.com/office/word/2010/wordprocessingGroup">
                    <wpg:wgp>
                      <wpg:cNvPr id="23" name="Group 23"/>
                      <wpg:cNvGrpSpPr/>
                      <wpg:grpSpPr>
                        <a:xfrm>
                          <a:off x="0" y="0"/>
                          <a:ext cx="283845" cy="9525"/>
                          <a:chExt cx="283845" cy="9525"/>
                        </a:xfrm>
                      </wpg:grpSpPr>
                      <wps:wsp>
                        <wps:cNvPr id="24" name="Graphic 24"/>
                        <wps:cNvSpPr/>
                        <wps:spPr>
                          <a:xfrm>
                            <a:off x="0" y="0"/>
                            <a:ext cx="283845" cy="9525"/>
                          </a:xfrm>
                          <a:custGeom>
                            <a:avLst/>
                            <a:gdLst/>
                            <a:ahLst/>
                            <a:cxnLst/>
                            <a:rect l="l" t="t" r="r" b="b"/>
                            <a:pathLst>
                              <a:path w="283845" h="9525">
                                <a:moveTo>
                                  <a:pt x="283768" y="0"/>
                                </a:moveTo>
                                <a:lnTo>
                                  <a:pt x="0" y="0"/>
                                </a:lnTo>
                                <a:lnTo>
                                  <a:pt x="0" y="9144"/>
                                </a:lnTo>
                                <a:lnTo>
                                  <a:pt x="283768" y="9144"/>
                                </a:lnTo>
                                <a:lnTo>
                                  <a:pt x="283768"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style="width:22.35pt;height:.75pt;mso-position-horizontal-relative:char;mso-position-vertical-relative:line" id="docshapegroup22" coordorigin="0,0" coordsize="447,15">
                <v:rect style="position:absolute;left:0;top:0;width:447;height:15" id="docshape23" filled="true" fillcolor="#000000" stroked="false">
                  <v:fill type="solid"/>
                </v:rect>
              </v:group>
            </w:pict>
          </mc:Fallback>
        </mc:AlternateContent>
      </w:r>
      <w:r>
        <w:rPr>
          <w:rFonts w:ascii="Cambria Math"/>
          <w:sz w:val="2"/>
        </w:rPr>
      </w:r>
    </w:p>
    <w:p>
      <w:pPr>
        <w:pStyle w:val="BodyText"/>
        <w:ind w:left="87"/>
        <w:rPr>
          <w:rFonts w:ascii="Cambria Math"/>
        </w:rPr>
      </w:pPr>
      <w:r>
        <w:rPr>
          <w:rFonts w:ascii="Cambria Math"/>
          <w:spacing w:val="-5"/>
        </w:rPr>
        <w:t>7.8</w:t>
      </w:r>
    </w:p>
    <w:p>
      <w:pPr>
        <w:pStyle w:val="BodyText"/>
        <w:spacing w:before="241"/>
        <w:ind w:left="24"/>
        <w:rPr>
          <w:rFonts w:ascii="Cambria Math"/>
        </w:rPr>
      </w:pPr>
      <w:r>
        <w:rPr/>
        <w:br w:type="column"/>
      </w:r>
      <w:r>
        <w:rPr>
          <w:rFonts w:ascii="Cambria Math"/>
        </w:rPr>
        <w:t>=</w:t>
      </w:r>
      <w:r>
        <w:rPr>
          <w:rFonts w:ascii="Cambria Math"/>
          <w:spacing w:val="17"/>
        </w:rPr>
        <w:t> </w:t>
      </w:r>
      <w:r>
        <w:rPr>
          <w:rFonts w:ascii="Cambria Math"/>
          <w:spacing w:val="-4"/>
        </w:rPr>
        <w:t>9.69</w:t>
      </w:r>
    </w:p>
    <w:p>
      <w:pPr>
        <w:pStyle w:val="BodyText"/>
        <w:spacing w:after="0"/>
        <w:rPr>
          <w:rFonts w:ascii="Cambria Math"/>
        </w:rPr>
        <w:sectPr>
          <w:type w:val="continuous"/>
          <w:pgSz w:w="12240" w:h="15840"/>
          <w:pgMar w:header="0" w:footer="1051" w:top="1820" w:bottom="1240" w:left="1440" w:right="1080"/>
          <w:cols w:num="3" w:equalWidth="0">
            <w:col w:w="5169" w:space="40"/>
            <w:col w:w="476" w:space="39"/>
            <w:col w:w="3996"/>
          </w:cols>
        </w:sectPr>
      </w:pPr>
    </w:p>
    <w:p>
      <w:pPr>
        <w:pStyle w:val="BodyText"/>
        <w:rPr>
          <w:rFonts w:ascii="Cambria Math"/>
        </w:rPr>
      </w:pPr>
    </w:p>
    <w:p>
      <w:pPr>
        <w:pStyle w:val="BodyText"/>
        <w:rPr>
          <w:rFonts w:ascii="Cambria Math"/>
        </w:rPr>
      </w:pPr>
    </w:p>
    <w:p>
      <w:pPr>
        <w:pStyle w:val="BodyText"/>
        <w:rPr>
          <w:rFonts w:ascii="Cambria Math"/>
        </w:rPr>
      </w:pPr>
    </w:p>
    <w:p>
      <w:pPr>
        <w:pStyle w:val="BodyText"/>
        <w:spacing w:before="95"/>
        <w:rPr>
          <w:rFonts w:ascii="Cambria Math"/>
        </w:rPr>
      </w:pPr>
    </w:p>
    <w:p>
      <w:pPr>
        <w:pStyle w:val="Heading2"/>
        <w:spacing w:before="1"/>
      </w:pPr>
      <w:r>
        <w:rPr>
          <w:spacing w:val="-2"/>
        </w:rPr>
        <w:t>Analysis:</w:t>
      </w:r>
    </w:p>
    <w:p>
      <w:pPr>
        <w:pStyle w:val="BodyText"/>
        <w:spacing w:line="362" w:lineRule="auto" w:before="141"/>
        <w:ind w:right="359"/>
        <w:jc w:val="both"/>
      </w:pPr>
      <w:r>
        <w:rPr/>
        <w:t>A 9.69 turnover of inventory means that the inventory is sold and replaced very often, which</w:t>
      </w:r>
      <w:r>
        <w:rPr>
          <w:spacing w:val="-12"/>
        </w:rPr>
        <w:t> </w:t>
      </w:r>
      <w:r>
        <w:rPr/>
        <w:t>demonstrates</w:t>
      </w:r>
      <w:r>
        <w:rPr>
          <w:spacing w:val="-13"/>
        </w:rPr>
        <w:t> </w:t>
      </w:r>
      <w:r>
        <w:rPr/>
        <w:t>effective</w:t>
      </w:r>
      <w:r>
        <w:rPr>
          <w:spacing w:val="-17"/>
        </w:rPr>
        <w:t> </w:t>
      </w:r>
      <w:r>
        <w:rPr/>
        <w:t>inventory</w:t>
      </w:r>
      <w:r>
        <w:rPr>
          <w:spacing w:val="-13"/>
        </w:rPr>
        <w:t> </w:t>
      </w:r>
      <w:r>
        <w:rPr/>
        <w:t>management</w:t>
      </w:r>
      <w:r>
        <w:rPr>
          <w:spacing w:val="-12"/>
        </w:rPr>
        <w:t> </w:t>
      </w:r>
      <w:r>
        <w:rPr/>
        <w:t>and</w:t>
      </w:r>
      <w:r>
        <w:rPr>
          <w:spacing w:val="-12"/>
        </w:rPr>
        <w:t> </w:t>
      </w:r>
      <w:r>
        <w:rPr/>
        <w:t>high</w:t>
      </w:r>
      <w:r>
        <w:rPr>
          <w:spacing w:val="-12"/>
        </w:rPr>
        <w:t> </w:t>
      </w:r>
      <w:r>
        <w:rPr/>
        <w:t>demand</w:t>
      </w:r>
      <w:r>
        <w:rPr>
          <w:spacing w:val="-12"/>
        </w:rPr>
        <w:t> </w:t>
      </w:r>
      <w:r>
        <w:rPr/>
        <w:t>for</w:t>
      </w:r>
      <w:r>
        <w:rPr>
          <w:spacing w:val="-11"/>
        </w:rPr>
        <w:t> </w:t>
      </w:r>
      <w:r>
        <w:rPr/>
        <w:t>products.</w:t>
      </w:r>
      <w:r>
        <w:rPr>
          <w:spacing w:val="-16"/>
        </w:rPr>
        <w:t> </w:t>
      </w:r>
      <w:r>
        <w:rPr/>
        <w:t>This is</w:t>
      </w:r>
      <w:r>
        <w:rPr>
          <w:spacing w:val="-14"/>
        </w:rPr>
        <w:t> </w:t>
      </w:r>
      <w:r>
        <w:rPr/>
        <w:t>especially</w:t>
      </w:r>
      <w:r>
        <w:rPr>
          <w:spacing w:val="-14"/>
        </w:rPr>
        <w:t> </w:t>
      </w:r>
      <w:r>
        <w:rPr/>
        <w:t>critical</w:t>
      </w:r>
      <w:r>
        <w:rPr>
          <w:spacing w:val="-14"/>
        </w:rPr>
        <w:t> </w:t>
      </w:r>
      <w:r>
        <w:rPr/>
        <w:t>in</w:t>
      </w:r>
      <w:r>
        <w:rPr>
          <w:spacing w:val="-13"/>
        </w:rPr>
        <w:t> </w:t>
      </w:r>
      <w:r>
        <w:rPr/>
        <w:t>the</w:t>
      </w:r>
      <w:r>
        <w:rPr>
          <w:spacing w:val="-13"/>
        </w:rPr>
        <w:t> </w:t>
      </w:r>
      <w:r>
        <w:rPr/>
        <w:t>EV</w:t>
      </w:r>
      <w:r>
        <w:rPr>
          <w:spacing w:val="-15"/>
        </w:rPr>
        <w:t> </w:t>
      </w:r>
      <w:r>
        <w:rPr/>
        <w:t>industry,</w:t>
      </w:r>
      <w:r>
        <w:rPr>
          <w:spacing w:val="-13"/>
        </w:rPr>
        <w:t> </w:t>
      </w:r>
      <w:r>
        <w:rPr/>
        <w:t>where</w:t>
      </w:r>
      <w:r>
        <w:rPr>
          <w:spacing w:val="-13"/>
        </w:rPr>
        <w:t> </w:t>
      </w:r>
      <w:r>
        <w:rPr/>
        <w:t>swift</w:t>
      </w:r>
      <w:r>
        <w:rPr>
          <w:spacing w:val="-13"/>
        </w:rPr>
        <w:t> </w:t>
      </w:r>
      <w:r>
        <w:rPr/>
        <w:t>innovation</w:t>
      </w:r>
      <w:r>
        <w:rPr>
          <w:spacing w:val="-13"/>
        </w:rPr>
        <w:t> </w:t>
      </w:r>
      <w:r>
        <w:rPr/>
        <w:t>and</w:t>
      </w:r>
      <w:r>
        <w:rPr>
          <w:spacing w:val="-13"/>
        </w:rPr>
        <w:t> </w:t>
      </w:r>
      <w:r>
        <w:rPr/>
        <w:t>product</w:t>
      </w:r>
      <w:r>
        <w:rPr>
          <w:spacing w:val="-13"/>
        </w:rPr>
        <w:t> </w:t>
      </w:r>
      <w:r>
        <w:rPr/>
        <w:t>cycles</w:t>
      </w:r>
      <w:r>
        <w:rPr>
          <w:spacing w:val="-14"/>
        </w:rPr>
        <w:t> </w:t>
      </w:r>
      <w:r>
        <w:rPr/>
        <w:t>demand efficient inventory management.</w:t>
      </w:r>
    </w:p>
    <w:p>
      <w:pPr>
        <w:pStyle w:val="BodyText"/>
        <w:spacing w:line="360" w:lineRule="auto" w:before="148"/>
        <w:ind w:right="364"/>
        <w:jc w:val="both"/>
      </w:pPr>
      <w:r>
        <w:rPr/>
        <w:t>Nevertheless, with this, NIO still maintains large inventories to facilitate production, logistics,</w:t>
      </w:r>
      <w:r>
        <w:rPr>
          <w:spacing w:val="40"/>
        </w:rPr>
        <w:t> </w:t>
      </w:r>
      <w:r>
        <w:rPr/>
        <w:t>and</w:t>
      </w:r>
      <w:r>
        <w:rPr>
          <w:spacing w:val="40"/>
        </w:rPr>
        <w:t> </w:t>
      </w:r>
      <w:r>
        <w:rPr/>
        <w:t>services</w:t>
      </w:r>
      <w:r>
        <w:rPr>
          <w:spacing w:val="40"/>
        </w:rPr>
        <w:t> </w:t>
      </w:r>
      <w:r>
        <w:rPr/>
        <w:t>related</w:t>
      </w:r>
      <w:r>
        <w:rPr>
          <w:spacing w:val="40"/>
        </w:rPr>
        <w:t> </w:t>
      </w:r>
      <w:r>
        <w:rPr/>
        <w:t>to</w:t>
      </w:r>
      <w:r>
        <w:rPr>
          <w:spacing w:val="40"/>
        </w:rPr>
        <w:t> </w:t>
      </w:r>
      <w:r>
        <w:rPr/>
        <w:t>batteries.</w:t>
      </w:r>
      <w:r>
        <w:rPr>
          <w:spacing w:val="22"/>
        </w:rPr>
        <w:t> </w:t>
      </w:r>
      <w:r>
        <w:rPr/>
        <w:t>Although</w:t>
      </w:r>
      <w:r>
        <w:rPr>
          <w:spacing w:val="40"/>
        </w:rPr>
        <w:t> </w:t>
      </w:r>
      <w:r>
        <w:rPr/>
        <w:t>the</w:t>
      </w:r>
      <w:r>
        <w:rPr>
          <w:spacing w:val="40"/>
        </w:rPr>
        <w:t> </w:t>
      </w:r>
      <w:r>
        <w:rPr/>
        <w:t>execution</w:t>
      </w:r>
      <w:r>
        <w:rPr>
          <w:spacing w:val="40"/>
        </w:rPr>
        <w:t> </w:t>
      </w:r>
      <w:r>
        <w:rPr/>
        <w:t>of</w:t>
      </w:r>
      <w:r>
        <w:rPr>
          <w:spacing w:val="40"/>
        </w:rPr>
        <w:t> </w:t>
      </w:r>
      <w:r>
        <w:rPr/>
        <w:t>operations</w:t>
      </w:r>
      <w:r>
        <w:rPr>
          <w:spacing w:val="39"/>
        </w:rPr>
        <w:t> </w:t>
      </w:r>
      <w:r>
        <w:rPr/>
        <w:t>has</w:t>
      </w:r>
    </w:p>
    <w:p>
      <w:pPr>
        <w:pStyle w:val="BodyText"/>
        <w:spacing w:after="0" w:line="360" w:lineRule="auto"/>
        <w:jc w:val="both"/>
        <w:sectPr>
          <w:type w:val="continuous"/>
          <w:pgSz w:w="12240" w:h="15840"/>
          <w:pgMar w:header="0" w:footer="1051" w:top="1820" w:bottom="1240" w:left="1440" w:right="1080"/>
        </w:sectPr>
      </w:pPr>
    </w:p>
    <w:p>
      <w:pPr>
        <w:pStyle w:val="BodyText"/>
        <w:spacing w:line="362" w:lineRule="auto" w:before="76"/>
      </w:pPr>
      <w:r>
        <w:rPr/>
        <w:t>become more efficient, more optimisation of the processes within the supply chains and demand forecasting is needed to improve the efficiency overall.</w:t>
      </w:r>
    </w:p>
    <w:p>
      <w:pPr>
        <w:pStyle w:val="BodyText"/>
      </w:pPr>
    </w:p>
    <w:p>
      <w:pPr>
        <w:pStyle w:val="BodyText"/>
        <w:spacing w:before="175"/>
      </w:pPr>
    </w:p>
    <w:p>
      <w:pPr>
        <w:pStyle w:val="Heading2"/>
        <w:numPr>
          <w:ilvl w:val="1"/>
          <w:numId w:val="3"/>
        </w:numPr>
        <w:tabs>
          <w:tab w:pos="400" w:val="left" w:leader="none"/>
        </w:tabs>
        <w:spacing w:line="240" w:lineRule="auto" w:before="0" w:after="0"/>
        <w:ind w:left="400" w:right="0" w:hanging="400"/>
        <w:jc w:val="left"/>
      </w:pPr>
      <w:r>
        <w:rPr/>
        <w:t>Capital</w:t>
      </w:r>
      <w:r>
        <w:rPr>
          <w:spacing w:val="-6"/>
        </w:rPr>
        <w:t> </w:t>
      </w:r>
      <w:r>
        <w:rPr/>
        <w:t>Structure</w:t>
      </w:r>
      <w:r>
        <w:rPr>
          <w:spacing w:val="-5"/>
        </w:rPr>
        <w:t> </w:t>
      </w:r>
      <w:r>
        <w:rPr/>
        <w:t>&amp;</w:t>
      </w:r>
      <w:r>
        <w:rPr>
          <w:spacing w:val="-5"/>
        </w:rPr>
        <w:t> </w:t>
      </w:r>
      <w:r>
        <w:rPr>
          <w:spacing w:val="-2"/>
        </w:rPr>
        <w:t>Gearing</w:t>
      </w:r>
    </w:p>
    <w:p>
      <w:pPr>
        <w:pStyle w:val="BodyText"/>
        <w:spacing w:before="24"/>
        <w:rPr>
          <w:rFonts w:ascii="Arial"/>
          <w:b/>
        </w:rPr>
      </w:pPr>
    </w:p>
    <w:p>
      <w:pPr>
        <w:pStyle w:val="BodyText"/>
        <w:spacing w:line="362" w:lineRule="auto"/>
      </w:pPr>
      <w:r>
        <w:rPr/>
        <w:t>The</w:t>
      </w:r>
      <w:r>
        <w:rPr>
          <w:spacing w:val="-2"/>
        </w:rPr>
        <w:t> </w:t>
      </w:r>
      <w:r>
        <w:rPr/>
        <w:t>capital structure</w:t>
      </w:r>
      <w:r>
        <w:rPr>
          <w:spacing w:val="-2"/>
        </w:rPr>
        <w:t> </w:t>
      </w:r>
      <w:r>
        <w:rPr/>
        <w:t>analysis</w:t>
      </w:r>
      <w:r>
        <w:rPr>
          <w:spacing w:val="-7"/>
        </w:rPr>
        <w:t> </w:t>
      </w:r>
      <w:r>
        <w:rPr/>
        <w:t>is</w:t>
      </w:r>
      <w:r>
        <w:rPr>
          <w:spacing w:val="-2"/>
        </w:rPr>
        <w:t> </w:t>
      </w:r>
      <w:r>
        <w:rPr/>
        <w:t>an</w:t>
      </w:r>
      <w:r>
        <w:rPr>
          <w:spacing w:val="-6"/>
        </w:rPr>
        <w:t> </w:t>
      </w:r>
      <w:r>
        <w:rPr/>
        <w:t>assessment</w:t>
      </w:r>
      <w:r>
        <w:rPr>
          <w:spacing w:val="-2"/>
        </w:rPr>
        <w:t> </w:t>
      </w:r>
      <w:r>
        <w:rPr/>
        <w:t>of</w:t>
      </w:r>
      <w:r>
        <w:rPr>
          <w:spacing w:val="-2"/>
        </w:rPr>
        <w:t> </w:t>
      </w:r>
      <w:r>
        <w:rPr/>
        <w:t>the</w:t>
      </w:r>
      <w:r>
        <w:rPr>
          <w:spacing w:val="-2"/>
        </w:rPr>
        <w:t> </w:t>
      </w:r>
      <w:r>
        <w:rPr/>
        <w:t>way</w:t>
      </w:r>
      <w:r>
        <w:rPr>
          <w:spacing w:val="-2"/>
        </w:rPr>
        <w:t> </w:t>
      </w:r>
      <w:r>
        <w:rPr/>
        <w:t>NIO</w:t>
      </w:r>
      <w:r>
        <w:rPr>
          <w:spacing w:val="-2"/>
        </w:rPr>
        <w:t> </w:t>
      </w:r>
      <w:r>
        <w:rPr/>
        <w:t>Inc.</w:t>
      </w:r>
      <w:r>
        <w:rPr>
          <w:spacing w:val="-2"/>
        </w:rPr>
        <w:t> </w:t>
      </w:r>
      <w:r>
        <w:rPr/>
        <w:t>funds</w:t>
      </w:r>
      <w:r>
        <w:rPr>
          <w:spacing w:val="-7"/>
        </w:rPr>
        <w:t> </w:t>
      </w:r>
      <w:r>
        <w:rPr/>
        <w:t>its</w:t>
      </w:r>
      <w:r>
        <w:rPr>
          <w:spacing w:val="-2"/>
        </w:rPr>
        <w:t> </w:t>
      </w:r>
      <w:r>
        <w:rPr/>
        <w:t>operations, both by debt and equity and the financial risk.</w:t>
      </w:r>
    </w:p>
    <w:p>
      <w:pPr>
        <w:pStyle w:val="Heading2"/>
        <w:spacing w:before="156"/>
      </w:pPr>
      <w:r>
        <w:rPr/>
        <w:t>Debt-to-Equity</w:t>
      </w:r>
      <w:r>
        <w:rPr>
          <w:spacing w:val="-10"/>
        </w:rPr>
        <w:t> </w:t>
      </w:r>
      <w:r>
        <w:rPr>
          <w:spacing w:val="-4"/>
        </w:rPr>
        <w:t>Ratio</w:t>
      </w:r>
    </w:p>
    <w:p>
      <w:pPr>
        <w:pStyle w:val="BodyText"/>
        <w:spacing w:before="19"/>
        <w:rPr>
          <w:rFonts w:ascii="Arial"/>
          <w:b/>
        </w:rPr>
      </w:pPr>
    </w:p>
    <w:p>
      <w:pPr>
        <w:pStyle w:val="BodyText"/>
        <w:spacing w:line="367" w:lineRule="auto"/>
        <w:ind w:right="24"/>
      </w:pPr>
      <w:r>
        <w:rPr/>
        <w:t>The</w:t>
      </w:r>
      <w:r>
        <w:rPr>
          <w:spacing w:val="-17"/>
        </w:rPr>
        <w:t> </w:t>
      </w:r>
      <w:r>
        <w:rPr/>
        <w:t>debt-to-equity</w:t>
      </w:r>
      <w:r>
        <w:rPr>
          <w:spacing w:val="-17"/>
        </w:rPr>
        <w:t> </w:t>
      </w:r>
      <w:r>
        <w:rPr/>
        <w:t>ratio</w:t>
      </w:r>
      <w:r>
        <w:rPr>
          <w:spacing w:val="-18"/>
        </w:rPr>
        <w:t> </w:t>
      </w:r>
      <w:r>
        <w:rPr/>
        <w:t>is</w:t>
      </w:r>
      <w:r>
        <w:rPr>
          <w:spacing w:val="-16"/>
        </w:rPr>
        <w:t> </w:t>
      </w:r>
      <w:r>
        <w:rPr/>
        <w:t>used</w:t>
      </w:r>
      <w:r>
        <w:rPr>
          <w:spacing w:val="-14"/>
        </w:rPr>
        <w:t> </w:t>
      </w:r>
      <w:r>
        <w:rPr/>
        <w:t>to</w:t>
      </w:r>
      <w:r>
        <w:rPr>
          <w:spacing w:val="-13"/>
        </w:rPr>
        <w:t> </w:t>
      </w:r>
      <w:r>
        <w:rPr/>
        <w:t>determine</w:t>
      </w:r>
      <w:r>
        <w:rPr>
          <w:spacing w:val="-17"/>
        </w:rPr>
        <w:t> </w:t>
      </w:r>
      <w:r>
        <w:rPr/>
        <w:t>the</w:t>
      </w:r>
      <w:r>
        <w:rPr>
          <w:spacing w:val="-13"/>
        </w:rPr>
        <w:t> </w:t>
      </w:r>
      <w:r>
        <w:rPr/>
        <w:t>ratio</w:t>
      </w:r>
      <w:r>
        <w:rPr>
          <w:spacing w:val="-13"/>
        </w:rPr>
        <w:t> </w:t>
      </w:r>
      <w:r>
        <w:rPr/>
        <w:t>of</w:t>
      </w:r>
      <w:r>
        <w:rPr>
          <w:spacing w:val="-17"/>
        </w:rPr>
        <w:t> </w:t>
      </w:r>
      <w:r>
        <w:rPr/>
        <w:t>debt</w:t>
      </w:r>
      <w:r>
        <w:rPr>
          <w:spacing w:val="-13"/>
        </w:rPr>
        <w:t> </w:t>
      </w:r>
      <w:r>
        <w:rPr/>
        <w:t>to</w:t>
      </w:r>
      <w:r>
        <w:rPr>
          <w:spacing w:val="-13"/>
        </w:rPr>
        <w:t> </w:t>
      </w:r>
      <w:r>
        <w:rPr/>
        <w:t>equity</w:t>
      </w:r>
      <w:r>
        <w:rPr>
          <w:spacing w:val="-17"/>
        </w:rPr>
        <w:t> </w:t>
      </w:r>
      <w:r>
        <w:rPr/>
        <w:t>of</w:t>
      </w:r>
      <w:r>
        <w:rPr>
          <w:spacing w:val="-13"/>
        </w:rPr>
        <w:t> </w:t>
      </w:r>
      <w:r>
        <w:rPr/>
        <w:t>the</w:t>
      </w:r>
      <w:r>
        <w:rPr>
          <w:spacing w:val="-13"/>
        </w:rPr>
        <w:t> </w:t>
      </w:r>
      <w:r>
        <w:rPr/>
        <w:t>shareholders and is computed as:</w:t>
      </w:r>
    </w:p>
    <w:p>
      <w:pPr>
        <w:pStyle w:val="BodyText"/>
        <w:spacing w:line="156" w:lineRule="auto" w:before="214"/>
        <w:ind w:left="2343" w:right="2693" w:firstLine="3034"/>
        <w:rPr>
          <w:position w:val="-15"/>
        </w:rPr>
      </w:pPr>
      <w:r>
        <w:rPr>
          <w:position w:val="-15"/>
        </w:rPr>
        <mc:AlternateContent>
          <mc:Choice Requires="wps">
            <w:drawing>
              <wp:anchor distT="0" distB="0" distL="0" distR="0" allowOverlap="1" layoutInCell="1" locked="0" behindDoc="1" simplePos="0" relativeHeight="486789120">
                <wp:simplePos x="0" y="0"/>
                <wp:positionH relativeFrom="page">
                  <wp:posOffset>3973067</wp:posOffset>
                </wp:positionH>
                <wp:positionV relativeFrom="paragraph">
                  <wp:posOffset>296134</wp:posOffset>
                </wp:positionV>
                <wp:extent cx="1402715" cy="9525"/>
                <wp:effectExtent l="0" t="0" r="0" b="0"/>
                <wp:wrapNone/>
                <wp:docPr id="25" name="Graphic 25"/>
                <wp:cNvGraphicFramePr>
                  <a:graphicFrameLocks/>
                </wp:cNvGraphicFramePr>
                <a:graphic>
                  <a:graphicData uri="http://schemas.microsoft.com/office/word/2010/wordprocessingShape">
                    <wps:wsp>
                      <wps:cNvPr id="25" name="Graphic 25"/>
                      <wps:cNvSpPr/>
                      <wps:spPr>
                        <a:xfrm>
                          <a:off x="0" y="0"/>
                          <a:ext cx="1402715" cy="9525"/>
                        </a:xfrm>
                        <a:custGeom>
                          <a:avLst/>
                          <a:gdLst/>
                          <a:ahLst/>
                          <a:cxnLst/>
                          <a:rect l="l" t="t" r="r" b="b"/>
                          <a:pathLst>
                            <a:path w="1402715" h="9525">
                              <a:moveTo>
                                <a:pt x="1402714" y="0"/>
                              </a:moveTo>
                              <a:lnTo>
                                <a:pt x="0" y="0"/>
                              </a:lnTo>
                              <a:lnTo>
                                <a:pt x="0" y="9144"/>
                              </a:lnTo>
                              <a:lnTo>
                                <a:pt x="1402714" y="9144"/>
                              </a:lnTo>
                              <a:lnTo>
                                <a:pt x="1402714"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rect style="position:absolute;margin-left:312.839996pt;margin-top:23.317696pt;width:110.45pt;height:.72pt;mso-position-horizontal-relative:page;mso-position-vertical-relative:paragraph;z-index:-16527360" id="docshape24" filled="true" fillcolor="#000000" stroked="false">
                <v:fill type="solid"/>
                <w10:wrap type="none"/>
              </v:rect>
            </w:pict>
          </mc:Fallback>
        </mc:AlternateContent>
      </w:r>
      <w:r>
        <w:rPr/>
        <w:t>Total Debt Debt-to-Equity</w:t>
      </w:r>
      <w:r>
        <w:rPr>
          <w:spacing w:val="-8"/>
        </w:rPr>
        <w:t> </w:t>
      </w:r>
      <w:r>
        <w:rPr/>
        <w:t>Ratio</w:t>
      </w:r>
      <w:r>
        <w:rPr>
          <w:spacing w:val="-11"/>
        </w:rPr>
        <w:t> </w:t>
      </w:r>
      <w:r>
        <w:rPr>
          <w:rFonts w:ascii="Cambria Math" w:hAnsi="Cambria Math"/>
        </w:rPr>
        <w:t>= </w:t>
      </w:r>
      <w:r>
        <w:rPr>
          <w:position w:val="-15"/>
        </w:rPr>
        <w:t>Shareholders’</w:t>
      </w:r>
      <w:r>
        <w:rPr>
          <w:spacing w:val="-17"/>
          <w:position w:val="-15"/>
        </w:rPr>
        <w:t> </w:t>
      </w:r>
      <w:r>
        <w:rPr>
          <w:position w:val="-15"/>
        </w:rPr>
        <w:t>Equity</w:t>
      </w:r>
    </w:p>
    <w:p>
      <w:pPr>
        <w:pStyle w:val="BodyText"/>
        <w:spacing w:before="37"/>
      </w:pPr>
    </w:p>
    <w:p>
      <w:pPr>
        <w:pStyle w:val="Heading2"/>
        <w:spacing w:before="1"/>
      </w:pPr>
      <w:r>
        <w:rPr/>
        <w:t>Calculation</w:t>
      </w:r>
      <w:r>
        <w:rPr>
          <w:spacing w:val="-3"/>
        </w:rPr>
        <w:t> </w:t>
      </w:r>
      <w:r>
        <w:rPr>
          <w:spacing w:val="-2"/>
        </w:rPr>
        <w:t>(2025):</w:t>
      </w:r>
    </w:p>
    <w:p>
      <w:pPr>
        <w:pStyle w:val="BodyText"/>
        <w:spacing w:before="2"/>
        <w:rPr>
          <w:rFonts w:ascii="Arial"/>
          <w:b/>
          <w:sz w:val="18"/>
        </w:rPr>
      </w:pPr>
    </w:p>
    <w:p>
      <w:pPr>
        <w:pStyle w:val="BodyText"/>
        <w:spacing w:after="0"/>
        <w:rPr>
          <w:rFonts w:ascii="Arial"/>
          <w:b/>
          <w:sz w:val="18"/>
        </w:rPr>
        <w:sectPr>
          <w:pgSz w:w="12240" w:h="15840"/>
          <w:pgMar w:header="0" w:footer="1051" w:top="1360" w:bottom="1240" w:left="1440" w:right="1080"/>
        </w:sectPr>
      </w:pPr>
    </w:p>
    <w:p>
      <w:pPr>
        <w:pStyle w:val="BodyText"/>
        <w:spacing w:before="59"/>
        <w:jc w:val="right"/>
        <w:rPr>
          <w:rFonts w:ascii="Cambria Math"/>
        </w:rPr>
      </w:pPr>
      <w:r>
        <w:rPr>
          <w:rFonts w:ascii="Cambria Math"/>
          <w:spacing w:val="-4"/>
        </w:rPr>
        <w:t>18.0</w:t>
      </w:r>
    </w:p>
    <w:p>
      <w:pPr>
        <w:pStyle w:val="BodyText"/>
        <w:spacing w:before="5"/>
        <w:rPr>
          <w:rFonts w:ascii="Cambria Math"/>
          <w:sz w:val="4"/>
        </w:rPr>
      </w:pPr>
    </w:p>
    <w:p>
      <w:pPr>
        <w:pStyle w:val="BodyText"/>
        <w:spacing w:line="20" w:lineRule="exact"/>
        <w:ind w:left="3755" w:right="-58"/>
        <w:rPr>
          <w:rFonts w:ascii="Cambria Math"/>
          <w:sz w:val="2"/>
        </w:rPr>
      </w:pPr>
      <w:r>
        <w:rPr>
          <w:rFonts w:ascii="Cambria Math"/>
          <w:sz w:val="2"/>
        </w:rPr>
        <mc:AlternateContent>
          <mc:Choice Requires="wps">
            <w:drawing>
              <wp:inline distT="0" distB="0" distL="0" distR="0">
                <wp:extent cx="283845" cy="9525"/>
                <wp:effectExtent l="0" t="0" r="0" b="0"/>
                <wp:docPr id="26" name="Group 26"/>
                <wp:cNvGraphicFramePr>
                  <a:graphicFrameLocks/>
                </wp:cNvGraphicFramePr>
                <a:graphic>
                  <a:graphicData uri="http://schemas.microsoft.com/office/word/2010/wordprocessingGroup">
                    <wpg:wgp>
                      <wpg:cNvPr id="26" name="Group 26"/>
                      <wpg:cNvGrpSpPr/>
                      <wpg:grpSpPr>
                        <a:xfrm>
                          <a:off x="0" y="0"/>
                          <a:ext cx="283845" cy="9525"/>
                          <a:chExt cx="283845" cy="9525"/>
                        </a:xfrm>
                      </wpg:grpSpPr>
                      <wps:wsp>
                        <wps:cNvPr id="27" name="Graphic 27"/>
                        <wps:cNvSpPr/>
                        <wps:spPr>
                          <a:xfrm>
                            <a:off x="0" y="0"/>
                            <a:ext cx="283845" cy="9525"/>
                          </a:xfrm>
                          <a:custGeom>
                            <a:avLst/>
                            <a:gdLst/>
                            <a:ahLst/>
                            <a:cxnLst/>
                            <a:rect l="l" t="t" r="r" b="b"/>
                            <a:pathLst>
                              <a:path w="283845" h="9525">
                                <a:moveTo>
                                  <a:pt x="283463" y="0"/>
                                </a:moveTo>
                                <a:lnTo>
                                  <a:pt x="0" y="0"/>
                                </a:lnTo>
                                <a:lnTo>
                                  <a:pt x="0" y="9144"/>
                                </a:lnTo>
                                <a:lnTo>
                                  <a:pt x="283463" y="9144"/>
                                </a:lnTo>
                                <a:lnTo>
                                  <a:pt x="283463"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style="width:22.35pt;height:.75pt;mso-position-horizontal-relative:char;mso-position-vertical-relative:line" id="docshapegroup25" coordorigin="0,0" coordsize="447,15">
                <v:rect style="position:absolute;left:0;top:0;width:447;height:15" id="docshape26" filled="true" fillcolor="#000000" stroked="false">
                  <v:fill type="solid"/>
                </v:rect>
              </v:group>
            </w:pict>
          </mc:Fallback>
        </mc:AlternateContent>
      </w:r>
      <w:r>
        <w:rPr>
          <w:rFonts w:ascii="Cambria Math"/>
          <w:sz w:val="2"/>
        </w:rPr>
      </w:r>
    </w:p>
    <w:p>
      <w:pPr>
        <w:pStyle w:val="BodyText"/>
        <w:ind w:right="65"/>
        <w:jc w:val="right"/>
        <w:rPr>
          <w:rFonts w:ascii="Cambria Math"/>
        </w:rPr>
      </w:pPr>
      <w:r>
        <w:rPr>
          <w:rFonts w:ascii="Cambria Math"/>
          <w:spacing w:val="-5"/>
        </w:rPr>
        <w:t>4.1</w:t>
      </w:r>
    </w:p>
    <w:p>
      <w:pPr>
        <w:pStyle w:val="BodyText"/>
        <w:spacing w:before="242"/>
        <w:ind w:left="28"/>
      </w:pPr>
      <w:r>
        <w:rPr/>
        <w:br w:type="column"/>
      </w:r>
      <w:r>
        <w:rPr>
          <w:rFonts w:ascii="Cambria Math"/>
        </w:rPr>
        <w:t>=</w:t>
      </w:r>
      <w:r>
        <w:rPr>
          <w:rFonts w:ascii="Cambria Math"/>
          <w:spacing w:val="13"/>
        </w:rPr>
        <w:t> </w:t>
      </w:r>
      <w:r>
        <w:rPr>
          <w:rFonts w:ascii="Cambria Math"/>
        </w:rPr>
        <w:t>4.39</w:t>
      </w:r>
      <w:r>
        <w:rPr>
          <w:rFonts w:ascii="Cambria Math"/>
          <w:spacing w:val="15"/>
        </w:rPr>
        <w:t> </w:t>
      </w:r>
      <w:r>
        <w:rPr>
          <w:spacing w:val="-2"/>
        </w:rPr>
        <w:t>times</w:t>
      </w:r>
    </w:p>
    <w:p>
      <w:pPr>
        <w:pStyle w:val="BodyText"/>
        <w:spacing w:after="0"/>
        <w:sectPr>
          <w:type w:val="continuous"/>
          <w:pgSz w:w="12240" w:h="15840"/>
          <w:pgMar w:header="0" w:footer="1051" w:top="1820" w:bottom="1240" w:left="1440" w:right="1080"/>
          <w:cols w:num="2" w:equalWidth="0">
            <w:col w:w="4206" w:space="40"/>
            <w:col w:w="5474"/>
          </w:cols>
        </w:sectPr>
      </w:pPr>
    </w:p>
    <w:p>
      <w:pPr>
        <w:pStyle w:val="BodyText"/>
      </w:pPr>
    </w:p>
    <w:p>
      <w:pPr>
        <w:pStyle w:val="BodyText"/>
        <w:spacing w:before="93"/>
      </w:pPr>
    </w:p>
    <w:p>
      <w:pPr>
        <w:pStyle w:val="Heading2"/>
      </w:pPr>
      <w:r>
        <w:rPr>
          <w:spacing w:val="-2"/>
        </w:rPr>
        <w:t>Analysis:</w:t>
      </w:r>
    </w:p>
    <w:p>
      <w:pPr>
        <w:pStyle w:val="BodyText"/>
        <w:spacing w:line="360" w:lineRule="auto" w:before="142"/>
        <w:ind w:right="357"/>
        <w:jc w:val="both"/>
      </w:pPr>
      <w:r>
        <w:rPr/>
        <w:t>The</w:t>
      </w:r>
      <w:r>
        <w:rPr>
          <w:spacing w:val="-1"/>
        </w:rPr>
        <w:t> </w:t>
      </w:r>
      <w:r>
        <w:rPr/>
        <w:t>debt-to-equity</w:t>
      </w:r>
      <w:r>
        <w:rPr>
          <w:spacing w:val="-1"/>
        </w:rPr>
        <w:t> </w:t>
      </w:r>
      <w:r>
        <w:rPr/>
        <w:t>ratio</w:t>
      </w:r>
      <w:r>
        <w:rPr>
          <w:spacing w:val="-1"/>
        </w:rPr>
        <w:t> </w:t>
      </w:r>
      <w:r>
        <w:rPr/>
        <w:t>of</w:t>
      </w:r>
      <w:r>
        <w:rPr>
          <w:spacing w:val="-1"/>
        </w:rPr>
        <w:t> </w:t>
      </w:r>
      <w:r>
        <w:rPr/>
        <w:t>4.39</w:t>
      </w:r>
      <w:r>
        <w:rPr>
          <w:spacing w:val="-1"/>
        </w:rPr>
        <w:t> </w:t>
      </w:r>
      <w:r>
        <w:rPr/>
        <w:t>times</w:t>
      </w:r>
      <w:r>
        <w:rPr>
          <w:spacing w:val="-1"/>
        </w:rPr>
        <w:t> </w:t>
      </w:r>
      <w:r>
        <w:rPr/>
        <w:t>implies</w:t>
      </w:r>
      <w:r>
        <w:rPr>
          <w:spacing w:val="-6"/>
        </w:rPr>
        <w:t> </w:t>
      </w:r>
      <w:r>
        <w:rPr/>
        <w:t>a</w:t>
      </w:r>
      <w:r>
        <w:rPr>
          <w:spacing w:val="-1"/>
        </w:rPr>
        <w:t> </w:t>
      </w:r>
      <w:r>
        <w:rPr/>
        <w:t>very</w:t>
      </w:r>
      <w:r>
        <w:rPr>
          <w:spacing w:val="-1"/>
        </w:rPr>
        <w:t> </w:t>
      </w:r>
      <w:r>
        <w:rPr/>
        <w:t>leveraged</w:t>
      </w:r>
      <w:r>
        <w:rPr>
          <w:spacing w:val="-1"/>
        </w:rPr>
        <w:t> </w:t>
      </w:r>
      <w:r>
        <w:rPr/>
        <w:t>capital structure,</w:t>
      </w:r>
      <w:r>
        <w:rPr>
          <w:spacing w:val="-5"/>
        </w:rPr>
        <w:t> </w:t>
      </w:r>
      <w:r>
        <w:rPr/>
        <w:t>in</w:t>
      </w:r>
      <w:r>
        <w:rPr>
          <w:spacing w:val="-1"/>
        </w:rPr>
        <w:t> </w:t>
      </w:r>
      <w:r>
        <w:rPr/>
        <w:t>which NIO uses a substantial amount of debt financing as compared to equity. Such a high gearing will increase financial risk, especially to a company that is making losses, since </w:t>
      </w:r>
      <w:r>
        <w:rPr>
          <w:spacing w:val="-2"/>
        </w:rPr>
        <w:t>it</w:t>
      </w:r>
      <w:r>
        <w:rPr>
          <w:spacing w:val="-7"/>
        </w:rPr>
        <w:t> </w:t>
      </w:r>
      <w:r>
        <w:rPr>
          <w:spacing w:val="-2"/>
        </w:rPr>
        <w:t>will</w:t>
      </w:r>
      <w:r>
        <w:rPr>
          <w:spacing w:val="-8"/>
        </w:rPr>
        <w:t> </w:t>
      </w:r>
      <w:r>
        <w:rPr>
          <w:spacing w:val="-2"/>
        </w:rPr>
        <w:t>increase</w:t>
      </w:r>
      <w:r>
        <w:rPr>
          <w:spacing w:val="-7"/>
        </w:rPr>
        <w:t> </w:t>
      </w:r>
      <w:r>
        <w:rPr>
          <w:spacing w:val="-2"/>
        </w:rPr>
        <w:t>the</w:t>
      </w:r>
      <w:r>
        <w:rPr>
          <w:spacing w:val="-7"/>
        </w:rPr>
        <w:t> </w:t>
      </w:r>
      <w:r>
        <w:rPr>
          <w:spacing w:val="-2"/>
        </w:rPr>
        <w:t>fixed</w:t>
      </w:r>
      <w:r>
        <w:rPr>
          <w:spacing w:val="-12"/>
        </w:rPr>
        <w:t> </w:t>
      </w:r>
      <w:r>
        <w:rPr>
          <w:spacing w:val="-2"/>
        </w:rPr>
        <w:t>liability.</w:t>
      </w:r>
      <w:r>
        <w:rPr>
          <w:spacing w:val="-7"/>
        </w:rPr>
        <w:t> </w:t>
      </w:r>
      <w:r>
        <w:rPr>
          <w:spacing w:val="-2"/>
        </w:rPr>
        <w:t>More</w:t>
      </w:r>
      <w:r>
        <w:rPr>
          <w:spacing w:val="-7"/>
        </w:rPr>
        <w:t> </w:t>
      </w:r>
      <w:r>
        <w:rPr>
          <w:spacing w:val="-2"/>
        </w:rPr>
        <w:t>significantly,</w:t>
      </w:r>
      <w:r>
        <w:rPr>
          <w:spacing w:val="-7"/>
        </w:rPr>
        <w:t> </w:t>
      </w:r>
      <w:r>
        <w:rPr>
          <w:spacing w:val="-2"/>
        </w:rPr>
        <w:t>trade</w:t>
      </w:r>
      <w:r>
        <w:rPr>
          <w:spacing w:val="-7"/>
        </w:rPr>
        <w:t> </w:t>
      </w:r>
      <w:r>
        <w:rPr>
          <w:spacing w:val="-2"/>
        </w:rPr>
        <w:t>and</w:t>
      </w:r>
      <w:r>
        <w:rPr>
          <w:spacing w:val="-7"/>
        </w:rPr>
        <w:t> </w:t>
      </w:r>
      <w:r>
        <w:rPr>
          <w:spacing w:val="-2"/>
        </w:rPr>
        <w:t>notes</w:t>
      </w:r>
      <w:r>
        <w:rPr>
          <w:spacing w:val="-7"/>
        </w:rPr>
        <w:t> </w:t>
      </w:r>
      <w:r>
        <w:rPr>
          <w:spacing w:val="-2"/>
        </w:rPr>
        <w:t>payables</w:t>
      </w:r>
      <w:r>
        <w:rPr>
          <w:spacing w:val="-7"/>
        </w:rPr>
        <w:t> </w:t>
      </w:r>
      <w:r>
        <w:rPr>
          <w:spacing w:val="-2"/>
        </w:rPr>
        <w:t>are</w:t>
      </w:r>
      <w:r>
        <w:rPr>
          <w:spacing w:val="-7"/>
        </w:rPr>
        <w:t> </w:t>
      </w:r>
      <w:r>
        <w:rPr>
          <w:spacing w:val="-2"/>
        </w:rPr>
        <w:t>also</w:t>
      </w:r>
      <w:r>
        <w:rPr>
          <w:spacing w:val="-12"/>
        </w:rPr>
        <w:t> </w:t>
      </w:r>
      <w:r>
        <w:rPr>
          <w:spacing w:val="-2"/>
        </w:rPr>
        <w:t>large </w:t>
      </w:r>
      <w:r>
        <w:rPr/>
        <w:t>enough</w:t>
      </w:r>
      <w:r>
        <w:rPr>
          <w:spacing w:val="-8"/>
        </w:rPr>
        <w:t> </w:t>
      </w:r>
      <w:r>
        <w:rPr/>
        <w:t>to</w:t>
      </w:r>
      <w:r>
        <w:rPr>
          <w:spacing w:val="-8"/>
        </w:rPr>
        <w:t> </w:t>
      </w:r>
      <w:r>
        <w:rPr/>
        <w:t>augment</w:t>
      </w:r>
      <w:r>
        <w:rPr>
          <w:spacing w:val="-8"/>
        </w:rPr>
        <w:t> </w:t>
      </w:r>
      <w:r>
        <w:rPr/>
        <w:t>effective</w:t>
      </w:r>
      <w:r>
        <w:rPr>
          <w:spacing w:val="-12"/>
        </w:rPr>
        <w:t> </w:t>
      </w:r>
      <w:r>
        <w:rPr/>
        <w:t>leverage</w:t>
      </w:r>
      <w:r>
        <w:rPr>
          <w:spacing w:val="-8"/>
        </w:rPr>
        <w:t> </w:t>
      </w:r>
      <w:r>
        <w:rPr/>
        <w:t>although</w:t>
      </w:r>
      <w:r>
        <w:rPr>
          <w:spacing w:val="-8"/>
        </w:rPr>
        <w:t> </w:t>
      </w:r>
      <w:r>
        <w:rPr/>
        <w:t>they</w:t>
      </w:r>
      <w:r>
        <w:rPr>
          <w:spacing w:val="-8"/>
        </w:rPr>
        <w:t> </w:t>
      </w:r>
      <w:r>
        <w:rPr/>
        <w:t>are</w:t>
      </w:r>
      <w:r>
        <w:rPr>
          <w:spacing w:val="-8"/>
        </w:rPr>
        <w:t> </w:t>
      </w:r>
      <w:r>
        <w:rPr/>
        <w:t>not</w:t>
      </w:r>
      <w:r>
        <w:rPr>
          <w:spacing w:val="-8"/>
        </w:rPr>
        <w:t> </w:t>
      </w:r>
      <w:r>
        <w:rPr/>
        <w:t>shown</w:t>
      </w:r>
      <w:r>
        <w:rPr>
          <w:spacing w:val="-8"/>
        </w:rPr>
        <w:t> </w:t>
      </w:r>
      <w:r>
        <w:rPr/>
        <w:t>in</w:t>
      </w:r>
      <w:r>
        <w:rPr>
          <w:spacing w:val="-8"/>
        </w:rPr>
        <w:t> </w:t>
      </w:r>
      <w:r>
        <w:rPr/>
        <w:t>this</w:t>
      </w:r>
      <w:r>
        <w:rPr>
          <w:spacing w:val="-8"/>
        </w:rPr>
        <w:t> </w:t>
      </w:r>
      <w:r>
        <w:rPr/>
        <w:t>tight</w:t>
      </w:r>
      <w:r>
        <w:rPr>
          <w:spacing w:val="-8"/>
        </w:rPr>
        <w:t> </w:t>
      </w:r>
      <w:r>
        <w:rPr/>
        <w:t>ratio.</w:t>
      </w:r>
      <w:r>
        <w:rPr>
          <w:spacing w:val="-12"/>
        </w:rPr>
        <w:t> </w:t>
      </w:r>
      <w:r>
        <w:rPr/>
        <w:t>This is</w:t>
      </w:r>
      <w:r>
        <w:rPr>
          <w:spacing w:val="-17"/>
        </w:rPr>
        <w:t> </w:t>
      </w:r>
      <w:r>
        <w:rPr/>
        <w:t>indicative</w:t>
      </w:r>
      <w:r>
        <w:rPr>
          <w:spacing w:val="-17"/>
        </w:rPr>
        <w:t> </w:t>
      </w:r>
      <w:r>
        <w:rPr/>
        <w:t>of</w:t>
      </w:r>
      <w:r>
        <w:rPr>
          <w:spacing w:val="-16"/>
        </w:rPr>
        <w:t> </w:t>
      </w:r>
      <w:r>
        <w:rPr/>
        <w:t>a</w:t>
      </w:r>
      <w:r>
        <w:rPr>
          <w:spacing w:val="-17"/>
        </w:rPr>
        <w:t> </w:t>
      </w:r>
      <w:r>
        <w:rPr/>
        <w:t>growth-stage</w:t>
      </w:r>
      <w:r>
        <w:rPr>
          <w:spacing w:val="-17"/>
        </w:rPr>
        <w:t> </w:t>
      </w:r>
      <w:r>
        <w:rPr/>
        <w:t>company</w:t>
      </w:r>
      <w:r>
        <w:rPr>
          <w:spacing w:val="-15"/>
        </w:rPr>
        <w:t> </w:t>
      </w:r>
      <w:r>
        <w:rPr/>
        <w:t>that</w:t>
      </w:r>
      <w:r>
        <w:rPr>
          <w:spacing w:val="-16"/>
        </w:rPr>
        <w:t> </w:t>
      </w:r>
      <w:r>
        <w:rPr/>
        <w:t>is</w:t>
      </w:r>
      <w:r>
        <w:rPr>
          <w:spacing w:val="-17"/>
        </w:rPr>
        <w:t> </w:t>
      </w:r>
      <w:r>
        <w:rPr/>
        <w:t>highly</w:t>
      </w:r>
      <w:r>
        <w:rPr>
          <w:spacing w:val="-17"/>
        </w:rPr>
        <w:t> </w:t>
      </w:r>
      <w:r>
        <w:rPr/>
        <w:t>reliant</w:t>
      </w:r>
      <w:r>
        <w:rPr>
          <w:spacing w:val="-15"/>
        </w:rPr>
        <w:t> </w:t>
      </w:r>
      <w:r>
        <w:rPr/>
        <w:t>on</w:t>
      </w:r>
      <w:r>
        <w:rPr>
          <w:spacing w:val="-16"/>
        </w:rPr>
        <w:t> </w:t>
      </w:r>
      <w:r>
        <w:rPr/>
        <w:t>external</w:t>
      </w:r>
      <w:r>
        <w:rPr>
          <w:spacing w:val="-12"/>
        </w:rPr>
        <w:t> </w:t>
      </w:r>
      <w:r>
        <w:rPr/>
        <w:t>funding</w:t>
      </w:r>
      <w:r>
        <w:rPr>
          <w:spacing w:val="-15"/>
        </w:rPr>
        <w:t> </w:t>
      </w:r>
      <w:r>
        <w:rPr/>
        <w:t>to</w:t>
      </w:r>
      <w:r>
        <w:rPr>
          <w:spacing w:val="-15"/>
        </w:rPr>
        <w:t> </w:t>
      </w:r>
      <w:r>
        <w:rPr/>
        <w:t>finance </w:t>
      </w:r>
      <w:r>
        <w:rPr>
          <w:spacing w:val="-2"/>
        </w:rPr>
        <w:t>growth.</w:t>
      </w:r>
    </w:p>
    <w:p>
      <w:pPr>
        <w:pStyle w:val="BodyText"/>
      </w:pPr>
    </w:p>
    <w:p>
      <w:pPr>
        <w:pStyle w:val="BodyText"/>
        <w:spacing w:before="180"/>
      </w:pPr>
    </w:p>
    <w:p>
      <w:pPr>
        <w:pStyle w:val="Heading2"/>
        <w:spacing w:before="1"/>
      </w:pPr>
      <w:r>
        <w:rPr/>
        <w:t>Interest</w:t>
      </w:r>
      <w:r>
        <w:rPr>
          <w:spacing w:val="-9"/>
        </w:rPr>
        <w:t> </w:t>
      </w:r>
      <w:r>
        <w:rPr/>
        <w:t>Coverage</w:t>
      </w:r>
      <w:r>
        <w:rPr>
          <w:spacing w:val="-7"/>
        </w:rPr>
        <w:t> </w:t>
      </w:r>
      <w:r>
        <w:rPr>
          <w:spacing w:val="-4"/>
        </w:rPr>
        <w:t>Ratio</w:t>
      </w:r>
    </w:p>
    <w:p>
      <w:pPr>
        <w:pStyle w:val="BodyText"/>
        <w:spacing w:before="23"/>
        <w:rPr>
          <w:rFonts w:ascii="Arial"/>
          <w:b/>
        </w:rPr>
      </w:pPr>
    </w:p>
    <w:p>
      <w:pPr>
        <w:pStyle w:val="BodyText"/>
        <w:spacing w:line="362" w:lineRule="auto" w:before="1"/>
        <w:ind w:right="368"/>
        <w:jc w:val="both"/>
      </w:pPr>
      <w:r>
        <w:rPr>
          <w:spacing w:val="-2"/>
        </w:rPr>
        <w:t>The</w:t>
      </w:r>
      <w:r>
        <w:rPr>
          <w:spacing w:val="-12"/>
        </w:rPr>
        <w:t> </w:t>
      </w:r>
      <w:r>
        <w:rPr>
          <w:spacing w:val="-2"/>
        </w:rPr>
        <w:t>interest</w:t>
      </w:r>
      <w:r>
        <w:rPr>
          <w:spacing w:val="-12"/>
        </w:rPr>
        <w:t> </w:t>
      </w:r>
      <w:r>
        <w:rPr>
          <w:spacing w:val="-2"/>
        </w:rPr>
        <w:t>coverage</w:t>
      </w:r>
      <w:r>
        <w:rPr>
          <w:spacing w:val="-11"/>
        </w:rPr>
        <w:t> </w:t>
      </w:r>
      <w:r>
        <w:rPr>
          <w:spacing w:val="-2"/>
        </w:rPr>
        <w:t>ratio</w:t>
      </w:r>
      <w:r>
        <w:rPr>
          <w:spacing w:val="-15"/>
        </w:rPr>
        <w:t> </w:t>
      </w:r>
      <w:r>
        <w:rPr>
          <w:spacing w:val="-2"/>
        </w:rPr>
        <w:t>is</w:t>
      </w:r>
      <w:r>
        <w:rPr>
          <w:spacing w:val="-6"/>
        </w:rPr>
        <w:t> </w:t>
      </w:r>
      <w:r>
        <w:rPr>
          <w:spacing w:val="-2"/>
        </w:rPr>
        <w:t>used</w:t>
      </w:r>
      <w:r>
        <w:rPr>
          <w:spacing w:val="-6"/>
        </w:rPr>
        <w:t> </w:t>
      </w:r>
      <w:r>
        <w:rPr>
          <w:spacing w:val="-2"/>
        </w:rPr>
        <w:t>to</w:t>
      </w:r>
      <w:r>
        <w:rPr>
          <w:spacing w:val="-6"/>
        </w:rPr>
        <w:t> </w:t>
      </w:r>
      <w:r>
        <w:rPr>
          <w:spacing w:val="-2"/>
        </w:rPr>
        <w:t>determine</w:t>
      </w:r>
      <w:r>
        <w:rPr>
          <w:spacing w:val="-6"/>
        </w:rPr>
        <w:t> </w:t>
      </w:r>
      <w:r>
        <w:rPr>
          <w:spacing w:val="-2"/>
        </w:rPr>
        <w:t>the</w:t>
      </w:r>
      <w:r>
        <w:rPr>
          <w:spacing w:val="-11"/>
        </w:rPr>
        <w:t> </w:t>
      </w:r>
      <w:r>
        <w:rPr>
          <w:spacing w:val="-2"/>
        </w:rPr>
        <w:t>capacity</w:t>
      </w:r>
      <w:r>
        <w:rPr>
          <w:spacing w:val="-12"/>
        </w:rPr>
        <w:t> </w:t>
      </w:r>
      <w:r>
        <w:rPr>
          <w:spacing w:val="-2"/>
        </w:rPr>
        <w:t>of</w:t>
      </w:r>
      <w:r>
        <w:rPr>
          <w:spacing w:val="-12"/>
        </w:rPr>
        <w:t> </w:t>
      </w:r>
      <w:r>
        <w:rPr>
          <w:spacing w:val="-2"/>
        </w:rPr>
        <w:t>the</w:t>
      </w:r>
      <w:r>
        <w:rPr>
          <w:spacing w:val="-11"/>
        </w:rPr>
        <w:t> </w:t>
      </w:r>
      <w:r>
        <w:rPr>
          <w:spacing w:val="-2"/>
        </w:rPr>
        <w:t>firm</w:t>
      </w:r>
      <w:r>
        <w:rPr>
          <w:spacing w:val="-15"/>
        </w:rPr>
        <w:t> </w:t>
      </w:r>
      <w:r>
        <w:rPr>
          <w:spacing w:val="-2"/>
        </w:rPr>
        <w:t>in</w:t>
      </w:r>
      <w:r>
        <w:rPr>
          <w:spacing w:val="-6"/>
        </w:rPr>
        <w:t> </w:t>
      </w:r>
      <w:r>
        <w:rPr>
          <w:spacing w:val="-2"/>
        </w:rPr>
        <w:t>terms</w:t>
      </w:r>
      <w:r>
        <w:rPr>
          <w:spacing w:val="-6"/>
        </w:rPr>
        <w:t> </w:t>
      </w:r>
      <w:r>
        <w:rPr>
          <w:spacing w:val="-2"/>
        </w:rPr>
        <w:t>of</w:t>
      </w:r>
      <w:r>
        <w:rPr>
          <w:spacing w:val="-6"/>
        </w:rPr>
        <w:t> </w:t>
      </w:r>
      <w:r>
        <w:rPr>
          <w:spacing w:val="-2"/>
        </w:rPr>
        <w:t>fulfilling </w:t>
      </w:r>
      <w:r>
        <w:rPr/>
        <w:t>the interest payments on the operating income earned, and is determined as:</w:t>
      </w:r>
    </w:p>
    <w:p>
      <w:pPr>
        <w:pStyle w:val="BodyText"/>
        <w:spacing w:after="0" w:line="362" w:lineRule="auto"/>
        <w:jc w:val="both"/>
        <w:sectPr>
          <w:type w:val="continuous"/>
          <w:pgSz w:w="12240" w:h="15840"/>
          <w:pgMar w:header="0" w:footer="1051" w:top="1820" w:bottom="1240" w:left="1440" w:right="1080"/>
        </w:sectPr>
      </w:pPr>
    </w:p>
    <w:p>
      <w:pPr>
        <w:pStyle w:val="BodyText"/>
        <w:spacing w:line="228" w:lineRule="exact" w:before="81"/>
        <w:ind w:left="3030" w:right="1166"/>
        <w:jc w:val="center"/>
      </w:pPr>
      <w:r>
        <w:rPr>
          <w:spacing w:val="-4"/>
        </w:rPr>
        <w:t>EBIT</w:t>
      </w:r>
    </w:p>
    <w:p>
      <w:pPr>
        <w:pStyle w:val="BodyText"/>
        <w:spacing w:line="187" w:lineRule="auto"/>
        <w:ind w:right="356"/>
        <w:jc w:val="center"/>
        <w:rPr>
          <w:position w:val="-15"/>
        </w:rPr>
      </w:pPr>
      <w:r>
        <w:rPr>
          <w:position w:val="-15"/>
        </w:rPr>
        <mc:AlternateContent>
          <mc:Choice Requires="wps">
            <w:drawing>
              <wp:anchor distT="0" distB="0" distL="0" distR="0" allowOverlap="1" layoutInCell="1" locked="0" behindDoc="1" simplePos="0" relativeHeight="486790144">
                <wp:simplePos x="0" y="0"/>
                <wp:positionH relativeFrom="page">
                  <wp:posOffset>4021835</wp:posOffset>
                </wp:positionH>
                <wp:positionV relativeFrom="paragraph">
                  <wp:posOffset>65834</wp:posOffset>
                </wp:positionV>
                <wp:extent cx="1143635" cy="9525"/>
                <wp:effectExtent l="0" t="0" r="0" b="0"/>
                <wp:wrapNone/>
                <wp:docPr id="28" name="Graphic 28"/>
                <wp:cNvGraphicFramePr>
                  <a:graphicFrameLocks/>
                </wp:cNvGraphicFramePr>
                <a:graphic>
                  <a:graphicData uri="http://schemas.microsoft.com/office/word/2010/wordprocessingShape">
                    <wps:wsp>
                      <wps:cNvPr id="28" name="Graphic 28"/>
                      <wps:cNvSpPr/>
                      <wps:spPr>
                        <a:xfrm>
                          <a:off x="0" y="0"/>
                          <a:ext cx="1143635" cy="9525"/>
                        </a:xfrm>
                        <a:custGeom>
                          <a:avLst/>
                          <a:gdLst/>
                          <a:ahLst/>
                          <a:cxnLst/>
                          <a:rect l="l" t="t" r="r" b="b"/>
                          <a:pathLst>
                            <a:path w="1143635" h="9525">
                              <a:moveTo>
                                <a:pt x="1143304" y="0"/>
                              </a:moveTo>
                              <a:lnTo>
                                <a:pt x="0" y="0"/>
                              </a:lnTo>
                              <a:lnTo>
                                <a:pt x="0" y="9144"/>
                              </a:lnTo>
                              <a:lnTo>
                                <a:pt x="1143304" y="9144"/>
                              </a:lnTo>
                              <a:lnTo>
                                <a:pt x="1143304"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rect style="position:absolute;margin-left:316.679993pt;margin-top:5.183831pt;width:90.024pt;height:.72pt;mso-position-horizontal-relative:page;mso-position-vertical-relative:paragraph;z-index:-16526336" id="docshape27" filled="true" fillcolor="#000000" stroked="false">
                <v:fill type="solid"/>
                <w10:wrap type="none"/>
              </v:rect>
            </w:pict>
          </mc:Fallback>
        </mc:AlternateContent>
      </w:r>
      <w:r>
        <w:rPr/>
        <w:t>Interest</w:t>
      </w:r>
      <w:r>
        <w:rPr>
          <w:spacing w:val="-2"/>
        </w:rPr>
        <w:t> </w:t>
      </w:r>
      <w:r>
        <w:rPr/>
        <w:t>Coverage</w:t>
      </w:r>
      <w:r>
        <w:rPr>
          <w:spacing w:val="-6"/>
        </w:rPr>
        <w:t> </w:t>
      </w:r>
      <w:r>
        <w:rPr>
          <w:rFonts w:ascii="Cambria Math"/>
        </w:rPr>
        <w:t>=</w:t>
      </w:r>
      <w:r>
        <w:rPr>
          <w:rFonts w:ascii="Cambria Math"/>
          <w:spacing w:val="15"/>
        </w:rPr>
        <w:t> </w:t>
      </w:r>
      <w:r>
        <w:rPr>
          <w:position w:val="-15"/>
        </w:rPr>
        <w:t>Interest</w:t>
      </w:r>
      <w:r>
        <w:rPr>
          <w:spacing w:val="-5"/>
          <w:position w:val="-15"/>
        </w:rPr>
        <w:t> </w:t>
      </w:r>
      <w:r>
        <w:rPr>
          <w:spacing w:val="-2"/>
          <w:position w:val="-15"/>
        </w:rPr>
        <w:t>Expense</w:t>
      </w:r>
    </w:p>
    <w:p>
      <w:pPr>
        <w:pStyle w:val="BodyText"/>
        <w:spacing w:before="29"/>
      </w:pPr>
    </w:p>
    <w:p>
      <w:pPr>
        <w:pStyle w:val="Heading2"/>
      </w:pPr>
      <w:r>
        <w:rPr/>
        <w:t>Calculation</w:t>
      </w:r>
      <w:r>
        <w:rPr>
          <w:spacing w:val="-5"/>
        </w:rPr>
        <w:t> </w:t>
      </w:r>
      <w:r>
        <w:rPr/>
        <w:t>(2025</w:t>
      </w:r>
      <w:r>
        <w:rPr>
          <w:spacing w:val="-10"/>
        </w:rPr>
        <w:t> </w:t>
      </w:r>
      <w:r>
        <w:rPr>
          <w:spacing w:val="-2"/>
        </w:rPr>
        <w:t>Approx.):</w:t>
      </w:r>
    </w:p>
    <w:p>
      <w:pPr>
        <w:pStyle w:val="BodyText"/>
        <w:spacing w:before="29"/>
        <w:rPr>
          <w:rFonts w:ascii="Arial"/>
          <w:b/>
        </w:rPr>
      </w:pPr>
    </w:p>
    <w:p>
      <w:pPr>
        <w:pStyle w:val="ListParagraph"/>
        <w:numPr>
          <w:ilvl w:val="0"/>
          <w:numId w:val="5"/>
        </w:numPr>
        <w:tabs>
          <w:tab w:pos="720" w:val="left" w:leader="none"/>
        </w:tabs>
        <w:spacing w:line="240" w:lineRule="auto" w:before="0" w:after="0"/>
        <w:ind w:left="720" w:right="0" w:hanging="360"/>
        <w:jc w:val="left"/>
        <w:rPr>
          <w:rFonts w:ascii="Arial MT" w:hAnsi="Arial MT"/>
          <w:sz w:val="24"/>
        </w:rPr>
      </w:pPr>
      <w:r>
        <w:rPr>
          <w:rFonts w:ascii="Arial MT" w:hAnsi="Arial MT"/>
          <w:sz w:val="24"/>
        </w:rPr>
        <w:t>EBIT</w:t>
      </w:r>
      <w:r>
        <w:rPr>
          <w:rFonts w:ascii="Arial MT" w:hAnsi="Arial MT"/>
          <w:spacing w:val="-4"/>
          <w:sz w:val="24"/>
        </w:rPr>
        <w:t> </w:t>
      </w:r>
      <w:r>
        <w:rPr>
          <w:rFonts w:ascii="Arial MT" w:hAnsi="Arial MT"/>
          <w:sz w:val="24"/>
        </w:rPr>
        <w:t>=</w:t>
      </w:r>
      <w:r>
        <w:rPr>
          <w:rFonts w:ascii="Arial MT" w:hAnsi="Arial MT"/>
          <w:spacing w:val="-3"/>
          <w:sz w:val="24"/>
        </w:rPr>
        <w:t> </w:t>
      </w:r>
      <w:r>
        <w:rPr>
          <w:rFonts w:ascii="Arial MT" w:hAnsi="Arial MT"/>
          <w:sz w:val="24"/>
        </w:rPr>
        <w:t>–RMB</w:t>
      </w:r>
      <w:r>
        <w:rPr>
          <w:rFonts w:ascii="Arial MT" w:hAnsi="Arial MT"/>
          <w:spacing w:val="-4"/>
          <w:sz w:val="24"/>
        </w:rPr>
        <w:t> </w:t>
      </w:r>
      <w:r>
        <w:rPr>
          <w:rFonts w:ascii="Arial MT" w:hAnsi="Arial MT"/>
          <w:sz w:val="24"/>
        </w:rPr>
        <w:t>14.0</w:t>
      </w:r>
      <w:r>
        <w:rPr>
          <w:rFonts w:ascii="Arial MT" w:hAnsi="Arial MT"/>
          <w:spacing w:val="-1"/>
          <w:sz w:val="24"/>
        </w:rPr>
        <w:t> </w:t>
      </w:r>
      <w:r>
        <w:rPr>
          <w:rFonts w:ascii="Arial MT" w:hAnsi="Arial MT"/>
          <w:spacing w:val="-2"/>
          <w:sz w:val="24"/>
        </w:rPr>
        <w:t>billion</w:t>
      </w:r>
    </w:p>
    <w:p>
      <w:pPr>
        <w:pStyle w:val="BodyText"/>
        <w:spacing w:before="19"/>
      </w:pPr>
    </w:p>
    <w:p>
      <w:pPr>
        <w:pStyle w:val="ListParagraph"/>
        <w:numPr>
          <w:ilvl w:val="0"/>
          <w:numId w:val="5"/>
        </w:numPr>
        <w:tabs>
          <w:tab w:pos="720" w:val="left" w:leader="none"/>
        </w:tabs>
        <w:spacing w:line="240" w:lineRule="auto" w:before="1" w:after="0"/>
        <w:ind w:left="720" w:right="0" w:hanging="360"/>
        <w:jc w:val="left"/>
        <w:rPr>
          <w:rFonts w:ascii="Arial MT" w:hAnsi="Arial MT"/>
          <w:sz w:val="24"/>
        </w:rPr>
      </w:pPr>
      <w:r>
        <w:rPr>
          <w:rFonts w:ascii="Arial MT" w:hAnsi="Arial MT"/>
          <w:sz w:val="24"/>
        </w:rPr>
        <w:t>Interest</w:t>
      </w:r>
      <w:r>
        <w:rPr>
          <w:rFonts w:ascii="Arial MT" w:hAnsi="Arial MT"/>
          <w:spacing w:val="-2"/>
          <w:sz w:val="24"/>
        </w:rPr>
        <w:t> </w:t>
      </w:r>
      <w:r>
        <w:rPr>
          <w:rFonts w:ascii="Arial MT" w:hAnsi="Arial MT"/>
          <w:sz w:val="24"/>
        </w:rPr>
        <w:t>Expense ≈</w:t>
      </w:r>
      <w:r>
        <w:rPr>
          <w:rFonts w:ascii="Arial MT" w:hAnsi="Arial MT"/>
          <w:spacing w:val="-4"/>
          <w:sz w:val="24"/>
        </w:rPr>
        <w:t> </w:t>
      </w:r>
      <w:r>
        <w:rPr>
          <w:rFonts w:ascii="Arial MT" w:hAnsi="Arial MT"/>
          <w:sz w:val="24"/>
        </w:rPr>
        <w:t>RMB</w:t>
      </w:r>
      <w:r>
        <w:rPr>
          <w:rFonts w:ascii="Arial MT" w:hAnsi="Arial MT"/>
          <w:spacing w:val="-3"/>
          <w:sz w:val="24"/>
        </w:rPr>
        <w:t> </w:t>
      </w:r>
      <w:r>
        <w:rPr>
          <w:rFonts w:ascii="Arial MT" w:hAnsi="Arial MT"/>
          <w:sz w:val="24"/>
        </w:rPr>
        <w:t>0.88</w:t>
      </w:r>
      <w:r>
        <w:rPr>
          <w:rFonts w:ascii="Arial MT" w:hAnsi="Arial MT"/>
          <w:spacing w:val="-2"/>
          <w:sz w:val="24"/>
        </w:rPr>
        <w:t> billion</w:t>
      </w:r>
    </w:p>
    <w:p>
      <w:pPr>
        <w:pStyle w:val="BodyText"/>
        <w:spacing w:before="2"/>
        <w:rPr>
          <w:sz w:val="18"/>
        </w:rPr>
      </w:pPr>
    </w:p>
    <w:p>
      <w:pPr>
        <w:pStyle w:val="BodyText"/>
        <w:spacing w:after="0"/>
        <w:rPr>
          <w:sz w:val="18"/>
        </w:rPr>
        <w:sectPr>
          <w:pgSz w:w="12240" w:h="15840"/>
          <w:pgMar w:header="0" w:footer="1051" w:top="1340" w:bottom="1240" w:left="1440" w:right="1080"/>
        </w:sectPr>
      </w:pPr>
    </w:p>
    <w:p>
      <w:pPr>
        <w:pStyle w:val="BodyText"/>
        <w:spacing w:before="242"/>
        <w:ind w:left="2790"/>
        <w:rPr>
          <w:rFonts w:ascii="Cambria Math" w:hAnsi="Cambria Math"/>
        </w:rPr>
      </w:pPr>
      <w:r>
        <w:rPr/>
        <w:t>Interest</w:t>
      </w:r>
      <w:r>
        <w:rPr>
          <w:spacing w:val="-8"/>
        </w:rPr>
        <w:t> </w:t>
      </w:r>
      <w:r>
        <w:rPr/>
        <w:t>Coverage</w:t>
      </w:r>
      <w:r>
        <w:rPr>
          <w:spacing w:val="-3"/>
        </w:rPr>
        <w:t> </w:t>
      </w:r>
      <w:r>
        <w:rPr>
          <w:rFonts w:ascii="Cambria Math" w:hAnsi="Cambria Math"/>
          <w:spacing w:val="-10"/>
        </w:rPr>
        <w:t>≈</w:t>
      </w:r>
    </w:p>
    <w:p>
      <w:pPr>
        <w:pStyle w:val="BodyText"/>
        <w:spacing w:before="59"/>
        <w:ind w:left="28"/>
        <w:rPr>
          <w:rFonts w:ascii="Cambria Math" w:hAnsi="Cambria Math"/>
        </w:rPr>
      </w:pPr>
      <w:r>
        <w:rPr/>
        <w:br w:type="column"/>
      </w:r>
      <w:r>
        <w:rPr>
          <w:rFonts w:ascii="Cambria Math" w:hAnsi="Cambria Math"/>
          <w:spacing w:val="-2"/>
        </w:rPr>
        <w:t>−14.0</w:t>
      </w:r>
    </w:p>
    <w:p>
      <w:pPr>
        <w:pStyle w:val="BodyText"/>
        <w:spacing w:before="5"/>
        <w:rPr>
          <w:rFonts w:ascii="Cambria Math"/>
          <w:sz w:val="4"/>
        </w:rPr>
      </w:pPr>
    </w:p>
    <w:p>
      <w:pPr>
        <w:pStyle w:val="BodyText"/>
        <w:spacing w:line="20" w:lineRule="exact"/>
        <w:ind w:left="28" w:right="-58"/>
        <w:rPr>
          <w:rFonts w:ascii="Cambria Math"/>
          <w:sz w:val="2"/>
        </w:rPr>
      </w:pPr>
      <w:r>
        <w:rPr>
          <w:rFonts w:ascii="Cambria Math"/>
          <w:sz w:val="2"/>
        </w:rPr>
        <mc:AlternateContent>
          <mc:Choice Requires="wps">
            <w:drawing>
              <wp:inline distT="0" distB="0" distL="0" distR="0">
                <wp:extent cx="399415" cy="9525"/>
                <wp:effectExtent l="0" t="0" r="0" b="0"/>
                <wp:docPr id="29" name="Group 29"/>
                <wp:cNvGraphicFramePr>
                  <a:graphicFrameLocks/>
                </wp:cNvGraphicFramePr>
                <a:graphic>
                  <a:graphicData uri="http://schemas.microsoft.com/office/word/2010/wordprocessingGroup">
                    <wpg:wgp>
                      <wpg:cNvPr id="29" name="Group 29"/>
                      <wpg:cNvGrpSpPr/>
                      <wpg:grpSpPr>
                        <a:xfrm>
                          <a:off x="0" y="0"/>
                          <a:ext cx="399415" cy="9525"/>
                          <a:chExt cx="399415" cy="9525"/>
                        </a:xfrm>
                      </wpg:grpSpPr>
                      <wps:wsp>
                        <wps:cNvPr id="30" name="Graphic 30"/>
                        <wps:cNvSpPr/>
                        <wps:spPr>
                          <a:xfrm>
                            <a:off x="0" y="0"/>
                            <a:ext cx="399415" cy="9525"/>
                          </a:xfrm>
                          <a:custGeom>
                            <a:avLst/>
                            <a:gdLst/>
                            <a:ahLst/>
                            <a:cxnLst/>
                            <a:rect l="l" t="t" r="r" b="b"/>
                            <a:pathLst>
                              <a:path w="399415" h="9525">
                                <a:moveTo>
                                  <a:pt x="399288" y="0"/>
                                </a:moveTo>
                                <a:lnTo>
                                  <a:pt x="0" y="0"/>
                                </a:lnTo>
                                <a:lnTo>
                                  <a:pt x="0" y="9144"/>
                                </a:lnTo>
                                <a:lnTo>
                                  <a:pt x="399288" y="9144"/>
                                </a:lnTo>
                                <a:lnTo>
                                  <a:pt x="399288"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style="width:31.45pt;height:.75pt;mso-position-horizontal-relative:char;mso-position-vertical-relative:line" id="docshapegroup28" coordorigin="0,0" coordsize="629,15">
                <v:rect style="position:absolute;left:0;top:0;width:629;height:15" id="docshape29" filled="true" fillcolor="#000000" stroked="false">
                  <v:fill type="solid"/>
                </v:rect>
              </v:group>
            </w:pict>
          </mc:Fallback>
        </mc:AlternateContent>
      </w:r>
      <w:r>
        <w:rPr>
          <w:rFonts w:ascii="Cambria Math"/>
          <w:sz w:val="2"/>
        </w:rPr>
      </w:r>
    </w:p>
    <w:p>
      <w:pPr>
        <w:pStyle w:val="BodyText"/>
        <w:ind w:left="119"/>
        <w:rPr>
          <w:rFonts w:ascii="Cambria Math"/>
        </w:rPr>
      </w:pPr>
      <w:r>
        <w:rPr>
          <w:rFonts w:ascii="Cambria Math"/>
          <w:spacing w:val="-4"/>
        </w:rPr>
        <w:t>0.88</w:t>
      </w:r>
    </w:p>
    <w:p>
      <w:pPr>
        <w:pStyle w:val="BodyText"/>
        <w:spacing w:before="242"/>
        <w:ind w:left="24"/>
        <w:rPr>
          <w:rFonts w:ascii="Cambria Math" w:hAnsi="Cambria Math"/>
        </w:rPr>
      </w:pPr>
      <w:r>
        <w:rPr/>
        <w:br w:type="column"/>
      </w:r>
      <w:r>
        <w:rPr>
          <w:rFonts w:ascii="Cambria Math" w:hAnsi="Cambria Math"/>
        </w:rPr>
        <w:t>=</w:t>
      </w:r>
      <w:r>
        <w:rPr>
          <w:rFonts w:ascii="Cambria Math" w:hAnsi="Cambria Math"/>
          <w:spacing w:val="17"/>
        </w:rPr>
        <w:t> </w:t>
      </w:r>
      <w:r>
        <w:rPr>
          <w:rFonts w:ascii="Cambria Math" w:hAnsi="Cambria Math"/>
          <w:spacing w:val="-2"/>
        </w:rPr>
        <w:t>−15.9</w:t>
      </w:r>
    </w:p>
    <w:p>
      <w:pPr>
        <w:pStyle w:val="BodyText"/>
        <w:spacing w:after="0"/>
        <w:rPr>
          <w:rFonts w:ascii="Cambria Math" w:hAnsi="Cambria Math"/>
        </w:rPr>
        <w:sectPr>
          <w:type w:val="continuous"/>
          <w:pgSz w:w="12240" w:h="15840"/>
          <w:pgMar w:header="0" w:footer="1051" w:top="1820" w:bottom="1240" w:left="1440" w:right="1080"/>
          <w:cols w:num="3" w:equalWidth="0">
            <w:col w:w="4941" w:space="40"/>
            <w:col w:w="656" w:space="39"/>
            <w:col w:w="4044"/>
          </w:cols>
        </w:sectPr>
      </w:pPr>
    </w:p>
    <w:p>
      <w:pPr>
        <w:pStyle w:val="BodyText"/>
        <w:rPr>
          <w:rFonts w:ascii="Cambria Math"/>
        </w:rPr>
      </w:pPr>
    </w:p>
    <w:p>
      <w:pPr>
        <w:pStyle w:val="BodyText"/>
        <w:spacing w:before="78"/>
        <w:rPr>
          <w:rFonts w:ascii="Cambria Math"/>
        </w:rPr>
      </w:pPr>
    </w:p>
    <w:p>
      <w:pPr>
        <w:pStyle w:val="Heading2"/>
      </w:pPr>
      <w:r>
        <w:rPr>
          <w:spacing w:val="-2"/>
        </w:rPr>
        <w:t>Analysis:</w:t>
      </w:r>
    </w:p>
    <w:p>
      <w:pPr>
        <w:pStyle w:val="BodyText"/>
        <w:spacing w:line="360" w:lineRule="auto" w:before="147"/>
        <w:ind w:right="358"/>
        <w:jc w:val="both"/>
      </w:pPr>
      <w:r>
        <w:rPr/>
        <w:t>The interest coverage ratio is negative, and this means that NIO is not earning enough operating income to meet its interest payments, which does indicate high financial risk. As</w:t>
      </w:r>
      <w:r>
        <w:rPr>
          <w:spacing w:val="-12"/>
        </w:rPr>
        <w:t> </w:t>
      </w:r>
      <w:r>
        <w:rPr/>
        <w:t>opposed</w:t>
      </w:r>
      <w:r>
        <w:rPr>
          <w:spacing w:val="-11"/>
        </w:rPr>
        <w:t> </w:t>
      </w:r>
      <w:r>
        <w:rPr/>
        <w:t>to</w:t>
      </w:r>
      <w:r>
        <w:rPr>
          <w:spacing w:val="-10"/>
        </w:rPr>
        <w:t> </w:t>
      </w:r>
      <w:r>
        <w:rPr/>
        <w:t>a</w:t>
      </w:r>
      <w:r>
        <w:rPr>
          <w:spacing w:val="-11"/>
        </w:rPr>
        <w:t> </w:t>
      </w:r>
      <w:r>
        <w:rPr/>
        <w:t>positive</w:t>
      </w:r>
      <w:r>
        <w:rPr>
          <w:spacing w:val="-11"/>
        </w:rPr>
        <w:t> </w:t>
      </w:r>
      <w:r>
        <w:rPr/>
        <w:t>ratio,</w:t>
      </w:r>
      <w:r>
        <w:rPr>
          <w:spacing w:val="-11"/>
        </w:rPr>
        <w:t> </w:t>
      </w:r>
      <w:r>
        <w:rPr/>
        <w:t>which</w:t>
      </w:r>
      <w:r>
        <w:rPr>
          <w:spacing w:val="-16"/>
        </w:rPr>
        <w:t> </w:t>
      </w:r>
      <w:r>
        <w:rPr/>
        <w:t>indicates</w:t>
      </w:r>
      <w:r>
        <w:rPr>
          <w:spacing w:val="-12"/>
        </w:rPr>
        <w:t> </w:t>
      </w:r>
      <w:r>
        <w:rPr/>
        <w:t>its</w:t>
      </w:r>
      <w:r>
        <w:rPr>
          <w:spacing w:val="-11"/>
        </w:rPr>
        <w:t> </w:t>
      </w:r>
      <w:r>
        <w:rPr/>
        <w:t>capacity</w:t>
      </w:r>
      <w:r>
        <w:rPr>
          <w:spacing w:val="-11"/>
        </w:rPr>
        <w:t> </w:t>
      </w:r>
      <w:r>
        <w:rPr/>
        <w:t>to</w:t>
      </w:r>
      <w:r>
        <w:rPr>
          <w:spacing w:val="-11"/>
        </w:rPr>
        <w:t> </w:t>
      </w:r>
      <w:r>
        <w:rPr/>
        <w:t>settle</w:t>
      </w:r>
      <w:r>
        <w:rPr>
          <w:spacing w:val="-11"/>
        </w:rPr>
        <w:t> </w:t>
      </w:r>
      <w:r>
        <w:rPr/>
        <w:t>debt,</w:t>
      </w:r>
      <w:r>
        <w:rPr>
          <w:spacing w:val="-11"/>
        </w:rPr>
        <w:t> </w:t>
      </w:r>
      <w:r>
        <w:rPr/>
        <w:t>a</w:t>
      </w:r>
      <w:r>
        <w:rPr>
          <w:spacing w:val="-11"/>
        </w:rPr>
        <w:t> </w:t>
      </w:r>
      <w:r>
        <w:rPr/>
        <w:t>negative</w:t>
      </w:r>
      <w:r>
        <w:rPr>
          <w:spacing w:val="-11"/>
        </w:rPr>
        <w:t> </w:t>
      </w:r>
      <w:r>
        <w:rPr/>
        <w:t>value is a sure sign that the firm is dependent on outside financing and cash reserves.</w:t>
      </w:r>
    </w:p>
    <w:p>
      <w:pPr>
        <w:pStyle w:val="BodyText"/>
      </w:pPr>
    </w:p>
    <w:p>
      <w:pPr>
        <w:pStyle w:val="BodyText"/>
        <w:spacing w:before="173"/>
      </w:pPr>
    </w:p>
    <w:p>
      <w:pPr>
        <w:pStyle w:val="Heading2"/>
        <w:numPr>
          <w:ilvl w:val="1"/>
          <w:numId w:val="3"/>
        </w:numPr>
        <w:tabs>
          <w:tab w:pos="400" w:val="left" w:leader="none"/>
        </w:tabs>
        <w:spacing w:line="240" w:lineRule="auto" w:before="0" w:after="0"/>
        <w:ind w:left="400" w:right="0" w:hanging="400"/>
        <w:jc w:val="left"/>
      </w:pPr>
      <w:bookmarkStart w:name="2.6 Cash Flow Analysis" w:id="19"/>
      <w:bookmarkEnd w:id="19"/>
      <w:r>
        <w:rPr>
          <w:b w:val="0"/>
        </w:rPr>
      </w:r>
      <w:bookmarkStart w:name="_bookmark9" w:id="20"/>
      <w:bookmarkEnd w:id="20"/>
      <w:r>
        <w:rPr>
          <w:b w:val="0"/>
        </w:rPr>
      </w:r>
      <w:r>
        <w:rPr/>
        <w:t>Cash</w:t>
      </w:r>
      <w:r>
        <w:rPr>
          <w:spacing w:val="-5"/>
        </w:rPr>
        <w:t> </w:t>
      </w:r>
      <w:r>
        <w:rPr/>
        <w:t>Flow</w:t>
      </w:r>
      <w:r>
        <w:rPr>
          <w:spacing w:val="-10"/>
        </w:rPr>
        <w:t> </w:t>
      </w:r>
      <w:r>
        <w:rPr>
          <w:spacing w:val="-2"/>
        </w:rPr>
        <w:t>Analysis</w:t>
      </w:r>
    </w:p>
    <w:p>
      <w:pPr>
        <w:pStyle w:val="BodyText"/>
        <w:spacing w:line="362" w:lineRule="auto" w:before="223"/>
        <w:ind w:right="350"/>
        <w:jc w:val="both"/>
      </w:pPr>
      <w:r>
        <w:rPr/>
        <w:t>The cash flow analysis takes into account the ability of NIO Inc. to generate cash via its core business activities as well as sustain</w:t>
      </w:r>
      <w:r>
        <w:rPr>
          <w:spacing w:val="-1"/>
        </w:rPr>
        <w:t> </w:t>
      </w:r>
      <w:r>
        <w:rPr/>
        <w:t>its business processes. NIO's operating cash flow</w:t>
      </w:r>
      <w:r>
        <w:rPr>
          <w:spacing w:val="-11"/>
        </w:rPr>
        <w:t> </w:t>
      </w:r>
      <w:r>
        <w:rPr/>
        <w:t>has</w:t>
      </w:r>
      <w:r>
        <w:rPr>
          <w:spacing w:val="-11"/>
        </w:rPr>
        <w:t> </w:t>
      </w:r>
      <w:r>
        <w:rPr/>
        <w:t>significantly</w:t>
      </w:r>
      <w:r>
        <w:rPr>
          <w:spacing w:val="-15"/>
        </w:rPr>
        <w:t> </w:t>
      </w:r>
      <w:r>
        <w:rPr/>
        <w:t>improved</w:t>
      </w:r>
      <w:r>
        <w:rPr>
          <w:spacing w:val="-4"/>
        </w:rPr>
        <w:t> </w:t>
      </w:r>
      <w:r>
        <w:rPr/>
        <w:t>in</w:t>
      </w:r>
      <w:r>
        <w:rPr>
          <w:spacing w:val="-10"/>
        </w:rPr>
        <w:t> </w:t>
      </w:r>
      <w:r>
        <w:rPr/>
        <w:t>the</w:t>
      </w:r>
      <w:r>
        <w:rPr>
          <w:spacing w:val="-10"/>
        </w:rPr>
        <w:t> </w:t>
      </w:r>
      <w:r>
        <w:rPr/>
        <w:t>period.</w:t>
      </w:r>
      <w:r>
        <w:rPr>
          <w:spacing w:val="-5"/>
        </w:rPr>
        <w:t> </w:t>
      </w:r>
      <w:r>
        <w:rPr/>
        <w:t>In</w:t>
      </w:r>
      <w:r>
        <w:rPr>
          <w:spacing w:val="-10"/>
        </w:rPr>
        <w:t> </w:t>
      </w:r>
      <w:r>
        <w:rPr/>
        <w:t>2023</w:t>
      </w:r>
      <w:r>
        <w:rPr>
          <w:spacing w:val="-10"/>
        </w:rPr>
        <w:t> </w:t>
      </w:r>
      <w:r>
        <w:rPr/>
        <w:t>and</w:t>
      </w:r>
      <w:r>
        <w:rPr>
          <w:spacing w:val="-5"/>
        </w:rPr>
        <w:t> </w:t>
      </w:r>
      <w:r>
        <w:rPr/>
        <w:t>2024,</w:t>
      </w:r>
      <w:r>
        <w:rPr>
          <w:spacing w:val="-10"/>
        </w:rPr>
        <w:t> </w:t>
      </w:r>
      <w:r>
        <w:rPr/>
        <w:t>the</w:t>
      </w:r>
      <w:r>
        <w:rPr>
          <w:spacing w:val="-10"/>
        </w:rPr>
        <w:t> </w:t>
      </w:r>
      <w:r>
        <w:rPr/>
        <w:t>company</w:t>
      </w:r>
      <w:r>
        <w:rPr>
          <w:spacing w:val="-6"/>
        </w:rPr>
        <w:t> </w:t>
      </w:r>
      <w:r>
        <w:rPr/>
        <w:t>recorded</w:t>
      </w:r>
      <w:r>
        <w:rPr>
          <w:spacing w:val="-14"/>
        </w:rPr>
        <w:t> </w:t>
      </w:r>
      <w:r>
        <w:rPr/>
        <w:t>its operating</w:t>
      </w:r>
      <w:r>
        <w:rPr>
          <w:spacing w:val="-2"/>
        </w:rPr>
        <w:t> </w:t>
      </w:r>
      <w:r>
        <w:rPr/>
        <w:t>cash</w:t>
      </w:r>
      <w:r>
        <w:rPr>
          <w:spacing w:val="-2"/>
        </w:rPr>
        <w:t> </w:t>
      </w:r>
      <w:r>
        <w:rPr/>
        <w:t>outflows</w:t>
      </w:r>
      <w:r>
        <w:rPr>
          <w:spacing w:val="-2"/>
        </w:rPr>
        <w:t> </w:t>
      </w:r>
      <w:r>
        <w:rPr/>
        <w:t>of</w:t>
      </w:r>
      <w:r>
        <w:rPr>
          <w:spacing w:val="-2"/>
        </w:rPr>
        <w:t> </w:t>
      </w:r>
      <w:r>
        <w:rPr/>
        <w:t>approximately</w:t>
      </w:r>
      <w:r>
        <w:rPr>
          <w:spacing w:val="-2"/>
        </w:rPr>
        <w:t> </w:t>
      </w:r>
      <w:r>
        <w:rPr/>
        <w:t>RMB -1.4</w:t>
      </w:r>
      <w:r>
        <w:rPr>
          <w:spacing w:val="-1"/>
        </w:rPr>
        <w:t> </w:t>
      </w:r>
      <w:r>
        <w:rPr/>
        <w:t>billion</w:t>
      </w:r>
      <w:r>
        <w:rPr>
          <w:spacing w:val="-2"/>
        </w:rPr>
        <w:t> </w:t>
      </w:r>
      <w:r>
        <w:rPr/>
        <w:t>and</w:t>
      </w:r>
      <w:r>
        <w:rPr>
          <w:spacing w:val="-2"/>
        </w:rPr>
        <w:t> </w:t>
      </w:r>
      <w:r>
        <w:rPr/>
        <w:t>RMB</w:t>
      </w:r>
      <w:r>
        <w:rPr>
          <w:spacing w:val="-1"/>
        </w:rPr>
        <w:t> </w:t>
      </w:r>
      <w:r>
        <w:rPr/>
        <w:t>-7.8</w:t>
      </w:r>
      <w:r>
        <w:rPr>
          <w:spacing w:val="-1"/>
        </w:rPr>
        <w:t> </w:t>
      </w:r>
      <w:r>
        <w:rPr/>
        <w:t>billion</w:t>
      </w:r>
      <w:r>
        <w:rPr>
          <w:spacing w:val="-2"/>
        </w:rPr>
        <w:t> </w:t>
      </w:r>
      <w:r>
        <w:rPr/>
        <w:t>and</w:t>
      </w:r>
      <w:r>
        <w:rPr>
          <w:spacing w:val="-2"/>
        </w:rPr>
        <w:t> </w:t>
      </w:r>
      <w:r>
        <w:rPr/>
        <w:t>then changed to a positive operating cash inflow of approximately RMB 3.0 billion in 2025 (Nabila Sukma Dewi and Mayang Sari Edastami, 2025).</w:t>
      </w:r>
    </w:p>
    <w:p>
      <w:pPr>
        <w:pStyle w:val="BodyText"/>
        <w:spacing w:line="360" w:lineRule="auto" w:before="146"/>
        <w:ind w:right="357"/>
        <w:jc w:val="both"/>
      </w:pPr>
      <w:r>
        <w:rPr/>
        <w:t>This</w:t>
      </w:r>
      <w:r>
        <w:rPr>
          <w:spacing w:val="-8"/>
        </w:rPr>
        <w:t> </w:t>
      </w:r>
      <w:r>
        <w:rPr/>
        <w:t>operating</w:t>
      </w:r>
      <w:r>
        <w:rPr>
          <w:spacing w:val="-7"/>
        </w:rPr>
        <w:t> </w:t>
      </w:r>
      <w:r>
        <w:rPr/>
        <w:t>cash</w:t>
      </w:r>
      <w:r>
        <w:rPr>
          <w:spacing w:val="-7"/>
        </w:rPr>
        <w:t> </w:t>
      </w:r>
      <w:r>
        <w:rPr/>
        <w:t>flow,</w:t>
      </w:r>
      <w:r>
        <w:rPr>
          <w:spacing w:val="-3"/>
        </w:rPr>
        <w:t> </w:t>
      </w:r>
      <w:r>
        <w:rPr/>
        <w:t>which</w:t>
      </w:r>
      <w:r>
        <w:rPr>
          <w:spacing w:val="-7"/>
        </w:rPr>
        <w:t> </w:t>
      </w:r>
      <w:r>
        <w:rPr/>
        <w:t>is</w:t>
      </w:r>
      <w:r>
        <w:rPr>
          <w:spacing w:val="-8"/>
        </w:rPr>
        <w:t> </w:t>
      </w:r>
      <w:r>
        <w:rPr/>
        <w:t>negative,</w:t>
      </w:r>
      <w:r>
        <w:rPr>
          <w:spacing w:val="-4"/>
        </w:rPr>
        <w:t> </w:t>
      </w:r>
      <w:r>
        <w:rPr/>
        <w:t>has</w:t>
      </w:r>
      <w:r>
        <w:rPr>
          <w:spacing w:val="-8"/>
        </w:rPr>
        <w:t> </w:t>
      </w:r>
      <w:r>
        <w:rPr/>
        <w:t>transformed</w:t>
      </w:r>
      <w:r>
        <w:rPr>
          <w:spacing w:val="-7"/>
        </w:rPr>
        <w:t> </w:t>
      </w:r>
      <w:r>
        <w:rPr/>
        <w:t>to</w:t>
      </w:r>
      <w:r>
        <w:rPr>
          <w:spacing w:val="-7"/>
        </w:rPr>
        <w:t> </w:t>
      </w:r>
      <w:r>
        <w:rPr/>
        <w:t>a</w:t>
      </w:r>
      <w:r>
        <w:rPr>
          <w:spacing w:val="-7"/>
        </w:rPr>
        <w:t> </w:t>
      </w:r>
      <w:r>
        <w:rPr/>
        <w:t>positive</w:t>
      </w:r>
      <w:r>
        <w:rPr>
          <w:spacing w:val="-7"/>
        </w:rPr>
        <w:t> </w:t>
      </w:r>
      <w:r>
        <w:rPr/>
        <w:t>operating</w:t>
      </w:r>
      <w:r>
        <w:rPr>
          <w:spacing w:val="-7"/>
        </w:rPr>
        <w:t> </w:t>
      </w:r>
      <w:r>
        <w:rPr/>
        <w:t>cash flow,</w:t>
      </w:r>
      <w:r>
        <w:rPr>
          <w:spacing w:val="-17"/>
        </w:rPr>
        <w:t> </w:t>
      </w:r>
      <w:r>
        <w:rPr/>
        <w:t>and</w:t>
      </w:r>
      <w:r>
        <w:rPr>
          <w:spacing w:val="-17"/>
        </w:rPr>
        <w:t> </w:t>
      </w:r>
      <w:r>
        <w:rPr/>
        <w:t>this</w:t>
      </w:r>
      <w:r>
        <w:rPr>
          <w:spacing w:val="-16"/>
        </w:rPr>
        <w:t> </w:t>
      </w:r>
      <w:r>
        <w:rPr/>
        <w:t>implies</w:t>
      </w:r>
      <w:r>
        <w:rPr>
          <w:spacing w:val="-17"/>
        </w:rPr>
        <w:t> </w:t>
      </w:r>
      <w:r>
        <w:rPr/>
        <w:t>that</w:t>
      </w:r>
      <w:r>
        <w:rPr>
          <w:spacing w:val="-17"/>
        </w:rPr>
        <w:t> </w:t>
      </w:r>
      <w:r>
        <w:rPr/>
        <w:t>the</w:t>
      </w:r>
      <w:r>
        <w:rPr>
          <w:spacing w:val="-17"/>
        </w:rPr>
        <w:t> </w:t>
      </w:r>
      <w:r>
        <w:rPr/>
        <w:t>cash</w:t>
      </w:r>
      <w:r>
        <w:rPr>
          <w:spacing w:val="-16"/>
        </w:rPr>
        <w:t> </w:t>
      </w:r>
      <w:r>
        <w:rPr/>
        <w:t>collection,</w:t>
      </w:r>
      <w:r>
        <w:rPr>
          <w:spacing w:val="-17"/>
        </w:rPr>
        <w:t> </w:t>
      </w:r>
      <w:r>
        <w:rPr/>
        <w:t>use</w:t>
      </w:r>
      <w:r>
        <w:rPr>
          <w:spacing w:val="-17"/>
        </w:rPr>
        <w:t> </w:t>
      </w:r>
      <w:r>
        <w:rPr/>
        <w:t>of</w:t>
      </w:r>
      <w:r>
        <w:rPr>
          <w:spacing w:val="-16"/>
        </w:rPr>
        <w:t> </w:t>
      </w:r>
      <w:r>
        <w:rPr/>
        <w:t>the</w:t>
      </w:r>
      <w:r>
        <w:rPr>
          <w:spacing w:val="-17"/>
        </w:rPr>
        <w:t> </w:t>
      </w:r>
      <w:r>
        <w:rPr/>
        <w:t>working</w:t>
      </w:r>
      <w:r>
        <w:rPr>
          <w:spacing w:val="-17"/>
        </w:rPr>
        <w:t> </w:t>
      </w:r>
      <w:r>
        <w:rPr/>
        <w:t>capital</w:t>
      </w:r>
      <w:r>
        <w:rPr>
          <w:spacing w:val="-16"/>
        </w:rPr>
        <w:t> </w:t>
      </w:r>
      <w:r>
        <w:rPr/>
        <w:t>and</w:t>
      </w:r>
      <w:r>
        <w:rPr>
          <w:spacing w:val="-17"/>
        </w:rPr>
        <w:t> </w:t>
      </w:r>
      <w:r>
        <w:rPr/>
        <w:t>the</w:t>
      </w:r>
      <w:r>
        <w:rPr>
          <w:spacing w:val="-17"/>
        </w:rPr>
        <w:t> </w:t>
      </w:r>
      <w:r>
        <w:rPr/>
        <w:t>increasing operating efficiency have been improved (Lou, 2024). It also reveals that the firm is beginning</w:t>
      </w:r>
      <w:r>
        <w:rPr>
          <w:spacing w:val="-17"/>
        </w:rPr>
        <w:t> </w:t>
      </w:r>
      <w:r>
        <w:rPr/>
        <w:t>to</w:t>
      </w:r>
      <w:r>
        <w:rPr>
          <w:spacing w:val="-17"/>
        </w:rPr>
        <w:t> </w:t>
      </w:r>
      <w:r>
        <w:rPr/>
        <w:t>convert</w:t>
      </w:r>
      <w:r>
        <w:rPr>
          <w:spacing w:val="-16"/>
        </w:rPr>
        <w:t> </w:t>
      </w:r>
      <w:r>
        <w:rPr/>
        <w:t>the</w:t>
      </w:r>
      <w:r>
        <w:rPr>
          <w:spacing w:val="-17"/>
        </w:rPr>
        <w:t> </w:t>
      </w:r>
      <w:r>
        <w:rPr/>
        <w:t>growth</w:t>
      </w:r>
      <w:r>
        <w:rPr>
          <w:spacing w:val="-14"/>
        </w:rPr>
        <w:t> </w:t>
      </w:r>
      <w:r>
        <w:rPr/>
        <w:t>in</w:t>
      </w:r>
      <w:r>
        <w:rPr>
          <w:spacing w:val="-16"/>
        </w:rPr>
        <w:t> </w:t>
      </w:r>
      <w:r>
        <w:rPr/>
        <w:t>revenues</w:t>
      </w:r>
      <w:r>
        <w:rPr>
          <w:spacing w:val="-17"/>
        </w:rPr>
        <w:t> </w:t>
      </w:r>
      <w:r>
        <w:rPr/>
        <w:t>into</w:t>
      </w:r>
      <w:r>
        <w:rPr>
          <w:spacing w:val="-16"/>
        </w:rPr>
        <w:t> </w:t>
      </w:r>
      <w:r>
        <w:rPr/>
        <w:t>generating</w:t>
      </w:r>
      <w:r>
        <w:rPr>
          <w:spacing w:val="-16"/>
        </w:rPr>
        <w:t> </w:t>
      </w:r>
      <w:r>
        <w:rPr/>
        <w:t>cash,</w:t>
      </w:r>
      <w:r>
        <w:rPr>
          <w:spacing w:val="-16"/>
        </w:rPr>
        <w:t> </w:t>
      </w:r>
      <w:r>
        <w:rPr/>
        <w:t>which</w:t>
      </w:r>
      <w:r>
        <w:rPr>
          <w:spacing w:val="-17"/>
        </w:rPr>
        <w:t> </w:t>
      </w:r>
      <w:r>
        <w:rPr/>
        <w:t>is</w:t>
      </w:r>
      <w:r>
        <w:rPr>
          <w:spacing w:val="-16"/>
        </w:rPr>
        <w:t> </w:t>
      </w:r>
      <w:r>
        <w:rPr/>
        <w:t>critical</w:t>
      </w:r>
      <w:r>
        <w:rPr>
          <w:spacing w:val="-12"/>
        </w:rPr>
        <w:t> </w:t>
      </w:r>
      <w:r>
        <w:rPr/>
        <w:t>towards sustaining the firm financially.</w:t>
      </w:r>
    </w:p>
    <w:p>
      <w:pPr>
        <w:pStyle w:val="BodyText"/>
        <w:spacing w:line="360" w:lineRule="auto" w:before="162"/>
        <w:ind w:right="355"/>
        <w:jc w:val="both"/>
      </w:pPr>
      <w:r>
        <w:rPr/>
        <w:t>However,</w:t>
      </w:r>
      <w:r>
        <w:rPr>
          <w:spacing w:val="-8"/>
        </w:rPr>
        <w:t> </w:t>
      </w:r>
      <w:r>
        <w:rPr/>
        <w:t>despite</w:t>
      </w:r>
      <w:r>
        <w:rPr>
          <w:spacing w:val="-8"/>
        </w:rPr>
        <w:t> </w:t>
      </w:r>
      <w:r>
        <w:rPr/>
        <w:t>this</w:t>
      </w:r>
      <w:r>
        <w:rPr>
          <w:spacing w:val="-14"/>
        </w:rPr>
        <w:t> </w:t>
      </w:r>
      <w:r>
        <w:rPr/>
        <w:t>development,</w:t>
      </w:r>
      <w:r>
        <w:rPr>
          <w:spacing w:val="-8"/>
        </w:rPr>
        <w:t> </w:t>
      </w:r>
      <w:r>
        <w:rPr/>
        <w:t>NIO</w:t>
      </w:r>
      <w:r>
        <w:rPr>
          <w:spacing w:val="-8"/>
        </w:rPr>
        <w:t> </w:t>
      </w:r>
      <w:r>
        <w:rPr/>
        <w:t>continues</w:t>
      </w:r>
      <w:r>
        <w:rPr>
          <w:spacing w:val="-9"/>
        </w:rPr>
        <w:t> </w:t>
      </w:r>
      <w:r>
        <w:rPr/>
        <w:t>to experience</w:t>
      </w:r>
      <w:r>
        <w:rPr>
          <w:spacing w:val="-8"/>
        </w:rPr>
        <w:t> </w:t>
      </w:r>
      <w:r>
        <w:rPr/>
        <w:t>huge</w:t>
      </w:r>
      <w:r>
        <w:rPr>
          <w:spacing w:val="-8"/>
        </w:rPr>
        <w:t> </w:t>
      </w:r>
      <w:r>
        <w:rPr/>
        <w:t>net</w:t>
      </w:r>
      <w:r>
        <w:rPr>
          <w:spacing w:val="-13"/>
        </w:rPr>
        <w:t> </w:t>
      </w:r>
      <w:r>
        <w:rPr/>
        <w:t>losses,</w:t>
      </w:r>
      <w:r>
        <w:rPr>
          <w:spacing w:val="-8"/>
        </w:rPr>
        <w:t> </w:t>
      </w:r>
      <w:r>
        <w:rPr/>
        <w:t>a</w:t>
      </w:r>
      <w:r>
        <w:rPr>
          <w:spacing w:val="-8"/>
        </w:rPr>
        <w:t> </w:t>
      </w:r>
      <w:r>
        <w:rPr/>
        <w:t>sign of a deviation between accounting profitability and cash performance. This implies that</w:t>
      </w:r>
    </w:p>
    <w:p>
      <w:pPr>
        <w:pStyle w:val="BodyText"/>
        <w:spacing w:after="0" w:line="360" w:lineRule="auto"/>
        <w:jc w:val="both"/>
        <w:sectPr>
          <w:type w:val="continuous"/>
          <w:pgSz w:w="12240" w:h="15840"/>
          <w:pgMar w:header="0" w:footer="1051" w:top="1820" w:bottom="1240" w:left="1440" w:right="1080"/>
        </w:sectPr>
      </w:pPr>
    </w:p>
    <w:p>
      <w:pPr>
        <w:pStyle w:val="BodyText"/>
        <w:spacing w:line="362" w:lineRule="auto" w:before="76"/>
        <w:ind w:right="361"/>
        <w:jc w:val="both"/>
      </w:pPr>
      <w:r>
        <w:rPr/>
        <w:t>the company is not yet self-financing and stable in its operations (Lou, 2024). It will be required</w:t>
      </w:r>
      <w:r>
        <w:rPr>
          <w:spacing w:val="-6"/>
        </w:rPr>
        <w:t> </w:t>
      </w:r>
      <w:r>
        <w:rPr/>
        <w:t>to</w:t>
      </w:r>
      <w:r>
        <w:rPr>
          <w:spacing w:val="-6"/>
        </w:rPr>
        <w:t> </w:t>
      </w:r>
      <w:r>
        <w:rPr/>
        <w:t>make</w:t>
      </w:r>
      <w:r>
        <w:rPr>
          <w:spacing w:val="-6"/>
        </w:rPr>
        <w:t> </w:t>
      </w:r>
      <w:r>
        <w:rPr/>
        <w:t>sure</w:t>
      </w:r>
      <w:r>
        <w:rPr>
          <w:spacing w:val="-6"/>
        </w:rPr>
        <w:t> </w:t>
      </w:r>
      <w:r>
        <w:rPr/>
        <w:t>that</w:t>
      </w:r>
      <w:r>
        <w:rPr>
          <w:spacing w:val="-6"/>
        </w:rPr>
        <w:t> </w:t>
      </w:r>
      <w:r>
        <w:rPr/>
        <w:t>there</w:t>
      </w:r>
      <w:r>
        <w:rPr>
          <w:spacing w:val="-6"/>
        </w:rPr>
        <w:t> </w:t>
      </w:r>
      <w:r>
        <w:rPr/>
        <w:t>is a</w:t>
      </w:r>
      <w:r>
        <w:rPr>
          <w:spacing w:val="-6"/>
        </w:rPr>
        <w:t> </w:t>
      </w:r>
      <w:r>
        <w:rPr/>
        <w:t>positive</w:t>
      </w:r>
      <w:r>
        <w:rPr>
          <w:spacing w:val="-6"/>
        </w:rPr>
        <w:t> </w:t>
      </w:r>
      <w:r>
        <w:rPr/>
        <w:t>operating</w:t>
      </w:r>
      <w:r>
        <w:rPr>
          <w:spacing w:val="-6"/>
        </w:rPr>
        <w:t> </w:t>
      </w:r>
      <w:r>
        <w:rPr/>
        <w:t>cash</w:t>
      </w:r>
      <w:r>
        <w:rPr>
          <w:spacing w:val="-6"/>
        </w:rPr>
        <w:t> </w:t>
      </w:r>
      <w:r>
        <w:rPr/>
        <w:t>flow</w:t>
      </w:r>
      <w:r>
        <w:rPr>
          <w:spacing w:val="-12"/>
        </w:rPr>
        <w:t> </w:t>
      </w:r>
      <w:r>
        <w:rPr/>
        <w:t>and</w:t>
      </w:r>
      <w:r>
        <w:rPr>
          <w:spacing w:val="-6"/>
        </w:rPr>
        <w:t> </w:t>
      </w:r>
      <w:r>
        <w:rPr/>
        <w:t>reduce</w:t>
      </w:r>
      <w:r>
        <w:rPr>
          <w:spacing w:val="-6"/>
        </w:rPr>
        <w:t> </w:t>
      </w:r>
      <w:r>
        <w:rPr/>
        <w:t>the</w:t>
      </w:r>
      <w:r>
        <w:rPr>
          <w:spacing w:val="-6"/>
        </w:rPr>
        <w:t> </w:t>
      </w:r>
      <w:r>
        <w:rPr/>
        <w:t>amount of external financing used to attain long-term financial stability.</w:t>
      </w:r>
    </w:p>
    <w:p>
      <w:pPr>
        <w:pStyle w:val="BodyText"/>
      </w:pPr>
    </w:p>
    <w:p>
      <w:pPr>
        <w:pStyle w:val="BodyText"/>
        <w:spacing w:before="171"/>
      </w:pPr>
    </w:p>
    <w:p>
      <w:pPr>
        <w:pStyle w:val="Heading2"/>
        <w:numPr>
          <w:ilvl w:val="1"/>
          <w:numId w:val="3"/>
        </w:numPr>
        <w:tabs>
          <w:tab w:pos="400" w:val="left" w:leader="none"/>
        </w:tabs>
        <w:spacing w:line="240" w:lineRule="auto" w:before="0" w:after="0"/>
        <w:ind w:left="400" w:right="0" w:hanging="400"/>
        <w:jc w:val="left"/>
      </w:pPr>
      <w:bookmarkStart w:name="2.7 Critical Evaluation and main insight" w:id="21"/>
      <w:bookmarkEnd w:id="21"/>
      <w:r>
        <w:rPr>
          <w:b w:val="0"/>
        </w:rPr>
      </w:r>
      <w:bookmarkStart w:name="_bookmark10" w:id="22"/>
      <w:bookmarkEnd w:id="22"/>
      <w:r>
        <w:rPr>
          <w:b w:val="0"/>
        </w:rPr>
      </w:r>
      <w:r>
        <w:rPr/>
        <w:t>Critical</w:t>
      </w:r>
      <w:r>
        <w:rPr>
          <w:spacing w:val="-4"/>
        </w:rPr>
        <w:t> </w:t>
      </w:r>
      <w:r>
        <w:rPr/>
        <w:t>Evaluation</w:t>
      </w:r>
      <w:r>
        <w:rPr>
          <w:spacing w:val="-6"/>
        </w:rPr>
        <w:t> </w:t>
      </w:r>
      <w:r>
        <w:rPr/>
        <w:t>and</w:t>
      </w:r>
      <w:r>
        <w:rPr>
          <w:spacing w:val="-1"/>
        </w:rPr>
        <w:t> </w:t>
      </w:r>
      <w:r>
        <w:rPr/>
        <w:t>main</w:t>
      </w:r>
      <w:r>
        <w:rPr>
          <w:spacing w:val="-6"/>
        </w:rPr>
        <w:t> </w:t>
      </w:r>
      <w:r>
        <w:rPr>
          <w:spacing w:val="-2"/>
        </w:rPr>
        <w:t>insights</w:t>
      </w:r>
    </w:p>
    <w:p>
      <w:pPr>
        <w:pStyle w:val="BodyText"/>
        <w:spacing w:line="360" w:lineRule="auto" w:before="224"/>
        <w:ind w:right="351"/>
        <w:jc w:val="both"/>
      </w:pPr>
      <w:r>
        <w:rPr/>
        <w:t>NIO</w:t>
      </w:r>
      <w:r>
        <w:rPr>
          <w:spacing w:val="-5"/>
        </w:rPr>
        <w:t> </w:t>
      </w:r>
      <w:r>
        <w:rPr/>
        <w:t>Inc.</w:t>
      </w:r>
      <w:r>
        <w:rPr>
          <w:spacing w:val="-5"/>
        </w:rPr>
        <w:t> </w:t>
      </w:r>
      <w:r>
        <w:rPr/>
        <w:t>is</w:t>
      </w:r>
      <w:r>
        <w:rPr>
          <w:spacing w:val="-6"/>
        </w:rPr>
        <w:t> </w:t>
      </w:r>
      <w:r>
        <w:rPr/>
        <w:t>showing</w:t>
      </w:r>
      <w:r>
        <w:rPr>
          <w:spacing w:val="-5"/>
        </w:rPr>
        <w:t> </w:t>
      </w:r>
      <w:r>
        <w:rPr/>
        <w:t>a</w:t>
      </w:r>
      <w:r>
        <w:rPr>
          <w:spacing w:val="-2"/>
        </w:rPr>
        <w:t> </w:t>
      </w:r>
      <w:r>
        <w:rPr/>
        <w:t>clear</w:t>
      </w:r>
      <w:r>
        <w:rPr>
          <w:spacing w:val="-4"/>
        </w:rPr>
        <w:t> </w:t>
      </w:r>
      <w:r>
        <w:rPr/>
        <w:t>trend</w:t>
      </w:r>
      <w:r>
        <w:rPr>
          <w:spacing w:val="-5"/>
        </w:rPr>
        <w:t> </w:t>
      </w:r>
      <w:r>
        <w:rPr/>
        <w:t>of</w:t>
      </w:r>
      <w:r>
        <w:rPr>
          <w:spacing w:val="-5"/>
        </w:rPr>
        <w:t> </w:t>
      </w:r>
      <w:r>
        <w:rPr/>
        <w:t>growth</w:t>
      </w:r>
      <w:r>
        <w:rPr>
          <w:spacing w:val="-5"/>
        </w:rPr>
        <w:t> </w:t>
      </w:r>
      <w:r>
        <w:rPr/>
        <w:t>in</w:t>
      </w:r>
      <w:r>
        <w:rPr>
          <w:spacing w:val="-5"/>
        </w:rPr>
        <w:t> </w:t>
      </w:r>
      <w:r>
        <w:rPr/>
        <w:t>its</w:t>
      </w:r>
      <w:r>
        <w:rPr>
          <w:spacing w:val="-6"/>
        </w:rPr>
        <w:t> </w:t>
      </w:r>
      <w:r>
        <w:rPr/>
        <w:t>operations,</w:t>
      </w:r>
      <w:r>
        <w:rPr>
          <w:spacing w:val="-5"/>
        </w:rPr>
        <w:t> </w:t>
      </w:r>
      <w:r>
        <w:rPr/>
        <w:t>as</w:t>
      </w:r>
      <w:r>
        <w:rPr>
          <w:spacing w:val="-11"/>
        </w:rPr>
        <w:t> </w:t>
      </w:r>
      <w:r>
        <w:rPr/>
        <w:t>revenues</w:t>
      </w:r>
      <w:r>
        <w:rPr>
          <w:spacing w:val="-6"/>
        </w:rPr>
        <w:t> </w:t>
      </w:r>
      <w:r>
        <w:rPr/>
        <w:t>have</w:t>
      </w:r>
      <w:r>
        <w:rPr>
          <w:spacing w:val="-5"/>
        </w:rPr>
        <w:t> </w:t>
      </w:r>
      <w:r>
        <w:rPr/>
        <w:t>increased significantly, gross margins have been growing, and operating cash flow has turned positive.</w:t>
      </w:r>
      <w:r>
        <w:rPr>
          <w:spacing w:val="-13"/>
        </w:rPr>
        <w:t> </w:t>
      </w:r>
      <w:r>
        <w:rPr/>
        <w:t>These</w:t>
      </w:r>
      <w:r>
        <w:rPr>
          <w:spacing w:val="-8"/>
        </w:rPr>
        <w:t> </w:t>
      </w:r>
      <w:r>
        <w:rPr/>
        <w:t>aspects</w:t>
      </w:r>
      <w:r>
        <w:rPr>
          <w:spacing w:val="-8"/>
        </w:rPr>
        <w:t> </w:t>
      </w:r>
      <w:r>
        <w:rPr/>
        <w:t>show</w:t>
      </w:r>
      <w:r>
        <w:rPr>
          <w:spacing w:val="-14"/>
        </w:rPr>
        <w:t> </w:t>
      </w:r>
      <w:r>
        <w:rPr/>
        <w:t>improved</w:t>
      </w:r>
      <w:r>
        <w:rPr>
          <w:spacing w:val="-8"/>
        </w:rPr>
        <w:t> </w:t>
      </w:r>
      <w:r>
        <w:rPr/>
        <w:t>performance</w:t>
      </w:r>
      <w:r>
        <w:rPr>
          <w:spacing w:val="-8"/>
        </w:rPr>
        <w:t> </w:t>
      </w:r>
      <w:r>
        <w:rPr/>
        <w:t>and</w:t>
      </w:r>
      <w:r>
        <w:rPr>
          <w:spacing w:val="-8"/>
        </w:rPr>
        <w:t> </w:t>
      </w:r>
      <w:r>
        <w:rPr/>
        <w:t>scalability</w:t>
      </w:r>
      <w:r>
        <w:rPr>
          <w:spacing w:val="-13"/>
        </w:rPr>
        <w:t> </w:t>
      </w:r>
      <w:r>
        <w:rPr/>
        <w:t>in</w:t>
      </w:r>
      <w:r>
        <w:rPr>
          <w:spacing w:val="-8"/>
        </w:rPr>
        <w:t> </w:t>
      </w:r>
      <w:r>
        <w:rPr/>
        <w:t>a</w:t>
      </w:r>
      <w:r>
        <w:rPr>
          <w:spacing w:val="-8"/>
        </w:rPr>
        <w:t> </w:t>
      </w:r>
      <w:r>
        <w:rPr/>
        <w:t>capital-intensive EV market. Nevertheless, there are considerable financial weaknesses, such as a negative net margin over time, high leverage, and a current ratio of less than 1, which indicate liquidity strain and financial vulnerability.</w:t>
      </w:r>
    </w:p>
    <w:p>
      <w:pPr>
        <w:pStyle w:val="BodyText"/>
        <w:spacing w:line="360" w:lineRule="auto" w:before="156"/>
        <w:ind w:right="357"/>
        <w:jc w:val="both"/>
      </w:pPr>
      <w:r>
        <w:rPr/>
        <w:t>By and large, NIO can be described as a growth-stage company that is walking the fine line</w:t>
      </w:r>
      <w:r>
        <w:rPr>
          <w:spacing w:val="-17"/>
        </w:rPr>
        <w:t> </w:t>
      </w:r>
      <w:r>
        <w:rPr/>
        <w:t>between</w:t>
      </w:r>
      <w:r>
        <w:rPr>
          <w:spacing w:val="-17"/>
        </w:rPr>
        <w:t> </w:t>
      </w:r>
      <w:r>
        <w:rPr/>
        <w:t>growth</w:t>
      </w:r>
      <w:r>
        <w:rPr>
          <w:spacing w:val="-16"/>
        </w:rPr>
        <w:t> </w:t>
      </w:r>
      <w:r>
        <w:rPr/>
        <w:t>and</w:t>
      </w:r>
      <w:r>
        <w:rPr>
          <w:spacing w:val="-17"/>
        </w:rPr>
        <w:t> </w:t>
      </w:r>
      <w:r>
        <w:rPr/>
        <w:t>fragility.</w:t>
      </w:r>
      <w:r>
        <w:rPr>
          <w:spacing w:val="-17"/>
        </w:rPr>
        <w:t> </w:t>
      </w:r>
      <w:r>
        <w:rPr/>
        <w:t>Its</w:t>
      </w:r>
      <w:r>
        <w:rPr>
          <w:spacing w:val="-17"/>
        </w:rPr>
        <w:t> </w:t>
      </w:r>
      <w:r>
        <w:rPr/>
        <w:t>strategic</w:t>
      </w:r>
      <w:r>
        <w:rPr>
          <w:spacing w:val="-16"/>
        </w:rPr>
        <w:t> </w:t>
      </w:r>
      <w:r>
        <w:rPr/>
        <w:t>positioning</w:t>
      </w:r>
      <w:r>
        <w:rPr>
          <w:spacing w:val="-17"/>
        </w:rPr>
        <w:t> </w:t>
      </w:r>
      <w:r>
        <w:rPr/>
        <w:t>is</w:t>
      </w:r>
      <w:r>
        <w:rPr>
          <w:spacing w:val="-17"/>
        </w:rPr>
        <w:t> </w:t>
      </w:r>
      <w:r>
        <w:rPr/>
        <w:t>high,</w:t>
      </w:r>
      <w:r>
        <w:rPr>
          <w:spacing w:val="-16"/>
        </w:rPr>
        <w:t> </w:t>
      </w:r>
      <w:r>
        <w:rPr/>
        <w:t>and</w:t>
      </w:r>
      <w:r>
        <w:rPr>
          <w:spacing w:val="-17"/>
        </w:rPr>
        <w:t> </w:t>
      </w:r>
      <w:r>
        <w:rPr/>
        <w:t>its</w:t>
      </w:r>
      <w:r>
        <w:rPr>
          <w:spacing w:val="-17"/>
        </w:rPr>
        <w:t> </w:t>
      </w:r>
      <w:r>
        <w:rPr/>
        <w:t>potential</w:t>
      </w:r>
      <w:r>
        <w:rPr>
          <w:spacing w:val="-16"/>
        </w:rPr>
        <w:t> </w:t>
      </w:r>
      <w:r>
        <w:rPr/>
        <w:t>to</w:t>
      </w:r>
      <w:r>
        <w:rPr>
          <w:spacing w:val="-17"/>
        </w:rPr>
        <w:t> </w:t>
      </w:r>
      <w:r>
        <w:rPr/>
        <w:t>create shareholder</w:t>
      </w:r>
      <w:r>
        <w:rPr>
          <w:spacing w:val="-1"/>
        </w:rPr>
        <w:t> </w:t>
      </w:r>
      <w:r>
        <w:rPr/>
        <w:t>value</w:t>
      </w:r>
      <w:r>
        <w:rPr>
          <w:spacing w:val="-6"/>
        </w:rPr>
        <w:t> </w:t>
      </w:r>
      <w:r>
        <w:rPr/>
        <w:t>in</w:t>
      </w:r>
      <w:r>
        <w:rPr>
          <w:spacing w:val="-6"/>
        </w:rPr>
        <w:t> </w:t>
      </w:r>
      <w:r>
        <w:rPr/>
        <w:t>the</w:t>
      </w:r>
      <w:r>
        <w:rPr>
          <w:spacing w:val="-6"/>
        </w:rPr>
        <w:t> </w:t>
      </w:r>
      <w:r>
        <w:rPr/>
        <w:t>long</w:t>
      </w:r>
      <w:r>
        <w:rPr>
          <w:spacing w:val="-6"/>
        </w:rPr>
        <w:t> </w:t>
      </w:r>
      <w:r>
        <w:rPr/>
        <w:t>run</w:t>
      </w:r>
      <w:r>
        <w:rPr>
          <w:spacing w:val="-6"/>
        </w:rPr>
        <w:t> </w:t>
      </w:r>
      <w:r>
        <w:rPr/>
        <w:t>will still</w:t>
      </w:r>
      <w:r>
        <w:rPr>
          <w:spacing w:val="-3"/>
        </w:rPr>
        <w:t> </w:t>
      </w:r>
      <w:r>
        <w:rPr/>
        <w:t>be</w:t>
      </w:r>
      <w:r>
        <w:rPr>
          <w:spacing w:val="-2"/>
        </w:rPr>
        <w:t> </w:t>
      </w:r>
      <w:r>
        <w:rPr/>
        <w:t>conditional</w:t>
      </w:r>
      <w:r>
        <w:rPr>
          <w:spacing w:val="-3"/>
        </w:rPr>
        <w:t> </w:t>
      </w:r>
      <w:r>
        <w:rPr/>
        <w:t>on</w:t>
      </w:r>
      <w:r>
        <w:rPr>
          <w:spacing w:val="-6"/>
        </w:rPr>
        <w:t> </w:t>
      </w:r>
      <w:r>
        <w:rPr/>
        <w:t>its</w:t>
      </w:r>
      <w:r>
        <w:rPr>
          <w:spacing w:val="-6"/>
        </w:rPr>
        <w:t> </w:t>
      </w:r>
      <w:r>
        <w:rPr/>
        <w:t>ability</w:t>
      </w:r>
      <w:r>
        <w:rPr>
          <w:spacing w:val="-2"/>
        </w:rPr>
        <w:t> </w:t>
      </w:r>
      <w:r>
        <w:rPr/>
        <w:t>to</w:t>
      </w:r>
      <w:r>
        <w:rPr>
          <w:spacing w:val="-6"/>
        </w:rPr>
        <w:t> </w:t>
      </w:r>
      <w:r>
        <w:rPr/>
        <w:t>attain</w:t>
      </w:r>
      <w:r>
        <w:rPr>
          <w:spacing w:val="-6"/>
        </w:rPr>
        <w:t> </w:t>
      </w:r>
      <w:r>
        <w:rPr/>
        <w:t>sustainable profitability and enhance its financial structure (Nabila Sukma Dewi and Mayang Sari Edastami, 2025).</w:t>
      </w:r>
    </w:p>
    <w:p>
      <w:pPr>
        <w:pStyle w:val="Heading2"/>
        <w:numPr>
          <w:ilvl w:val="2"/>
          <w:numId w:val="3"/>
        </w:numPr>
        <w:tabs>
          <w:tab w:pos="595" w:val="left" w:leader="none"/>
        </w:tabs>
        <w:spacing w:line="240" w:lineRule="auto" w:before="158" w:after="0"/>
        <w:ind w:left="595" w:right="0" w:hanging="595"/>
        <w:jc w:val="left"/>
      </w:pPr>
      <w:bookmarkStart w:name="2.7.1 Trends, Strengths and Threats" w:id="23"/>
      <w:bookmarkEnd w:id="23"/>
      <w:r>
        <w:rPr>
          <w:b w:val="0"/>
        </w:rPr>
      </w:r>
      <w:bookmarkStart w:name="_bookmark11" w:id="24"/>
      <w:bookmarkEnd w:id="24"/>
      <w:r>
        <w:rPr>
          <w:b w:val="0"/>
        </w:rPr>
      </w:r>
      <w:r>
        <w:rPr/>
        <w:t>Trends,</w:t>
      </w:r>
      <w:r>
        <w:rPr>
          <w:spacing w:val="-8"/>
        </w:rPr>
        <w:t> </w:t>
      </w:r>
      <w:r>
        <w:rPr/>
        <w:t>Strengths</w:t>
      </w:r>
      <w:r>
        <w:rPr>
          <w:spacing w:val="-8"/>
        </w:rPr>
        <w:t> </w:t>
      </w:r>
      <w:r>
        <w:rPr/>
        <w:t>and</w:t>
      </w:r>
      <w:r>
        <w:rPr>
          <w:spacing w:val="-10"/>
        </w:rPr>
        <w:t> </w:t>
      </w:r>
      <w:r>
        <w:rPr>
          <w:spacing w:val="-2"/>
        </w:rPr>
        <w:t>Threats</w:t>
      </w:r>
    </w:p>
    <w:p>
      <w:pPr>
        <w:pStyle w:val="BodyText"/>
        <w:rPr>
          <w:rFonts w:ascii="Arial"/>
          <w:b/>
        </w:rPr>
      </w:pPr>
    </w:p>
    <w:p>
      <w:pPr>
        <w:pStyle w:val="BodyText"/>
        <w:spacing w:before="147"/>
        <w:rPr>
          <w:rFonts w:ascii="Arial"/>
          <w:b/>
        </w:rPr>
      </w:pPr>
    </w:p>
    <w:p>
      <w:pPr>
        <w:pStyle w:val="BodyText"/>
        <w:spacing w:line="360" w:lineRule="auto"/>
        <w:ind w:right="353"/>
        <w:jc w:val="both"/>
      </w:pPr>
      <w:r>
        <w:rPr>
          <w:rFonts w:ascii="Arial"/>
          <w:b/>
        </w:rPr>
        <w:t>Trends</w:t>
      </w:r>
      <w:r>
        <w:rPr/>
        <w:t>: The increase in NIO revenue has followed steady increases from 36.1 billion RMB in 2021 to 87.5 billion RMB through 2025, being driven by increasing scale of deliveries</w:t>
      </w:r>
      <w:r>
        <w:rPr>
          <w:spacing w:val="-8"/>
        </w:rPr>
        <w:t> </w:t>
      </w:r>
      <w:r>
        <w:rPr/>
        <w:t>and</w:t>
      </w:r>
      <w:r>
        <w:rPr>
          <w:spacing w:val="-7"/>
        </w:rPr>
        <w:t> </w:t>
      </w:r>
      <w:r>
        <w:rPr/>
        <w:t>continued</w:t>
      </w:r>
      <w:r>
        <w:rPr>
          <w:spacing w:val="-7"/>
        </w:rPr>
        <w:t> </w:t>
      </w:r>
      <w:r>
        <w:rPr/>
        <w:t>growth.</w:t>
      </w:r>
      <w:r>
        <w:rPr>
          <w:spacing w:val="-7"/>
        </w:rPr>
        <w:t> </w:t>
      </w:r>
      <w:r>
        <w:rPr/>
        <w:t>Gross</w:t>
      </w:r>
      <w:r>
        <w:rPr>
          <w:spacing w:val="-8"/>
        </w:rPr>
        <w:t> </w:t>
      </w:r>
      <w:r>
        <w:rPr/>
        <w:t>margin</w:t>
      </w:r>
      <w:r>
        <w:rPr>
          <w:spacing w:val="-7"/>
        </w:rPr>
        <w:t> </w:t>
      </w:r>
      <w:r>
        <w:rPr/>
        <w:t>percentage</w:t>
      </w:r>
      <w:r>
        <w:rPr>
          <w:spacing w:val="-12"/>
        </w:rPr>
        <w:t> </w:t>
      </w:r>
      <w:r>
        <w:rPr/>
        <w:t>decreased</w:t>
      </w:r>
      <w:r>
        <w:rPr>
          <w:spacing w:val="-7"/>
        </w:rPr>
        <w:t> </w:t>
      </w:r>
      <w:r>
        <w:rPr/>
        <w:t>from</w:t>
      </w:r>
      <w:r>
        <w:rPr>
          <w:spacing w:val="-16"/>
        </w:rPr>
        <w:t> </w:t>
      </w:r>
      <w:r>
        <w:rPr/>
        <w:t>5.5%</w:t>
      </w:r>
      <w:r>
        <w:rPr>
          <w:spacing w:val="-10"/>
        </w:rPr>
        <w:t> </w:t>
      </w:r>
      <w:r>
        <w:rPr/>
        <w:t>in</w:t>
      </w:r>
      <w:r>
        <w:rPr>
          <w:spacing w:val="-7"/>
        </w:rPr>
        <w:t> </w:t>
      </w:r>
      <w:r>
        <w:rPr/>
        <w:t>2023 due</w:t>
      </w:r>
      <w:r>
        <w:rPr>
          <w:spacing w:val="-17"/>
        </w:rPr>
        <w:t> </w:t>
      </w:r>
      <w:r>
        <w:rPr/>
        <w:t>to</w:t>
      </w:r>
      <w:r>
        <w:rPr>
          <w:spacing w:val="-13"/>
        </w:rPr>
        <w:t> </w:t>
      </w:r>
      <w:r>
        <w:rPr/>
        <w:t>cost</w:t>
      </w:r>
      <w:r>
        <w:rPr>
          <w:spacing w:val="-14"/>
        </w:rPr>
        <w:t> </w:t>
      </w:r>
      <w:r>
        <w:rPr/>
        <w:t>pressure,</w:t>
      </w:r>
      <w:r>
        <w:rPr>
          <w:spacing w:val="-14"/>
        </w:rPr>
        <w:t> </w:t>
      </w:r>
      <w:r>
        <w:rPr/>
        <w:t>but</w:t>
      </w:r>
      <w:r>
        <w:rPr>
          <w:spacing w:val="-14"/>
        </w:rPr>
        <w:t> </w:t>
      </w:r>
      <w:r>
        <w:rPr/>
        <w:t>will</w:t>
      </w:r>
      <w:r>
        <w:rPr>
          <w:spacing w:val="-11"/>
        </w:rPr>
        <w:t> </w:t>
      </w:r>
      <w:r>
        <w:rPr/>
        <w:t>return</w:t>
      </w:r>
      <w:r>
        <w:rPr>
          <w:spacing w:val="-14"/>
        </w:rPr>
        <w:t> </w:t>
      </w:r>
      <w:r>
        <w:rPr/>
        <w:t>to</w:t>
      </w:r>
      <w:r>
        <w:rPr>
          <w:spacing w:val="-13"/>
        </w:rPr>
        <w:t> </w:t>
      </w:r>
      <w:r>
        <w:rPr/>
        <w:t>13.6%</w:t>
      </w:r>
      <w:r>
        <w:rPr>
          <w:spacing w:val="-17"/>
        </w:rPr>
        <w:t> </w:t>
      </w:r>
      <w:r>
        <w:rPr/>
        <w:t>by</w:t>
      </w:r>
      <w:r>
        <w:rPr>
          <w:spacing w:val="-14"/>
        </w:rPr>
        <w:t> </w:t>
      </w:r>
      <w:r>
        <w:rPr/>
        <w:t>2025</w:t>
      </w:r>
      <w:r>
        <w:rPr>
          <w:spacing w:val="-14"/>
        </w:rPr>
        <w:t> </w:t>
      </w:r>
      <w:r>
        <w:rPr/>
        <w:t>as</w:t>
      </w:r>
      <w:r>
        <w:rPr>
          <w:spacing w:val="-14"/>
        </w:rPr>
        <w:t> </w:t>
      </w:r>
      <w:r>
        <w:rPr/>
        <w:t>a</w:t>
      </w:r>
      <w:r>
        <w:rPr>
          <w:spacing w:val="-14"/>
        </w:rPr>
        <w:t> </w:t>
      </w:r>
      <w:r>
        <w:rPr/>
        <w:t>result</w:t>
      </w:r>
      <w:r>
        <w:rPr>
          <w:spacing w:val="-14"/>
        </w:rPr>
        <w:t> </w:t>
      </w:r>
      <w:r>
        <w:rPr/>
        <w:t>of</w:t>
      </w:r>
      <w:r>
        <w:rPr>
          <w:spacing w:val="-17"/>
        </w:rPr>
        <w:t> </w:t>
      </w:r>
      <w:r>
        <w:rPr/>
        <w:t>improved</w:t>
      </w:r>
      <w:r>
        <w:rPr>
          <w:spacing w:val="-14"/>
        </w:rPr>
        <w:t> </w:t>
      </w:r>
      <w:r>
        <w:rPr/>
        <w:t>cost</w:t>
      </w:r>
      <w:r>
        <w:rPr>
          <w:spacing w:val="-14"/>
        </w:rPr>
        <w:t> </w:t>
      </w:r>
      <w:r>
        <w:rPr/>
        <w:t>position and mix shift. Net operating loss declined from 22.7 billion RMB in 2023 to 14.0 billion RMB for 2025, although the overall financial liquidity has tightened, as evidenced by a current ratio of 0.98.</w:t>
      </w:r>
    </w:p>
    <w:p>
      <w:pPr>
        <w:pStyle w:val="BodyText"/>
      </w:pPr>
    </w:p>
    <w:p>
      <w:pPr>
        <w:pStyle w:val="BodyText"/>
        <w:spacing w:before="180"/>
      </w:pPr>
    </w:p>
    <w:p>
      <w:pPr>
        <w:pStyle w:val="BodyText"/>
        <w:spacing w:line="367" w:lineRule="auto"/>
        <w:ind w:right="355"/>
        <w:jc w:val="both"/>
      </w:pPr>
      <w:r>
        <w:rPr>
          <w:rFonts w:ascii="Arial"/>
          <w:b/>
        </w:rPr>
        <w:t>Strengths</w:t>
      </w:r>
      <w:r>
        <w:rPr/>
        <w:t>: NIO has negative cash conversion cycles (-168 days) and a superior inventory</w:t>
      </w:r>
      <w:r>
        <w:rPr>
          <w:spacing w:val="-7"/>
        </w:rPr>
        <w:t> </w:t>
      </w:r>
      <w:r>
        <w:rPr/>
        <w:t>turnover</w:t>
      </w:r>
      <w:r>
        <w:rPr>
          <w:spacing w:val="-6"/>
        </w:rPr>
        <w:t> </w:t>
      </w:r>
      <w:r>
        <w:rPr/>
        <w:t>(9.69)</w:t>
      </w:r>
      <w:r>
        <w:rPr>
          <w:spacing w:val="-5"/>
        </w:rPr>
        <w:t> </w:t>
      </w:r>
      <w:r>
        <w:rPr/>
        <w:t>through</w:t>
      </w:r>
      <w:r>
        <w:rPr>
          <w:spacing w:val="-2"/>
        </w:rPr>
        <w:t> </w:t>
      </w:r>
      <w:r>
        <w:rPr/>
        <w:t>the</w:t>
      </w:r>
      <w:r>
        <w:rPr>
          <w:spacing w:val="-2"/>
        </w:rPr>
        <w:t> </w:t>
      </w:r>
      <w:r>
        <w:rPr/>
        <w:t>use</w:t>
      </w:r>
      <w:r>
        <w:rPr>
          <w:spacing w:val="-2"/>
        </w:rPr>
        <w:t> </w:t>
      </w:r>
      <w:r>
        <w:rPr/>
        <w:t>of</w:t>
      </w:r>
      <w:r>
        <w:rPr>
          <w:spacing w:val="-7"/>
        </w:rPr>
        <w:t> </w:t>
      </w:r>
      <w:r>
        <w:rPr/>
        <w:t>strong</w:t>
      </w:r>
      <w:r>
        <w:rPr>
          <w:spacing w:val="-2"/>
        </w:rPr>
        <w:t> </w:t>
      </w:r>
      <w:r>
        <w:rPr/>
        <w:t>supplier</w:t>
      </w:r>
      <w:r>
        <w:rPr>
          <w:spacing w:val="-6"/>
        </w:rPr>
        <w:t> </w:t>
      </w:r>
      <w:r>
        <w:rPr/>
        <w:t>credit</w:t>
      </w:r>
      <w:r>
        <w:rPr>
          <w:spacing w:val="-7"/>
        </w:rPr>
        <w:t> </w:t>
      </w:r>
      <w:r>
        <w:rPr/>
        <w:t>to</w:t>
      </w:r>
      <w:r>
        <w:rPr>
          <w:spacing w:val="-6"/>
        </w:rPr>
        <w:t> </w:t>
      </w:r>
      <w:r>
        <w:rPr/>
        <w:t>fund</w:t>
      </w:r>
      <w:r>
        <w:rPr>
          <w:spacing w:val="-6"/>
        </w:rPr>
        <w:t> </w:t>
      </w:r>
      <w:r>
        <w:rPr/>
        <w:t>growth</w:t>
      </w:r>
      <w:r>
        <w:rPr>
          <w:spacing w:val="-1"/>
        </w:rPr>
        <w:t> </w:t>
      </w:r>
      <w:r>
        <w:rPr/>
        <w:t>through</w:t>
      </w:r>
    </w:p>
    <w:p>
      <w:pPr>
        <w:pStyle w:val="BodyText"/>
        <w:spacing w:after="0" w:line="367" w:lineRule="auto"/>
        <w:jc w:val="both"/>
        <w:sectPr>
          <w:pgSz w:w="12240" w:h="15840"/>
          <w:pgMar w:header="0" w:footer="1051" w:top="1360" w:bottom="1240" w:left="1440" w:right="1080"/>
        </w:sectPr>
      </w:pPr>
    </w:p>
    <w:p>
      <w:pPr>
        <w:pStyle w:val="BodyText"/>
        <w:spacing w:line="362" w:lineRule="auto" w:before="76"/>
        <w:ind w:right="351"/>
        <w:jc w:val="both"/>
      </w:pPr>
      <w:r>
        <w:rPr/>
        <w:t>effectively managing working capital resources. NIO's battery swap networks provide</w:t>
      </w:r>
      <w:r>
        <w:rPr>
          <w:spacing w:val="-3"/>
        </w:rPr>
        <w:t> </w:t>
      </w:r>
      <w:r>
        <w:rPr/>
        <w:t>its customers with a competitive advantage to ensure customer loyalty.</w:t>
      </w:r>
    </w:p>
    <w:p>
      <w:pPr>
        <w:pStyle w:val="BodyText"/>
      </w:pPr>
    </w:p>
    <w:p>
      <w:pPr>
        <w:pStyle w:val="BodyText"/>
        <w:spacing w:before="170"/>
      </w:pPr>
    </w:p>
    <w:p>
      <w:pPr>
        <w:pStyle w:val="BodyText"/>
        <w:spacing w:line="362" w:lineRule="auto"/>
        <w:ind w:right="350"/>
        <w:jc w:val="both"/>
      </w:pPr>
      <w:r>
        <w:rPr>
          <w:rFonts w:ascii="Arial"/>
          <w:b/>
        </w:rPr>
        <w:t>Threats</w:t>
      </w:r>
      <w:r>
        <w:rPr/>
        <w:t>: Continuing</w:t>
      </w:r>
      <w:r>
        <w:rPr>
          <w:spacing w:val="-2"/>
        </w:rPr>
        <w:t> </w:t>
      </w:r>
      <w:r>
        <w:rPr/>
        <w:t>losses</w:t>
      </w:r>
      <w:r>
        <w:rPr>
          <w:spacing w:val="-3"/>
        </w:rPr>
        <w:t> </w:t>
      </w:r>
      <w:r>
        <w:rPr/>
        <w:t>reported</w:t>
      </w:r>
      <w:r>
        <w:rPr>
          <w:spacing w:val="-2"/>
        </w:rPr>
        <w:t> </w:t>
      </w:r>
      <w:r>
        <w:rPr/>
        <w:t>by NIO</w:t>
      </w:r>
      <w:r>
        <w:rPr>
          <w:spacing w:val="-3"/>
        </w:rPr>
        <w:t> </w:t>
      </w:r>
      <w:r>
        <w:rPr/>
        <w:t>will result</w:t>
      </w:r>
      <w:r>
        <w:rPr>
          <w:spacing w:val="-3"/>
        </w:rPr>
        <w:t> </w:t>
      </w:r>
      <w:r>
        <w:rPr/>
        <w:t>in</w:t>
      </w:r>
      <w:r>
        <w:rPr>
          <w:spacing w:val="-2"/>
        </w:rPr>
        <w:t> </w:t>
      </w:r>
      <w:r>
        <w:rPr/>
        <w:t>an</w:t>
      </w:r>
      <w:r>
        <w:rPr>
          <w:spacing w:val="-2"/>
        </w:rPr>
        <w:t> </w:t>
      </w:r>
      <w:r>
        <w:rPr/>
        <w:t>attempt to ultimately reduce net losses and thereby to obtain a competitive cost of capital through a debt-to-equity ratio of 4.39 and a quick ratio of 0.41, which will subject NIO to increased risk related to future refinancing or future interest rate increases. Competition within the EV market based upon vehicle pricing and borrowing practices may limit NIO's ability to realise its profitability goals.</w:t>
      </w:r>
    </w:p>
    <w:p>
      <w:pPr>
        <w:pStyle w:val="BodyText"/>
        <w:spacing w:after="0" w:line="362" w:lineRule="auto"/>
        <w:jc w:val="both"/>
        <w:sectPr>
          <w:pgSz w:w="12240" w:h="15840"/>
          <w:pgMar w:header="0" w:footer="1051" w:top="1360" w:bottom="1240" w:left="1440" w:right="1080"/>
        </w:sectPr>
      </w:pPr>
    </w:p>
    <w:p>
      <w:pPr>
        <w:pStyle w:val="BodyText"/>
        <w:spacing w:before="112"/>
      </w:pPr>
    </w:p>
    <w:p>
      <w:pPr>
        <w:pStyle w:val="Heading2"/>
        <w:numPr>
          <w:ilvl w:val="0"/>
          <w:numId w:val="3"/>
        </w:numPr>
        <w:tabs>
          <w:tab w:pos="266" w:val="left" w:leader="none"/>
        </w:tabs>
        <w:spacing w:line="240" w:lineRule="auto" w:before="1" w:after="0"/>
        <w:ind w:left="266" w:right="0" w:hanging="266"/>
        <w:jc w:val="left"/>
      </w:pPr>
      <w:bookmarkStart w:name="3. Working Capital Management" w:id="25"/>
      <w:bookmarkEnd w:id="25"/>
      <w:r>
        <w:rPr>
          <w:b w:val="0"/>
        </w:rPr>
      </w:r>
      <w:bookmarkStart w:name="_bookmark12" w:id="26"/>
      <w:bookmarkEnd w:id="26"/>
      <w:r>
        <w:rPr>
          <w:b w:val="0"/>
        </w:rPr>
      </w:r>
      <w:r>
        <w:rPr/>
        <w:t>Working</w:t>
      </w:r>
      <w:r>
        <w:rPr>
          <w:spacing w:val="-6"/>
        </w:rPr>
        <w:t> </w:t>
      </w:r>
      <w:r>
        <w:rPr/>
        <w:t>Capital</w:t>
      </w:r>
      <w:r>
        <w:rPr>
          <w:spacing w:val="-7"/>
        </w:rPr>
        <w:t> </w:t>
      </w:r>
      <w:r>
        <w:rPr>
          <w:spacing w:val="-2"/>
        </w:rPr>
        <w:t>Management</w:t>
      </w:r>
    </w:p>
    <w:p>
      <w:pPr>
        <w:pStyle w:val="BodyText"/>
        <w:spacing w:before="19"/>
        <w:rPr>
          <w:rFonts w:ascii="Arial"/>
          <w:b/>
        </w:rPr>
      </w:pPr>
    </w:p>
    <w:p>
      <w:pPr>
        <w:pStyle w:val="Heading2"/>
        <w:numPr>
          <w:ilvl w:val="1"/>
          <w:numId w:val="3"/>
        </w:numPr>
        <w:tabs>
          <w:tab w:pos="400" w:val="left" w:leader="none"/>
        </w:tabs>
        <w:spacing w:line="240" w:lineRule="auto" w:before="0" w:after="0"/>
        <w:ind w:left="400" w:right="0" w:hanging="400"/>
        <w:jc w:val="left"/>
      </w:pPr>
      <w:bookmarkStart w:name="3.1 Overview of Working Capital" w:id="27"/>
      <w:bookmarkEnd w:id="27"/>
      <w:r>
        <w:rPr>
          <w:b w:val="0"/>
        </w:rPr>
      </w:r>
      <w:bookmarkStart w:name="_bookmark13" w:id="28"/>
      <w:bookmarkEnd w:id="28"/>
      <w:r>
        <w:rPr>
          <w:b w:val="0"/>
        </w:rPr>
      </w:r>
      <w:r>
        <w:rPr/>
        <w:t>Overview</w:t>
      </w:r>
      <w:r>
        <w:rPr>
          <w:spacing w:val="-7"/>
        </w:rPr>
        <w:t> </w:t>
      </w:r>
      <w:r>
        <w:rPr/>
        <w:t>of</w:t>
      </w:r>
      <w:r>
        <w:rPr>
          <w:spacing w:val="-6"/>
        </w:rPr>
        <w:t> </w:t>
      </w:r>
      <w:r>
        <w:rPr/>
        <w:t>Working</w:t>
      </w:r>
      <w:r>
        <w:rPr>
          <w:spacing w:val="-5"/>
        </w:rPr>
        <w:t> </w:t>
      </w:r>
      <w:r>
        <w:rPr>
          <w:spacing w:val="-2"/>
        </w:rPr>
        <w:t>Capital</w:t>
      </w:r>
    </w:p>
    <w:p>
      <w:pPr>
        <w:pStyle w:val="BodyText"/>
        <w:rPr>
          <w:rFonts w:ascii="Arial"/>
          <w:b/>
        </w:rPr>
      </w:pPr>
    </w:p>
    <w:p>
      <w:pPr>
        <w:pStyle w:val="BodyText"/>
        <w:spacing w:before="243"/>
        <w:rPr>
          <w:rFonts w:ascii="Arial"/>
          <w:b/>
        </w:rPr>
      </w:pPr>
    </w:p>
    <w:p>
      <w:pPr>
        <w:pStyle w:val="BodyText"/>
        <w:spacing w:line="362" w:lineRule="auto"/>
        <w:ind w:right="353"/>
        <w:jc w:val="both"/>
      </w:pPr>
      <w:r>
        <w:rPr/>
        <w:t>The profile of working capital of NIO is</w:t>
      </w:r>
      <w:r>
        <w:rPr>
          <w:spacing w:val="-2"/>
        </w:rPr>
        <w:t> </w:t>
      </w:r>
      <w:r>
        <w:rPr/>
        <w:t>influenced by the rapid automotive supply chain, huge inventories, and very high supplier financing using trade payables. By 2025, its inventory, trade and notes receivables and trade and notes payable amounted to RMB</w:t>
      </w:r>
    </w:p>
    <w:p>
      <w:pPr>
        <w:pStyle w:val="BodyText"/>
        <w:spacing w:line="362" w:lineRule="auto"/>
        <w:ind w:right="354"/>
        <w:jc w:val="both"/>
      </w:pPr>
      <w:r>
        <w:rPr/>
        <w:t>8.5 billion, RMB 1.4 billion, and RMB 53.3 billion, respectively (B, K and M, 2026). This indicates that NIO is successfully financing much of its operations via creditors as opposed to utilising just equity or cash. The structure helps in growth; however, it also implies</w:t>
      </w:r>
      <w:r>
        <w:rPr>
          <w:spacing w:val="-17"/>
        </w:rPr>
        <w:t> </w:t>
      </w:r>
      <w:r>
        <w:rPr/>
        <w:t>that</w:t>
      </w:r>
      <w:r>
        <w:rPr>
          <w:spacing w:val="-16"/>
        </w:rPr>
        <w:t> </w:t>
      </w:r>
      <w:r>
        <w:rPr/>
        <w:t>the</w:t>
      </w:r>
      <w:r>
        <w:rPr>
          <w:spacing w:val="-11"/>
        </w:rPr>
        <w:t> </w:t>
      </w:r>
      <w:r>
        <w:rPr/>
        <w:t>working</w:t>
      </w:r>
      <w:r>
        <w:rPr>
          <w:spacing w:val="-11"/>
        </w:rPr>
        <w:t> </w:t>
      </w:r>
      <w:r>
        <w:rPr/>
        <w:t>capital</w:t>
      </w:r>
      <w:r>
        <w:rPr>
          <w:spacing w:val="-8"/>
        </w:rPr>
        <w:t> </w:t>
      </w:r>
      <w:r>
        <w:rPr/>
        <w:t>will</w:t>
      </w:r>
      <w:r>
        <w:rPr>
          <w:spacing w:val="-12"/>
        </w:rPr>
        <w:t> </w:t>
      </w:r>
      <w:r>
        <w:rPr/>
        <w:t>have</w:t>
      </w:r>
      <w:r>
        <w:rPr>
          <w:spacing w:val="-16"/>
        </w:rPr>
        <w:t> </w:t>
      </w:r>
      <w:r>
        <w:rPr/>
        <w:t>to</w:t>
      </w:r>
      <w:r>
        <w:rPr>
          <w:spacing w:val="-10"/>
        </w:rPr>
        <w:t> </w:t>
      </w:r>
      <w:r>
        <w:rPr/>
        <w:t>be</w:t>
      </w:r>
      <w:r>
        <w:rPr>
          <w:spacing w:val="-17"/>
        </w:rPr>
        <w:t> </w:t>
      </w:r>
      <w:r>
        <w:rPr/>
        <w:t>handled</w:t>
      </w:r>
      <w:r>
        <w:rPr>
          <w:spacing w:val="-10"/>
        </w:rPr>
        <w:t> </w:t>
      </w:r>
      <w:r>
        <w:rPr/>
        <w:t>with</w:t>
      </w:r>
      <w:r>
        <w:rPr>
          <w:spacing w:val="-15"/>
        </w:rPr>
        <w:t> </w:t>
      </w:r>
      <w:r>
        <w:rPr/>
        <w:t>care</w:t>
      </w:r>
      <w:r>
        <w:rPr>
          <w:spacing w:val="-15"/>
        </w:rPr>
        <w:t> </w:t>
      </w:r>
      <w:r>
        <w:rPr/>
        <w:t>to</w:t>
      </w:r>
      <w:r>
        <w:rPr>
          <w:spacing w:val="-10"/>
        </w:rPr>
        <w:t> </w:t>
      </w:r>
      <w:r>
        <w:rPr/>
        <w:t>prevent</w:t>
      </w:r>
      <w:r>
        <w:rPr>
          <w:spacing w:val="-16"/>
        </w:rPr>
        <w:t> </w:t>
      </w:r>
      <w:r>
        <w:rPr/>
        <w:t>liquidity</w:t>
      </w:r>
      <w:r>
        <w:rPr>
          <w:spacing w:val="-11"/>
        </w:rPr>
        <w:t> </w:t>
      </w:r>
      <w:r>
        <w:rPr/>
        <w:t>stress (Musa Muhammad Tsagem, Norhani Aripin and Ishak, 2017).</w:t>
      </w:r>
    </w:p>
    <w:p>
      <w:pPr>
        <w:pStyle w:val="BodyText"/>
      </w:pPr>
    </w:p>
    <w:p>
      <w:pPr>
        <w:pStyle w:val="BodyText"/>
        <w:spacing w:before="157"/>
      </w:pPr>
    </w:p>
    <w:p>
      <w:pPr>
        <w:pStyle w:val="Heading2"/>
        <w:numPr>
          <w:ilvl w:val="1"/>
          <w:numId w:val="3"/>
        </w:numPr>
        <w:tabs>
          <w:tab w:pos="391" w:val="left" w:leader="none"/>
        </w:tabs>
        <w:spacing w:line="240" w:lineRule="auto" w:before="0" w:after="0"/>
        <w:ind w:left="391" w:right="0" w:hanging="391"/>
        <w:jc w:val="left"/>
      </w:pPr>
      <w:bookmarkStart w:name="3.2 Analysis of Cash Conversion Cycle" w:id="29"/>
      <w:bookmarkEnd w:id="29"/>
      <w:r>
        <w:rPr>
          <w:b w:val="0"/>
        </w:rPr>
      </w:r>
      <w:bookmarkStart w:name="_bookmark14" w:id="30"/>
      <w:bookmarkEnd w:id="30"/>
      <w:r>
        <w:rPr>
          <w:b w:val="0"/>
        </w:rPr>
      </w:r>
      <w:r>
        <w:rPr/>
        <w:t>Analysis</w:t>
      </w:r>
      <w:r>
        <w:rPr>
          <w:spacing w:val="-3"/>
        </w:rPr>
        <w:t> </w:t>
      </w:r>
      <w:r>
        <w:rPr/>
        <w:t>of</w:t>
      </w:r>
      <w:r>
        <w:rPr>
          <w:spacing w:val="-3"/>
        </w:rPr>
        <w:t> </w:t>
      </w:r>
      <w:r>
        <w:rPr/>
        <w:t>Cash</w:t>
      </w:r>
      <w:r>
        <w:rPr>
          <w:spacing w:val="-7"/>
        </w:rPr>
        <w:t> </w:t>
      </w:r>
      <w:r>
        <w:rPr/>
        <w:t>Conversion</w:t>
      </w:r>
      <w:r>
        <w:rPr>
          <w:spacing w:val="-6"/>
        </w:rPr>
        <w:t> </w:t>
      </w:r>
      <w:r>
        <w:rPr>
          <w:spacing w:val="-4"/>
        </w:rPr>
        <w:t>Cycle</w:t>
      </w:r>
    </w:p>
    <w:p>
      <w:pPr>
        <w:pStyle w:val="BodyText"/>
        <w:spacing w:line="360" w:lineRule="auto" w:before="223"/>
        <w:ind w:right="362"/>
        <w:jc w:val="both"/>
      </w:pPr>
      <w:r>
        <w:rPr/>
        <w:t>NIO</w:t>
      </w:r>
      <w:r>
        <w:rPr>
          <w:spacing w:val="-11"/>
        </w:rPr>
        <w:t> </w:t>
      </w:r>
      <w:r>
        <w:rPr/>
        <w:t>has</w:t>
      </w:r>
      <w:r>
        <w:rPr>
          <w:spacing w:val="-12"/>
        </w:rPr>
        <w:t> </w:t>
      </w:r>
      <w:r>
        <w:rPr/>
        <w:t>a</w:t>
      </w:r>
      <w:r>
        <w:rPr>
          <w:spacing w:val="-11"/>
        </w:rPr>
        <w:t> </w:t>
      </w:r>
      <w:r>
        <w:rPr/>
        <w:t>very</w:t>
      </w:r>
      <w:r>
        <w:rPr>
          <w:spacing w:val="-12"/>
        </w:rPr>
        <w:t> </w:t>
      </w:r>
      <w:r>
        <w:rPr/>
        <w:t>negative</w:t>
      </w:r>
      <w:r>
        <w:rPr>
          <w:spacing w:val="-11"/>
        </w:rPr>
        <w:t> </w:t>
      </w:r>
      <w:r>
        <w:rPr/>
        <w:t>cash</w:t>
      </w:r>
      <w:r>
        <w:rPr>
          <w:spacing w:val="-11"/>
        </w:rPr>
        <w:t> </w:t>
      </w:r>
      <w:r>
        <w:rPr/>
        <w:t>conversion</w:t>
      </w:r>
      <w:r>
        <w:rPr>
          <w:spacing w:val="-11"/>
        </w:rPr>
        <w:t> </w:t>
      </w:r>
      <w:r>
        <w:rPr/>
        <w:t>cycle,</w:t>
      </w:r>
      <w:r>
        <w:rPr>
          <w:spacing w:val="-11"/>
        </w:rPr>
        <w:t> </w:t>
      </w:r>
      <w:r>
        <w:rPr/>
        <w:t>but</w:t>
      </w:r>
      <w:r>
        <w:rPr>
          <w:spacing w:val="-11"/>
        </w:rPr>
        <w:t> </w:t>
      </w:r>
      <w:r>
        <w:rPr/>
        <w:t>this</w:t>
      </w:r>
      <w:r>
        <w:rPr>
          <w:spacing w:val="-16"/>
        </w:rPr>
        <w:t> </w:t>
      </w:r>
      <w:r>
        <w:rPr/>
        <w:t>is</w:t>
      </w:r>
      <w:r>
        <w:rPr>
          <w:spacing w:val="-12"/>
        </w:rPr>
        <w:t> </w:t>
      </w:r>
      <w:r>
        <w:rPr/>
        <w:t>weird</w:t>
      </w:r>
      <w:r>
        <w:rPr>
          <w:spacing w:val="-11"/>
        </w:rPr>
        <w:t> </w:t>
      </w:r>
      <w:r>
        <w:rPr/>
        <w:t>rather</w:t>
      </w:r>
      <w:r>
        <w:rPr>
          <w:spacing w:val="-10"/>
        </w:rPr>
        <w:t> </w:t>
      </w:r>
      <w:r>
        <w:rPr/>
        <w:t>than</w:t>
      </w:r>
      <w:r>
        <w:rPr>
          <w:spacing w:val="-11"/>
        </w:rPr>
        <w:t> </w:t>
      </w:r>
      <w:r>
        <w:rPr/>
        <w:t>bad</w:t>
      </w:r>
      <w:r>
        <w:rPr>
          <w:spacing w:val="-11"/>
        </w:rPr>
        <w:t> </w:t>
      </w:r>
      <w:r>
        <w:rPr/>
        <w:t>since</w:t>
      </w:r>
      <w:r>
        <w:rPr>
          <w:spacing w:val="-10"/>
        </w:rPr>
        <w:t> </w:t>
      </w:r>
      <w:r>
        <w:rPr/>
        <w:t>the company is an EV</w:t>
      </w:r>
      <w:r>
        <w:rPr>
          <w:spacing w:val="-2"/>
        </w:rPr>
        <w:t> </w:t>
      </w:r>
      <w:r>
        <w:rPr/>
        <w:t>manufacturer with</w:t>
      </w:r>
      <w:r>
        <w:rPr>
          <w:spacing w:val="-4"/>
        </w:rPr>
        <w:t> </w:t>
      </w:r>
      <w:r>
        <w:rPr/>
        <w:t>high supplier bargaining</w:t>
      </w:r>
      <w:r>
        <w:rPr>
          <w:spacing w:val="-4"/>
        </w:rPr>
        <w:t> </w:t>
      </w:r>
      <w:r>
        <w:rPr/>
        <w:t>power. Based</w:t>
      </w:r>
      <w:r>
        <w:rPr>
          <w:spacing w:val="-5"/>
        </w:rPr>
        <w:t> </w:t>
      </w:r>
      <w:r>
        <w:rPr/>
        <w:t>on the year 2025 and average balances of 2024-2025,</w:t>
      </w:r>
      <w:r>
        <w:rPr>
          <w:spacing w:val="-3"/>
        </w:rPr>
        <w:t> </w:t>
      </w:r>
      <w:r>
        <w:rPr/>
        <w:t>inventory days are approximately 37.7 days, receivable days are approximately 6.4 days, and payable days are approximately 211.8 days</w:t>
      </w:r>
      <w:r>
        <w:rPr>
          <w:spacing w:val="40"/>
        </w:rPr>
        <w:t> </w:t>
      </w:r>
      <w:r>
        <w:rPr/>
        <w:t>(NIO,</w:t>
      </w:r>
      <w:r>
        <w:rPr>
          <w:spacing w:val="40"/>
        </w:rPr>
        <w:t> </w:t>
      </w:r>
      <w:r>
        <w:rPr/>
        <w:t>2025).</w:t>
      </w:r>
      <w:r>
        <w:rPr>
          <w:spacing w:val="34"/>
        </w:rPr>
        <w:t> </w:t>
      </w:r>
      <w:r>
        <w:rPr/>
        <w:t>The</w:t>
      </w:r>
      <w:r>
        <w:rPr>
          <w:spacing w:val="40"/>
        </w:rPr>
        <w:t> </w:t>
      </w:r>
      <w:r>
        <w:rPr/>
        <w:t>cash</w:t>
      </w:r>
      <w:r>
        <w:rPr>
          <w:spacing w:val="40"/>
        </w:rPr>
        <w:t> </w:t>
      </w:r>
      <w:r>
        <w:rPr/>
        <w:t>conversion</w:t>
      </w:r>
      <w:r>
        <w:rPr>
          <w:spacing w:val="40"/>
        </w:rPr>
        <w:t> </w:t>
      </w:r>
      <w:r>
        <w:rPr/>
        <w:t>cycle</w:t>
      </w:r>
      <w:r>
        <w:rPr>
          <w:spacing w:val="40"/>
        </w:rPr>
        <w:t> </w:t>
      </w:r>
      <w:r>
        <w:rPr/>
        <w:t>thus</w:t>
      </w:r>
      <w:r>
        <w:rPr>
          <w:spacing w:val="40"/>
        </w:rPr>
        <w:t> </w:t>
      </w:r>
      <w:r>
        <w:rPr/>
        <w:t>becomes</w:t>
      </w:r>
      <w:r>
        <w:rPr>
          <w:spacing w:val="40"/>
        </w:rPr>
        <w:t> </w:t>
      </w:r>
      <w:r>
        <w:rPr/>
        <w:t>approximately</w:t>
      </w:r>
      <w:r>
        <w:rPr>
          <w:spacing w:val="40"/>
        </w:rPr>
        <w:t> </w:t>
      </w:r>
      <w:r>
        <w:rPr/>
        <w:t>negative</w:t>
      </w:r>
    </w:p>
    <w:p>
      <w:pPr>
        <w:pStyle w:val="BodyText"/>
        <w:spacing w:line="362" w:lineRule="auto"/>
        <w:ind w:right="358"/>
        <w:jc w:val="both"/>
      </w:pPr>
      <w:r>
        <w:rPr/>
        <w:t>167.7 days, which translates to the fact that NIO takes cash as input received by the customers</w:t>
      </w:r>
      <w:r>
        <w:rPr>
          <w:spacing w:val="-12"/>
        </w:rPr>
        <w:t> </w:t>
      </w:r>
      <w:r>
        <w:rPr/>
        <w:t>and</w:t>
      </w:r>
      <w:r>
        <w:rPr>
          <w:spacing w:val="-10"/>
        </w:rPr>
        <w:t> </w:t>
      </w:r>
      <w:r>
        <w:rPr/>
        <w:t>converts</w:t>
      </w:r>
      <w:r>
        <w:rPr>
          <w:spacing w:val="-10"/>
        </w:rPr>
        <w:t> </w:t>
      </w:r>
      <w:r>
        <w:rPr/>
        <w:t>inventory</w:t>
      </w:r>
      <w:r>
        <w:rPr>
          <w:spacing w:val="-11"/>
        </w:rPr>
        <w:t> </w:t>
      </w:r>
      <w:r>
        <w:rPr/>
        <w:t>into</w:t>
      </w:r>
      <w:r>
        <w:rPr>
          <w:spacing w:val="-10"/>
        </w:rPr>
        <w:t> </w:t>
      </w:r>
      <w:r>
        <w:rPr/>
        <w:t>cash</w:t>
      </w:r>
      <w:r>
        <w:rPr>
          <w:spacing w:val="-10"/>
        </w:rPr>
        <w:t> </w:t>
      </w:r>
      <w:r>
        <w:rPr/>
        <w:t>rather</w:t>
      </w:r>
      <w:r>
        <w:rPr>
          <w:spacing w:val="-9"/>
        </w:rPr>
        <w:t> </w:t>
      </w:r>
      <w:r>
        <w:rPr/>
        <w:t>fast,</w:t>
      </w:r>
      <w:r>
        <w:rPr>
          <w:spacing w:val="-10"/>
        </w:rPr>
        <w:t> </w:t>
      </w:r>
      <w:r>
        <w:rPr/>
        <w:t>whereas</w:t>
      </w:r>
      <w:r>
        <w:rPr>
          <w:spacing w:val="-15"/>
        </w:rPr>
        <w:t> </w:t>
      </w:r>
      <w:r>
        <w:rPr/>
        <w:t>it</w:t>
      </w:r>
      <w:r>
        <w:rPr>
          <w:spacing w:val="-10"/>
        </w:rPr>
        <w:t> </w:t>
      </w:r>
      <w:r>
        <w:rPr/>
        <w:t>takes</w:t>
      </w:r>
      <w:r>
        <w:rPr>
          <w:spacing w:val="-11"/>
        </w:rPr>
        <w:t> </w:t>
      </w:r>
      <w:r>
        <w:rPr/>
        <w:t>them</w:t>
      </w:r>
      <w:r>
        <w:rPr>
          <w:spacing w:val="-17"/>
        </w:rPr>
        <w:t> </w:t>
      </w:r>
      <w:r>
        <w:rPr/>
        <w:t>a</w:t>
      </w:r>
      <w:r>
        <w:rPr>
          <w:spacing w:val="-10"/>
        </w:rPr>
        <w:t> </w:t>
      </w:r>
      <w:r>
        <w:rPr/>
        <w:t>long</w:t>
      </w:r>
      <w:r>
        <w:rPr>
          <w:spacing w:val="-10"/>
        </w:rPr>
        <w:t> </w:t>
      </w:r>
      <w:r>
        <w:rPr/>
        <w:t>time to deliver cash to suppliers (NIO, 2025).</w:t>
      </w:r>
    </w:p>
    <w:p>
      <w:pPr>
        <w:pStyle w:val="BodyText"/>
        <w:spacing w:after="0" w:line="362" w:lineRule="auto"/>
        <w:jc w:val="both"/>
        <w:sectPr>
          <w:pgSz w:w="12240" w:h="15840"/>
          <w:pgMar w:header="0" w:footer="1051" w:top="1820" w:bottom="1240" w:left="1440" w:right="1080"/>
        </w:sectPr>
      </w:pPr>
    </w:p>
    <w:p>
      <w:pPr>
        <w:pStyle w:val="BodyText"/>
        <w:ind w:left="35"/>
        <w:rPr>
          <w:sz w:val="20"/>
        </w:rPr>
      </w:pPr>
      <w:r>
        <w:rPr>
          <w:sz w:val="20"/>
        </w:rPr>
        <mc:AlternateContent>
          <mc:Choice Requires="wps">
            <w:drawing>
              <wp:inline distT="0" distB="0" distL="0" distR="0">
                <wp:extent cx="6100445" cy="3500120"/>
                <wp:effectExtent l="0" t="0" r="0" b="5079"/>
                <wp:docPr id="31" name="Group 31"/>
                <wp:cNvGraphicFramePr>
                  <a:graphicFrameLocks/>
                </wp:cNvGraphicFramePr>
                <a:graphic>
                  <a:graphicData uri="http://schemas.microsoft.com/office/word/2010/wordprocessingGroup">
                    <wpg:wgp>
                      <wpg:cNvPr id="31" name="Group 31"/>
                      <wpg:cNvGrpSpPr/>
                      <wpg:grpSpPr>
                        <a:xfrm>
                          <a:off x="0" y="0"/>
                          <a:ext cx="6100445" cy="3500120"/>
                          <a:chExt cx="6100445" cy="3500120"/>
                        </a:xfrm>
                      </wpg:grpSpPr>
                      <pic:pic>
                        <pic:nvPicPr>
                          <pic:cNvPr id="32" name="Image 32" descr="The Short Cash Cycle: How to Cut Crunches and Grab More Growth"/>
                          <pic:cNvPicPr/>
                        </pic:nvPicPr>
                        <pic:blipFill>
                          <a:blip r:embed="rId9" cstate="print"/>
                          <a:stretch>
                            <a:fillRect/>
                          </a:stretch>
                        </pic:blipFill>
                        <pic:spPr>
                          <a:xfrm>
                            <a:off x="0" y="0"/>
                            <a:ext cx="6099827" cy="3499883"/>
                          </a:xfrm>
                          <a:prstGeom prst="rect">
                            <a:avLst/>
                          </a:prstGeom>
                        </pic:spPr>
                      </pic:pic>
                      <pic:pic>
                        <pic:nvPicPr>
                          <pic:cNvPr id="33" name="Image 33" descr="The Short Cash Cycle: How to Cut Crunches and Grab More Growth"/>
                          <pic:cNvPicPr/>
                        </pic:nvPicPr>
                        <pic:blipFill>
                          <a:blip r:embed="rId10" cstate="print"/>
                          <a:stretch>
                            <a:fillRect/>
                          </a:stretch>
                        </pic:blipFill>
                        <pic:spPr>
                          <a:xfrm>
                            <a:off x="53348" y="53348"/>
                            <a:ext cx="5943600" cy="3343275"/>
                          </a:xfrm>
                          <a:prstGeom prst="rect">
                            <a:avLst/>
                          </a:prstGeom>
                        </pic:spPr>
                      </pic:pic>
                      <wps:wsp>
                        <wps:cNvPr id="34" name="Graphic 34"/>
                        <wps:cNvSpPr/>
                        <wps:spPr>
                          <a:xfrm>
                            <a:off x="34298" y="34298"/>
                            <a:ext cx="5981700" cy="3381375"/>
                          </a:xfrm>
                          <a:custGeom>
                            <a:avLst/>
                            <a:gdLst/>
                            <a:ahLst/>
                            <a:cxnLst/>
                            <a:rect l="l" t="t" r="r" b="b"/>
                            <a:pathLst>
                              <a:path w="5981700" h="3381375">
                                <a:moveTo>
                                  <a:pt x="0" y="3381375"/>
                                </a:moveTo>
                                <a:lnTo>
                                  <a:pt x="5981700" y="3381375"/>
                                </a:lnTo>
                                <a:lnTo>
                                  <a:pt x="5981700" y="0"/>
                                </a:lnTo>
                                <a:lnTo>
                                  <a:pt x="0" y="0"/>
                                </a:lnTo>
                                <a:lnTo>
                                  <a:pt x="0" y="3381375"/>
                                </a:lnTo>
                                <a:close/>
                              </a:path>
                            </a:pathLst>
                          </a:custGeom>
                          <a:ln w="3810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480.35pt;height:275.6pt;mso-position-horizontal-relative:char;mso-position-vertical-relative:line" id="docshapegroup30" coordorigin="0,0" coordsize="9607,5512">
                <v:shape style="position:absolute;left:0;top:0;width:9607;height:5512" type="#_x0000_t75" id="docshape31" alt="The Short Cash Cycle: How to Cut Crunches and Grab More Growth" stroked="false">
                  <v:imagedata r:id="rId9" o:title=""/>
                </v:shape>
                <v:shape style="position:absolute;left:84;top:84;width:9360;height:5265" type="#_x0000_t75" id="docshape32" alt="The Short Cash Cycle: How to Cut Crunches and Grab More Growth" stroked="false">
                  <v:imagedata r:id="rId10" o:title=""/>
                </v:shape>
                <v:rect style="position:absolute;left:54;top:54;width:9420;height:5325" id="docshape33" filled="false" stroked="true" strokeweight="3pt" strokecolor="#000000">
                  <v:stroke dashstyle="solid"/>
                </v:rect>
              </v:group>
            </w:pict>
          </mc:Fallback>
        </mc:AlternateContent>
      </w:r>
      <w:r>
        <w:rPr>
          <w:sz w:val="20"/>
        </w:rPr>
      </w:r>
    </w:p>
    <w:p>
      <w:pPr>
        <w:pStyle w:val="BodyText"/>
        <w:spacing w:before="55"/>
      </w:pPr>
    </w:p>
    <w:p>
      <w:pPr>
        <w:spacing w:line="360" w:lineRule="auto" w:before="1"/>
        <w:ind w:left="2559" w:right="2693" w:firstLine="393"/>
        <w:jc w:val="left"/>
        <w:rPr>
          <w:rFonts w:ascii="Arial"/>
          <w:i/>
          <w:sz w:val="24"/>
        </w:rPr>
      </w:pPr>
      <w:r>
        <w:rPr>
          <w:rFonts w:ascii="Arial"/>
          <w:i/>
          <w:sz w:val="24"/>
        </w:rPr>
        <w:t>Figure 2 Cash Conversion Cycle Image</w:t>
      </w:r>
      <w:r>
        <w:rPr>
          <w:rFonts w:ascii="Arial"/>
          <w:i/>
          <w:spacing w:val="-9"/>
          <w:sz w:val="24"/>
        </w:rPr>
        <w:t> </w:t>
      </w:r>
      <w:r>
        <w:rPr>
          <w:rFonts w:ascii="Arial"/>
          <w:i/>
          <w:sz w:val="24"/>
        </w:rPr>
        <w:t>source:</w:t>
      </w:r>
      <w:r>
        <w:rPr>
          <w:rFonts w:ascii="Arial"/>
          <w:i/>
          <w:spacing w:val="-11"/>
          <w:sz w:val="24"/>
        </w:rPr>
        <w:t> </w:t>
      </w:r>
      <w:r>
        <w:rPr>
          <w:rFonts w:ascii="Arial"/>
          <w:i/>
          <w:sz w:val="24"/>
        </w:rPr>
        <w:t>(CFO</w:t>
      </w:r>
      <w:r>
        <w:rPr>
          <w:rFonts w:ascii="Arial"/>
          <w:i/>
          <w:spacing w:val="-9"/>
          <w:sz w:val="24"/>
        </w:rPr>
        <w:t> </w:t>
      </w:r>
      <w:r>
        <w:rPr>
          <w:rFonts w:ascii="Arial"/>
          <w:i/>
          <w:sz w:val="24"/>
        </w:rPr>
        <w:t>Perspective,</w:t>
      </w:r>
      <w:r>
        <w:rPr>
          <w:rFonts w:ascii="Arial"/>
          <w:i/>
          <w:spacing w:val="-9"/>
          <w:sz w:val="24"/>
        </w:rPr>
        <w:t> </w:t>
      </w:r>
      <w:r>
        <w:rPr>
          <w:rFonts w:ascii="Arial"/>
          <w:i/>
          <w:sz w:val="24"/>
        </w:rPr>
        <w:t>2020)</w:t>
      </w:r>
    </w:p>
    <w:p>
      <w:pPr>
        <w:pStyle w:val="BodyText"/>
        <w:spacing w:line="360" w:lineRule="auto" w:before="199"/>
        <w:ind w:right="351"/>
        <w:jc w:val="both"/>
      </w:pPr>
      <w:r>
        <w:rPr/>
        <w:t>Such a negative cycle shows that there is efficient working capital utilisation in terms of cash,</w:t>
      </w:r>
      <w:r>
        <w:rPr>
          <w:spacing w:val="-1"/>
        </w:rPr>
        <w:t> </w:t>
      </w:r>
      <w:r>
        <w:rPr/>
        <w:t>since</w:t>
      </w:r>
      <w:r>
        <w:rPr>
          <w:spacing w:val="-5"/>
        </w:rPr>
        <w:t> </w:t>
      </w:r>
      <w:r>
        <w:rPr/>
        <w:t>a</w:t>
      </w:r>
      <w:r>
        <w:rPr>
          <w:spacing w:val="-9"/>
        </w:rPr>
        <w:t> </w:t>
      </w:r>
      <w:r>
        <w:rPr/>
        <w:t>large</w:t>
      </w:r>
      <w:r>
        <w:rPr>
          <w:spacing w:val="-1"/>
        </w:rPr>
        <w:t> </w:t>
      </w:r>
      <w:r>
        <w:rPr/>
        <w:t>portion</w:t>
      </w:r>
      <w:r>
        <w:rPr>
          <w:spacing w:val="-5"/>
        </w:rPr>
        <w:t> </w:t>
      </w:r>
      <w:r>
        <w:rPr/>
        <w:t>of</w:t>
      </w:r>
      <w:r>
        <w:rPr>
          <w:spacing w:val="-6"/>
        </w:rPr>
        <w:t> </w:t>
      </w:r>
      <w:r>
        <w:rPr/>
        <w:t>the</w:t>
      </w:r>
      <w:r>
        <w:rPr>
          <w:spacing w:val="-5"/>
        </w:rPr>
        <w:t> </w:t>
      </w:r>
      <w:r>
        <w:rPr/>
        <w:t>operating</w:t>
      </w:r>
      <w:r>
        <w:rPr>
          <w:spacing w:val="-5"/>
        </w:rPr>
        <w:t> </w:t>
      </w:r>
      <w:r>
        <w:rPr/>
        <w:t>cycle</w:t>
      </w:r>
      <w:r>
        <w:rPr>
          <w:spacing w:val="-10"/>
        </w:rPr>
        <w:t> </w:t>
      </w:r>
      <w:r>
        <w:rPr/>
        <w:t>is</w:t>
      </w:r>
      <w:r>
        <w:rPr>
          <w:spacing w:val="-1"/>
        </w:rPr>
        <w:t> </w:t>
      </w:r>
      <w:r>
        <w:rPr/>
        <w:t>being</w:t>
      </w:r>
      <w:r>
        <w:rPr>
          <w:spacing w:val="-1"/>
        </w:rPr>
        <w:t> </w:t>
      </w:r>
      <w:r>
        <w:rPr/>
        <w:t>financed</w:t>
      </w:r>
      <w:r>
        <w:rPr>
          <w:spacing w:val="-5"/>
        </w:rPr>
        <w:t> </w:t>
      </w:r>
      <w:r>
        <w:rPr/>
        <w:t>by</w:t>
      </w:r>
      <w:r>
        <w:rPr>
          <w:spacing w:val="-6"/>
        </w:rPr>
        <w:t> </w:t>
      </w:r>
      <w:r>
        <w:rPr/>
        <w:t>supplier</w:t>
      </w:r>
      <w:r>
        <w:rPr>
          <w:spacing w:val="-1"/>
        </w:rPr>
        <w:t> </w:t>
      </w:r>
      <w:r>
        <w:rPr/>
        <w:t>credit.</w:t>
      </w:r>
      <w:r>
        <w:rPr>
          <w:spacing w:val="-5"/>
        </w:rPr>
        <w:t> </w:t>
      </w:r>
      <w:r>
        <w:rPr/>
        <w:t>But the extremely long payable period is also an indicator of vendor financing, and possibly the necessity of the company to</w:t>
      </w:r>
      <w:r>
        <w:rPr>
          <w:spacing w:val="-2"/>
        </w:rPr>
        <w:t> </w:t>
      </w:r>
      <w:r>
        <w:rPr/>
        <w:t>save</w:t>
      </w:r>
      <w:r>
        <w:rPr>
          <w:spacing w:val="-2"/>
        </w:rPr>
        <w:t> </w:t>
      </w:r>
      <w:r>
        <w:rPr/>
        <w:t>cash</w:t>
      </w:r>
      <w:r>
        <w:rPr>
          <w:spacing w:val="-2"/>
        </w:rPr>
        <w:t> </w:t>
      </w:r>
      <w:r>
        <w:rPr/>
        <w:t>while</w:t>
      </w:r>
      <w:r>
        <w:rPr>
          <w:spacing w:val="-2"/>
        </w:rPr>
        <w:t> </w:t>
      </w:r>
      <w:r>
        <w:rPr/>
        <w:t>at</w:t>
      </w:r>
      <w:r>
        <w:rPr>
          <w:spacing w:val="-3"/>
        </w:rPr>
        <w:t> </w:t>
      </w:r>
      <w:r>
        <w:rPr/>
        <w:t>the</w:t>
      </w:r>
      <w:r>
        <w:rPr>
          <w:spacing w:val="-2"/>
        </w:rPr>
        <w:t> </w:t>
      </w:r>
      <w:r>
        <w:rPr/>
        <w:t>same time increasing</w:t>
      </w:r>
      <w:r>
        <w:rPr>
          <w:spacing w:val="-2"/>
        </w:rPr>
        <w:t> </w:t>
      </w:r>
      <w:r>
        <w:rPr/>
        <w:t>production and deliveries (Lind et al., 2012). Days to inventory indicate that a vehicle manufacturer is</w:t>
      </w:r>
      <w:r>
        <w:rPr>
          <w:spacing w:val="-17"/>
        </w:rPr>
        <w:t> </w:t>
      </w:r>
      <w:r>
        <w:rPr/>
        <w:t>reasonable,</w:t>
      </w:r>
      <w:r>
        <w:rPr>
          <w:spacing w:val="-17"/>
        </w:rPr>
        <w:t> </w:t>
      </w:r>
      <w:r>
        <w:rPr/>
        <w:t>and</w:t>
      </w:r>
      <w:r>
        <w:rPr>
          <w:spacing w:val="-16"/>
        </w:rPr>
        <w:t> </w:t>
      </w:r>
      <w:r>
        <w:rPr/>
        <w:t>days</w:t>
      </w:r>
      <w:r>
        <w:rPr>
          <w:spacing w:val="-17"/>
        </w:rPr>
        <w:t> </w:t>
      </w:r>
      <w:r>
        <w:rPr/>
        <w:t>receivable</w:t>
      </w:r>
      <w:r>
        <w:rPr>
          <w:spacing w:val="-17"/>
        </w:rPr>
        <w:t> </w:t>
      </w:r>
      <w:r>
        <w:rPr/>
        <w:t>are</w:t>
      </w:r>
      <w:r>
        <w:rPr>
          <w:spacing w:val="-17"/>
        </w:rPr>
        <w:t> </w:t>
      </w:r>
      <w:r>
        <w:rPr/>
        <w:t>very</w:t>
      </w:r>
      <w:r>
        <w:rPr>
          <w:spacing w:val="-16"/>
        </w:rPr>
        <w:t> </w:t>
      </w:r>
      <w:r>
        <w:rPr/>
        <w:t>low,</w:t>
      </w:r>
      <w:r>
        <w:rPr>
          <w:spacing w:val="-16"/>
        </w:rPr>
        <w:t> </w:t>
      </w:r>
      <w:r>
        <w:rPr/>
        <w:t>indicating</w:t>
      </w:r>
      <w:r>
        <w:rPr>
          <w:spacing w:val="-14"/>
        </w:rPr>
        <w:t> </w:t>
      </w:r>
      <w:r>
        <w:rPr/>
        <w:t>strong</w:t>
      </w:r>
      <w:r>
        <w:rPr>
          <w:spacing w:val="-17"/>
        </w:rPr>
        <w:t> </w:t>
      </w:r>
      <w:r>
        <w:rPr/>
        <w:t>collection</w:t>
      </w:r>
      <w:r>
        <w:rPr>
          <w:spacing w:val="-17"/>
        </w:rPr>
        <w:t> </w:t>
      </w:r>
      <w:r>
        <w:rPr/>
        <w:t>discipline</w:t>
      </w:r>
      <w:r>
        <w:rPr>
          <w:spacing w:val="-16"/>
        </w:rPr>
        <w:t> </w:t>
      </w:r>
      <w:r>
        <w:rPr/>
        <w:t>and limited credit exposure to customers. The primary warning is that a negative cash conversion cycle will enhance liquidity in the short run, but may fail to be maintained in case the supplier terms become stricter or the volumes of production decrease (Lind et al., 2012). In general, NIO seems to be operating efficiently in working capital management, but its structure also indicates funding pressure in other business model </w:t>
      </w:r>
      <w:r>
        <w:rPr>
          <w:spacing w:val="-2"/>
        </w:rPr>
        <w:t>areas.</w:t>
      </w:r>
    </w:p>
    <w:p>
      <w:pPr>
        <w:pStyle w:val="BodyText"/>
        <w:spacing w:after="0" w:line="360" w:lineRule="auto"/>
        <w:jc w:val="both"/>
        <w:sectPr>
          <w:pgSz w:w="12240" w:h="15840"/>
          <w:pgMar w:header="0" w:footer="1051" w:top="1480" w:bottom="1240" w:left="1440" w:right="1080"/>
        </w:sectPr>
      </w:pPr>
    </w:p>
    <w:p>
      <w:pPr>
        <w:pStyle w:val="Heading2"/>
        <w:numPr>
          <w:ilvl w:val="1"/>
          <w:numId w:val="3"/>
        </w:numPr>
        <w:tabs>
          <w:tab w:pos="400" w:val="left" w:leader="none"/>
        </w:tabs>
        <w:spacing w:line="240" w:lineRule="auto" w:before="71" w:after="0"/>
        <w:ind w:left="400" w:right="0" w:hanging="400"/>
        <w:jc w:val="left"/>
      </w:pPr>
      <w:bookmarkStart w:name="3.3 NIO has Liquidity Problems" w:id="31"/>
      <w:bookmarkEnd w:id="31"/>
      <w:r>
        <w:rPr>
          <w:b w:val="0"/>
        </w:rPr>
      </w:r>
      <w:bookmarkStart w:name="_bookmark15" w:id="32"/>
      <w:bookmarkEnd w:id="32"/>
      <w:r>
        <w:rPr>
          <w:b w:val="0"/>
        </w:rPr>
      </w:r>
      <w:r>
        <w:rPr/>
        <w:t>NIO</w:t>
      </w:r>
      <w:r>
        <w:rPr>
          <w:spacing w:val="-1"/>
        </w:rPr>
        <w:t> </w:t>
      </w:r>
      <w:r>
        <w:rPr/>
        <w:t>has Liquidity</w:t>
      </w:r>
      <w:r>
        <w:rPr>
          <w:spacing w:val="-4"/>
        </w:rPr>
        <w:t> </w:t>
      </w:r>
      <w:r>
        <w:rPr>
          <w:spacing w:val="-2"/>
        </w:rPr>
        <w:t>Problems</w:t>
      </w:r>
    </w:p>
    <w:p>
      <w:pPr>
        <w:pStyle w:val="BodyText"/>
        <w:rPr>
          <w:rFonts w:ascii="Arial"/>
          <w:b/>
        </w:rPr>
      </w:pPr>
    </w:p>
    <w:p>
      <w:pPr>
        <w:pStyle w:val="BodyText"/>
        <w:spacing w:before="243"/>
        <w:rPr>
          <w:rFonts w:ascii="Arial"/>
          <w:b/>
        </w:rPr>
      </w:pPr>
    </w:p>
    <w:p>
      <w:pPr>
        <w:pStyle w:val="BodyText"/>
        <w:spacing w:line="360" w:lineRule="auto"/>
        <w:ind w:right="349"/>
        <w:jc w:val="both"/>
      </w:pPr>
      <w:r>
        <w:rPr/>
        <w:t>The key liquidity issue of NIO is that current liabilities are slightly higher than current assets;</w:t>
      </w:r>
      <w:r>
        <w:rPr>
          <w:spacing w:val="-6"/>
        </w:rPr>
        <w:t> </w:t>
      </w:r>
      <w:r>
        <w:rPr/>
        <w:t>the</w:t>
      </w:r>
      <w:r>
        <w:rPr>
          <w:spacing w:val="-11"/>
        </w:rPr>
        <w:t> </w:t>
      </w:r>
      <w:r>
        <w:rPr/>
        <w:t>company</w:t>
      </w:r>
      <w:r>
        <w:rPr>
          <w:spacing w:val="-7"/>
        </w:rPr>
        <w:t> </w:t>
      </w:r>
      <w:r>
        <w:rPr/>
        <w:t>has</w:t>
      </w:r>
      <w:r>
        <w:rPr>
          <w:spacing w:val="-7"/>
        </w:rPr>
        <w:t> </w:t>
      </w:r>
      <w:r>
        <w:rPr/>
        <w:t>minimal</w:t>
      </w:r>
      <w:r>
        <w:rPr>
          <w:spacing w:val="-3"/>
        </w:rPr>
        <w:t> </w:t>
      </w:r>
      <w:r>
        <w:rPr/>
        <w:t>short-term</w:t>
      </w:r>
      <w:r>
        <w:rPr>
          <w:spacing w:val="-15"/>
        </w:rPr>
        <w:t> </w:t>
      </w:r>
      <w:r>
        <w:rPr/>
        <w:t>headroom</w:t>
      </w:r>
      <w:r>
        <w:rPr>
          <w:spacing w:val="-15"/>
        </w:rPr>
        <w:t> </w:t>
      </w:r>
      <w:r>
        <w:rPr/>
        <w:t>despite</w:t>
      </w:r>
      <w:r>
        <w:rPr>
          <w:spacing w:val="-6"/>
        </w:rPr>
        <w:t> </w:t>
      </w:r>
      <w:r>
        <w:rPr/>
        <w:t>years</w:t>
      </w:r>
      <w:r>
        <w:rPr>
          <w:spacing w:val="-7"/>
        </w:rPr>
        <w:t> </w:t>
      </w:r>
      <w:r>
        <w:rPr/>
        <w:t>of</w:t>
      </w:r>
      <w:r>
        <w:rPr>
          <w:spacing w:val="-11"/>
        </w:rPr>
        <w:t> </w:t>
      </w:r>
      <w:r>
        <w:rPr/>
        <w:t>scale</w:t>
      </w:r>
      <w:r>
        <w:rPr>
          <w:spacing w:val="-6"/>
        </w:rPr>
        <w:t> </w:t>
      </w:r>
      <w:r>
        <w:rPr/>
        <w:t>gains.</w:t>
      </w:r>
      <w:r>
        <w:rPr>
          <w:spacing w:val="-11"/>
        </w:rPr>
        <w:t> </w:t>
      </w:r>
      <w:r>
        <w:rPr/>
        <w:t>The current</w:t>
      </w:r>
      <w:r>
        <w:rPr>
          <w:spacing w:val="-10"/>
        </w:rPr>
        <w:t> </w:t>
      </w:r>
      <w:r>
        <w:rPr/>
        <w:t>assets</w:t>
      </w:r>
      <w:r>
        <w:rPr>
          <w:spacing w:val="-5"/>
        </w:rPr>
        <w:t> </w:t>
      </w:r>
      <w:r>
        <w:rPr/>
        <w:t>were</w:t>
      </w:r>
      <w:r>
        <w:rPr>
          <w:spacing w:val="-5"/>
        </w:rPr>
        <w:t> </w:t>
      </w:r>
      <w:r>
        <w:rPr/>
        <w:t>RMB</w:t>
      </w:r>
      <w:r>
        <w:rPr>
          <w:spacing w:val="-7"/>
        </w:rPr>
        <w:t> </w:t>
      </w:r>
      <w:r>
        <w:rPr/>
        <w:t>76.6</w:t>
      </w:r>
      <w:r>
        <w:rPr>
          <w:spacing w:val="-5"/>
        </w:rPr>
        <w:t> </w:t>
      </w:r>
      <w:r>
        <w:rPr/>
        <w:t>billion</w:t>
      </w:r>
      <w:r>
        <w:rPr>
          <w:spacing w:val="-10"/>
        </w:rPr>
        <w:t> </w:t>
      </w:r>
      <w:r>
        <w:rPr/>
        <w:t>in</w:t>
      </w:r>
      <w:r>
        <w:rPr>
          <w:spacing w:val="-5"/>
        </w:rPr>
        <w:t> </w:t>
      </w:r>
      <w:r>
        <w:rPr/>
        <w:t>2025,</w:t>
      </w:r>
      <w:r>
        <w:rPr>
          <w:spacing w:val="-10"/>
        </w:rPr>
        <w:t> </w:t>
      </w:r>
      <w:r>
        <w:rPr/>
        <w:t>compared</w:t>
      </w:r>
      <w:r>
        <w:rPr>
          <w:spacing w:val="-5"/>
        </w:rPr>
        <w:t> </w:t>
      </w:r>
      <w:r>
        <w:rPr/>
        <w:t>to</w:t>
      </w:r>
      <w:r>
        <w:rPr>
          <w:spacing w:val="-5"/>
        </w:rPr>
        <w:t> </w:t>
      </w:r>
      <w:r>
        <w:rPr/>
        <w:t>current</w:t>
      </w:r>
      <w:r>
        <w:rPr>
          <w:spacing w:val="-10"/>
        </w:rPr>
        <w:t> </w:t>
      </w:r>
      <w:r>
        <w:rPr/>
        <w:t>liabilities</w:t>
      </w:r>
      <w:r>
        <w:rPr>
          <w:spacing w:val="-11"/>
        </w:rPr>
        <w:t> </w:t>
      </w:r>
      <w:r>
        <w:rPr/>
        <w:t>of</w:t>
      </w:r>
      <w:r>
        <w:rPr>
          <w:spacing w:val="-5"/>
        </w:rPr>
        <w:t> </w:t>
      </w:r>
      <w:r>
        <w:rPr/>
        <w:t>RMB</w:t>
      </w:r>
      <w:r>
        <w:rPr>
          <w:spacing w:val="-7"/>
        </w:rPr>
        <w:t> </w:t>
      </w:r>
      <w:r>
        <w:rPr/>
        <w:t>78.6 billion,</w:t>
      </w:r>
      <w:r>
        <w:rPr>
          <w:spacing w:val="-1"/>
        </w:rPr>
        <w:t> </w:t>
      </w:r>
      <w:r>
        <w:rPr/>
        <w:t>a ratio of</w:t>
      </w:r>
      <w:r>
        <w:rPr>
          <w:spacing w:val="-6"/>
        </w:rPr>
        <w:t> </w:t>
      </w:r>
      <w:r>
        <w:rPr/>
        <w:t>less</w:t>
      </w:r>
      <w:r>
        <w:rPr>
          <w:spacing w:val="-1"/>
        </w:rPr>
        <w:t> </w:t>
      </w:r>
      <w:r>
        <w:rPr/>
        <w:t>than 1 that</w:t>
      </w:r>
      <w:r>
        <w:rPr>
          <w:spacing w:val="-6"/>
        </w:rPr>
        <w:t> </w:t>
      </w:r>
      <w:r>
        <w:rPr/>
        <w:t>indicates the</w:t>
      </w:r>
      <w:r>
        <w:rPr>
          <w:spacing w:val="-1"/>
        </w:rPr>
        <w:t> </w:t>
      </w:r>
      <w:r>
        <w:rPr/>
        <w:t>tight working-capital situation (NIO, 2025). Though the company has significant cash, limited cash and short-term investments, a large</w:t>
      </w:r>
      <w:r>
        <w:rPr>
          <w:spacing w:val="-5"/>
        </w:rPr>
        <w:t> </w:t>
      </w:r>
      <w:r>
        <w:rPr/>
        <w:t>portion</w:t>
      </w:r>
      <w:r>
        <w:rPr>
          <w:spacing w:val="-5"/>
        </w:rPr>
        <w:t> </w:t>
      </w:r>
      <w:r>
        <w:rPr/>
        <w:t>of</w:t>
      </w:r>
      <w:r>
        <w:rPr>
          <w:spacing w:val="-5"/>
        </w:rPr>
        <w:t> </w:t>
      </w:r>
      <w:r>
        <w:rPr/>
        <w:t>this</w:t>
      </w:r>
      <w:r>
        <w:rPr>
          <w:spacing w:val="-11"/>
        </w:rPr>
        <w:t> </w:t>
      </w:r>
      <w:r>
        <w:rPr/>
        <w:t>is</w:t>
      </w:r>
      <w:r>
        <w:rPr>
          <w:spacing w:val="-6"/>
        </w:rPr>
        <w:t> </w:t>
      </w:r>
      <w:r>
        <w:rPr/>
        <w:t>not</w:t>
      </w:r>
      <w:r>
        <w:rPr>
          <w:spacing w:val="-5"/>
        </w:rPr>
        <w:t> </w:t>
      </w:r>
      <w:r>
        <w:rPr/>
        <w:t>entirely</w:t>
      </w:r>
      <w:r>
        <w:rPr>
          <w:spacing w:val="-6"/>
        </w:rPr>
        <w:t> </w:t>
      </w:r>
      <w:r>
        <w:rPr/>
        <w:t>flexible</w:t>
      </w:r>
      <w:r>
        <w:rPr>
          <w:spacing w:val="-5"/>
        </w:rPr>
        <w:t> </w:t>
      </w:r>
      <w:r>
        <w:rPr/>
        <w:t>since</w:t>
      </w:r>
      <w:r>
        <w:rPr>
          <w:spacing w:val="-5"/>
        </w:rPr>
        <w:t> </w:t>
      </w:r>
      <w:r>
        <w:rPr/>
        <w:t>some</w:t>
      </w:r>
      <w:r>
        <w:rPr>
          <w:spacing w:val="-5"/>
        </w:rPr>
        <w:t> </w:t>
      </w:r>
      <w:r>
        <w:rPr/>
        <w:t>of</w:t>
      </w:r>
      <w:r>
        <w:rPr>
          <w:spacing w:val="-5"/>
        </w:rPr>
        <w:t> </w:t>
      </w:r>
      <w:r>
        <w:rPr/>
        <w:t>the</w:t>
      </w:r>
      <w:r>
        <w:rPr>
          <w:spacing w:val="-5"/>
        </w:rPr>
        <w:t> </w:t>
      </w:r>
      <w:r>
        <w:rPr/>
        <w:t>balances</w:t>
      </w:r>
      <w:r>
        <w:rPr>
          <w:spacing w:val="-11"/>
        </w:rPr>
        <w:t> </w:t>
      </w:r>
      <w:r>
        <w:rPr/>
        <w:t>have</w:t>
      </w:r>
      <w:r>
        <w:rPr>
          <w:spacing w:val="-5"/>
        </w:rPr>
        <w:t> </w:t>
      </w:r>
      <w:r>
        <w:rPr/>
        <w:t>been</w:t>
      </w:r>
      <w:r>
        <w:rPr>
          <w:spacing w:val="-5"/>
        </w:rPr>
        <w:t> </w:t>
      </w:r>
      <w:r>
        <w:rPr/>
        <w:t>pledged or utilised in the running of the company.</w:t>
      </w:r>
    </w:p>
    <w:p>
      <w:pPr>
        <w:pStyle w:val="BodyText"/>
        <w:spacing w:line="360" w:lineRule="auto" w:before="165"/>
        <w:ind w:right="353"/>
        <w:jc w:val="both"/>
      </w:pPr>
      <w:r>
        <w:rPr/>
        <w:t>The other problem is that NIO is yet to be profitable, thus liquidity is not yet backed by steady</w:t>
      </w:r>
      <w:r>
        <w:rPr>
          <w:spacing w:val="-17"/>
        </w:rPr>
        <w:t> </w:t>
      </w:r>
      <w:r>
        <w:rPr/>
        <w:t>cash</w:t>
      </w:r>
      <w:r>
        <w:rPr>
          <w:spacing w:val="-17"/>
        </w:rPr>
        <w:t> </w:t>
      </w:r>
      <w:r>
        <w:rPr/>
        <w:t>generation</w:t>
      </w:r>
      <w:r>
        <w:rPr>
          <w:spacing w:val="-13"/>
        </w:rPr>
        <w:t> </w:t>
      </w:r>
      <w:r>
        <w:rPr/>
        <w:t>within</w:t>
      </w:r>
      <w:r>
        <w:rPr>
          <w:spacing w:val="-17"/>
        </w:rPr>
        <w:t> </w:t>
      </w:r>
      <w:r>
        <w:rPr/>
        <w:t>the</w:t>
      </w:r>
      <w:r>
        <w:rPr>
          <w:spacing w:val="-17"/>
        </w:rPr>
        <w:t> </w:t>
      </w:r>
      <w:r>
        <w:rPr/>
        <w:t>company.</w:t>
      </w:r>
      <w:r>
        <w:rPr>
          <w:spacing w:val="-14"/>
        </w:rPr>
        <w:t> </w:t>
      </w:r>
      <w:r>
        <w:rPr/>
        <w:t>In</w:t>
      </w:r>
      <w:r>
        <w:rPr>
          <w:spacing w:val="-17"/>
        </w:rPr>
        <w:t> </w:t>
      </w:r>
      <w:r>
        <w:rPr/>
        <w:t>2025,</w:t>
      </w:r>
      <w:r>
        <w:rPr>
          <w:spacing w:val="-14"/>
        </w:rPr>
        <w:t> </w:t>
      </w:r>
      <w:r>
        <w:rPr/>
        <w:t>the</w:t>
      </w:r>
      <w:r>
        <w:rPr>
          <w:spacing w:val="-14"/>
        </w:rPr>
        <w:t> </w:t>
      </w:r>
      <w:r>
        <w:rPr/>
        <w:t>company</w:t>
      </w:r>
      <w:r>
        <w:rPr>
          <w:spacing w:val="-15"/>
        </w:rPr>
        <w:t> </w:t>
      </w:r>
      <w:r>
        <w:rPr/>
        <w:t>produced</w:t>
      </w:r>
      <w:r>
        <w:rPr>
          <w:spacing w:val="-17"/>
        </w:rPr>
        <w:t> </w:t>
      </w:r>
      <w:r>
        <w:rPr/>
        <w:t>an</w:t>
      </w:r>
      <w:r>
        <w:rPr>
          <w:spacing w:val="-17"/>
        </w:rPr>
        <w:t> </w:t>
      </w:r>
      <w:r>
        <w:rPr/>
        <w:t>operating cash inflow; however, the company still has large trade payables, accruals and borrowings,</w:t>
      </w:r>
      <w:r>
        <w:rPr>
          <w:spacing w:val="-6"/>
        </w:rPr>
        <w:t> </w:t>
      </w:r>
      <w:r>
        <w:rPr/>
        <w:t>which</w:t>
      </w:r>
      <w:r>
        <w:rPr>
          <w:spacing w:val="-6"/>
        </w:rPr>
        <w:t> </w:t>
      </w:r>
      <w:r>
        <w:rPr/>
        <w:t>implies</w:t>
      </w:r>
      <w:r>
        <w:rPr>
          <w:spacing w:val="-6"/>
        </w:rPr>
        <w:t> </w:t>
      </w:r>
      <w:r>
        <w:rPr/>
        <w:t>that</w:t>
      </w:r>
      <w:r>
        <w:rPr>
          <w:spacing w:val="-6"/>
        </w:rPr>
        <w:t> </w:t>
      </w:r>
      <w:r>
        <w:rPr/>
        <w:t>funding</w:t>
      </w:r>
      <w:r>
        <w:rPr>
          <w:spacing w:val="-6"/>
        </w:rPr>
        <w:t> </w:t>
      </w:r>
      <w:r>
        <w:rPr/>
        <w:t>pressure</w:t>
      </w:r>
      <w:r>
        <w:rPr>
          <w:spacing w:val="-6"/>
        </w:rPr>
        <w:t> </w:t>
      </w:r>
      <w:r>
        <w:rPr/>
        <w:t>is</w:t>
      </w:r>
      <w:r>
        <w:rPr>
          <w:spacing w:val="-7"/>
        </w:rPr>
        <w:t> </w:t>
      </w:r>
      <w:r>
        <w:rPr/>
        <w:t>still</w:t>
      </w:r>
      <w:r>
        <w:rPr>
          <w:spacing w:val="-3"/>
        </w:rPr>
        <w:t> </w:t>
      </w:r>
      <w:r>
        <w:rPr/>
        <w:t>high</w:t>
      </w:r>
      <w:r>
        <w:rPr>
          <w:spacing w:val="-6"/>
        </w:rPr>
        <w:t> </w:t>
      </w:r>
      <w:r>
        <w:rPr/>
        <w:t>(NIO,</w:t>
      </w:r>
      <w:r>
        <w:rPr>
          <w:spacing w:val="-6"/>
        </w:rPr>
        <w:t> </w:t>
      </w:r>
      <w:r>
        <w:rPr/>
        <w:t>2025).</w:t>
      </w:r>
      <w:r>
        <w:rPr>
          <w:spacing w:val="-6"/>
        </w:rPr>
        <w:t> </w:t>
      </w:r>
      <w:r>
        <w:rPr/>
        <w:t>In</w:t>
      </w:r>
      <w:r>
        <w:rPr>
          <w:spacing w:val="-6"/>
        </w:rPr>
        <w:t> </w:t>
      </w:r>
      <w:r>
        <w:rPr/>
        <w:t>the</w:t>
      </w:r>
      <w:r>
        <w:rPr>
          <w:spacing w:val="-6"/>
        </w:rPr>
        <w:t> </w:t>
      </w:r>
      <w:r>
        <w:rPr/>
        <w:t>event</w:t>
      </w:r>
      <w:r>
        <w:rPr>
          <w:spacing w:val="-6"/>
        </w:rPr>
        <w:t> </w:t>
      </w:r>
      <w:r>
        <w:rPr/>
        <w:t>of</w:t>
      </w:r>
      <w:r>
        <w:rPr>
          <w:spacing w:val="-6"/>
        </w:rPr>
        <w:t> </w:t>
      </w:r>
      <w:r>
        <w:rPr/>
        <w:t>a slowdown in demand or supplier conditions and less favourable capital market facilities, NIO may encounter increased refinancing and repayment risk. The annual report indicates that management continues to use growth in revenues, increased efficiency, and access to external funds to continue operating, as the going-concern discussion </w:t>
      </w:r>
      <w:r>
        <w:rPr>
          <w:spacing w:val="-2"/>
        </w:rPr>
        <w:t>confirms.</w:t>
      </w:r>
    </w:p>
    <w:p>
      <w:pPr>
        <w:pStyle w:val="BodyText"/>
      </w:pPr>
    </w:p>
    <w:p>
      <w:pPr>
        <w:pStyle w:val="BodyText"/>
        <w:spacing w:before="178"/>
      </w:pPr>
    </w:p>
    <w:p>
      <w:pPr>
        <w:pStyle w:val="Heading2"/>
        <w:numPr>
          <w:ilvl w:val="1"/>
          <w:numId w:val="3"/>
        </w:numPr>
        <w:tabs>
          <w:tab w:pos="400" w:val="left" w:leader="none"/>
        </w:tabs>
        <w:spacing w:line="240" w:lineRule="auto" w:before="0" w:after="0"/>
        <w:ind w:left="400" w:right="0" w:hanging="400"/>
        <w:jc w:val="left"/>
      </w:pPr>
      <w:bookmarkStart w:name="3.4 Financing Options" w:id="33"/>
      <w:bookmarkEnd w:id="33"/>
      <w:r>
        <w:rPr>
          <w:b w:val="0"/>
        </w:rPr>
      </w:r>
      <w:bookmarkStart w:name="_bookmark16" w:id="34"/>
      <w:bookmarkEnd w:id="34"/>
      <w:r>
        <w:rPr>
          <w:b w:val="0"/>
        </w:rPr>
      </w:r>
      <w:r>
        <w:rPr/>
        <w:t>Financing</w:t>
      </w:r>
      <w:r>
        <w:rPr>
          <w:spacing w:val="-5"/>
        </w:rPr>
        <w:t> </w:t>
      </w:r>
      <w:r>
        <w:rPr>
          <w:spacing w:val="-2"/>
        </w:rPr>
        <w:t>Options</w:t>
      </w:r>
    </w:p>
    <w:p>
      <w:pPr>
        <w:pStyle w:val="BodyText"/>
        <w:rPr>
          <w:rFonts w:ascii="Arial"/>
          <w:b/>
        </w:rPr>
      </w:pPr>
    </w:p>
    <w:p>
      <w:pPr>
        <w:pStyle w:val="BodyText"/>
        <w:spacing w:before="243"/>
        <w:rPr>
          <w:rFonts w:ascii="Arial"/>
          <w:b/>
        </w:rPr>
      </w:pPr>
    </w:p>
    <w:p>
      <w:pPr>
        <w:pStyle w:val="BodyText"/>
        <w:spacing w:line="360" w:lineRule="auto"/>
        <w:ind w:right="352"/>
        <w:jc w:val="both"/>
      </w:pPr>
      <w:r>
        <w:rPr/>
        <w:t>There</w:t>
      </w:r>
      <w:r>
        <w:rPr>
          <w:spacing w:val="-7"/>
        </w:rPr>
        <w:t> </w:t>
      </w:r>
      <w:r>
        <w:rPr/>
        <w:t>are</w:t>
      </w:r>
      <w:r>
        <w:rPr>
          <w:spacing w:val="-3"/>
        </w:rPr>
        <w:t> </w:t>
      </w:r>
      <w:r>
        <w:rPr/>
        <w:t>two main</w:t>
      </w:r>
      <w:r>
        <w:rPr>
          <w:spacing w:val="-3"/>
        </w:rPr>
        <w:t> </w:t>
      </w:r>
      <w:r>
        <w:rPr/>
        <w:t>sources</w:t>
      </w:r>
      <w:r>
        <w:rPr>
          <w:spacing w:val="-3"/>
        </w:rPr>
        <w:t> </w:t>
      </w:r>
      <w:r>
        <w:rPr/>
        <w:t>of</w:t>
      </w:r>
      <w:r>
        <w:rPr>
          <w:spacing w:val="-3"/>
        </w:rPr>
        <w:t> </w:t>
      </w:r>
      <w:r>
        <w:rPr/>
        <w:t>financing</w:t>
      </w:r>
      <w:r>
        <w:rPr>
          <w:spacing w:val="-2"/>
        </w:rPr>
        <w:t> </w:t>
      </w:r>
      <w:r>
        <w:rPr/>
        <w:t>for</w:t>
      </w:r>
      <w:r>
        <w:rPr>
          <w:spacing w:val="-2"/>
        </w:rPr>
        <w:t> </w:t>
      </w:r>
      <w:r>
        <w:rPr/>
        <w:t>NIO: short-term</w:t>
      </w:r>
      <w:r>
        <w:rPr>
          <w:spacing w:val="-11"/>
        </w:rPr>
        <w:t> </w:t>
      </w:r>
      <w:r>
        <w:rPr/>
        <w:t>and</w:t>
      </w:r>
      <w:r>
        <w:rPr>
          <w:spacing w:val="-3"/>
        </w:rPr>
        <w:t> </w:t>
      </w:r>
      <w:r>
        <w:rPr/>
        <w:t>long-term.</w:t>
      </w:r>
      <w:r>
        <w:rPr>
          <w:spacing w:val="-7"/>
        </w:rPr>
        <w:t> </w:t>
      </w:r>
      <w:r>
        <w:rPr/>
        <w:t>Trade</w:t>
      </w:r>
      <w:r>
        <w:rPr>
          <w:spacing w:val="-3"/>
        </w:rPr>
        <w:t> </w:t>
      </w:r>
      <w:r>
        <w:rPr/>
        <w:t>credit, short-term borrowings, working-capital facilities and the utilisation of supplier payment terms</w:t>
      </w:r>
      <w:r>
        <w:rPr>
          <w:spacing w:val="-6"/>
        </w:rPr>
        <w:t> </w:t>
      </w:r>
      <w:r>
        <w:rPr/>
        <w:t>are</w:t>
      </w:r>
      <w:r>
        <w:rPr>
          <w:spacing w:val="-5"/>
        </w:rPr>
        <w:t> </w:t>
      </w:r>
      <w:r>
        <w:rPr/>
        <w:t>all</w:t>
      </w:r>
      <w:r>
        <w:rPr>
          <w:spacing w:val="-7"/>
        </w:rPr>
        <w:t> </w:t>
      </w:r>
      <w:r>
        <w:rPr/>
        <w:t>included</w:t>
      </w:r>
      <w:r>
        <w:rPr>
          <w:spacing w:val="-10"/>
        </w:rPr>
        <w:t> </w:t>
      </w:r>
      <w:r>
        <w:rPr/>
        <w:t>in</w:t>
      </w:r>
      <w:r>
        <w:rPr>
          <w:spacing w:val="-5"/>
        </w:rPr>
        <w:t> </w:t>
      </w:r>
      <w:r>
        <w:rPr/>
        <w:t>short-term</w:t>
      </w:r>
      <w:r>
        <w:rPr>
          <w:spacing w:val="-14"/>
        </w:rPr>
        <w:t> </w:t>
      </w:r>
      <w:r>
        <w:rPr/>
        <w:t>financing,</w:t>
      </w:r>
      <w:r>
        <w:rPr>
          <w:spacing w:val="-15"/>
        </w:rPr>
        <w:t> </w:t>
      </w:r>
      <w:r>
        <w:rPr/>
        <w:t>which</w:t>
      </w:r>
      <w:r>
        <w:rPr>
          <w:spacing w:val="-5"/>
        </w:rPr>
        <w:t> </w:t>
      </w:r>
      <w:r>
        <w:rPr/>
        <w:t>already</w:t>
      </w:r>
      <w:r>
        <w:rPr>
          <w:spacing w:val="-11"/>
        </w:rPr>
        <w:t> </w:t>
      </w:r>
      <w:r>
        <w:rPr/>
        <w:t>plays</w:t>
      </w:r>
      <w:r>
        <w:rPr>
          <w:spacing w:val="-6"/>
        </w:rPr>
        <w:t> </w:t>
      </w:r>
      <w:r>
        <w:rPr/>
        <w:t>a</w:t>
      </w:r>
      <w:r>
        <w:rPr>
          <w:spacing w:val="-10"/>
        </w:rPr>
        <w:t> </w:t>
      </w:r>
      <w:r>
        <w:rPr/>
        <w:t>significant</w:t>
      </w:r>
      <w:r>
        <w:rPr>
          <w:spacing w:val="-10"/>
        </w:rPr>
        <w:t> </w:t>
      </w:r>
      <w:r>
        <w:rPr/>
        <w:t>role</w:t>
      </w:r>
      <w:r>
        <w:rPr>
          <w:spacing w:val="-10"/>
        </w:rPr>
        <w:t> </w:t>
      </w:r>
      <w:r>
        <w:rPr/>
        <w:t>within the</w:t>
      </w:r>
      <w:r>
        <w:rPr>
          <w:spacing w:val="-3"/>
        </w:rPr>
        <w:t> </w:t>
      </w:r>
      <w:r>
        <w:rPr/>
        <w:t>operating</w:t>
      </w:r>
      <w:r>
        <w:rPr>
          <w:spacing w:val="-3"/>
        </w:rPr>
        <w:t> </w:t>
      </w:r>
      <w:r>
        <w:rPr/>
        <w:t>model of</w:t>
      </w:r>
      <w:r>
        <w:rPr>
          <w:spacing w:val="-3"/>
        </w:rPr>
        <w:t> </w:t>
      </w:r>
      <w:r>
        <w:rPr/>
        <w:t>NIO (Gandhi,</w:t>
      </w:r>
      <w:r>
        <w:rPr>
          <w:spacing w:val="-7"/>
        </w:rPr>
        <w:t> </w:t>
      </w:r>
      <w:r>
        <w:rPr/>
        <w:t>2025).</w:t>
      </w:r>
      <w:r>
        <w:rPr>
          <w:spacing w:val="-7"/>
        </w:rPr>
        <w:t> </w:t>
      </w:r>
      <w:r>
        <w:rPr/>
        <w:t>The</w:t>
      </w:r>
      <w:r>
        <w:rPr>
          <w:spacing w:val="-3"/>
        </w:rPr>
        <w:t> </w:t>
      </w:r>
      <w:r>
        <w:rPr/>
        <w:t>options</w:t>
      </w:r>
      <w:r>
        <w:rPr>
          <w:spacing w:val="-3"/>
        </w:rPr>
        <w:t> </w:t>
      </w:r>
      <w:r>
        <w:rPr/>
        <w:t>come</w:t>
      </w:r>
      <w:r>
        <w:rPr>
          <w:spacing w:val="-3"/>
        </w:rPr>
        <w:t> </w:t>
      </w:r>
      <w:r>
        <w:rPr/>
        <w:t>in</w:t>
      </w:r>
      <w:r>
        <w:rPr>
          <w:spacing w:val="-3"/>
        </w:rPr>
        <w:t> </w:t>
      </w:r>
      <w:r>
        <w:rPr/>
        <w:t>handy</w:t>
      </w:r>
      <w:r>
        <w:rPr>
          <w:spacing w:val="-3"/>
        </w:rPr>
        <w:t> </w:t>
      </w:r>
      <w:r>
        <w:rPr/>
        <w:t>when</w:t>
      </w:r>
      <w:r>
        <w:rPr>
          <w:spacing w:val="-3"/>
        </w:rPr>
        <w:t> </w:t>
      </w:r>
      <w:r>
        <w:rPr/>
        <w:t>one</w:t>
      </w:r>
      <w:r>
        <w:rPr>
          <w:spacing w:val="-3"/>
        </w:rPr>
        <w:t> </w:t>
      </w:r>
      <w:r>
        <w:rPr/>
        <w:t>wants flexibility; however, these options may increase refinancing risk and strain when the market environment deteriorates. Temporary or seasonal requirements are well taken care of by short-term finance, but not long-term structural losses.</w:t>
      </w:r>
    </w:p>
    <w:p>
      <w:pPr>
        <w:pStyle w:val="BodyText"/>
        <w:spacing w:after="0" w:line="360" w:lineRule="auto"/>
        <w:jc w:val="both"/>
        <w:sectPr>
          <w:pgSz w:w="12240" w:h="15840"/>
          <w:pgMar w:header="0" w:footer="1051" w:top="1360" w:bottom="1240" w:left="1440" w:right="1080"/>
        </w:sectPr>
      </w:pPr>
    </w:p>
    <w:p>
      <w:pPr>
        <w:pStyle w:val="BodyText"/>
        <w:spacing w:line="360" w:lineRule="auto" w:before="76"/>
        <w:ind w:right="356"/>
        <w:jc w:val="both"/>
      </w:pPr>
      <w:r>
        <w:rPr/>
        <w:t>Sustaining</w:t>
      </w:r>
      <w:r>
        <w:rPr>
          <w:spacing w:val="-7"/>
        </w:rPr>
        <w:t> </w:t>
      </w:r>
      <w:r>
        <w:rPr/>
        <w:t>expansion,</w:t>
      </w:r>
      <w:r>
        <w:rPr>
          <w:spacing w:val="-7"/>
        </w:rPr>
        <w:t> </w:t>
      </w:r>
      <w:r>
        <w:rPr/>
        <w:t>investment</w:t>
      </w:r>
      <w:r>
        <w:rPr>
          <w:spacing w:val="-7"/>
        </w:rPr>
        <w:t> </w:t>
      </w:r>
      <w:r>
        <w:rPr/>
        <w:t>in</w:t>
      </w:r>
      <w:r>
        <w:rPr>
          <w:spacing w:val="-7"/>
        </w:rPr>
        <w:t> </w:t>
      </w:r>
      <w:r>
        <w:rPr/>
        <w:t>plants,</w:t>
      </w:r>
      <w:r>
        <w:rPr>
          <w:spacing w:val="-7"/>
        </w:rPr>
        <w:t> </w:t>
      </w:r>
      <w:r>
        <w:rPr/>
        <w:t>battery</w:t>
      </w:r>
      <w:r>
        <w:rPr>
          <w:spacing w:val="-8"/>
        </w:rPr>
        <w:t> </w:t>
      </w:r>
      <w:r>
        <w:rPr/>
        <w:t>development</w:t>
      </w:r>
      <w:r>
        <w:rPr>
          <w:spacing w:val="-7"/>
        </w:rPr>
        <w:t> </w:t>
      </w:r>
      <w:r>
        <w:rPr/>
        <w:t>and</w:t>
      </w:r>
      <w:r>
        <w:rPr>
          <w:spacing w:val="-7"/>
        </w:rPr>
        <w:t> </w:t>
      </w:r>
      <w:r>
        <w:rPr/>
        <w:t>platform,</w:t>
      </w:r>
      <w:r>
        <w:rPr>
          <w:spacing w:val="-7"/>
        </w:rPr>
        <w:t> </w:t>
      </w:r>
      <w:r>
        <w:rPr/>
        <w:t>and</w:t>
      </w:r>
      <w:r>
        <w:rPr>
          <w:spacing w:val="-7"/>
        </w:rPr>
        <w:t> </w:t>
      </w:r>
      <w:r>
        <w:rPr/>
        <w:t>other development should be funded using long-term financing. Historically, NIO has been using</w:t>
      </w:r>
      <w:r>
        <w:rPr>
          <w:spacing w:val="-12"/>
        </w:rPr>
        <w:t> </w:t>
      </w:r>
      <w:r>
        <w:rPr/>
        <w:t>equity</w:t>
      </w:r>
      <w:r>
        <w:rPr>
          <w:spacing w:val="-12"/>
        </w:rPr>
        <w:t> </w:t>
      </w:r>
      <w:r>
        <w:rPr/>
        <w:t>issues,</w:t>
      </w:r>
      <w:r>
        <w:rPr>
          <w:spacing w:val="-7"/>
        </w:rPr>
        <w:t> </w:t>
      </w:r>
      <w:r>
        <w:rPr/>
        <w:t>convertible</w:t>
      </w:r>
      <w:r>
        <w:rPr>
          <w:spacing w:val="-12"/>
        </w:rPr>
        <w:t> </w:t>
      </w:r>
      <w:r>
        <w:rPr/>
        <w:t>notes,</w:t>
      </w:r>
      <w:r>
        <w:rPr>
          <w:spacing w:val="-12"/>
        </w:rPr>
        <w:t> </w:t>
      </w:r>
      <w:r>
        <w:rPr/>
        <w:t>and</w:t>
      </w:r>
      <w:r>
        <w:rPr>
          <w:spacing w:val="-12"/>
        </w:rPr>
        <w:t> </w:t>
      </w:r>
      <w:r>
        <w:rPr/>
        <w:t>related-party</w:t>
      </w:r>
      <w:r>
        <w:rPr>
          <w:spacing w:val="-7"/>
        </w:rPr>
        <w:t> </w:t>
      </w:r>
      <w:r>
        <w:rPr/>
        <w:t>funding</w:t>
      </w:r>
      <w:r>
        <w:rPr>
          <w:spacing w:val="-12"/>
        </w:rPr>
        <w:t> </w:t>
      </w:r>
      <w:r>
        <w:rPr/>
        <w:t>and</w:t>
      </w:r>
      <w:r>
        <w:rPr>
          <w:spacing w:val="-7"/>
        </w:rPr>
        <w:t> </w:t>
      </w:r>
      <w:r>
        <w:rPr/>
        <w:t>other</w:t>
      </w:r>
      <w:r>
        <w:rPr>
          <w:spacing w:val="-6"/>
        </w:rPr>
        <w:t> </w:t>
      </w:r>
      <w:r>
        <w:rPr/>
        <w:t>capital</w:t>
      </w:r>
      <w:r>
        <w:rPr>
          <w:spacing w:val="-4"/>
        </w:rPr>
        <w:t> </w:t>
      </w:r>
      <w:r>
        <w:rPr/>
        <w:t>market deals, which offer support over a longer period but may dilute or increase leverage (Ngema</w:t>
      </w:r>
      <w:r>
        <w:rPr>
          <w:spacing w:val="-8"/>
        </w:rPr>
        <w:t> </w:t>
      </w:r>
      <w:r>
        <w:rPr/>
        <w:t>and</w:t>
      </w:r>
      <w:r>
        <w:rPr>
          <w:spacing w:val="-8"/>
        </w:rPr>
        <w:t> </w:t>
      </w:r>
      <w:r>
        <w:rPr/>
        <w:t>Chauke,</w:t>
      </w:r>
      <w:r>
        <w:rPr>
          <w:spacing w:val="-8"/>
        </w:rPr>
        <w:t> </w:t>
      </w:r>
      <w:r>
        <w:rPr/>
        <w:t>2026).</w:t>
      </w:r>
      <w:r>
        <w:rPr>
          <w:spacing w:val="-8"/>
        </w:rPr>
        <w:t> </w:t>
      </w:r>
      <w:r>
        <w:rPr/>
        <w:t>Since</w:t>
      </w:r>
      <w:r>
        <w:rPr>
          <w:spacing w:val="-12"/>
        </w:rPr>
        <w:t> </w:t>
      </w:r>
      <w:r>
        <w:rPr/>
        <w:t>it</w:t>
      </w:r>
      <w:r>
        <w:rPr>
          <w:spacing w:val="-12"/>
        </w:rPr>
        <w:t> </w:t>
      </w:r>
      <w:r>
        <w:rPr/>
        <w:t>is</w:t>
      </w:r>
      <w:r>
        <w:rPr>
          <w:spacing w:val="-9"/>
        </w:rPr>
        <w:t> </w:t>
      </w:r>
      <w:r>
        <w:rPr/>
        <w:t>a</w:t>
      </w:r>
      <w:r>
        <w:rPr>
          <w:spacing w:val="-8"/>
        </w:rPr>
        <w:t> </w:t>
      </w:r>
      <w:r>
        <w:rPr/>
        <w:t>capital-intensive</w:t>
      </w:r>
      <w:r>
        <w:rPr>
          <w:spacing w:val="-8"/>
        </w:rPr>
        <w:t> </w:t>
      </w:r>
      <w:r>
        <w:rPr/>
        <w:t>company,</w:t>
      </w:r>
      <w:r>
        <w:rPr>
          <w:spacing w:val="-8"/>
        </w:rPr>
        <w:t> </w:t>
      </w:r>
      <w:r>
        <w:rPr/>
        <w:t>strategic</w:t>
      </w:r>
      <w:r>
        <w:rPr>
          <w:spacing w:val="-13"/>
        </w:rPr>
        <w:t> </w:t>
      </w:r>
      <w:r>
        <w:rPr/>
        <w:t>investment should be financed over the long term, whereas operating liquidity should be financed over</w:t>
      </w:r>
      <w:r>
        <w:rPr>
          <w:spacing w:val="-17"/>
        </w:rPr>
        <w:t> </w:t>
      </w:r>
      <w:r>
        <w:rPr/>
        <w:t>the</w:t>
      </w:r>
      <w:r>
        <w:rPr>
          <w:spacing w:val="-16"/>
        </w:rPr>
        <w:t> </w:t>
      </w:r>
      <w:r>
        <w:rPr/>
        <w:t>short</w:t>
      </w:r>
      <w:r>
        <w:rPr>
          <w:spacing w:val="-15"/>
        </w:rPr>
        <w:t> </w:t>
      </w:r>
      <w:r>
        <w:rPr/>
        <w:t>term.</w:t>
      </w:r>
      <w:r>
        <w:rPr>
          <w:spacing w:val="-15"/>
        </w:rPr>
        <w:t> </w:t>
      </w:r>
      <w:r>
        <w:rPr/>
        <w:t>The</w:t>
      </w:r>
      <w:r>
        <w:rPr>
          <w:spacing w:val="-15"/>
        </w:rPr>
        <w:t> </w:t>
      </w:r>
      <w:r>
        <w:rPr/>
        <w:t>most</w:t>
      </w:r>
      <w:r>
        <w:rPr>
          <w:spacing w:val="-15"/>
        </w:rPr>
        <w:t> </w:t>
      </w:r>
      <w:r>
        <w:rPr/>
        <w:t>sensible</w:t>
      </w:r>
      <w:r>
        <w:rPr>
          <w:spacing w:val="-15"/>
        </w:rPr>
        <w:t> </w:t>
      </w:r>
      <w:r>
        <w:rPr/>
        <w:t>balance</w:t>
      </w:r>
      <w:r>
        <w:rPr>
          <w:spacing w:val="-17"/>
        </w:rPr>
        <w:t> </w:t>
      </w:r>
      <w:r>
        <w:rPr/>
        <w:t>in</w:t>
      </w:r>
      <w:r>
        <w:rPr>
          <w:spacing w:val="-15"/>
        </w:rPr>
        <w:t> </w:t>
      </w:r>
      <w:r>
        <w:rPr/>
        <w:t>practice</w:t>
      </w:r>
      <w:r>
        <w:rPr>
          <w:spacing w:val="-17"/>
        </w:rPr>
        <w:t> </w:t>
      </w:r>
      <w:r>
        <w:rPr/>
        <w:t>is</w:t>
      </w:r>
      <w:r>
        <w:rPr>
          <w:spacing w:val="-15"/>
        </w:rPr>
        <w:t> </w:t>
      </w:r>
      <w:r>
        <w:rPr/>
        <w:t>probably</w:t>
      </w:r>
      <w:r>
        <w:rPr>
          <w:spacing w:val="-15"/>
        </w:rPr>
        <w:t> </w:t>
      </w:r>
      <w:r>
        <w:rPr/>
        <w:t>to</w:t>
      </w:r>
      <w:r>
        <w:rPr>
          <w:spacing w:val="-14"/>
        </w:rPr>
        <w:t> </w:t>
      </w:r>
      <w:r>
        <w:rPr/>
        <w:t>be</w:t>
      </w:r>
      <w:r>
        <w:rPr>
          <w:spacing w:val="-15"/>
        </w:rPr>
        <w:t> </w:t>
      </w:r>
      <w:r>
        <w:rPr/>
        <w:t>a</w:t>
      </w:r>
      <w:r>
        <w:rPr>
          <w:spacing w:val="-15"/>
        </w:rPr>
        <w:t> </w:t>
      </w:r>
      <w:r>
        <w:rPr/>
        <w:t>combination of the two: short-term credit to work capital, and long-term equity or convertible debt to growth and capacity expansion (Gandhi, 2025).</w:t>
      </w:r>
    </w:p>
    <w:p>
      <w:pPr>
        <w:pStyle w:val="BodyText"/>
        <w:spacing w:after="0" w:line="360" w:lineRule="auto"/>
        <w:jc w:val="both"/>
        <w:sectPr>
          <w:pgSz w:w="12240" w:h="15840"/>
          <w:pgMar w:header="0" w:footer="1051" w:top="1360" w:bottom="1240" w:left="1440" w:right="1080"/>
        </w:sectPr>
      </w:pPr>
    </w:p>
    <w:p>
      <w:pPr>
        <w:pStyle w:val="Heading2"/>
        <w:numPr>
          <w:ilvl w:val="1"/>
          <w:numId w:val="3"/>
        </w:numPr>
        <w:tabs>
          <w:tab w:pos="400" w:val="left" w:leader="none"/>
        </w:tabs>
        <w:spacing w:line="240" w:lineRule="auto" w:before="71" w:after="0"/>
        <w:ind w:left="400" w:right="0" w:hanging="400"/>
        <w:jc w:val="left"/>
      </w:pPr>
      <w:bookmarkStart w:name="3.5 Strategic Recommendations" w:id="35"/>
      <w:bookmarkEnd w:id="35"/>
      <w:r>
        <w:rPr>
          <w:b w:val="0"/>
        </w:rPr>
      </w:r>
      <w:bookmarkStart w:name="_bookmark17" w:id="36"/>
      <w:bookmarkEnd w:id="36"/>
      <w:r>
        <w:rPr>
          <w:b w:val="0"/>
        </w:rPr>
      </w:r>
      <w:r>
        <w:rPr/>
        <w:t>Strategic</w:t>
      </w:r>
      <w:r>
        <w:rPr>
          <w:spacing w:val="-7"/>
        </w:rPr>
        <w:t> </w:t>
      </w:r>
      <w:r>
        <w:rPr>
          <w:spacing w:val="-2"/>
        </w:rPr>
        <w:t>Recommendations</w:t>
      </w:r>
    </w:p>
    <w:p>
      <w:pPr>
        <w:pStyle w:val="BodyText"/>
        <w:spacing w:line="362" w:lineRule="auto" w:before="223"/>
        <w:ind w:right="351"/>
        <w:jc w:val="both"/>
      </w:pPr>
      <w:r>
        <w:rPr/>
        <w:t>The</w:t>
      </w:r>
      <w:r>
        <w:rPr>
          <w:spacing w:val="-7"/>
        </w:rPr>
        <w:t> </w:t>
      </w:r>
      <w:r>
        <w:rPr/>
        <w:t>initial step</w:t>
      </w:r>
      <w:r>
        <w:rPr>
          <w:spacing w:val="-3"/>
        </w:rPr>
        <w:t> </w:t>
      </w:r>
      <w:r>
        <w:rPr/>
        <w:t>that</w:t>
      </w:r>
      <w:r>
        <w:rPr>
          <w:spacing w:val="-3"/>
        </w:rPr>
        <w:t> </w:t>
      </w:r>
      <w:r>
        <w:rPr/>
        <w:t>NIO</w:t>
      </w:r>
      <w:r>
        <w:rPr>
          <w:spacing w:val="-3"/>
        </w:rPr>
        <w:t> </w:t>
      </w:r>
      <w:r>
        <w:rPr/>
        <w:t>must</w:t>
      </w:r>
      <w:r>
        <w:rPr>
          <w:spacing w:val="-3"/>
        </w:rPr>
        <w:t> </w:t>
      </w:r>
      <w:r>
        <w:rPr/>
        <w:t>undertake</w:t>
      </w:r>
      <w:r>
        <w:rPr>
          <w:spacing w:val="-7"/>
        </w:rPr>
        <w:t> </w:t>
      </w:r>
      <w:r>
        <w:rPr/>
        <w:t>to</w:t>
      </w:r>
      <w:r>
        <w:rPr>
          <w:spacing w:val="-7"/>
        </w:rPr>
        <w:t> </w:t>
      </w:r>
      <w:r>
        <w:rPr/>
        <w:t>ensure</w:t>
      </w:r>
      <w:r>
        <w:rPr>
          <w:spacing w:val="-7"/>
        </w:rPr>
        <w:t> </w:t>
      </w:r>
      <w:r>
        <w:rPr/>
        <w:t>liquidity</w:t>
      </w:r>
      <w:r>
        <w:rPr>
          <w:spacing w:val="-3"/>
        </w:rPr>
        <w:t> </w:t>
      </w:r>
      <w:r>
        <w:rPr/>
        <w:t>protection</w:t>
      </w:r>
      <w:r>
        <w:rPr>
          <w:spacing w:val="-7"/>
        </w:rPr>
        <w:t> </w:t>
      </w:r>
      <w:r>
        <w:rPr/>
        <w:t>is</w:t>
      </w:r>
      <w:r>
        <w:rPr>
          <w:spacing w:val="-8"/>
        </w:rPr>
        <w:t> </w:t>
      </w:r>
      <w:r>
        <w:rPr/>
        <w:t>to</w:t>
      </w:r>
      <w:r>
        <w:rPr>
          <w:spacing w:val="-7"/>
        </w:rPr>
        <w:t> </w:t>
      </w:r>
      <w:r>
        <w:rPr/>
        <w:t>strengthen</w:t>
      </w:r>
      <w:r>
        <w:rPr>
          <w:spacing w:val="-7"/>
        </w:rPr>
        <w:t> </w:t>
      </w:r>
      <w:r>
        <w:rPr/>
        <w:t>the working-capital discipline, particularly by controlling the growth of the inventory and maintaining control over the receivables. It must also minimise short-term borrowing where possible, as the existing liability structure allows only a few mistakes (Gandhi, </w:t>
      </w:r>
      <w:r>
        <w:rPr>
          <w:spacing w:val="-2"/>
        </w:rPr>
        <w:t>2025).</w:t>
      </w:r>
    </w:p>
    <w:p>
      <w:pPr>
        <w:pStyle w:val="BodyText"/>
        <w:spacing w:line="362" w:lineRule="auto" w:before="145"/>
        <w:ind w:right="350"/>
        <w:jc w:val="both"/>
      </w:pPr>
      <w:r>
        <w:rPr/>
        <w:t>Second,</w:t>
      </w:r>
      <w:r>
        <w:rPr>
          <w:spacing w:val="-11"/>
        </w:rPr>
        <w:t> </w:t>
      </w:r>
      <w:r>
        <w:rPr/>
        <w:t>NIO</w:t>
      </w:r>
      <w:r>
        <w:rPr>
          <w:spacing w:val="-11"/>
        </w:rPr>
        <w:t> </w:t>
      </w:r>
      <w:r>
        <w:rPr/>
        <w:t>needs</w:t>
      </w:r>
      <w:r>
        <w:rPr>
          <w:spacing w:val="-12"/>
        </w:rPr>
        <w:t> </w:t>
      </w:r>
      <w:r>
        <w:rPr/>
        <w:t>to</w:t>
      </w:r>
      <w:r>
        <w:rPr>
          <w:spacing w:val="-10"/>
        </w:rPr>
        <w:t> </w:t>
      </w:r>
      <w:r>
        <w:rPr/>
        <w:t>focus</w:t>
      </w:r>
      <w:r>
        <w:rPr>
          <w:spacing w:val="-12"/>
        </w:rPr>
        <w:t> </w:t>
      </w:r>
      <w:r>
        <w:rPr/>
        <w:t>on</w:t>
      </w:r>
      <w:r>
        <w:rPr>
          <w:spacing w:val="-11"/>
        </w:rPr>
        <w:t> </w:t>
      </w:r>
      <w:r>
        <w:rPr/>
        <w:t>products</w:t>
      </w:r>
      <w:r>
        <w:rPr>
          <w:spacing w:val="-11"/>
        </w:rPr>
        <w:t> </w:t>
      </w:r>
      <w:r>
        <w:rPr/>
        <w:t>and</w:t>
      </w:r>
      <w:r>
        <w:rPr>
          <w:spacing w:val="-16"/>
        </w:rPr>
        <w:t> </w:t>
      </w:r>
      <w:r>
        <w:rPr/>
        <w:t>markets</w:t>
      </w:r>
      <w:r>
        <w:rPr>
          <w:spacing w:val="-11"/>
        </w:rPr>
        <w:t> </w:t>
      </w:r>
      <w:r>
        <w:rPr/>
        <w:t>that</w:t>
      </w:r>
      <w:r>
        <w:rPr>
          <w:spacing w:val="-2"/>
        </w:rPr>
        <w:t> </w:t>
      </w:r>
      <w:r>
        <w:rPr/>
        <w:t>increase</w:t>
      </w:r>
      <w:r>
        <w:rPr>
          <w:spacing w:val="-11"/>
        </w:rPr>
        <w:t> </w:t>
      </w:r>
      <w:r>
        <w:rPr/>
        <w:t>the</w:t>
      </w:r>
      <w:r>
        <w:rPr>
          <w:spacing w:val="-11"/>
        </w:rPr>
        <w:t> </w:t>
      </w:r>
      <w:r>
        <w:rPr/>
        <w:t>gross</w:t>
      </w:r>
      <w:r>
        <w:rPr>
          <w:spacing w:val="-12"/>
        </w:rPr>
        <w:t> </w:t>
      </w:r>
      <w:r>
        <w:rPr/>
        <w:t>margin</w:t>
      </w:r>
      <w:r>
        <w:rPr>
          <w:spacing w:val="-11"/>
        </w:rPr>
        <w:t> </w:t>
      </w:r>
      <w:r>
        <w:rPr/>
        <w:t>and shorten the road to operating profitability instead of pursuing growth that increases the volume</w:t>
      </w:r>
      <w:r>
        <w:rPr>
          <w:spacing w:val="-2"/>
        </w:rPr>
        <w:t> </w:t>
      </w:r>
      <w:r>
        <w:rPr/>
        <w:t>without</w:t>
      </w:r>
      <w:r>
        <w:rPr>
          <w:spacing w:val="-6"/>
        </w:rPr>
        <w:t> </w:t>
      </w:r>
      <w:r>
        <w:rPr/>
        <w:t>a</w:t>
      </w:r>
      <w:r>
        <w:rPr>
          <w:spacing w:val="-2"/>
        </w:rPr>
        <w:t> </w:t>
      </w:r>
      <w:r>
        <w:rPr/>
        <w:t>sufficient</w:t>
      </w:r>
      <w:r>
        <w:rPr>
          <w:spacing w:val="-2"/>
        </w:rPr>
        <w:t> </w:t>
      </w:r>
      <w:r>
        <w:rPr/>
        <w:t>payback</w:t>
      </w:r>
      <w:r>
        <w:rPr>
          <w:spacing w:val="-1"/>
        </w:rPr>
        <w:t> </w:t>
      </w:r>
      <w:r>
        <w:rPr/>
        <w:t>(Gandhi,</w:t>
      </w:r>
      <w:r>
        <w:rPr>
          <w:spacing w:val="-6"/>
        </w:rPr>
        <w:t> </w:t>
      </w:r>
      <w:r>
        <w:rPr/>
        <w:t>2025).</w:t>
      </w:r>
      <w:r>
        <w:rPr>
          <w:spacing w:val="-11"/>
        </w:rPr>
        <w:t> </w:t>
      </w:r>
      <w:r>
        <w:rPr/>
        <w:t>This</w:t>
      </w:r>
      <w:r>
        <w:rPr>
          <w:spacing w:val="-12"/>
        </w:rPr>
        <w:t> </w:t>
      </w:r>
      <w:r>
        <w:rPr/>
        <w:t>is</w:t>
      </w:r>
      <w:r>
        <w:rPr>
          <w:spacing w:val="-7"/>
        </w:rPr>
        <w:t> </w:t>
      </w:r>
      <w:r>
        <w:rPr/>
        <w:t>important</w:t>
      </w:r>
      <w:r>
        <w:rPr>
          <w:spacing w:val="-2"/>
        </w:rPr>
        <w:t> </w:t>
      </w:r>
      <w:r>
        <w:rPr/>
        <w:t>since</w:t>
      </w:r>
      <w:r>
        <w:rPr>
          <w:spacing w:val="-2"/>
        </w:rPr>
        <w:t> </w:t>
      </w:r>
      <w:r>
        <w:rPr/>
        <w:t>the</w:t>
      </w:r>
      <w:r>
        <w:rPr>
          <w:spacing w:val="-5"/>
        </w:rPr>
        <w:t> </w:t>
      </w:r>
      <w:r>
        <w:rPr/>
        <w:t>ROCE</w:t>
      </w:r>
      <w:r>
        <w:rPr>
          <w:spacing w:val="-5"/>
        </w:rPr>
        <w:t> </w:t>
      </w:r>
      <w:r>
        <w:rPr/>
        <w:t>of the company is negative and its capital base is huge.</w:t>
      </w:r>
    </w:p>
    <w:p>
      <w:pPr>
        <w:pStyle w:val="BodyText"/>
        <w:spacing w:line="360" w:lineRule="auto" w:before="153"/>
        <w:ind w:right="351"/>
        <w:jc w:val="both"/>
      </w:pPr>
      <w:r>
        <w:rPr/>
        <w:t>Third, long-term investment must be aligned to long-life assets like manufacturing capacity,</w:t>
      </w:r>
      <w:r>
        <w:rPr>
          <w:spacing w:val="-8"/>
        </w:rPr>
        <w:t> </w:t>
      </w:r>
      <w:r>
        <w:rPr/>
        <w:t>battery</w:t>
      </w:r>
      <w:r>
        <w:rPr>
          <w:spacing w:val="-9"/>
        </w:rPr>
        <w:t> </w:t>
      </w:r>
      <w:r>
        <w:rPr/>
        <w:t>infrastructure</w:t>
      </w:r>
      <w:r>
        <w:rPr>
          <w:spacing w:val="-8"/>
        </w:rPr>
        <w:t> </w:t>
      </w:r>
      <w:r>
        <w:rPr/>
        <w:t>and</w:t>
      </w:r>
      <w:r>
        <w:rPr>
          <w:spacing w:val="-8"/>
        </w:rPr>
        <w:t> </w:t>
      </w:r>
      <w:r>
        <w:rPr/>
        <w:t>technology</w:t>
      </w:r>
      <w:r>
        <w:rPr>
          <w:spacing w:val="-13"/>
        </w:rPr>
        <w:t> </w:t>
      </w:r>
      <w:r>
        <w:rPr/>
        <w:t>development</w:t>
      </w:r>
      <w:r>
        <w:rPr>
          <w:spacing w:val="-8"/>
        </w:rPr>
        <w:t> </w:t>
      </w:r>
      <w:r>
        <w:rPr/>
        <w:t>and</w:t>
      </w:r>
      <w:r>
        <w:rPr>
          <w:spacing w:val="-8"/>
        </w:rPr>
        <w:t> </w:t>
      </w:r>
      <w:r>
        <w:rPr/>
        <w:t>short-term</w:t>
      </w:r>
      <w:r>
        <w:rPr>
          <w:spacing w:val="-16"/>
        </w:rPr>
        <w:t> </w:t>
      </w:r>
      <w:r>
        <w:rPr/>
        <w:t>finance</w:t>
      </w:r>
      <w:r>
        <w:rPr>
          <w:spacing w:val="-8"/>
        </w:rPr>
        <w:t> </w:t>
      </w:r>
      <w:r>
        <w:rPr/>
        <w:t>to</w:t>
      </w:r>
      <w:r>
        <w:rPr>
          <w:spacing w:val="-11"/>
        </w:rPr>
        <w:t> </w:t>
      </w:r>
      <w:r>
        <w:rPr/>
        <w:t>be used in temporary working-capital requirements (Ngema &amp; Chauke, 2026). Such a combination mitigates the impact of refinancing and consumer asset life better matches financing.</w:t>
      </w:r>
      <w:r>
        <w:rPr>
          <w:spacing w:val="-17"/>
        </w:rPr>
        <w:t> </w:t>
      </w:r>
      <w:r>
        <w:rPr/>
        <w:t>All</w:t>
      </w:r>
      <w:r>
        <w:rPr>
          <w:spacing w:val="-17"/>
        </w:rPr>
        <w:t> </w:t>
      </w:r>
      <w:r>
        <w:rPr/>
        <w:t>in</w:t>
      </w:r>
      <w:r>
        <w:rPr>
          <w:spacing w:val="-16"/>
        </w:rPr>
        <w:t> </w:t>
      </w:r>
      <w:r>
        <w:rPr/>
        <w:t>all,</w:t>
      </w:r>
      <w:r>
        <w:rPr>
          <w:spacing w:val="-17"/>
        </w:rPr>
        <w:t> </w:t>
      </w:r>
      <w:r>
        <w:rPr/>
        <w:t>NIO</w:t>
      </w:r>
      <w:r>
        <w:rPr>
          <w:spacing w:val="-17"/>
        </w:rPr>
        <w:t> </w:t>
      </w:r>
      <w:r>
        <w:rPr/>
        <w:t>should</w:t>
      </w:r>
      <w:r>
        <w:rPr>
          <w:spacing w:val="-17"/>
        </w:rPr>
        <w:t> </w:t>
      </w:r>
      <w:r>
        <w:rPr/>
        <w:t>have</w:t>
      </w:r>
      <w:r>
        <w:rPr>
          <w:spacing w:val="-16"/>
        </w:rPr>
        <w:t> </w:t>
      </w:r>
      <w:r>
        <w:rPr/>
        <w:t>a</w:t>
      </w:r>
      <w:r>
        <w:rPr>
          <w:spacing w:val="-17"/>
        </w:rPr>
        <w:t> </w:t>
      </w:r>
      <w:r>
        <w:rPr/>
        <w:t>more</w:t>
      </w:r>
      <w:r>
        <w:rPr>
          <w:spacing w:val="-17"/>
        </w:rPr>
        <w:t> </w:t>
      </w:r>
      <w:r>
        <w:rPr/>
        <w:t>conservative</w:t>
      </w:r>
      <w:r>
        <w:rPr>
          <w:spacing w:val="-16"/>
        </w:rPr>
        <w:t> </w:t>
      </w:r>
      <w:r>
        <w:rPr/>
        <w:t>funding</w:t>
      </w:r>
      <w:r>
        <w:rPr>
          <w:spacing w:val="-17"/>
        </w:rPr>
        <w:t> </w:t>
      </w:r>
      <w:r>
        <w:rPr/>
        <w:t>mechanism</w:t>
      </w:r>
      <w:r>
        <w:rPr>
          <w:spacing w:val="-17"/>
        </w:rPr>
        <w:t> </w:t>
      </w:r>
      <w:r>
        <w:rPr/>
        <w:t>and</w:t>
      </w:r>
      <w:r>
        <w:rPr>
          <w:spacing w:val="-16"/>
        </w:rPr>
        <w:t> </w:t>
      </w:r>
      <w:r>
        <w:rPr/>
        <w:t>a</w:t>
      </w:r>
      <w:r>
        <w:rPr>
          <w:spacing w:val="-17"/>
        </w:rPr>
        <w:t> </w:t>
      </w:r>
      <w:r>
        <w:rPr/>
        <w:t>better emphasis on cash-generating growth.</w:t>
      </w:r>
    </w:p>
    <w:p>
      <w:pPr>
        <w:pStyle w:val="BodyText"/>
        <w:spacing w:after="0" w:line="360" w:lineRule="auto"/>
        <w:jc w:val="both"/>
        <w:sectPr>
          <w:pgSz w:w="12240" w:h="15840"/>
          <w:pgMar w:header="0" w:footer="1051" w:top="1360" w:bottom="1240" w:left="1440" w:right="1080"/>
        </w:sectPr>
      </w:pPr>
    </w:p>
    <w:p>
      <w:pPr>
        <w:pStyle w:val="Heading2"/>
        <w:numPr>
          <w:ilvl w:val="0"/>
          <w:numId w:val="3"/>
        </w:numPr>
        <w:tabs>
          <w:tab w:pos="266" w:val="left" w:leader="none"/>
        </w:tabs>
        <w:spacing w:line="240" w:lineRule="auto" w:before="71" w:after="0"/>
        <w:ind w:left="266" w:right="0" w:hanging="266"/>
        <w:jc w:val="left"/>
      </w:pPr>
      <w:bookmarkStart w:name="4. Financial Restructuring Strategy" w:id="37"/>
      <w:bookmarkEnd w:id="37"/>
      <w:r>
        <w:rPr>
          <w:b w:val="0"/>
        </w:rPr>
      </w:r>
      <w:bookmarkStart w:name="_bookmark18" w:id="38"/>
      <w:bookmarkEnd w:id="38"/>
      <w:r>
        <w:rPr>
          <w:b w:val="0"/>
        </w:rPr>
      </w:r>
      <w:r>
        <w:rPr/>
        <w:t>Financial</w:t>
      </w:r>
      <w:r>
        <w:rPr>
          <w:spacing w:val="-10"/>
        </w:rPr>
        <w:t> </w:t>
      </w:r>
      <w:r>
        <w:rPr/>
        <w:t>Restructuring</w:t>
      </w:r>
      <w:r>
        <w:rPr>
          <w:spacing w:val="-7"/>
        </w:rPr>
        <w:t> </w:t>
      </w:r>
      <w:r>
        <w:rPr>
          <w:spacing w:val="-2"/>
        </w:rPr>
        <w:t>Strategy</w:t>
      </w:r>
    </w:p>
    <w:p>
      <w:pPr>
        <w:pStyle w:val="BodyText"/>
        <w:spacing w:before="24"/>
        <w:rPr>
          <w:rFonts w:ascii="Arial"/>
          <w:b/>
        </w:rPr>
      </w:pPr>
    </w:p>
    <w:p>
      <w:pPr>
        <w:pStyle w:val="Heading2"/>
        <w:numPr>
          <w:ilvl w:val="1"/>
          <w:numId w:val="3"/>
        </w:numPr>
        <w:tabs>
          <w:tab w:pos="400" w:val="left" w:leader="none"/>
        </w:tabs>
        <w:spacing w:line="240" w:lineRule="auto" w:before="0" w:after="0"/>
        <w:ind w:left="400" w:right="0" w:hanging="400"/>
        <w:jc w:val="left"/>
      </w:pPr>
      <w:bookmarkStart w:name="4.1 Current Financial Issues" w:id="39"/>
      <w:bookmarkEnd w:id="39"/>
      <w:r>
        <w:rPr>
          <w:b w:val="0"/>
        </w:rPr>
      </w:r>
      <w:bookmarkStart w:name="_bookmark19" w:id="40"/>
      <w:bookmarkEnd w:id="40"/>
      <w:r>
        <w:rPr>
          <w:b w:val="0"/>
        </w:rPr>
      </w:r>
      <w:r>
        <w:rPr/>
        <w:t>Current</w:t>
      </w:r>
      <w:r>
        <w:rPr>
          <w:spacing w:val="-10"/>
        </w:rPr>
        <w:t> </w:t>
      </w:r>
      <w:r>
        <w:rPr/>
        <w:t>Financial</w:t>
      </w:r>
      <w:r>
        <w:rPr>
          <w:spacing w:val="-7"/>
        </w:rPr>
        <w:t> </w:t>
      </w:r>
      <w:r>
        <w:rPr>
          <w:spacing w:val="-2"/>
        </w:rPr>
        <w:t>Issues</w:t>
      </w:r>
    </w:p>
    <w:p>
      <w:pPr>
        <w:pStyle w:val="BodyText"/>
        <w:spacing w:line="362" w:lineRule="auto" w:before="219"/>
        <w:ind w:right="355"/>
        <w:jc w:val="both"/>
      </w:pPr>
      <w:r>
        <w:rPr/>
        <w:t>The</w:t>
      </w:r>
      <w:r>
        <w:rPr>
          <w:spacing w:val="-6"/>
        </w:rPr>
        <w:t> </w:t>
      </w:r>
      <w:r>
        <w:rPr/>
        <w:t>main</w:t>
      </w:r>
      <w:r>
        <w:rPr>
          <w:spacing w:val="-6"/>
        </w:rPr>
        <w:t> </w:t>
      </w:r>
      <w:r>
        <w:rPr/>
        <w:t>financial</w:t>
      </w:r>
      <w:r>
        <w:rPr>
          <w:spacing w:val="-7"/>
        </w:rPr>
        <w:t> </w:t>
      </w:r>
      <w:r>
        <w:rPr/>
        <w:t>issue</w:t>
      </w:r>
      <w:r>
        <w:rPr>
          <w:spacing w:val="-6"/>
        </w:rPr>
        <w:t> </w:t>
      </w:r>
      <w:r>
        <w:rPr/>
        <w:t>of</w:t>
      </w:r>
      <w:r>
        <w:rPr>
          <w:spacing w:val="-6"/>
        </w:rPr>
        <w:t> </w:t>
      </w:r>
      <w:r>
        <w:rPr/>
        <w:t>NIO</w:t>
      </w:r>
      <w:r>
        <w:rPr>
          <w:spacing w:val="-11"/>
        </w:rPr>
        <w:t> </w:t>
      </w:r>
      <w:r>
        <w:rPr/>
        <w:t>is</w:t>
      </w:r>
      <w:r>
        <w:rPr>
          <w:spacing w:val="-7"/>
        </w:rPr>
        <w:t> </w:t>
      </w:r>
      <w:r>
        <w:rPr/>
        <w:t>that</w:t>
      </w:r>
      <w:r>
        <w:rPr>
          <w:spacing w:val="-11"/>
        </w:rPr>
        <w:t> </w:t>
      </w:r>
      <w:r>
        <w:rPr/>
        <w:t>it</w:t>
      </w:r>
      <w:r>
        <w:rPr>
          <w:spacing w:val="-6"/>
        </w:rPr>
        <w:t> </w:t>
      </w:r>
      <w:r>
        <w:rPr/>
        <w:t>has</w:t>
      </w:r>
      <w:r>
        <w:rPr>
          <w:spacing w:val="-7"/>
        </w:rPr>
        <w:t> </w:t>
      </w:r>
      <w:r>
        <w:rPr/>
        <w:t>not</w:t>
      </w:r>
      <w:r>
        <w:rPr>
          <w:spacing w:val="-6"/>
        </w:rPr>
        <w:t> </w:t>
      </w:r>
      <w:r>
        <w:rPr/>
        <w:t>reached</w:t>
      </w:r>
      <w:r>
        <w:rPr>
          <w:spacing w:val="-6"/>
        </w:rPr>
        <w:t> </w:t>
      </w:r>
      <w:r>
        <w:rPr/>
        <w:t>sustainable</w:t>
      </w:r>
      <w:r>
        <w:rPr>
          <w:spacing w:val="-6"/>
        </w:rPr>
        <w:t> </w:t>
      </w:r>
      <w:r>
        <w:rPr/>
        <w:t>profitability,</w:t>
      </w:r>
      <w:r>
        <w:rPr>
          <w:spacing w:val="-6"/>
        </w:rPr>
        <w:t> </w:t>
      </w:r>
      <w:r>
        <w:rPr/>
        <w:t>even</w:t>
      </w:r>
      <w:r>
        <w:rPr>
          <w:spacing w:val="-6"/>
        </w:rPr>
        <w:t> </w:t>
      </w:r>
      <w:r>
        <w:rPr/>
        <w:t>in cases</w:t>
      </w:r>
      <w:r>
        <w:rPr>
          <w:spacing w:val="-13"/>
        </w:rPr>
        <w:t> </w:t>
      </w:r>
      <w:r>
        <w:rPr/>
        <w:t>where</w:t>
      </w:r>
      <w:r>
        <w:rPr>
          <w:spacing w:val="-12"/>
        </w:rPr>
        <w:t> </w:t>
      </w:r>
      <w:r>
        <w:rPr/>
        <w:t>revenue</w:t>
      </w:r>
      <w:r>
        <w:rPr>
          <w:spacing w:val="-12"/>
        </w:rPr>
        <w:t> </w:t>
      </w:r>
      <w:r>
        <w:rPr/>
        <w:t>has</w:t>
      </w:r>
      <w:r>
        <w:rPr>
          <w:spacing w:val="-13"/>
        </w:rPr>
        <w:t> </w:t>
      </w:r>
      <w:r>
        <w:rPr/>
        <w:t>increased</w:t>
      </w:r>
      <w:r>
        <w:rPr>
          <w:spacing w:val="-12"/>
        </w:rPr>
        <w:t> </w:t>
      </w:r>
      <w:r>
        <w:rPr/>
        <w:t>greatly.</w:t>
      </w:r>
      <w:r>
        <w:rPr>
          <w:spacing w:val="-12"/>
        </w:rPr>
        <w:t> </w:t>
      </w:r>
      <w:r>
        <w:rPr/>
        <w:t>In</w:t>
      </w:r>
      <w:r>
        <w:rPr>
          <w:spacing w:val="-15"/>
        </w:rPr>
        <w:t> </w:t>
      </w:r>
      <w:r>
        <w:rPr/>
        <w:t>2025,</w:t>
      </w:r>
      <w:r>
        <w:rPr>
          <w:spacing w:val="-12"/>
        </w:rPr>
        <w:t> </w:t>
      </w:r>
      <w:r>
        <w:rPr/>
        <w:t>the</w:t>
      </w:r>
      <w:r>
        <w:rPr>
          <w:spacing w:val="-12"/>
        </w:rPr>
        <w:t> </w:t>
      </w:r>
      <w:r>
        <w:rPr/>
        <w:t>company</w:t>
      </w:r>
      <w:r>
        <w:rPr>
          <w:spacing w:val="-13"/>
        </w:rPr>
        <w:t> </w:t>
      </w:r>
      <w:r>
        <w:rPr/>
        <w:t>had</w:t>
      </w:r>
      <w:r>
        <w:rPr>
          <w:spacing w:val="-12"/>
        </w:rPr>
        <w:t> </w:t>
      </w:r>
      <w:r>
        <w:rPr/>
        <w:t>a</w:t>
      </w:r>
      <w:r>
        <w:rPr>
          <w:spacing w:val="-12"/>
        </w:rPr>
        <w:t> </w:t>
      </w:r>
      <w:r>
        <w:rPr/>
        <w:t>net</w:t>
      </w:r>
      <w:r>
        <w:rPr>
          <w:spacing w:val="-12"/>
        </w:rPr>
        <w:t> </w:t>
      </w:r>
      <w:r>
        <w:rPr/>
        <w:t>loss</w:t>
      </w:r>
      <w:r>
        <w:rPr>
          <w:spacing w:val="-13"/>
        </w:rPr>
        <w:t> </w:t>
      </w:r>
      <w:r>
        <w:rPr/>
        <w:t>of</w:t>
      </w:r>
      <w:r>
        <w:rPr>
          <w:spacing w:val="-12"/>
        </w:rPr>
        <w:t> </w:t>
      </w:r>
      <w:r>
        <w:rPr/>
        <w:t>RMB</w:t>
      </w:r>
    </w:p>
    <w:p>
      <w:pPr>
        <w:pStyle w:val="BodyText"/>
        <w:spacing w:line="362" w:lineRule="auto"/>
        <w:ind w:right="358"/>
        <w:jc w:val="both"/>
      </w:pPr>
      <w:r>
        <w:rPr/>
        <w:t>14.9</w:t>
      </w:r>
      <w:r>
        <w:rPr>
          <w:spacing w:val="-7"/>
        </w:rPr>
        <w:t> </w:t>
      </w:r>
      <w:r>
        <w:rPr/>
        <w:t>billion,</w:t>
      </w:r>
      <w:r>
        <w:rPr>
          <w:spacing w:val="-10"/>
        </w:rPr>
        <w:t> </w:t>
      </w:r>
      <w:r>
        <w:rPr/>
        <w:t>indicating</w:t>
      </w:r>
      <w:r>
        <w:rPr>
          <w:spacing w:val="-12"/>
        </w:rPr>
        <w:t> </w:t>
      </w:r>
      <w:r>
        <w:rPr/>
        <w:t>that</w:t>
      </w:r>
      <w:r>
        <w:rPr>
          <w:spacing w:val="-17"/>
        </w:rPr>
        <w:t> </w:t>
      </w:r>
      <w:r>
        <w:rPr/>
        <w:t>it</w:t>
      </w:r>
      <w:r>
        <w:rPr>
          <w:spacing w:val="-12"/>
        </w:rPr>
        <w:t> </w:t>
      </w:r>
      <w:r>
        <w:rPr/>
        <w:t>is</w:t>
      </w:r>
      <w:r>
        <w:rPr>
          <w:spacing w:val="-13"/>
        </w:rPr>
        <w:t> </w:t>
      </w:r>
      <w:r>
        <w:rPr/>
        <w:t>still</w:t>
      </w:r>
      <w:r>
        <w:rPr>
          <w:spacing w:val="-5"/>
        </w:rPr>
        <w:t> </w:t>
      </w:r>
      <w:r>
        <w:rPr/>
        <w:t>dependent</w:t>
      </w:r>
      <w:r>
        <w:rPr>
          <w:spacing w:val="-12"/>
        </w:rPr>
        <w:t> </w:t>
      </w:r>
      <w:r>
        <w:rPr/>
        <w:t>on</w:t>
      </w:r>
      <w:r>
        <w:rPr>
          <w:spacing w:val="-7"/>
        </w:rPr>
        <w:t> </w:t>
      </w:r>
      <w:r>
        <w:rPr/>
        <w:t>external</w:t>
      </w:r>
      <w:r>
        <w:rPr>
          <w:spacing w:val="-8"/>
        </w:rPr>
        <w:t> </w:t>
      </w:r>
      <w:r>
        <w:rPr/>
        <w:t>funding,</w:t>
      </w:r>
      <w:r>
        <w:rPr>
          <w:spacing w:val="-12"/>
        </w:rPr>
        <w:t> </w:t>
      </w:r>
      <w:r>
        <w:rPr/>
        <w:t>not</w:t>
      </w:r>
      <w:r>
        <w:rPr>
          <w:spacing w:val="-12"/>
        </w:rPr>
        <w:t> </w:t>
      </w:r>
      <w:r>
        <w:rPr/>
        <w:t>to</w:t>
      </w:r>
      <w:r>
        <w:rPr>
          <w:spacing w:val="-7"/>
        </w:rPr>
        <w:t> </w:t>
      </w:r>
      <w:r>
        <w:rPr/>
        <w:t>mention</w:t>
      </w:r>
      <w:r>
        <w:rPr>
          <w:spacing w:val="-7"/>
        </w:rPr>
        <w:t> </w:t>
      </w:r>
      <w:r>
        <w:rPr/>
        <w:t>working capital,</w:t>
      </w:r>
      <w:r>
        <w:rPr>
          <w:spacing w:val="-7"/>
        </w:rPr>
        <w:t> </w:t>
      </w:r>
      <w:r>
        <w:rPr/>
        <w:t>to</w:t>
      </w:r>
      <w:r>
        <w:rPr>
          <w:spacing w:val="-11"/>
        </w:rPr>
        <w:t> </w:t>
      </w:r>
      <w:r>
        <w:rPr/>
        <w:t>run</w:t>
      </w:r>
      <w:r>
        <w:rPr>
          <w:spacing w:val="-7"/>
        </w:rPr>
        <w:t> </w:t>
      </w:r>
      <w:r>
        <w:rPr/>
        <w:t>the</w:t>
      </w:r>
      <w:r>
        <w:rPr>
          <w:spacing w:val="-11"/>
        </w:rPr>
        <w:t> </w:t>
      </w:r>
      <w:r>
        <w:rPr/>
        <w:t>business</w:t>
      </w:r>
      <w:r>
        <w:rPr>
          <w:spacing w:val="-12"/>
        </w:rPr>
        <w:t> </w:t>
      </w:r>
      <w:r>
        <w:rPr/>
        <w:t>(NIO,</w:t>
      </w:r>
      <w:r>
        <w:rPr>
          <w:spacing w:val="-11"/>
        </w:rPr>
        <w:t> </w:t>
      </w:r>
      <w:r>
        <w:rPr/>
        <w:t>2026).</w:t>
      </w:r>
      <w:r>
        <w:rPr>
          <w:spacing w:val="-16"/>
        </w:rPr>
        <w:t> </w:t>
      </w:r>
      <w:r>
        <w:rPr/>
        <w:t>This</w:t>
      </w:r>
      <w:r>
        <w:rPr>
          <w:spacing w:val="-12"/>
        </w:rPr>
        <w:t> </w:t>
      </w:r>
      <w:r>
        <w:rPr/>
        <w:t>places</w:t>
      </w:r>
      <w:r>
        <w:rPr>
          <w:spacing w:val="-12"/>
        </w:rPr>
        <w:t> </w:t>
      </w:r>
      <w:r>
        <w:rPr/>
        <w:t>a</w:t>
      </w:r>
      <w:r>
        <w:rPr>
          <w:spacing w:val="-11"/>
        </w:rPr>
        <w:t> </w:t>
      </w:r>
      <w:r>
        <w:rPr/>
        <w:t>strain</w:t>
      </w:r>
      <w:r>
        <w:rPr>
          <w:spacing w:val="-11"/>
        </w:rPr>
        <w:t> </w:t>
      </w:r>
      <w:r>
        <w:rPr/>
        <w:t>on</w:t>
      </w:r>
      <w:r>
        <w:rPr>
          <w:spacing w:val="-15"/>
        </w:rPr>
        <w:t> </w:t>
      </w:r>
      <w:r>
        <w:rPr/>
        <w:t>liquidity,</w:t>
      </w:r>
      <w:r>
        <w:rPr>
          <w:spacing w:val="-11"/>
        </w:rPr>
        <w:t> </w:t>
      </w:r>
      <w:r>
        <w:rPr/>
        <w:t>especially</w:t>
      </w:r>
      <w:r>
        <w:rPr>
          <w:spacing w:val="-12"/>
        </w:rPr>
        <w:t> </w:t>
      </w:r>
      <w:r>
        <w:rPr/>
        <w:t>as</w:t>
      </w:r>
      <w:r>
        <w:rPr>
          <w:spacing w:val="-8"/>
        </w:rPr>
        <w:t> </w:t>
      </w:r>
      <w:r>
        <w:rPr/>
        <w:t>the current ratio is slightly lower than 1 and the current</w:t>
      </w:r>
      <w:r>
        <w:rPr>
          <w:spacing w:val="-2"/>
        </w:rPr>
        <w:t> </w:t>
      </w:r>
      <w:r>
        <w:rPr/>
        <w:t>liabilities are higher than the current </w:t>
      </w:r>
      <w:r>
        <w:rPr>
          <w:spacing w:val="-2"/>
        </w:rPr>
        <w:t>assets.</w:t>
      </w:r>
    </w:p>
    <w:p>
      <w:pPr>
        <w:pStyle w:val="BodyText"/>
        <w:spacing w:line="362" w:lineRule="auto" w:before="145"/>
        <w:ind w:right="356"/>
        <w:jc w:val="both"/>
      </w:pPr>
      <w:r>
        <w:rPr/>
        <w:t>The second is leverage. NIO is very high in its debt-to-equity ratio, has high borrowings in</w:t>
      </w:r>
      <w:r>
        <w:rPr>
          <w:spacing w:val="-16"/>
        </w:rPr>
        <w:t> </w:t>
      </w:r>
      <w:r>
        <w:rPr/>
        <w:t>its</w:t>
      </w:r>
      <w:r>
        <w:rPr>
          <w:spacing w:val="-11"/>
        </w:rPr>
        <w:t> </w:t>
      </w:r>
      <w:r>
        <w:rPr/>
        <w:t>balance</w:t>
      </w:r>
      <w:r>
        <w:rPr>
          <w:spacing w:val="-11"/>
        </w:rPr>
        <w:t> </w:t>
      </w:r>
      <w:r>
        <w:rPr/>
        <w:t>sheet</w:t>
      </w:r>
      <w:r>
        <w:rPr>
          <w:spacing w:val="-11"/>
        </w:rPr>
        <w:t> </w:t>
      </w:r>
      <w:r>
        <w:rPr/>
        <w:t>and</w:t>
      </w:r>
      <w:r>
        <w:rPr>
          <w:spacing w:val="-11"/>
        </w:rPr>
        <w:t> </w:t>
      </w:r>
      <w:r>
        <w:rPr/>
        <w:t>high</w:t>
      </w:r>
      <w:r>
        <w:rPr>
          <w:spacing w:val="-11"/>
        </w:rPr>
        <w:t> </w:t>
      </w:r>
      <w:r>
        <w:rPr/>
        <w:t>trade</w:t>
      </w:r>
      <w:r>
        <w:rPr>
          <w:spacing w:val="-11"/>
        </w:rPr>
        <w:t> </w:t>
      </w:r>
      <w:r>
        <w:rPr/>
        <w:t>payables</w:t>
      </w:r>
      <w:r>
        <w:rPr>
          <w:spacing w:val="-11"/>
        </w:rPr>
        <w:t> </w:t>
      </w:r>
      <w:r>
        <w:rPr/>
        <w:t>and</w:t>
      </w:r>
      <w:r>
        <w:rPr>
          <w:spacing w:val="-11"/>
        </w:rPr>
        <w:t> </w:t>
      </w:r>
      <w:r>
        <w:rPr/>
        <w:t>accruals.</w:t>
      </w:r>
      <w:r>
        <w:rPr>
          <w:spacing w:val="-11"/>
        </w:rPr>
        <w:t> </w:t>
      </w:r>
      <w:r>
        <w:rPr/>
        <w:t>Such</w:t>
      </w:r>
      <w:r>
        <w:rPr>
          <w:spacing w:val="-16"/>
        </w:rPr>
        <w:t> </w:t>
      </w:r>
      <w:r>
        <w:rPr/>
        <w:t>a</w:t>
      </w:r>
      <w:r>
        <w:rPr>
          <w:spacing w:val="-11"/>
        </w:rPr>
        <w:t> </w:t>
      </w:r>
      <w:r>
        <w:rPr/>
        <w:t>structure</w:t>
      </w:r>
      <w:r>
        <w:rPr>
          <w:spacing w:val="-16"/>
        </w:rPr>
        <w:t> </w:t>
      </w:r>
      <w:r>
        <w:rPr/>
        <w:t>increases</w:t>
      </w:r>
      <w:r>
        <w:rPr>
          <w:spacing w:val="-12"/>
        </w:rPr>
        <w:t> </w:t>
      </w:r>
      <w:r>
        <w:rPr/>
        <w:t>the risk</w:t>
      </w:r>
      <w:r>
        <w:rPr>
          <w:spacing w:val="-16"/>
        </w:rPr>
        <w:t> </w:t>
      </w:r>
      <w:r>
        <w:rPr/>
        <w:t>of</w:t>
      </w:r>
      <w:r>
        <w:rPr>
          <w:spacing w:val="-14"/>
        </w:rPr>
        <w:t> </w:t>
      </w:r>
      <w:r>
        <w:rPr/>
        <w:t>refinancing</w:t>
      </w:r>
      <w:r>
        <w:rPr>
          <w:spacing w:val="-14"/>
        </w:rPr>
        <w:t> </w:t>
      </w:r>
      <w:r>
        <w:rPr/>
        <w:t>and</w:t>
      </w:r>
      <w:r>
        <w:rPr>
          <w:spacing w:val="-14"/>
        </w:rPr>
        <w:t> </w:t>
      </w:r>
      <w:r>
        <w:rPr/>
        <w:t>puts</w:t>
      </w:r>
      <w:r>
        <w:rPr>
          <w:spacing w:val="-14"/>
        </w:rPr>
        <w:t> </w:t>
      </w:r>
      <w:r>
        <w:rPr/>
        <w:t>the</w:t>
      </w:r>
      <w:r>
        <w:rPr>
          <w:spacing w:val="-14"/>
        </w:rPr>
        <w:t> </w:t>
      </w:r>
      <w:r>
        <w:rPr/>
        <w:t>company</w:t>
      </w:r>
      <w:r>
        <w:rPr>
          <w:spacing w:val="-14"/>
        </w:rPr>
        <w:t> </w:t>
      </w:r>
      <w:r>
        <w:rPr/>
        <w:t>at</w:t>
      </w:r>
      <w:r>
        <w:rPr>
          <w:spacing w:val="-14"/>
        </w:rPr>
        <w:t> </w:t>
      </w:r>
      <w:r>
        <w:rPr/>
        <w:t>risk</w:t>
      </w:r>
      <w:r>
        <w:rPr>
          <w:spacing w:val="-14"/>
        </w:rPr>
        <w:t> </w:t>
      </w:r>
      <w:r>
        <w:rPr/>
        <w:t>in</w:t>
      </w:r>
      <w:r>
        <w:rPr>
          <w:spacing w:val="-14"/>
        </w:rPr>
        <w:t> </w:t>
      </w:r>
      <w:r>
        <w:rPr/>
        <w:t>the</w:t>
      </w:r>
      <w:r>
        <w:rPr>
          <w:spacing w:val="-14"/>
        </w:rPr>
        <w:t> </w:t>
      </w:r>
      <w:r>
        <w:rPr/>
        <w:t>event</w:t>
      </w:r>
      <w:r>
        <w:rPr>
          <w:spacing w:val="-14"/>
        </w:rPr>
        <w:t> </w:t>
      </w:r>
      <w:r>
        <w:rPr/>
        <w:t>that</w:t>
      </w:r>
      <w:r>
        <w:rPr>
          <w:spacing w:val="-14"/>
        </w:rPr>
        <w:t> </w:t>
      </w:r>
      <w:r>
        <w:rPr/>
        <w:t>the</w:t>
      </w:r>
      <w:r>
        <w:rPr>
          <w:spacing w:val="-14"/>
        </w:rPr>
        <w:t> </w:t>
      </w:r>
      <w:r>
        <w:rPr/>
        <w:t>situation</w:t>
      </w:r>
      <w:r>
        <w:rPr>
          <w:spacing w:val="-17"/>
        </w:rPr>
        <w:t> </w:t>
      </w:r>
      <w:r>
        <w:rPr/>
        <w:t>in</w:t>
      </w:r>
      <w:r>
        <w:rPr>
          <w:spacing w:val="-14"/>
        </w:rPr>
        <w:t> </w:t>
      </w:r>
      <w:r>
        <w:rPr/>
        <w:t>the</w:t>
      </w:r>
      <w:r>
        <w:rPr>
          <w:spacing w:val="-14"/>
        </w:rPr>
        <w:t> </w:t>
      </w:r>
      <w:r>
        <w:rPr/>
        <w:t>capital market worsens (Wang, 2025).</w:t>
      </w:r>
    </w:p>
    <w:p>
      <w:pPr>
        <w:pStyle w:val="BodyText"/>
        <w:spacing w:line="360" w:lineRule="auto" w:before="153"/>
        <w:ind w:right="350"/>
        <w:jc w:val="both"/>
      </w:pPr>
      <w:r>
        <w:rPr/>
        <w:t>The third issue is the cost structure. R&amp;D and SG&amp;A remain important, but it is understandable in a technology-driven EV company, which still limits the path to net profitability.</w:t>
      </w:r>
      <w:r>
        <w:rPr>
          <w:spacing w:val="-16"/>
        </w:rPr>
        <w:t> </w:t>
      </w:r>
      <w:r>
        <w:rPr/>
        <w:t>Although</w:t>
      </w:r>
      <w:r>
        <w:rPr>
          <w:spacing w:val="-2"/>
        </w:rPr>
        <w:t> </w:t>
      </w:r>
      <w:r>
        <w:rPr/>
        <w:t>the</w:t>
      </w:r>
      <w:r>
        <w:rPr>
          <w:spacing w:val="-2"/>
        </w:rPr>
        <w:t> </w:t>
      </w:r>
      <w:r>
        <w:rPr/>
        <w:t>company</w:t>
      </w:r>
      <w:r>
        <w:rPr>
          <w:spacing w:val="-2"/>
        </w:rPr>
        <w:t> </w:t>
      </w:r>
      <w:r>
        <w:rPr/>
        <w:t>is</w:t>
      </w:r>
      <w:r>
        <w:rPr>
          <w:spacing w:val="-2"/>
        </w:rPr>
        <w:t> </w:t>
      </w:r>
      <w:r>
        <w:rPr/>
        <w:t>performing</w:t>
      </w:r>
      <w:r>
        <w:rPr>
          <w:spacing w:val="-2"/>
        </w:rPr>
        <w:t> </w:t>
      </w:r>
      <w:r>
        <w:rPr/>
        <w:t>better</w:t>
      </w:r>
      <w:r>
        <w:rPr>
          <w:spacing w:val="-5"/>
        </w:rPr>
        <w:t> </w:t>
      </w:r>
      <w:r>
        <w:rPr/>
        <w:t>in</w:t>
      </w:r>
      <w:r>
        <w:rPr>
          <w:spacing w:val="-6"/>
        </w:rPr>
        <w:t> </w:t>
      </w:r>
      <w:r>
        <w:rPr/>
        <w:t>terms</w:t>
      </w:r>
      <w:r>
        <w:rPr>
          <w:spacing w:val="-2"/>
        </w:rPr>
        <w:t> </w:t>
      </w:r>
      <w:r>
        <w:rPr/>
        <w:t>of</w:t>
      </w:r>
      <w:r>
        <w:rPr>
          <w:spacing w:val="-2"/>
        </w:rPr>
        <w:t> </w:t>
      </w:r>
      <w:r>
        <w:rPr/>
        <w:t>cash</w:t>
      </w:r>
      <w:r>
        <w:rPr>
          <w:spacing w:val="-2"/>
        </w:rPr>
        <w:t> </w:t>
      </w:r>
      <w:r>
        <w:rPr/>
        <w:t>flow</w:t>
      </w:r>
      <w:r>
        <w:rPr>
          <w:spacing w:val="-8"/>
        </w:rPr>
        <w:t> </w:t>
      </w:r>
      <w:r>
        <w:rPr/>
        <w:t>in</w:t>
      </w:r>
      <w:r>
        <w:rPr>
          <w:spacing w:val="-2"/>
        </w:rPr>
        <w:t> </w:t>
      </w:r>
      <w:r>
        <w:rPr/>
        <w:t>2025,</w:t>
      </w:r>
      <w:r>
        <w:rPr>
          <w:spacing w:val="-2"/>
        </w:rPr>
        <w:t> </w:t>
      </w:r>
      <w:r>
        <w:rPr/>
        <w:t>the cash flow generated is not yet good enough to finance its</w:t>
      </w:r>
      <w:r>
        <w:rPr>
          <w:spacing w:val="-1"/>
        </w:rPr>
        <w:t> </w:t>
      </w:r>
      <w:r>
        <w:rPr/>
        <w:t>investment needs without the current funding facilities (Wang, 2025). Overall, NIO is improving in terms of operation, and the financial structure remains poor, based on implementation, market demand and capital availability.</w:t>
      </w:r>
    </w:p>
    <w:p>
      <w:pPr>
        <w:pStyle w:val="BodyText"/>
        <w:spacing w:after="0" w:line="360" w:lineRule="auto"/>
        <w:jc w:val="both"/>
        <w:sectPr>
          <w:pgSz w:w="12240" w:h="15840"/>
          <w:pgMar w:header="0" w:footer="1051" w:top="1360" w:bottom="1240" w:left="1440" w:right="1080"/>
        </w:sectPr>
      </w:pPr>
    </w:p>
    <w:p>
      <w:pPr>
        <w:pStyle w:val="Heading2"/>
        <w:numPr>
          <w:ilvl w:val="1"/>
          <w:numId w:val="3"/>
        </w:numPr>
        <w:tabs>
          <w:tab w:pos="400" w:val="left" w:leader="none"/>
        </w:tabs>
        <w:spacing w:line="240" w:lineRule="auto" w:before="71" w:after="0"/>
        <w:ind w:left="400" w:right="0" w:hanging="400"/>
        <w:jc w:val="left"/>
      </w:pPr>
      <w:bookmarkStart w:name="4.2 Strategic Options" w:id="41"/>
      <w:bookmarkEnd w:id="41"/>
      <w:r>
        <w:rPr>
          <w:b w:val="0"/>
        </w:rPr>
      </w:r>
      <w:bookmarkStart w:name="_bookmark20" w:id="42"/>
      <w:bookmarkEnd w:id="42"/>
      <w:r>
        <w:rPr>
          <w:b w:val="0"/>
        </w:rPr>
      </w:r>
      <w:r>
        <w:rPr/>
        <w:t>Strategic</w:t>
      </w:r>
      <w:r>
        <w:rPr>
          <w:spacing w:val="-7"/>
        </w:rPr>
        <w:t> </w:t>
      </w:r>
      <w:r>
        <w:rPr>
          <w:spacing w:val="-2"/>
        </w:rPr>
        <w:t>Options</w:t>
      </w:r>
    </w:p>
    <w:p>
      <w:pPr>
        <w:pStyle w:val="BodyText"/>
        <w:rPr>
          <w:rFonts w:ascii="Arial"/>
          <w:b/>
        </w:rPr>
      </w:pPr>
    </w:p>
    <w:p>
      <w:pPr>
        <w:pStyle w:val="BodyText"/>
        <w:spacing w:before="243"/>
        <w:rPr>
          <w:rFonts w:ascii="Arial"/>
          <w:b/>
        </w:rPr>
      </w:pPr>
    </w:p>
    <w:p>
      <w:pPr>
        <w:pStyle w:val="BodyText"/>
        <w:spacing w:line="362" w:lineRule="auto"/>
        <w:ind w:right="361"/>
        <w:jc w:val="both"/>
      </w:pPr>
      <w:r>
        <w:rPr/>
        <w:t>There</w:t>
      </w:r>
      <w:r>
        <w:rPr>
          <w:spacing w:val="-16"/>
        </w:rPr>
        <w:t> </w:t>
      </w:r>
      <w:r>
        <w:rPr/>
        <w:t>are</w:t>
      </w:r>
      <w:r>
        <w:rPr>
          <w:spacing w:val="-11"/>
        </w:rPr>
        <w:t> </w:t>
      </w:r>
      <w:r>
        <w:rPr/>
        <w:t>three</w:t>
      </w:r>
      <w:r>
        <w:rPr>
          <w:spacing w:val="-11"/>
        </w:rPr>
        <w:t> </w:t>
      </w:r>
      <w:r>
        <w:rPr/>
        <w:t>viable</w:t>
      </w:r>
      <w:r>
        <w:rPr>
          <w:spacing w:val="-11"/>
        </w:rPr>
        <w:t> </w:t>
      </w:r>
      <w:r>
        <w:rPr/>
        <w:t>strategies</w:t>
      </w:r>
      <w:r>
        <w:rPr>
          <w:spacing w:val="-12"/>
        </w:rPr>
        <w:t> </w:t>
      </w:r>
      <w:r>
        <w:rPr/>
        <w:t>that</w:t>
      </w:r>
      <w:r>
        <w:rPr>
          <w:spacing w:val="-11"/>
        </w:rPr>
        <w:t> </w:t>
      </w:r>
      <w:r>
        <w:rPr/>
        <w:t>NIO</w:t>
      </w:r>
      <w:r>
        <w:rPr>
          <w:spacing w:val="-11"/>
        </w:rPr>
        <w:t> </w:t>
      </w:r>
      <w:r>
        <w:rPr/>
        <w:t>has:</w:t>
      </w:r>
      <w:r>
        <w:rPr>
          <w:spacing w:val="-16"/>
        </w:rPr>
        <w:t> </w:t>
      </w:r>
      <w:r>
        <w:rPr/>
        <w:t>equity</w:t>
      </w:r>
      <w:r>
        <w:rPr>
          <w:spacing w:val="-12"/>
        </w:rPr>
        <w:t> </w:t>
      </w:r>
      <w:r>
        <w:rPr/>
        <w:t>financing,</w:t>
      </w:r>
      <w:r>
        <w:rPr>
          <w:spacing w:val="-16"/>
        </w:rPr>
        <w:t> </w:t>
      </w:r>
      <w:r>
        <w:rPr/>
        <w:t>restructuring</w:t>
      </w:r>
      <w:r>
        <w:rPr>
          <w:spacing w:val="-16"/>
        </w:rPr>
        <w:t> </w:t>
      </w:r>
      <w:r>
        <w:rPr/>
        <w:t>of</w:t>
      </w:r>
      <w:r>
        <w:rPr>
          <w:spacing w:val="-11"/>
        </w:rPr>
        <w:t> </w:t>
      </w:r>
      <w:r>
        <w:rPr/>
        <w:t>debt,</w:t>
      </w:r>
      <w:r>
        <w:rPr>
          <w:spacing w:val="-11"/>
        </w:rPr>
        <w:t> </w:t>
      </w:r>
      <w:r>
        <w:rPr/>
        <w:t>and strategic partners. The two choices address distinct aspects of the issue, so the most suitable answer is probably a blend rather than a single solution.</w:t>
      </w:r>
    </w:p>
    <w:p>
      <w:pPr>
        <w:pStyle w:val="BodyText"/>
        <w:spacing w:line="360" w:lineRule="auto" w:before="157"/>
        <w:ind w:right="350"/>
        <w:jc w:val="both"/>
      </w:pPr>
      <w:r>
        <w:rPr/>
        <w:t>The cleanest financing approach to consolidate the balance sheet would be equity financing since it would not impose any fixed repayment pressure. It may also enhance liquidity</w:t>
      </w:r>
      <w:r>
        <w:rPr>
          <w:spacing w:val="-1"/>
        </w:rPr>
        <w:t> </w:t>
      </w:r>
      <w:r>
        <w:rPr/>
        <w:t>and</w:t>
      </w:r>
      <w:r>
        <w:rPr>
          <w:spacing w:val="-1"/>
        </w:rPr>
        <w:t> </w:t>
      </w:r>
      <w:r>
        <w:rPr/>
        <w:t>provide</w:t>
      </w:r>
      <w:r>
        <w:rPr>
          <w:spacing w:val="-1"/>
        </w:rPr>
        <w:t> </w:t>
      </w:r>
      <w:r>
        <w:rPr/>
        <w:t>the</w:t>
      </w:r>
      <w:r>
        <w:rPr>
          <w:spacing w:val="-1"/>
        </w:rPr>
        <w:t> </w:t>
      </w:r>
      <w:r>
        <w:rPr/>
        <w:t>management with additional space</w:t>
      </w:r>
      <w:r>
        <w:rPr>
          <w:spacing w:val="-1"/>
        </w:rPr>
        <w:t> </w:t>
      </w:r>
      <w:r>
        <w:rPr/>
        <w:t>to</w:t>
      </w:r>
      <w:r>
        <w:rPr>
          <w:spacing w:val="-5"/>
        </w:rPr>
        <w:t> </w:t>
      </w:r>
      <w:r>
        <w:rPr/>
        <w:t>invest</w:t>
      </w:r>
      <w:r>
        <w:rPr>
          <w:spacing w:val="-5"/>
        </w:rPr>
        <w:t> </w:t>
      </w:r>
      <w:r>
        <w:rPr/>
        <w:t>in</w:t>
      </w:r>
      <w:r>
        <w:rPr>
          <w:spacing w:val="-1"/>
        </w:rPr>
        <w:t> </w:t>
      </w:r>
      <w:r>
        <w:rPr/>
        <w:t>the</w:t>
      </w:r>
      <w:r>
        <w:rPr>
          <w:spacing w:val="-1"/>
        </w:rPr>
        <w:t> </w:t>
      </w:r>
      <w:r>
        <w:rPr/>
        <w:t>development of products, brand building and charging facilities.</w:t>
      </w:r>
      <w:r>
        <w:rPr>
          <w:spacing w:val="-2"/>
        </w:rPr>
        <w:t> </w:t>
      </w:r>
      <w:r>
        <w:rPr/>
        <w:t>The primary weakness is the dilution, which is important because the company already has a rather weak equity base, and it has turned to outside financing too often. Because of that reason, equity ought to be applied sparingly and ideally in times when the market mood is favourable (Reuters, </w:t>
      </w:r>
      <w:r>
        <w:rPr>
          <w:spacing w:val="-2"/>
        </w:rPr>
        <w:t>2019).</w:t>
      </w:r>
    </w:p>
    <w:p>
      <w:pPr>
        <w:pStyle w:val="BodyText"/>
        <w:spacing w:line="360" w:lineRule="auto" w:before="159"/>
        <w:ind w:right="350"/>
        <w:jc w:val="both"/>
      </w:pPr>
      <w:r>
        <w:rPr/>
        <w:t>Restructuring</w:t>
      </w:r>
      <w:r>
        <w:rPr>
          <w:spacing w:val="-11"/>
        </w:rPr>
        <w:t> </w:t>
      </w:r>
      <w:r>
        <w:rPr/>
        <w:t>of</w:t>
      </w:r>
      <w:r>
        <w:rPr>
          <w:spacing w:val="-10"/>
        </w:rPr>
        <w:t> </w:t>
      </w:r>
      <w:r>
        <w:rPr/>
        <w:t>debt:</w:t>
      </w:r>
      <w:r>
        <w:rPr>
          <w:spacing w:val="-17"/>
        </w:rPr>
        <w:t> </w:t>
      </w:r>
      <w:r>
        <w:rPr/>
        <w:t>This</w:t>
      </w:r>
      <w:r>
        <w:rPr>
          <w:spacing w:val="-11"/>
        </w:rPr>
        <w:t> </w:t>
      </w:r>
      <w:r>
        <w:rPr/>
        <w:t>is</w:t>
      </w:r>
      <w:r>
        <w:rPr>
          <w:spacing w:val="-11"/>
        </w:rPr>
        <w:t> </w:t>
      </w:r>
      <w:r>
        <w:rPr/>
        <w:t>handy</w:t>
      </w:r>
      <w:r>
        <w:rPr>
          <w:spacing w:val="-11"/>
        </w:rPr>
        <w:t> </w:t>
      </w:r>
      <w:r>
        <w:rPr/>
        <w:t>when</w:t>
      </w:r>
      <w:r>
        <w:rPr>
          <w:spacing w:val="-10"/>
        </w:rPr>
        <w:t> </w:t>
      </w:r>
      <w:r>
        <w:rPr/>
        <w:t>short-term</w:t>
      </w:r>
      <w:r>
        <w:rPr>
          <w:spacing w:val="-17"/>
        </w:rPr>
        <w:t> </w:t>
      </w:r>
      <w:r>
        <w:rPr/>
        <w:t>liabilities</w:t>
      </w:r>
      <w:r>
        <w:rPr>
          <w:spacing w:val="-11"/>
        </w:rPr>
        <w:t> </w:t>
      </w:r>
      <w:r>
        <w:rPr/>
        <w:t>are</w:t>
      </w:r>
      <w:r>
        <w:rPr>
          <w:spacing w:val="-10"/>
        </w:rPr>
        <w:t> </w:t>
      </w:r>
      <w:r>
        <w:rPr/>
        <w:t>excessive</w:t>
      </w:r>
      <w:r>
        <w:rPr>
          <w:spacing w:val="-10"/>
        </w:rPr>
        <w:t> </w:t>
      </w:r>
      <w:r>
        <w:rPr/>
        <w:t>to</w:t>
      </w:r>
      <w:r>
        <w:rPr>
          <w:spacing w:val="-9"/>
        </w:rPr>
        <w:t> </w:t>
      </w:r>
      <w:r>
        <w:rPr/>
        <w:t>the</w:t>
      </w:r>
      <w:r>
        <w:rPr>
          <w:spacing w:val="-10"/>
        </w:rPr>
        <w:t> </w:t>
      </w:r>
      <w:r>
        <w:rPr/>
        <w:t>extent of cash</w:t>
      </w:r>
      <w:r>
        <w:rPr>
          <w:spacing w:val="-2"/>
        </w:rPr>
        <w:t> </w:t>
      </w:r>
      <w:r>
        <w:rPr/>
        <w:t>flow. NIO already</w:t>
      </w:r>
      <w:r>
        <w:rPr>
          <w:spacing w:val="-3"/>
        </w:rPr>
        <w:t> </w:t>
      </w:r>
      <w:r>
        <w:rPr/>
        <w:t>has</w:t>
      </w:r>
      <w:r>
        <w:rPr>
          <w:spacing w:val="-3"/>
        </w:rPr>
        <w:t> </w:t>
      </w:r>
      <w:r>
        <w:rPr/>
        <w:t>high</w:t>
      </w:r>
      <w:r>
        <w:rPr>
          <w:spacing w:val="-2"/>
        </w:rPr>
        <w:t> </w:t>
      </w:r>
      <w:r>
        <w:rPr/>
        <w:t>borrowings</w:t>
      </w:r>
      <w:r>
        <w:rPr>
          <w:spacing w:val="-3"/>
        </w:rPr>
        <w:t> </w:t>
      </w:r>
      <w:r>
        <w:rPr/>
        <w:t>and</w:t>
      </w:r>
      <w:r>
        <w:rPr>
          <w:spacing w:val="-2"/>
        </w:rPr>
        <w:t> </w:t>
      </w:r>
      <w:r>
        <w:rPr/>
        <w:t>huge payables,</w:t>
      </w:r>
      <w:r>
        <w:rPr>
          <w:spacing w:val="-3"/>
        </w:rPr>
        <w:t> </w:t>
      </w:r>
      <w:r>
        <w:rPr/>
        <w:t>thus</w:t>
      </w:r>
      <w:r>
        <w:rPr>
          <w:spacing w:val="-3"/>
        </w:rPr>
        <w:t> </w:t>
      </w:r>
      <w:r>
        <w:rPr/>
        <w:t>the</w:t>
      </w:r>
      <w:r>
        <w:rPr>
          <w:spacing w:val="-2"/>
        </w:rPr>
        <w:t> </w:t>
      </w:r>
      <w:r>
        <w:rPr/>
        <w:t>extension</w:t>
      </w:r>
      <w:r>
        <w:rPr>
          <w:spacing w:val="-2"/>
        </w:rPr>
        <w:t> </w:t>
      </w:r>
      <w:r>
        <w:rPr/>
        <w:t>of maturity and cut of near-term amortisation or refinance of the high-cost short-term liabilities would relieve the cash flow</w:t>
      </w:r>
      <w:r>
        <w:rPr>
          <w:spacing w:val="-6"/>
        </w:rPr>
        <w:t> </w:t>
      </w:r>
      <w:r>
        <w:rPr/>
        <w:t>strain.</w:t>
      </w:r>
      <w:r>
        <w:rPr>
          <w:spacing w:val="-4"/>
        </w:rPr>
        <w:t> </w:t>
      </w:r>
      <w:r>
        <w:rPr/>
        <w:t>The risk here</w:t>
      </w:r>
      <w:r>
        <w:rPr>
          <w:spacing w:val="-4"/>
        </w:rPr>
        <w:t> </w:t>
      </w:r>
      <w:r>
        <w:rPr/>
        <w:t>is that restructuring can simply purchase time unless the profitability is going to increase, and creditors might insist on concessions or stricter covenants (Yetunde</w:t>
      </w:r>
      <w:r>
        <w:rPr>
          <w:spacing w:val="-6"/>
        </w:rPr>
        <w:t> </w:t>
      </w:r>
      <w:r>
        <w:rPr/>
        <w:t>Amodu &amp; Ken Shyaka, 2025).</w:t>
      </w:r>
    </w:p>
    <w:p>
      <w:pPr>
        <w:pStyle w:val="BodyText"/>
        <w:spacing w:line="360" w:lineRule="auto" w:before="162"/>
        <w:ind w:right="354"/>
        <w:jc w:val="both"/>
      </w:pPr>
      <w:r>
        <w:rPr/>
        <w:t>Alliances</w:t>
      </w:r>
      <w:r>
        <w:rPr>
          <w:spacing w:val="-14"/>
        </w:rPr>
        <w:t> </w:t>
      </w:r>
      <w:r>
        <w:rPr/>
        <w:t>are</w:t>
      </w:r>
      <w:r>
        <w:rPr>
          <w:spacing w:val="-13"/>
        </w:rPr>
        <w:t> </w:t>
      </w:r>
      <w:r>
        <w:rPr/>
        <w:t>particularly</w:t>
      </w:r>
      <w:r>
        <w:rPr>
          <w:spacing w:val="-14"/>
        </w:rPr>
        <w:t> </w:t>
      </w:r>
      <w:r>
        <w:rPr/>
        <w:t>appealing</w:t>
      </w:r>
      <w:r>
        <w:rPr>
          <w:spacing w:val="-13"/>
        </w:rPr>
        <w:t> </w:t>
      </w:r>
      <w:r>
        <w:rPr/>
        <w:t>to</w:t>
      </w:r>
      <w:r>
        <w:rPr>
          <w:spacing w:val="-17"/>
        </w:rPr>
        <w:t> </w:t>
      </w:r>
      <w:r>
        <w:rPr/>
        <w:t>a</w:t>
      </w:r>
      <w:r>
        <w:rPr>
          <w:spacing w:val="-13"/>
        </w:rPr>
        <w:t> </w:t>
      </w:r>
      <w:r>
        <w:rPr/>
        <w:t>capital-intensive</w:t>
      </w:r>
      <w:r>
        <w:rPr>
          <w:spacing w:val="-13"/>
        </w:rPr>
        <w:t> </w:t>
      </w:r>
      <w:r>
        <w:rPr/>
        <w:t>EV</w:t>
      </w:r>
      <w:r>
        <w:rPr>
          <w:spacing w:val="-15"/>
        </w:rPr>
        <w:t> </w:t>
      </w:r>
      <w:r>
        <w:rPr/>
        <w:t>company,</w:t>
      </w:r>
      <w:r>
        <w:rPr>
          <w:spacing w:val="-13"/>
        </w:rPr>
        <w:t> </w:t>
      </w:r>
      <w:r>
        <w:rPr/>
        <w:t>as</w:t>
      </w:r>
      <w:r>
        <w:rPr>
          <w:spacing w:val="-14"/>
        </w:rPr>
        <w:t> </w:t>
      </w:r>
      <w:r>
        <w:rPr/>
        <w:t>they</w:t>
      </w:r>
      <w:r>
        <w:rPr>
          <w:spacing w:val="-14"/>
        </w:rPr>
        <w:t> </w:t>
      </w:r>
      <w:r>
        <w:rPr/>
        <w:t>enable</w:t>
      </w:r>
      <w:r>
        <w:rPr>
          <w:spacing w:val="-13"/>
        </w:rPr>
        <w:t> </w:t>
      </w:r>
      <w:r>
        <w:rPr/>
        <w:t>the company to raise less capital, yet gain access to more capacity. Some of the ways that partners can assist include manufacturing, battery systems, technology development, foreign</w:t>
      </w:r>
      <w:r>
        <w:rPr>
          <w:spacing w:val="-17"/>
        </w:rPr>
        <w:t> </w:t>
      </w:r>
      <w:r>
        <w:rPr/>
        <w:t>distribution</w:t>
      </w:r>
      <w:r>
        <w:rPr>
          <w:spacing w:val="-12"/>
        </w:rPr>
        <w:t> </w:t>
      </w:r>
      <w:r>
        <w:rPr/>
        <w:t>or</w:t>
      </w:r>
      <w:r>
        <w:rPr>
          <w:spacing w:val="-15"/>
        </w:rPr>
        <w:t> </w:t>
      </w:r>
      <w:r>
        <w:rPr/>
        <w:t>charging</w:t>
      </w:r>
      <w:r>
        <w:rPr>
          <w:spacing w:val="-16"/>
        </w:rPr>
        <w:t> </w:t>
      </w:r>
      <w:r>
        <w:rPr/>
        <w:t>infrastructure.</w:t>
      </w:r>
      <w:r>
        <w:rPr>
          <w:spacing w:val="-17"/>
        </w:rPr>
        <w:t> </w:t>
      </w:r>
      <w:r>
        <w:rPr/>
        <w:t>This</w:t>
      </w:r>
      <w:r>
        <w:rPr>
          <w:spacing w:val="-11"/>
        </w:rPr>
        <w:t> </w:t>
      </w:r>
      <w:r>
        <w:rPr/>
        <w:t>could</w:t>
      </w:r>
      <w:r>
        <w:rPr>
          <w:spacing w:val="-15"/>
        </w:rPr>
        <w:t> </w:t>
      </w:r>
      <w:r>
        <w:rPr/>
        <w:t>reduce</w:t>
      </w:r>
      <w:r>
        <w:rPr>
          <w:spacing w:val="-11"/>
        </w:rPr>
        <w:t> </w:t>
      </w:r>
      <w:r>
        <w:rPr/>
        <w:t>risk</w:t>
      </w:r>
      <w:r>
        <w:rPr>
          <w:spacing w:val="-16"/>
        </w:rPr>
        <w:t> </w:t>
      </w:r>
      <w:r>
        <w:rPr/>
        <w:t>and</w:t>
      </w:r>
      <w:r>
        <w:rPr>
          <w:spacing w:val="-11"/>
        </w:rPr>
        <w:t> </w:t>
      </w:r>
      <w:r>
        <w:rPr/>
        <w:t>split</w:t>
      </w:r>
      <w:r>
        <w:rPr>
          <w:spacing w:val="-16"/>
        </w:rPr>
        <w:t> </w:t>
      </w:r>
      <w:r>
        <w:rPr/>
        <w:t>the</w:t>
      </w:r>
      <w:r>
        <w:rPr>
          <w:spacing w:val="-11"/>
        </w:rPr>
        <w:t> </w:t>
      </w:r>
      <w:r>
        <w:rPr/>
        <w:t>cost,</w:t>
      </w:r>
      <w:r>
        <w:rPr>
          <w:spacing w:val="-11"/>
        </w:rPr>
        <w:t> </w:t>
      </w:r>
      <w:r>
        <w:rPr/>
        <w:t>but it can decrease control and squeeze the margins unless the deals are well designed (Yetunde Amodu &amp; Ken Shyaka, 2025).</w:t>
      </w:r>
    </w:p>
    <w:p>
      <w:pPr>
        <w:pStyle w:val="BodyText"/>
        <w:spacing w:after="0" w:line="360" w:lineRule="auto"/>
        <w:jc w:val="both"/>
        <w:sectPr>
          <w:pgSz w:w="12240" w:h="15840"/>
          <w:pgMar w:header="0" w:footer="1051" w:top="1360" w:bottom="1240" w:left="1440" w:right="1080"/>
        </w:sectPr>
      </w:pPr>
    </w:p>
    <w:p>
      <w:pPr>
        <w:pStyle w:val="Heading2"/>
        <w:numPr>
          <w:ilvl w:val="1"/>
          <w:numId w:val="3"/>
        </w:numPr>
        <w:tabs>
          <w:tab w:pos="400" w:val="left" w:leader="none"/>
        </w:tabs>
        <w:spacing w:line="240" w:lineRule="auto" w:before="71" w:after="0"/>
        <w:ind w:left="400" w:right="0" w:hanging="400"/>
        <w:jc w:val="left"/>
      </w:pPr>
      <w:bookmarkStart w:name="4.3 Impact Analysis" w:id="43"/>
      <w:bookmarkEnd w:id="43"/>
      <w:r>
        <w:rPr>
          <w:b w:val="0"/>
        </w:rPr>
      </w:r>
      <w:bookmarkStart w:name="_bookmark21" w:id="44"/>
      <w:bookmarkEnd w:id="44"/>
      <w:r>
        <w:rPr>
          <w:b w:val="0"/>
        </w:rPr>
      </w:r>
      <w:r>
        <w:rPr/>
        <w:t>Impact</w:t>
      </w:r>
      <w:r>
        <w:rPr>
          <w:spacing w:val="-14"/>
        </w:rPr>
        <w:t> </w:t>
      </w:r>
      <w:r>
        <w:rPr>
          <w:spacing w:val="-2"/>
        </w:rPr>
        <w:t>Analysis</w:t>
      </w:r>
    </w:p>
    <w:p>
      <w:pPr>
        <w:pStyle w:val="BodyText"/>
        <w:rPr>
          <w:rFonts w:ascii="Arial"/>
          <w:b/>
        </w:rPr>
      </w:pPr>
    </w:p>
    <w:p>
      <w:pPr>
        <w:pStyle w:val="BodyText"/>
        <w:spacing w:before="243"/>
        <w:rPr>
          <w:rFonts w:ascii="Arial"/>
          <w:b/>
        </w:rPr>
      </w:pPr>
    </w:p>
    <w:p>
      <w:pPr>
        <w:pStyle w:val="BodyText"/>
        <w:spacing w:line="360" w:lineRule="auto"/>
        <w:ind w:right="349"/>
        <w:jc w:val="both"/>
      </w:pPr>
      <w:r>
        <w:rPr>
          <w:spacing w:val="-2"/>
        </w:rPr>
        <w:t>To</w:t>
      </w:r>
      <w:r>
        <w:rPr>
          <w:spacing w:val="-7"/>
        </w:rPr>
        <w:t> </w:t>
      </w:r>
      <w:r>
        <w:rPr>
          <w:spacing w:val="-2"/>
        </w:rPr>
        <w:t>the</w:t>
      </w:r>
      <w:r>
        <w:rPr>
          <w:spacing w:val="-6"/>
        </w:rPr>
        <w:t> </w:t>
      </w:r>
      <w:r>
        <w:rPr>
          <w:spacing w:val="-2"/>
        </w:rPr>
        <w:t>shareholders,</w:t>
      </w:r>
      <w:r>
        <w:rPr>
          <w:spacing w:val="-11"/>
        </w:rPr>
        <w:t> </w:t>
      </w:r>
      <w:r>
        <w:rPr>
          <w:spacing w:val="-2"/>
        </w:rPr>
        <w:t>the</w:t>
      </w:r>
      <w:r>
        <w:rPr>
          <w:spacing w:val="-10"/>
        </w:rPr>
        <w:t> </w:t>
      </w:r>
      <w:r>
        <w:rPr>
          <w:spacing w:val="-2"/>
        </w:rPr>
        <w:t>biggest</w:t>
      </w:r>
      <w:r>
        <w:rPr>
          <w:spacing w:val="-15"/>
        </w:rPr>
        <w:t> </w:t>
      </w:r>
      <w:r>
        <w:rPr>
          <w:spacing w:val="-2"/>
        </w:rPr>
        <w:t>impact</w:t>
      </w:r>
      <w:r>
        <w:rPr>
          <w:spacing w:val="-5"/>
        </w:rPr>
        <w:t> </w:t>
      </w:r>
      <w:r>
        <w:rPr>
          <w:spacing w:val="-2"/>
        </w:rPr>
        <w:t>of</w:t>
      </w:r>
      <w:r>
        <w:rPr>
          <w:spacing w:val="-6"/>
        </w:rPr>
        <w:t> </w:t>
      </w:r>
      <w:r>
        <w:rPr>
          <w:spacing w:val="-2"/>
        </w:rPr>
        <w:t>any</w:t>
      </w:r>
      <w:r>
        <w:rPr>
          <w:spacing w:val="-11"/>
        </w:rPr>
        <w:t> </w:t>
      </w:r>
      <w:r>
        <w:rPr>
          <w:spacing w:val="-2"/>
        </w:rPr>
        <w:t>restructuring</w:t>
      </w:r>
      <w:r>
        <w:rPr>
          <w:spacing w:val="-10"/>
        </w:rPr>
        <w:t> </w:t>
      </w:r>
      <w:r>
        <w:rPr>
          <w:spacing w:val="-2"/>
        </w:rPr>
        <w:t>is</w:t>
      </w:r>
      <w:r>
        <w:rPr>
          <w:spacing w:val="-11"/>
        </w:rPr>
        <w:t> </w:t>
      </w:r>
      <w:r>
        <w:rPr>
          <w:spacing w:val="-2"/>
        </w:rPr>
        <w:t>the trade-off</w:t>
      </w:r>
      <w:r>
        <w:rPr>
          <w:spacing w:val="-11"/>
        </w:rPr>
        <w:t> </w:t>
      </w:r>
      <w:r>
        <w:rPr>
          <w:spacing w:val="-2"/>
        </w:rPr>
        <w:t>between</w:t>
      </w:r>
      <w:r>
        <w:rPr>
          <w:spacing w:val="-6"/>
        </w:rPr>
        <w:t> </w:t>
      </w:r>
      <w:r>
        <w:rPr>
          <w:spacing w:val="-2"/>
        </w:rPr>
        <w:t>short- </w:t>
      </w:r>
      <w:r>
        <w:rPr/>
        <w:t>term dilution and long-term survival. In the case of NIO raising equity, the current shareholders might experience a decrease in ownership percentage, which will pressurise</w:t>
      </w:r>
      <w:r>
        <w:rPr>
          <w:spacing w:val="-14"/>
        </w:rPr>
        <w:t> </w:t>
      </w:r>
      <w:r>
        <w:rPr/>
        <w:t>the</w:t>
      </w:r>
      <w:r>
        <w:rPr>
          <w:spacing w:val="-11"/>
        </w:rPr>
        <w:t> </w:t>
      </w:r>
      <w:r>
        <w:rPr/>
        <w:t>share</w:t>
      </w:r>
      <w:r>
        <w:rPr>
          <w:spacing w:val="-16"/>
        </w:rPr>
        <w:t> </w:t>
      </w:r>
      <w:r>
        <w:rPr/>
        <w:t>price</w:t>
      </w:r>
      <w:r>
        <w:rPr>
          <w:spacing w:val="-16"/>
        </w:rPr>
        <w:t> </w:t>
      </w:r>
      <w:r>
        <w:rPr/>
        <w:t>in</w:t>
      </w:r>
      <w:r>
        <w:rPr>
          <w:spacing w:val="-15"/>
        </w:rPr>
        <w:t> </w:t>
      </w:r>
      <w:r>
        <w:rPr/>
        <w:t>the</w:t>
      </w:r>
      <w:r>
        <w:rPr>
          <w:spacing w:val="-11"/>
        </w:rPr>
        <w:t> </w:t>
      </w:r>
      <w:r>
        <w:rPr/>
        <w:t>short</w:t>
      </w:r>
      <w:r>
        <w:rPr>
          <w:spacing w:val="-16"/>
        </w:rPr>
        <w:t> </w:t>
      </w:r>
      <w:r>
        <w:rPr/>
        <w:t>run</w:t>
      </w:r>
      <w:r>
        <w:rPr>
          <w:spacing w:val="-10"/>
        </w:rPr>
        <w:t> </w:t>
      </w:r>
      <w:r>
        <w:rPr/>
        <w:t>(NIO</w:t>
      </w:r>
      <w:r>
        <w:rPr>
          <w:spacing w:val="-11"/>
        </w:rPr>
        <w:t> </w:t>
      </w:r>
      <w:r>
        <w:rPr/>
        <w:t>Inc,</w:t>
      </w:r>
      <w:r>
        <w:rPr>
          <w:spacing w:val="-11"/>
        </w:rPr>
        <w:t> </w:t>
      </w:r>
      <w:r>
        <w:rPr/>
        <w:t>2025).</w:t>
      </w:r>
      <w:r>
        <w:rPr>
          <w:spacing w:val="-11"/>
        </w:rPr>
        <w:t> </w:t>
      </w:r>
      <w:r>
        <w:rPr/>
        <w:t>Nevertheless,</w:t>
      </w:r>
      <w:r>
        <w:rPr>
          <w:spacing w:val="-16"/>
        </w:rPr>
        <w:t> </w:t>
      </w:r>
      <w:r>
        <w:rPr/>
        <w:t>in</w:t>
      </w:r>
      <w:r>
        <w:rPr>
          <w:spacing w:val="-11"/>
        </w:rPr>
        <w:t> </w:t>
      </w:r>
      <w:r>
        <w:rPr/>
        <w:t>the</w:t>
      </w:r>
      <w:r>
        <w:rPr>
          <w:spacing w:val="-11"/>
        </w:rPr>
        <w:t> </w:t>
      </w:r>
      <w:r>
        <w:rPr/>
        <w:t>event</w:t>
      </w:r>
      <w:r>
        <w:rPr>
          <w:spacing w:val="-7"/>
        </w:rPr>
        <w:t> </w:t>
      </w:r>
      <w:r>
        <w:rPr/>
        <w:t>that the</w:t>
      </w:r>
      <w:r>
        <w:rPr>
          <w:spacing w:val="-7"/>
        </w:rPr>
        <w:t> </w:t>
      </w:r>
      <w:r>
        <w:rPr/>
        <w:t>new</w:t>
      </w:r>
      <w:r>
        <w:rPr>
          <w:spacing w:val="-13"/>
        </w:rPr>
        <w:t> </w:t>
      </w:r>
      <w:r>
        <w:rPr/>
        <w:t>capital</w:t>
      </w:r>
      <w:r>
        <w:rPr>
          <w:spacing w:val="-8"/>
        </w:rPr>
        <w:t> </w:t>
      </w:r>
      <w:r>
        <w:rPr/>
        <w:t>enhances</w:t>
      </w:r>
      <w:r>
        <w:rPr>
          <w:spacing w:val="-13"/>
        </w:rPr>
        <w:t> </w:t>
      </w:r>
      <w:r>
        <w:rPr/>
        <w:t>liquidity</w:t>
      </w:r>
      <w:r>
        <w:rPr>
          <w:spacing w:val="-7"/>
        </w:rPr>
        <w:t> </w:t>
      </w:r>
      <w:r>
        <w:rPr/>
        <w:t>and</w:t>
      </w:r>
      <w:r>
        <w:rPr>
          <w:spacing w:val="-7"/>
        </w:rPr>
        <w:t> </w:t>
      </w:r>
      <w:r>
        <w:rPr/>
        <w:t>minimises</w:t>
      </w:r>
      <w:r>
        <w:rPr>
          <w:spacing w:val="-2"/>
        </w:rPr>
        <w:t> </w:t>
      </w:r>
      <w:r>
        <w:rPr/>
        <w:t>default</w:t>
      </w:r>
      <w:r>
        <w:rPr>
          <w:spacing w:val="-8"/>
        </w:rPr>
        <w:t> </w:t>
      </w:r>
      <w:r>
        <w:rPr/>
        <w:t>risk,</w:t>
      </w:r>
      <w:r>
        <w:rPr>
          <w:spacing w:val="-17"/>
        </w:rPr>
        <w:t> </w:t>
      </w:r>
      <w:r>
        <w:rPr/>
        <w:t>long-term</w:t>
      </w:r>
      <w:r>
        <w:rPr>
          <w:spacing w:val="-16"/>
        </w:rPr>
        <w:t> </w:t>
      </w:r>
      <w:r>
        <w:rPr/>
        <w:t>effects</w:t>
      </w:r>
      <w:r>
        <w:rPr>
          <w:spacing w:val="-7"/>
        </w:rPr>
        <w:t> </w:t>
      </w:r>
      <w:r>
        <w:rPr/>
        <w:t>could</w:t>
      </w:r>
      <w:r>
        <w:rPr>
          <w:spacing w:val="-12"/>
        </w:rPr>
        <w:t> </w:t>
      </w:r>
      <w:r>
        <w:rPr/>
        <w:t>turn out to be positive since the company would have a greater margin to achieve its growth plan.</w:t>
      </w:r>
      <w:r>
        <w:rPr>
          <w:spacing w:val="-10"/>
        </w:rPr>
        <w:t> </w:t>
      </w:r>
      <w:r>
        <w:rPr/>
        <w:t>In</w:t>
      </w:r>
      <w:r>
        <w:rPr>
          <w:spacing w:val="-9"/>
        </w:rPr>
        <w:t> </w:t>
      </w:r>
      <w:r>
        <w:rPr/>
        <w:t>that</w:t>
      </w:r>
      <w:r>
        <w:rPr>
          <w:spacing w:val="-15"/>
        </w:rPr>
        <w:t> </w:t>
      </w:r>
      <w:r>
        <w:rPr/>
        <w:t>regard,</w:t>
      </w:r>
      <w:r>
        <w:rPr>
          <w:spacing w:val="-10"/>
        </w:rPr>
        <w:t> </w:t>
      </w:r>
      <w:r>
        <w:rPr/>
        <w:t>the</w:t>
      </w:r>
      <w:r>
        <w:rPr>
          <w:spacing w:val="-10"/>
        </w:rPr>
        <w:t> </w:t>
      </w:r>
      <w:r>
        <w:rPr/>
        <w:t>cost</w:t>
      </w:r>
      <w:r>
        <w:rPr>
          <w:spacing w:val="-15"/>
        </w:rPr>
        <w:t> </w:t>
      </w:r>
      <w:r>
        <w:rPr/>
        <w:t>of</w:t>
      </w:r>
      <w:r>
        <w:rPr>
          <w:spacing w:val="-10"/>
        </w:rPr>
        <w:t> </w:t>
      </w:r>
      <w:r>
        <w:rPr/>
        <w:t>dilution</w:t>
      </w:r>
      <w:r>
        <w:rPr>
          <w:spacing w:val="-15"/>
        </w:rPr>
        <w:t> </w:t>
      </w:r>
      <w:r>
        <w:rPr/>
        <w:t>is</w:t>
      </w:r>
      <w:r>
        <w:rPr>
          <w:spacing w:val="-11"/>
        </w:rPr>
        <w:t> </w:t>
      </w:r>
      <w:r>
        <w:rPr/>
        <w:t>a</w:t>
      </w:r>
      <w:r>
        <w:rPr>
          <w:spacing w:val="-10"/>
        </w:rPr>
        <w:t> </w:t>
      </w:r>
      <w:r>
        <w:rPr/>
        <w:t>minor</w:t>
      </w:r>
      <w:r>
        <w:rPr>
          <w:spacing w:val="-9"/>
        </w:rPr>
        <w:t> </w:t>
      </w:r>
      <w:r>
        <w:rPr/>
        <w:t>expense,</w:t>
      </w:r>
      <w:r>
        <w:rPr>
          <w:spacing w:val="-10"/>
        </w:rPr>
        <w:t> </w:t>
      </w:r>
      <w:r>
        <w:rPr/>
        <w:t>whereas</w:t>
      </w:r>
      <w:r>
        <w:rPr>
          <w:spacing w:val="-9"/>
        </w:rPr>
        <w:t> </w:t>
      </w:r>
      <w:r>
        <w:rPr/>
        <w:t>the</w:t>
      </w:r>
      <w:r>
        <w:rPr>
          <w:spacing w:val="-10"/>
        </w:rPr>
        <w:t> </w:t>
      </w:r>
      <w:r>
        <w:rPr/>
        <w:t>risk</w:t>
      </w:r>
      <w:r>
        <w:rPr>
          <w:spacing w:val="-11"/>
        </w:rPr>
        <w:t> </w:t>
      </w:r>
      <w:r>
        <w:rPr/>
        <w:t>of</w:t>
      </w:r>
      <w:r>
        <w:rPr>
          <w:spacing w:val="-15"/>
        </w:rPr>
        <w:t> </w:t>
      </w:r>
      <w:r>
        <w:rPr/>
        <w:t>insolvency is a far greater one (NIO Inc, 2025).</w:t>
      </w:r>
    </w:p>
    <w:p>
      <w:pPr>
        <w:pStyle w:val="BodyText"/>
        <w:spacing w:line="360" w:lineRule="auto" w:before="165"/>
        <w:ind w:right="350"/>
        <w:jc w:val="both"/>
      </w:pPr>
      <w:r>
        <w:rPr/>
        <w:t>Risk-wise, restructuring may greatly enhance financial flexibility. Increasing the maturity date</w:t>
      </w:r>
      <w:r>
        <w:rPr>
          <w:spacing w:val="-9"/>
        </w:rPr>
        <w:t> </w:t>
      </w:r>
      <w:r>
        <w:rPr/>
        <w:t>of</w:t>
      </w:r>
      <w:r>
        <w:rPr>
          <w:spacing w:val="-10"/>
        </w:rPr>
        <w:t> </w:t>
      </w:r>
      <w:r>
        <w:rPr/>
        <w:t>debt,</w:t>
      </w:r>
      <w:r>
        <w:rPr>
          <w:spacing w:val="-15"/>
        </w:rPr>
        <w:t> </w:t>
      </w:r>
      <w:r>
        <w:rPr/>
        <w:t>reducing</w:t>
      </w:r>
      <w:r>
        <w:rPr>
          <w:spacing w:val="-10"/>
        </w:rPr>
        <w:t> </w:t>
      </w:r>
      <w:r>
        <w:rPr/>
        <w:t>short-term</w:t>
      </w:r>
      <w:r>
        <w:rPr>
          <w:spacing w:val="-17"/>
        </w:rPr>
        <w:t> </w:t>
      </w:r>
      <w:r>
        <w:rPr/>
        <w:t>debts</w:t>
      </w:r>
      <w:r>
        <w:rPr>
          <w:spacing w:val="-9"/>
        </w:rPr>
        <w:t> </w:t>
      </w:r>
      <w:r>
        <w:rPr/>
        <w:t>to</w:t>
      </w:r>
      <w:r>
        <w:rPr>
          <w:spacing w:val="-9"/>
        </w:rPr>
        <w:t> </w:t>
      </w:r>
      <w:r>
        <w:rPr/>
        <w:t>be</w:t>
      </w:r>
      <w:r>
        <w:rPr>
          <w:spacing w:val="-10"/>
        </w:rPr>
        <w:t> </w:t>
      </w:r>
      <w:r>
        <w:rPr/>
        <w:t>repaid</w:t>
      </w:r>
      <w:r>
        <w:rPr>
          <w:spacing w:val="-10"/>
        </w:rPr>
        <w:t> </w:t>
      </w:r>
      <w:r>
        <w:rPr/>
        <w:t>or</w:t>
      </w:r>
      <w:r>
        <w:rPr>
          <w:spacing w:val="-9"/>
        </w:rPr>
        <w:t> </w:t>
      </w:r>
      <w:r>
        <w:rPr/>
        <w:t>entering</w:t>
      </w:r>
      <w:r>
        <w:rPr>
          <w:spacing w:val="-15"/>
        </w:rPr>
        <w:t> </w:t>
      </w:r>
      <w:r>
        <w:rPr/>
        <w:t>into</w:t>
      </w:r>
      <w:r>
        <w:rPr>
          <w:spacing w:val="-9"/>
        </w:rPr>
        <w:t> </w:t>
      </w:r>
      <w:r>
        <w:rPr/>
        <w:t>partnerships</w:t>
      </w:r>
      <w:r>
        <w:rPr>
          <w:spacing w:val="-11"/>
        </w:rPr>
        <w:t> </w:t>
      </w:r>
      <w:r>
        <w:rPr/>
        <w:t>to</w:t>
      </w:r>
      <w:r>
        <w:rPr>
          <w:spacing w:val="-9"/>
        </w:rPr>
        <w:t> </w:t>
      </w:r>
      <w:r>
        <w:rPr/>
        <w:t>jointly bear</w:t>
      </w:r>
      <w:r>
        <w:rPr>
          <w:spacing w:val="-16"/>
        </w:rPr>
        <w:t> </w:t>
      </w:r>
      <w:r>
        <w:rPr/>
        <w:t>capital</w:t>
      </w:r>
      <w:r>
        <w:rPr>
          <w:spacing w:val="-11"/>
        </w:rPr>
        <w:t> </w:t>
      </w:r>
      <w:r>
        <w:rPr/>
        <w:t>costs</w:t>
      </w:r>
      <w:r>
        <w:rPr>
          <w:spacing w:val="-17"/>
        </w:rPr>
        <w:t> </w:t>
      </w:r>
      <w:r>
        <w:rPr/>
        <w:t>would</w:t>
      </w:r>
      <w:r>
        <w:rPr>
          <w:spacing w:val="-17"/>
        </w:rPr>
        <w:t> </w:t>
      </w:r>
      <w:r>
        <w:rPr/>
        <w:t>ease</w:t>
      </w:r>
      <w:r>
        <w:rPr>
          <w:spacing w:val="-16"/>
        </w:rPr>
        <w:t> </w:t>
      </w:r>
      <w:r>
        <w:rPr/>
        <w:t>refinancing</w:t>
      </w:r>
      <w:r>
        <w:rPr>
          <w:spacing w:val="-16"/>
        </w:rPr>
        <w:t> </w:t>
      </w:r>
      <w:r>
        <w:rPr/>
        <w:t>stress</w:t>
      </w:r>
      <w:r>
        <w:rPr>
          <w:spacing w:val="-17"/>
        </w:rPr>
        <w:t> </w:t>
      </w:r>
      <w:r>
        <w:rPr/>
        <w:t>and</w:t>
      </w:r>
      <w:r>
        <w:rPr>
          <w:spacing w:val="-17"/>
        </w:rPr>
        <w:t> </w:t>
      </w:r>
      <w:r>
        <w:rPr/>
        <w:t>provide</w:t>
      </w:r>
      <w:r>
        <w:rPr>
          <w:spacing w:val="-16"/>
        </w:rPr>
        <w:t> </w:t>
      </w:r>
      <w:r>
        <w:rPr/>
        <w:t>management</w:t>
      </w:r>
      <w:r>
        <w:rPr>
          <w:spacing w:val="-12"/>
        </w:rPr>
        <w:t> </w:t>
      </w:r>
      <w:r>
        <w:rPr/>
        <w:t>with</w:t>
      </w:r>
      <w:r>
        <w:rPr>
          <w:spacing w:val="-11"/>
        </w:rPr>
        <w:t> </w:t>
      </w:r>
      <w:r>
        <w:rPr/>
        <w:t>more</w:t>
      </w:r>
      <w:r>
        <w:rPr>
          <w:spacing w:val="-17"/>
        </w:rPr>
        <w:t> </w:t>
      </w:r>
      <w:r>
        <w:rPr/>
        <w:t>time to</w:t>
      </w:r>
      <w:r>
        <w:rPr>
          <w:spacing w:val="-6"/>
        </w:rPr>
        <w:t> </w:t>
      </w:r>
      <w:r>
        <w:rPr/>
        <w:t>turn</w:t>
      </w:r>
      <w:r>
        <w:rPr>
          <w:spacing w:val="-6"/>
        </w:rPr>
        <w:t> </w:t>
      </w:r>
      <w:r>
        <w:rPr/>
        <w:t>growth</w:t>
      </w:r>
      <w:r>
        <w:rPr>
          <w:spacing w:val="-6"/>
        </w:rPr>
        <w:t> </w:t>
      </w:r>
      <w:r>
        <w:rPr/>
        <w:t>into</w:t>
      </w:r>
      <w:r>
        <w:rPr>
          <w:spacing w:val="-5"/>
        </w:rPr>
        <w:t> </w:t>
      </w:r>
      <w:r>
        <w:rPr/>
        <w:t>profitability.</w:t>
      </w:r>
      <w:r>
        <w:rPr>
          <w:spacing w:val="-11"/>
        </w:rPr>
        <w:t> </w:t>
      </w:r>
      <w:r>
        <w:rPr/>
        <w:t>This</w:t>
      </w:r>
      <w:r>
        <w:rPr>
          <w:spacing w:val="-12"/>
        </w:rPr>
        <w:t> </w:t>
      </w:r>
      <w:r>
        <w:rPr/>
        <w:t>is</w:t>
      </w:r>
      <w:r>
        <w:rPr>
          <w:spacing w:val="-7"/>
        </w:rPr>
        <w:t> </w:t>
      </w:r>
      <w:r>
        <w:rPr/>
        <w:t>particularly</w:t>
      </w:r>
      <w:r>
        <w:rPr>
          <w:spacing w:val="-7"/>
        </w:rPr>
        <w:t> </w:t>
      </w:r>
      <w:r>
        <w:rPr/>
        <w:t>crucial</w:t>
      </w:r>
      <w:r>
        <w:rPr>
          <w:spacing w:val="-4"/>
        </w:rPr>
        <w:t> </w:t>
      </w:r>
      <w:r>
        <w:rPr/>
        <w:t>to</w:t>
      </w:r>
      <w:r>
        <w:rPr>
          <w:spacing w:val="-6"/>
        </w:rPr>
        <w:t> </w:t>
      </w:r>
      <w:r>
        <w:rPr/>
        <w:t>NIO</w:t>
      </w:r>
      <w:r>
        <w:rPr>
          <w:spacing w:val="-6"/>
        </w:rPr>
        <w:t> </w:t>
      </w:r>
      <w:r>
        <w:rPr/>
        <w:t>since</w:t>
      </w:r>
      <w:r>
        <w:rPr>
          <w:spacing w:val="-10"/>
        </w:rPr>
        <w:t> </w:t>
      </w:r>
      <w:r>
        <w:rPr/>
        <w:t>its</w:t>
      </w:r>
      <w:r>
        <w:rPr>
          <w:spacing w:val="-6"/>
        </w:rPr>
        <w:t> </w:t>
      </w:r>
      <w:r>
        <w:rPr/>
        <w:t>current</w:t>
      </w:r>
      <w:r>
        <w:rPr>
          <w:spacing w:val="-11"/>
        </w:rPr>
        <w:t> </w:t>
      </w:r>
      <w:r>
        <w:rPr/>
        <w:t>liabilities outweigh</w:t>
      </w:r>
      <w:r>
        <w:rPr>
          <w:spacing w:val="-15"/>
        </w:rPr>
        <w:t> </w:t>
      </w:r>
      <w:r>
        <w:rPr/>
        <w:t>its</w:t>
      </w:r>
      <w:r>
        <w:rPr>
          <w:spacing w:val="-10"/>
        </w:rPr>
        <w:t> </w:t>
      </w:r>
      <w:r>
        <w:rPr/>
        <w:t>current</w:t>
      </w:r>
      <w:r>
        <w:rPr>
          <w:spacing w:val="-10"/>
        </w:rPr>
        <w:t> </w:t>
      </w:r>
      <w:r>
        <w:rPr/>
        <w:t>assets,</w:t>
      </w:r>
      <w:r>
        <w:rPr>
          <w:spacing w:val="-10"/>
        </w:rPr>
        <w:t> </w:t>
      </w:r>
      <w:r>
        <w:rPr/>
        <w:t>and</w:t>
      </w:r>
      <w:r>
        <w:rPr>
          <w:spacing w:val="-10"/>
        </w:rPr>
        <w:t> </w:t>
      </w:r>
      <w:r>
        <w:rPr/>
        <w:t>its</w:t>
      </w:r>
      <w:r>
        <w:rPr>
          <w:spacing w:val="-10"/>
        </w:rPr>
        <w:t> </w:t>
      </w:r>
      <w:r>
        <w:rPr/>
        <w:t>business</w:t>
      </w:r>
      <w:r>
        <w:rPr>
          <w:spacing w:val="-11"/>
        </w:rPr>
        <w:t> </w:t>
      </w:r>
      <w:r>
        <w:rPr/>
        <w:t>is</w:t>
      </w:r>
      <w:r>
        <w:rPr>
          <w:spacing w:val="-15"/>
        </w:rPr>
        <w:t> </w:t>
      </w:r>
      <w:r>
        <w:rPr/>
        <w:t>also</w:t>
      </w:r>
      <w:r>
        <w:rPr>
          <w:spacing w:val="-10"/>
        </w:rPr>
        <w:t> </w:t>
      </w:r>
      <w:r>
        <w:rPr/>
        <w:t>reliant</w:t>
      </w:r>
      <w:r>
        <w:rPr>
          <w:spacing w:val="-10"/>
        </w:rPr>
        <w:t> </w:t>
      </w:r>
      <w:r>
        <w:rPr/>
        <w:t>on</w:t>
      </w:r>
      <w:r>
        <w:rPr>
          <w:spacing w:val="-10"/>
        </w:rPr>
        <w:t> </w:t>
      </w:r>
      <w:r>
        <w:rPr/>
        <w:t>external</w:t>
      </w:r>
      <w:r>
        <w:rPr>
          <w:spacing w:val="-7"/>
        </w:rPr>
        <w:t> </w:t>
      </w:r>
      <w:r>
        <w:rPr/>
        <w:t>financing</w:t>
      </w:r>
      <w:r>
        <w:rPr>
          <w:spacing w:val="-6"/>
        </w:rPr>
        <w:t> </w:t>
      </w:r>
      <w:r>
        <w:rPr/>
        <w:t>(NIO</w:t>
      </w:r>
      <w:r>
        <w:rPr>
          <w:spacing w:val="-10"/>
        </w:rPr>
        <w:t> </w:t>
      </w:r>
      <w:r>
        <w:rPr/>
        <w:t>Inc, </w:t>
      </w:r>
      <w:r>
        <w:rPr>
          <w:spacing w:val="-2"/>
        </w:rPr>
        <w:t>2025).</w:t>
      </w:r>
    </w:p>
    <w:p>
      <w:pPr>
        <w:pStyle w:val="BodyText"/>
        <w:spacing w:line="360" w:lineRule="auto" w:before="161"/>
        <w:ind w:right="350"/>
        <w:jc w:val="both"/>
      </w:pPr>
      <w:r>
        <w:rPr/>
        <w:t>Simultaneously, flexibility</w:t>
      </w:r>
      <w:r>
        <w:rPr>
          <w:spacing w:val="-10"/>
        </w:rPr>
        <w:t> </w:t>
      </w:r>
      <w:r>
        <w:rPr/>
        <w:t>is</w:t>
      </w:r>
      <w:r>
        <w:rPr>
          <w:spacing w:val="-5"/>
        </w:rPr>
        <w:t> </w:t>
      </w:r>
      <w:r>
        <w:rPr/>
        <w:t>not</w:t>
      </w:r>
      <w:r>
        <w:rPr>
          <w:spacing w:val="-5"/>
        </w:rPr>
        <w:t> </w:t>
      </w:r>
      <w:r>
        <w:rPr/>
        <w:t>unrestrained.</w:t>
      </w:r>
      <w:r>
        <w:rPr>
          <w:spacing w:val="-5"/>
        </w:rPr>
        <w:t> </w:t>
      </w:r>
      <w:r>
        <w:rPr/>
        <w:t>Restructuring of debt can</w:t>
      </w:r>
      <w:r>
        <w:rPr>
          <w:spacing w:val="-5"/>
        </w:rPr>
        <w:t> </w:t>
      </w:r>
      <w:r>
        <w:rPr/>
        <w:t>be</w:t>
      </w:r>
      <w:r>
        <w:rPr>
          <w:spacing w:val="-5"/>
        </w:rPr>
        <w:t> </w:t>
      </w:r>
      <w:r>
        <w:rPr/>
        <w:t>accompanied by a covenant and increased future cost of financing or greater control, but a strategic partnership can entail joint control or reduced margins (NIO Inc, 2025). Thus, it is not merely</w:t>
      </w:r>
      <w:r>
        <w:rPr>
          <w:spacing w:val="-17"/>
        </w:rPr>
        <w:t> </w:t>
      </w:r>
      <w:r>
        <w:rPr/>
        <w:t>that</w:t>
      </w:r>
      <w:r>
        <w:rPr>
          <w:spacing w:val="-17"/>
        </w:rPr>
        <w:t> </w:t>
      </w:r>
      <w:r>
        <w:rPr/>
        <w:t>more</w:t>
      </w:r>
      <w:r>
        <w:rPr>
          <w:spacing w:val="-16"/>
        </w:rPr>
        <w:t> </w:t>
      </w:r>
      <w:r>
        <w:rPr/>
        <w:t>cash</w:t>
      </w:r>
      <w:r>
        <w:rPr>
          <w:spacing w:val="-16"/>
        </w:rPr>
        <w:t> </w:t>
      </w:r>
      <w:r>
        <w:rPr/>
        <w:t>will</w:t>
      </w:r>
      <w:r>
        <w:rPr>
          <w:spacing w:val="-13"/>
        </w:rPr>
        <w:t> </w:t>
      </w:r>
      <w:r>
        <w:rPr/>
        <w:t>lead</w:t>
      </w:r>
      <w:r>
        <w:rPr>
          <w:spacing w:val="-16"/>
        </w:rPr>
        <w:t> </w:t>
      </w:r>
      <w:r>
        <w:rPr/>
        <w:t>to</w:t>
      </w:r>
      <w:r>
        <w:rPr>
          <w:spacing w:val="-15"/>
        </w:rPr>
        <w:t> </w:t>
      </w:r>
      <w:r>
        <w:rPr/>
        <w:t>better</w:t>
      </w:r>
      <w:r>
        <w:rPr>
          <w:spacing w:val="-17"/>
        </w:rPr>
        <w:t> </w:t>
      </w:r>
      <w:r>
        <w:rPr/>
        <w:t>results,</w:t>
      </w:r>
      <w:r>
        <w:rPr>
          <w:spacing w:val="-15"/>
        </w:rPr>
        <w:t> </w:t>
      </w:r>
      <w:r>
        <w:rPr/>
        <w:t>but</w:t>
      </w:r>
      <w:r>
        <w:rPr>
          <w:spacing w:val="-16"/>
        </w:rPr>
        <w:t> </w:t>
      </w:r>
      <w:r>
        <w:rPr/>
        <w:t>it</w:t>
      </w:r>
      <w:r>
        <w:rPr>
          <w:spacing w:val="-16"/>
        </w:rPr>
        <w:t> </w:t>
      </w:r>
      <w:r>
        <w:rPr/>
        <w:t>is</w:t>
      </w:r>
      <w:r>
        <w:rPr>
          <w:spacing w:val="-17"/>
        </w:rPr>
        <w:t> </w:t>
      </w:r>
      <w:r>
        <w:rPr/>
        <w:t>dependent</w:t>
      </w:r>
      <w:r>
        <w:rPr>
          <w:spacing w:val="-15"/>
        </w:rPr>
        <w:t> </w:t>
      </w:r>
      <w:r>
        <w:rPr/>
        <w:t>on</w:t>
      </w:r>
      <w:r>
        <w:rPr>
          <w:spacing w:val="-16"/>
        </w:rPr>
        <w:t> </w:t>
      </w:r>
      <w:r>
        <w:rPr/>
        <w:t>the</w:t>
      </w:r>
      <w:r>
        <w:rPr>
          <w:spacing w:val="-16"/>
        </w:rPr>
        <w:t> </w:t>
      </w:r>
      <w:r>
        <w:rPr/>
        <w:t>way</w:t>
      </w:r>
      <w:r>
        <w:rPr>
          <w:spacing w:val="-16"/>
        </w:rPr>
        <w:t> </w:t>
      </w:r>
      <w:r>
        <w:rPr/>
        <w:t>the</w:t>
      </w:r>
      <w:r>
        <w:rPr>
          <w:spacing w:val="-16"/>
        </w:rPr>
        <w:t> </w:t>
      </w:r>
      <w:r>
        <w:rPr/>
        <w:t>funding is designed and the extent to which it is designed to help improve the operations. In general, restructuring ought to be assessed based on reducing financial vulnerability without excessive loss of freedom, enabling NIO to invest, innovate, and compete </w:t>
      </w:r>
      <w:r>
        <w:rPr>
          <w:spacing w:val="-2"/>
        </w:rPr>
        <w:t>effectively.</w:t>
      </w:r>
    </w:p>
    <w:p>
      <w:pPr>
        <w:pStyle w:val="BodyText"/>
        <w:spacing w:after="0" w:line="360" w:lineRule="auto"/>
        <w:jc w:val="both"/>
        <w:sectPr>
          <w:pgSz w:w="12240" w:h="15840"/>
          <w:pgMar w:header="0" w:footer="1051" w:top="1360" w:bottom="1240" w:left="1440" w:right="1080"/>
        </w:sectPr>
      </w:pPr>
    </w:p>
    <w:p>
      <w:pPr>
        <w:pStyle w:val="Heading2"/>
        <w:numPr>
          <w:ilvl w:val="1"/>
          <w:numId w:val="3"/>
        </w:numPr>
        <w:tabs>
          <w:tab w:pos="400" w:val="left" w:leader="none"/>
        </w:tabs>
        <w:spacing w:line="240" w:lineRule="auto" w:before="71" w:after="0"/>
        <w:ind w:left="400" w:right="0" w:hanging="400"/>
        <w:jc w:val="left"/>
      </w:pPr>
      <w:bookmarkStart w:name="4.4 Global &amp; Economic Factors" w:id="45"/>
      <w:bookmarkEnd w:id="45"/>
      <w:r>
        <w:rPr>
          <w:b w:val="0"/>
        </w:rPr>
      </w:r>
      <w:bookmarkStart w:name="_bookmark22" w:id="46"/>
      <w:bookmarkEnd w:id="46"/>
      <w:r>
        <w:rPr>
          <w:b w:val="0"/>
        </w:rPr>
      </w:r>
      <w:r>
        <w:rPr/>
        <w:t>Global</w:t>
      </w:r>
      <w:r>
        <w:rPr>
          <w:spacing w:val="-5"/>
        </w:rPr>
        <w:t> </w:t>
      </w:r>
      <w:r>
        <w:rPr/>
        <w:t>&amp;</w:t>
      </w:r>
      <w:r>
        <w:rPr>
          <w:spacing w:val="-4"/>
        </w:rPr>
        <w:t> </w:t>
      </w:r>
      <w:r>
        <w:rPr/>
        <w:t>Economic</w:t>
      </w:r>
      <w:r>
        <w:rPr>
          <w:spacing w:val="-3"/>
        </w:rPr>
        <w:t> </w:t>
      </w:r>
      <w:r>
        <w:rPr>
          <w:spacing w:val="-2"/>
        </w:rPr>
        <w:t>Factors</w:t>
      </w:r>
    </w:p>
    <w:p>
      <w:pPr>
        <w:pStyle w:val="BodyText"/>
        <w:rPr>
          <w:rFonts w:ascii="Arial"/>
          <w:b/>
        </w:rPr>
      </w:pPr>
    </w:p>
    <w:p>
      <w:pPr>
        <w:pStyle w:val="BodyText"/>
        <w:spacing w:before="243"/>
        <w:rPr>
          <w:rFonts w:ascii="Arial"/>
          <w:b/>
        </w:rPr>
      </w:pPr>
    </w:p>
    <w:p>
      <w:pPr>
        <w:pStyle w:val="BodyText"/>
        <w:spacing w:line="360" w:lineRule="auto"/>
        <w:ind w:right="350"/>
        <w:jc w:val="both"/>
      </w:pPr>
      <w:r>
        <w:rPr/>
        <w:t>The worldwide events, such as supply chain and trade tensions, influence the cost structure</w:t>
      </w:r>
      <w:r>
        <w:rPr>
          <w:spacing w:val="-17"/>
        </w:rPr>
        <w:t> </w:t>
      </w:r>
      <w:r>
        <w:rPr/>
        <w:t>and</w:t>
      </w:r>
      <w:r>
        <w:rPr>
          <w:spacing w:val="-17"/>
        </w:rPr>
        <w:t> </w:t>
      </w:r>
      <w:r>
        <w:rPr/>
        <w:t>growth</w:t>
      </w:r>
      <w:r>
        <w:rPr>
          <w:spacing w:val="-16"/>
        </w:rPr>
        <w:t> </w:t>
      </w:r>
      <w:r>
        <w:rPr/>
        <w:t>of</w:t>
      </w:r>
      <w:r>
        <w:rPr>
          <w:spacing w:val="-17"/>
        </w:rPr>
        <w:t> </w:t>
      </w:r>
      <w:r>
        <w:rPr/>
        <w:t>NIO</w:t>
      </w:r>
      <w:r>
        <w:rPr>
          <w:spacing w:val="-13"/>
        </w:rPr>
        <w:t> </w:t>
      </w:r>
      <w:r>
        <w:rPr/>
        <w:t>(NIO</w:t>
      </w:r>
      <w:r>
        <w:rPr>
          <w:spacing w:val="-17"/>
        </w:rPr>
        <w:t> </w:t>
      </w:r>
      <w:r>
        <w:rPr/>
        <w:t>Inc,</w:t>
      </w:r>
      <w:r>
        <w:rPr>
          <w:spacing w:val="-16"/>
        </w:rPr>
        <w:t> </w:t>
      </w:r>
      <w:r>
        <w:rPr/>
        <w:t>2025).</w:t>
      </w:r>
      <w:r>
        <w:rPr>
          <w:spacing w:val="-17"/>
        </w:rPr>
        <w:t> </w:t>
      </w:r>
      <w:r>
        <w:rPr/>
        <w:t>It</w:t>
      </w:r>
      <w:r>
        <w:rPr>
          <w:spacing w:val="-16"/>
        </w:rPr>
        <w:t> </w:t>
      </w:r>
      <w:r>
        <w:rPr/>
        <w:t>is</w:t>
      </w:r>
      <w:r>
        <w:rPr>
          <w:spacing w:val="-17"/>
        </w:rPr>
        <w:t> </w:t>
      </w:r>
      <w:r>
        <w:rPr/>
        <w:t>dependent</w:t>
      </w:r>
      <w:r>
        <w:rPr>
          <w:spacing w:val="-16"/>
        </w:rPr>
        <w:t> </w:t>
      </w:r>
      <w:r>
        <w:rPr/>
        <w:t>on</w:t>
      </w:r>
      <w:r>
        <w:rPr>
          <w:spacing w:val="-17"/>
        </w:rPr>
        <w:t> </w:t>
      </w:r>
      <w:r>
        <w:rPr/>
        <w:t>imported</w:t>
      </w:r>
      <w:r>
        <w:rPr>
          <w:spacing w:val="-16"/>
        </w:rPr>
        <w:t> </w:t>
      </w:r>
      <w:r>
        <w:rPr/>
        <w:t>parts</w:t>
      </w:r>
      <w:r>
        <w:rPr>
          <w:spacing w:val="-17"/>
        </w:rPr>
        <w:t> </w:t>
      </w:r>
      <w:r>
        <w:rPr/>
        <w:t>and</w:t>
      </w:r>
      <w:r>
        <w:rPr>
          <w:spacing w:val="-10"/>
        </w:rPr>
        <w:t> </w:t>
      </w:r>
      <w:r>
        <w:rPr/>
        <w:t>battery materials, meaning any tariffs, export restrictions or logistical problems would increase expenses</w:t>
      </w:r>
      <w:r>
        <w:rPr>
          <w:spacing w:val="-17"/>
        </w:rPr>
        <w:t> </w:t>
      </w:r>
      <w:r>
        <w:rPr/>
        <w:t>or</w:t>
      </w:r>
      <w:r>
        <w:rPr>
          <w:spacing w:val="-15"/>
        </w:rPr>
        <w:t> </w:t>
      </w:r>
      <w:r>
        <w:rPr/>
        <w:t>prevent</w:t>
      </w:r>
      <w:r>
        <w:rPr>
          <w:spacing w:val="-17"/>
        </w:rPr>
        <w:t> </w:t>
      </w:r>
      <w:r>
        <w:rPr/>
        <w:t>access</w:t>
      </w:r>
      <w:r>
        <w:rPr>
          <w:spacing w:val="-12"/>
        </w:rPr>
        <w:t> </w:t>
      </w:r>
      <w:r>
        <w:rPr/>
        <w:t>to</w:t>
      </w:r>
      <w:r>
        <w:rPr>
          <w:spacing w:val="-16"/>
        </w:rPr>
        <w:t> </w:t>
      </w:r>
      <w:r>
        <w:rPr/>
        <w:t>new</w:t>
      </w:r>
      <w:r>
        <w:rPr>
          <w:spacing w:val="-13"/>
        </w:rPr>
        <w:t> </w:t>
      </w:r>
      <w:r>
        <w:rPr/>
        <w:t>markets</w:t>
      </w:r>
      <w:r>
        <w:rPr>
          <w:spacing w:val="-12"/>
        </w:rPr>
        <w:t> </w:t>
      </w:r>
      <w:r>
        <w:rPr/>
        <w:t>such</w:t>
      </w:r>
      <w:r>
        <w:rPr>
          <w:spacing w:val="-12"/>
        </w:rPr>
        <w:t> </w:t>
      </w:r>
      <w:r>
        <w:rPr/>
        <w:t>as</w:t>
      </w:r>
      <w:r>
        <w:rPr>
          <w:spacing w:val="-13"/>
        </w:rPr>
        <w:t> </w:t>
      </w:r>
      <w:r>
        <w:rPr/>
        <w:t>Europe</w:t>
      </w:r>
      <w:r>
        <w:rPr>
          <w:spacing w:val="-12"/>
        </w:rPr>
        <w:t> </w:t>
      </w:r>
      <w:r>
        <w:rPr/>
        <w:t>and</w:t>
      </w:r>
      <w:r>
        <w:rPr>
          <w:spacing w:val="-12"/>
        </w:rPr>
        <w:t> </w:t>
      </w:r>
      <w:r>
        <w:rPr/>
        <w:t>North</w:t>
      </w:r>
      <w:r>
        <w:rPr>
          <w:spacing w:val="-17"/>
        </w:rPr>
        <w:t> </w:t>
      </w:r>
      <w:r>
        <w:rPr/>
        <w:t>America (NIO</w:t>
      </w:r>
      <w:r>
        <w:rPr>
          <w:spacing w:val="-17"/>
        </w:rPr>
        <w:t> </w:t>
      </w:r>
      <w:r>
        <w:rPr/>
        <w:t>Inc, </w:t>
      </w:r>
      <w:r>
        <w:rPr>
          <w:spacing w:val="-2"/>
        </w:rPr>
        <w:t>2025).</w:t>
      </w:r>
    </w:p>
    <w:p>
      <w:pPr>
        <w:pStyle w:val="BodyText"/>
        <w:spacing w:line="360" w:lineRule="auto" w:before="163"/>
        <w:ind w:right="351"/>
        <w:jc w:val="both"/>
      </w:pPr>
      <w:r>
        <w:rPr/>
        <w:t>The economic factors consist of the interest rates and the sensitivity of consumer demand. Both increase the debt burden of NIO because of higher borrowing costs and decrease</w:t>
      </w:r>
      <w:r>
        <w:rPr>
          <w:spacing w:val="-6"/>
        </w:rPr>
        <w:t> </w:t>
      </w:r>
      <w:r>
        <w:rPr/>
        <w:t>the</w:t>
      </w:r>
      <w:r>
        <w:rPr>
          <w:spacing w:val="-6"/>
        </w:rPr>
        <w:t> </w:t>
      </w:r>
      <w:r>
        <w:rPr/>
        <w:t>affordability</w:t>
      </w:r>
      <w:r>
        <w:rPr>
          <w:spacing w:val="-2"/>
        </w:rPr>
        <w:t> </w:t>
      </w:r>
      <w:r>
        <w:rPr/>
        <w:t>of</w:t>
      </w:r>
      <w:r>
        <w:rPr>
          <w:spacing w:val="-7"/>
        </w:rPr>
        <w:t> </w:t>
      </w:r>
      <w:r>
        <w:rPr/>
        <w:t>EVs,</w:t>
      </w:r>
      <w:r>
        <w:rPr>
          <w:spacing w:val="-1"/>
        </w:rPr>
        <w:t> </w:t>
      </w:r>
      <w:r>
        <w:rPr/>
        <w:t>and</w:t>
      </w:r>
      <w:r>
        <w:rPr>
          <w:spacing w:val="-6"/>
        </w:rPr>
        <w:t> </w:t>
      </w:r>
      <w:r>
        <w:rPr/>
        <w:t>postpone</w:t>
      </w:r>
      <w:r>
        <w:rPr>
          <w:spacing w:val="-2"/>
        </w:rPr>
        <w:t> </w:t>
      </w:r>
      <w:r>
        <w:rPr/>
        <w:t>the</w:t>
      </w:r>
      <w:r>
        <w:rPr>
          <w:spacing w:val="-6"/>
        </w:rPr>
        <w:t> </w:t>
      </w:r>
      <w:r>
        <w:rPr/>
        <w:t>transition</w:t>
      </w:r>
      <w:r>
        <w:rPr>
          <w:spacing w:val="-2"/>
        </w:rPr>
        <w:t> </w:t>
      </w:r>
      <w:r>
        <w:rPr/>
        <w:t>to</w:t>
      </w:r>
      <w:r>
        <w:rPr>
          <w:spacing w:val="-6"/>
        </w:rPr>
        <w:t> </w:t>
      </w:r>
      <w:r>
        <w:rPr/>
        <w:t>high-end</w:t>
      </w:r>
      <w:r>
        <w:rPr>
          <w:spacing w:val="-2"/>
        </w:rPr>
        <w:t> </w:t>
      </w:r>
      <w:r>
        <w:rPr/>
        <w:t>models,</w:t>
      </w:r>
      <w:r>
        <w:rPr>
          <w:spacing w:val="-7"/>
        </w:rPr>
        <w:t> </w:t>
      </w:r>
      <w:r>
        <w:rPr/>
        <w:t>as</w:t>
      </w:r>
      <w:r>
        <w:rPr>
          <w:spacing w:val="-2"/>
        </w:rPr>
        <w:t> </w:t>
      </w:r>
      <w:r>
        <w:rPr/>
        <w:t>the economic environment gets weaker (NIO Inc, 2025). In China, there are domestic headwinds</w:t>
      </w:r>
      <w:r>
        <w:rPr>
          <w:spacing w:val="-17"/>
        </w:rPr>
        <w:t> </w:t>
      </w:r>
      <w:r>
        <w:rPr/>
        <w:t>in</w:t>
      </w:r>
      <w:r>
        <w:rPr>
          <w:spacing w:val="-11"/>
        </w:rPr>
        <w:t> </w:t>
      </w:r>
      <w:r>
        <w:rPr/>
        <w:t>the</w:t>
      </w:r>
      <w:r>
        <w:rPr>
          <w:spacing w:val="-11"/>
        </w:rPr>
        <w:t> </w:t>
      </w:r>
      <w:r>
        <w:rPr/>
        <w:t>form</w:t>
      </w:r>
      <w:r>
        <w:rPr>
          <w:spacing w:val="-17"/>
        </w:rPr>
        <w:t> </w:t>
      </w:r>
      <w:r>
        <w:rPr/>
        <w:t>of</w:t>
      </w:r>
      <w:r>
        <w:rPr>
          <w:spacing w:val="-7"/>
        </w:rPr>
        <w:t> </w:t>
      </w:r>
      <w:r>
        <w:rPr/>
        <w:t>a</w:t>
      </w:r>
      <w:r>
        <w:rPr>
          <w:spacing w:val="-11"/>
        </w:rPr>
        <w:t> </w:t>
      </w:r>
      <w:r>
        <w:rPr/>
        <w:t>weak</w:t>
      </w:r>
      <w:r>
        <w:rPr>
          <w:spacing w:val="-12"/>
        </w:rPr>
        <w:t> </w:t>
      </w:r>
      <w:r>
        <w:rPr/>
        <w:t>property</w:t>
      </w:r>
      <w:r>
        <w:rPr>
          <w:spacing w:val="-11"/>
        </w:rPr>
        <w:t> </w:t>
      </w:r>
      <w:r>
        <w:rPr/>
        <w:t>market</w:t>
      </w:r>
      <w:r>
        <w:rPr>
          <w:spacing w:val="-11"/>
        </w:rPr>
        <w:t> </w:t>
      </w:r>
      <w:r>
        <w:rPr/>
        <w:t>and</w:t>
      </w:r>
      <w:r>
        <w:rPr>
          <w:spacing w:val="-11"/>
        </w:rPr>
        <w:t> </w:t>
      </w:r>
      <w:r>
        <w:rPr/>
        <w:t>consumer</w:t>
      </w:r>
      <w:r>
        <w:rPr>
          <w:spacing w:val="-10"/>
        </w:rPr>
        <w:t> </w:t>
      </w:r>
      <w:r>
        <w:rPr/>
        <w:t>caution.</w:t>
      </w:r>
      <w:r>
        <w:rPr>
          <w:spacing w:val="-11"/>
        </w:rPr>
        <w:t> </w:t>
      </w:r>
      <w:r>
        <w:rPr/>
        <w:t>NIO</w:t>
      </w:r>
      <w:r>
        <w:rPr>
          <w:spacing w:val="-11"/>
        </w:rPr>
        <w:t> </w:t>
      </w:r>
      <w:r>
        <w:rPr/>
        <w:t>should</w:t>
      </w:r>
      <w:r>
        <w:rPr>
          <w:spacing w:val="-11"/>
        </w:rPr>
        <w:t> </w:t>
      </w:r>
      <w:r>
        <w:rPr/>
        <w:t>then be able to remain sensitive to macro changes and not be overly dependent on growth </w:t>
      </w:r>
      <w:r>
        <w:rPr>
          <w:spacing w:val="-2"/>
        </w:rPr>
        <w:t>assumptions.</w:t>
      </w:r>
    </w:p>
    <w:p>
      <w:pPr>
        <w:pStyle w:val="BodyText"/>
      </w:pPr>
    </w:p>
    <w:p>
      <w:pPr>
        <w:pStyle w:val="BodyText"/>
        <w:spacing w:before="180"/>
      </w:pPr>
    </w:p>
    <w:p>
      <w:pPr>
        <w:pStyle w:val="Heading2"/>
        <w:numPr>
          <w:ilvl w:val="1"/>
          <w:numId w:val="3"/>
        </w:numPr>
        <w:tabs>
          <w:tab w:pos="400" w:val="left" w:leader="none"/>
        </w:tabs>
        <w:spacing w:line="240" w:lineRule="auto" w:before="0" w:after="0"/>
        <w:ind w:left="400" w:right="0" w:hanging="400"/>
        <w:jc w:val="left"/>
      </w:pPr>
      <w:bookmarkStart w:name="4.5 Ethical &amp; Sustainability" w:id="47"/>
      <w:bookmarkEnd w:id="47"/>
      <w:r>
        <w:rPr>
          <w:b w:val="0"/>
        </w:rPr>
      </w:r>
      <w:bookmarkStart w:name="_bookmark23" w:id="48"/>
      <w:bookmarkEnd w:id="48"/>
      <w:r>
        <w:rPr>
          <w:b w:val="0"/>
        </w:rPr>
      </w:r>
      <w:r>
        <w:rPr/>
        <w:t>Ethical</w:t>
      </w:r>
      <w:r>
        <w:rPr>
          <w:spacing w:val="-2"/>
        </w:rPr>
        <w:t> </w:t>
      </w:r>
      <w:r>
        <w:rPr/>
        <w:t>&amp;</w:t>
      </w:r>
      <w:r>
        <w:rPr>
          <w:spacing w:val="-2"/>
        </w:rPr>
        <w:t> Sustainability</w:t>
      </w:r>
    </w:p>
    <w:p>
      <w:pPr>
        <w:pStyle w:val="BodyText"/>
        <w:spacing w:line="360" w:lineRule="auto" w:before="223"/>
        <w:ind w:right="354"/>
        <w:jc w:val="both"/>
      </w:pPr>
      <w:r>
        <w:rPr/>
        <w:t>NIO is EV-focused, which promotes sustainability by decreasing emissions, yet such concerns as labour practices of the supply chain in battery minerals and the environmental impact of mining are also ethical concerns (Cui &amp; Chen, 2025). ESG reporting</w:t>
      </w:r>
      <w:r>
        <w:rPr>
          <w:spacing w:val="-7"/>
        </w:rPr>
        <w:t> </w:t>
      </w:r>
      <w:r>
        <w:rPr/>
        <w:t>and</w:t>
      </w:r>
      <w:r>
        <w:rPr>
          <w:spacing w:val="-7"/>
        </w:rPr>
        <w:t> </w:t>
      </w:r>
      <w:r>
        <w:rPr/>
        <w:t>third-party</w:t>
      </w:r>
      <w:r>
        <w:rPr>
          <w:spacing w:val="-12"/>
        </w:rPr>
        <w:t> </w:t>
      </w:r>
      <w:r>
        <w:rPr/>
        <w:t>audits</w:t>
      </w:r>
      <w:r>
        <w:rPr>
          <w:spacing w:val="-7"/>
        </w:rPr>
        <w:t> </w:t>
      </w:r>
      <w:r>
        <w:rPr/>
        <w:t>should</w:t>
      </w:r>
      <w:r>
        <w:rPr>
          <w:spacing w:val="-12"/>
        </w:rPr>
        <w:t> </w:t>
      </w:r>
      <w:r>
        <w:rPr/>
        <w:t>also</w:t>
      </w:r>
      <w:r>
        <w:rPr>
          <w:spacing w:val="-3"/>
        </w:rPr>
        <w:t> </w:t>
      </w:r>
      <w:r>
        <w:rPr/>
        <w:t>be</w:t>
      </w:r>
      <w:r>
        <w:rPr>
          <w:spacing w:val="-12"/>
        </w:rPr>
        <w:t> </w:t>
      </w:r>
      <w:r>
        <w:rPr/>
        <w:t>reinforced</w:t>
      </w:r>
      <w:r>
        <w:rPr>
          <w:spacing w:val="-7"/>
        </w:rPr>
        <w:t> </w:t>
      </w:r>
      <w:r>
        <w:rPr/>
        <w:t>by</w:t>
      </w:r>
      <w:r>
        <w:rPr>
          <w:spacing w:val="-13"/>
        </w:rPr>
        <w:t> </w:t>
      </w:r>
      <w:r>
        <w:rPr/>
        <w:t>the</w:t>
      </w:r>
      <w:r>
        <w:rPr>
          <w:spacing w:val="-12"/>
        </w:rPr>
        <w:t> </w:t>
      </w:r>
      <w:r>
        <w:rPr/>
        <w:t>company</w:t>
      </w:r>
      <w:r>
        <w:rPr>
          <w:spacing w:val="-8"/>
        </w:rPr>
        <w:t> </w:t>
      </w:r>
      <w:r>
        <w:rPr/>
        <w:t>in</w:t>
      </w:r>
      <w:r>
        <w:rPr>
          <w:spacing w:val="-12"/>
        </w:rPr>
        <w:t> </w:t>
      </w:r>
      <w:r>
        <w:rPr/>
        <w:t>order</w:t>
      </w:r>
      <w:r>
        <w:rPr>
          <w:spacing w:val="-6"/>
        </w:rPr>
        <w:t> </w:t>
      </w:r>
      <w:r>
        <w:rPr/>
        <w:t>to</w:t>
      </w:r>
      <w:r>
        <w:rPr>
          <w:spacing w:val="-7"/>
        </w:rPr>
        <w:t> </w:t>
      </w:r>
      <w:r>
        <w:rPr/>
        <w:t>gain the confidence of investors and regulators.</w:t>
      </w:r>
    </w:p>
    <w:p>
      <w:pPr>
        <w:pStyle w:val="BodyText"/>
        <w:spacing w:line="360" w:lineRule="auto" w:before="158"/>
        <w:ind w:right="355"/>
        <w:jc w:val="both"/>
      </w:pPr>
      <w:r>
        <w:rPr/>
        <w:t>Sustainability also implies that financial restructuring will not damage any of the stakeholders, including not using aggressive debt strategies to squeeze suppliers or employees.</w:t>
      </w:r>
      <w:r>
        <w:rPr>
          <w:spacing w:val="-10"/>
        </w:rPr>
        <w:t> </w:t>
      </w:r>
      <w:r>
        <w:rPr/>
        <w:t>Green</w:t>
      </w:r>
      <w:r>
        <w:rPr>
          <w:spacing w:val="-10"/>
        </w:rPr>
        <w:t> </w:t>
      </w:r>
      <w:r>
        <w:rPr/>
        <w:t>financing,</w:t>
      </w:r>
      <w:r>
        <w:rPr>
          <w:spacing w:val="-14"/>
        </w:rPr>
        <w:t> </w:t>
      </w:r>
      <w:r>
        <w:rPr/>
        <w:t>including</w:t>
      </w:r>
      <w:r>
        <w:rPr>
          <w:spacing w:val="-14"/>
        </w:rPr>
        <w:t> </w:t>
      </w:r>
      <w:r>
        <w:rPr/>
        <w:t>green</w:t>
      </w:r>
      <w:r>
        <w:rPr>
          <w:spacing w:val="-14"/>
        </w:rPr>
        <w:t> </w:t>
      </w:r>
      <w:r>
        <w:rPr/>
        <w:t>bonds</w:t>
      </w:r>
      <w:r>
        <w:rPr>
          <w:spacing w:val="-11"/>
        </w:rPr>
        <w:t> </w:t>
      </w:r>
      <w:r>
        <w:rPr/>
        <w:t>or</w:t>
      </w:r>
      <w:r>
        <w:rPr>
          <w:spacing w:val="-9"/>
        </w:rPr>
        <w:t> </w:t>
      </w:r>
      <w:r>
        <w:rPr/>
        <w:t>ESG-linked</w:t>
      </w:r>
      <w:r>
        <w:rPr>
          <w:spacing w:val="-14"/>
        </w:rPr>
        <w:t> </w:t>
      </w:r>
      <w:r>
        <w:rPr/>
        <w:t>equity,</w:t>
      </w:r>
      <w:r>
        <w:rPr>
          <w:spacing w:val="-10"/>
        </w:rPr>
        <w:t> </w:t>
      </w:r>
      <w:r>
        <w:rPr/>
        <w:t>may</w:t>
      </w:r>
      <w:r>
        <w:rPr>
          <w:spacing w:val="-11"/>
        </w:rPr>
        <w:t> </w:t>
      </w:r>
      <w:r>
        <w:rPr/>
        <w:t>match</w:t>
      </w:r>
      <w:r>
        <w:rPr>
          <w:spacing w:val="-10"/>
        </w:rPr>
        <w:t> </w:t>
      </w:r>
      <w:r>
        <w:rPr/>
        <w:t>the objectives of capital with the goals of the environment and reduce expenses. Comprehensively, NIO needs to incorporate sustainability in its restructuring in order to improve its long-term image and value (Cui &amp; Chen, 2025).</w:t>
      </w:r>
    </w:p>
    <w:p>
      <w:pPr>
        <w:pStyle w:val="BodyText"/>
        <w:spacing w:after="0" w:line="360" w:lineRule="auto"/>
        <w:jc w:val="both"/>
        <w:sectPr>
          <w:pgSz w:w="12240" w:h="15840"/>
          <w:pgMar w:header="0" w:footer="1051" w:top="1360" w:bottom="1240" w:left="1440" w:right="1080"/>
        </w:sectPr>
      </w:pPr>
    </w:p>
    <w:p>
      <w:pPr>
        <w:pStyle w:val="Heading2"/>
        <w:numPr>
          <w:ilvl w:val="0"/>
          <w:numId w:val="3"/>
        </w:numPr>
        <w:tabs>
          <w:tab w:pos="266" w:val="left" w:leader="none"/>
        </w:tabs>
        <w:spacing w:line="240" w:lineRule="auto" w:before="71" w:after="0"/>
        <w:ind w:left="266" w:right="0" w:hanging="266"/>
        <w:jc w:val="left"/>
      </w:pPr>
      <w:bookmarkStart w:name="5. Investment Appraisal" w:id="49"/>
      <w:bookmarkEnd w:id="49"/>
      <w:r>
        <w:rPr>
          <w:b w:val="0"/>
        </w:rPr>
      </w:r>
      <w:bookmarkStart w:name="_bookmark24" w:id="50"/>
      <w:bookmarkEnd w:id="50"/>
      <w:r>
        <w:rPr>
          <w:b w:val="0"/>
        </w:rPr>
      </w:r>
      <w:r>
        <w:rPr/>
        <w:t>Investment</w:t>
      </w:r>
      <w:r>
        <w:rPr>
          <w:spacing w:val="-16"/>
        </w:rPr>
        <w:t> </w:t>
      </w:r>
      <w:r>
        <w:rPr>
          <w:spacing w:val="-2"/>
        </w:rPr>
        <w:t>Appraisal</w:t>
      </w:r>
    </w:p>
    <w:p>
      <w:pPr>
        <w:pStyle w:val="BodyText"/>
        <w:spacing w:before="24"/>
        <w:rPr>
          <w:rFonts w:ascii="Arial"/>
          <w:b/>
        </w:rPr>
      </w:pPr>
    </w:p>
    <w:p>
      <w:pPr>
        <w:pStyle w:val="Heading2"/>
        <w:numPr>
          <w:ilvl w:val="1"/>
          <w:numId w:val="3"/>
        </w:numPr>
        <w:tabs>
          <w:tab w:pos="400" w:val="left" w:leader="none"/>
        </w:tabs>
        <w:spacing w:line="240" w:lineRule="auto" w:before="0" w:after="0"/>
        <w:ind w:left="400" w:right="0" w:hanging="400"/>
        <w:jc w:val="left"/>
      </w:pPr>
      <w:bookmarkStart w:name="5.1 Introduction to Investment Decision" w:id="51"/>
      <w:bookmarkEnd w:id="51"/>
      <w:r>
        <w:rPr>
          <w:b w:val="0"/>
        </w:rPr>
      </w:r>
      <w:bookmarkStart w:name="_bookmark25" w:id="52"/>
      <w:bookmarkEnd w:id="52"/>
      <w:r>
        <w:rPr>
          <w:b w:val="0"/>
        </w:rPr>
      </w:r>
      <w:r>
        <w:rPr/>
        <w:t>Introduction</w:t>
      </w:r>
      <w:r>
        <w:rPr>
          <w:spacing w:val="-10"/>
        </w:rPr>
        <w:t> </w:t>
      </w:r>
      <w:r>
        <w:rPr/>
        <w:t>to</w:t>
      </w:r>
      <w:r>
        <w:rPr>
          <w:spacing w:val="-6"/>
        </w:rPr>
        <w:t> </w:t>
      </w:r>
      <w:r>
        <w:rPr/>
        <w:t>Investment</w:t>
      </w:r>
      <w:r>
        <w:rPr>
          <w:spacing w:val="-6"/>
        </w:rPr>
        <w:t> </w:t>
      </w:r>
      <w:r>
        <w:rPr>
          <w:spacing w:val="-2"/>
        </w:rPr>
        <w:t>Decision</w:t>
      </w:r>
    </w:p>
    <w:p>
      <w:pPr>
        <w:pStyle w:val="BodyText"/>
        <w:spacing w:line="360" w:lineRule="auto" w:before="219"/>
        <w:ind w:right="356"/>
        <w:jc w:val="both"/>
      </w:pPr>
      <w:r>
        <w:rPr/>
        <w:t>Investment</w:t>
      </w:r>
      <w:r>
        <w:rPr>
          <w:spacing w:val="-11"/>
        </w:rPr>
        <w:t> </w:t>
      </w:r>
      <w:r>
        <w:rPr/>
        <w:t>appraisal</w:t>
      </w:r>
      <w:r>
        <w:rPr>
          <w:spacing w:val="-12"/>
        </w:rPr>
        <w:t> </w:t>
      </w:r>
      <w:r>
        <w:rPr/>
        <w:t>is</w:t>
      </w:r>
      <w:r>
        <w:rPr>
          <w:spacing w:val="-16"/>
        </w:rPr>
        <w:t> </w:t>
      </w:r>
      <w:r>
        <w:rPr/>
        <w:t>a</w:t>
      </w:r>
      <w:r>
        <w:rPr>
          <w:spacing w:val="-11"/>
        </w:rPr>
        <w:t> </w:t>
      </w:r>
      <w:r>
        <w:rPr/>
        <w:t>basic</w:t>
      </w:r>
      <w:r>
        <w:rPr>
          <w:spacing w:val="-16"/>
        </w:rPr>
        <w:t> </w:t>
      </w:r>
      <w:r>
        <w:rPr/>
        <w:t>procedure</w:t>
      </w:r>
      <w:r>
        <w:rPr>
          <w:spacing w:val="-16"/>
        </w:rPr>
        <w:t> </w:t>
      </w:r>
      <w:r>
        <w:rPr/>
        <w:t>in</w:t>
      </w:r>
      <w:r>
        <w:rPr>
          <w:spacing w:val="-11"/>
        </w:rPr>
        <w:t> </w:t>
      </w:r>
      <w:r>
        <w:rPr/>
        <w:t>capital</w:t>
      </w:r>
      <w:r>
        <w:rPr>
          <w:spacing w:val="-12"/>
        </w:rPr>
        <w:t> </w:t>
      </w:r>
      <w:r>
        <w:rPr/>
        <w:t>budgeting</w:t>
      </w:r>
      <w:r>
        <w:rPr>
          <w:spacing w:val="-15"/>
        </w:rPr>
        <w:t> </w:t>
      </w:r>
      <w:r>
        <w:rPr/>
        <w:t>that</w:t>
      </w:r>
      <w:r>
        <w:rPr>
          <w:spacing w:val="-16"/>
        </w:rPr>
        <w:t> </w:t>
      </w:r>
      <w:r>
        <w:rPr/>
        <w:t>is</w:t>
      </w:r>
      <w:r>
        <w:rPr>
          <w:spacing w:val="-16"/>
        </w:rPr>
        <w:t> </w:t>
      </w:r>
      <w:r>
        <w:rPr/>
        <w:t>applied</w:t>
      </w:r>
      <w:r>
        <w:rPr>
          <w:spacing w:val="-16"/>
        </w:rPr>
        <w:t> </w:t>
      </w:r>
      <w:r>
        <w:rPr/>
        <w:t>in</w:t>
      </w:r>
      <w:r>
        <w:rPr>
          <w:spacing w:val="-11"/>
        </w:rPr>
        <w:t> </w:t>
      </w:r>
      <w:r>
        <w:rPr/>
        <w:t>assessing the financial feasibility of competing projects. Payback Period (PBP),</w:t>
      </w:r>
      <w:r>
        <w:rPr>
          <w:spacing w:val="-9"/>
        </w:rPr>
        <w:t> </w:t>
      </w:r>
      <w:r>
        <w:rPr/>
        <w:t>Accounting rate of Return (ARR), Net Present value (NPV), internal rate of Return (IRR) and profitability Index</w:t>
      </w:r>
      <w:r>
        <w:rPr>
          <w:spacing w:val="-14"/>
        </w:rPr>
        <w:t> </w:t>
      </w:r>
      <w:r>
        <w:rPr/>
        <w:t>(PI)</w:t>
      </w:r>
      <w:r>
        <w:rPr>
          <w:spacing w:val="-7"/>
        </w:rPr>
        <w:t> </w:t>
      </w:r>
      <w:r>
        <w:rPr/>
        <w:t>are</w:t>
      </w:r>
      <w:r>
        <w:rPr>
          <w:spacing w:val="-8"/>
        </w:rPr>
        <w:t> </w:t>
      </w:r>
      <w:r>
        <w:rPr/>
        <w:t>some</w:t>
      </w:r>
      <w:r>
        <w:rPr>
          <w:spacing w:val="-8"/>
        </w:rPr>
        <w:t> </w:t>
      </w:r>
      <w:r>
        <w:rPr/>
        <w:t>of</w:t>
      </w:r>
      <w:r>
        <w:rPr>
          <w:spacing w:val="-8"/>
        </w:rPr>
        <w:t> </w:t>
      </w:r>
      <w:r>
        <w:rPr/>
        <w:t>the</w:t>
      </w:r>
      <w:r>
        <w:rPr>
          <w:spacing w:val="-8"/>
        </w:rPr>
        <w:t> </w:t>
      </w:r>
      <w:r>
        <w:rPr/>
        <w:t>techniques</w:t>
      </w:r>
      <w:r>
        <w:rPr>
          <w:spacing w:val="-9"/>
        </w:rPr>
        <w:t> </w:t>
      </w:r>
      <w:r>
        <w:rPr/>
        <w:t>that</w:t>
      </w:r>
      <w:r>
        <w:rPr>
          <w:spacing w:val="-13"/>
        </w:rPr>
        <w:t> </w:t>
      </w:r>
      <w:r>
        <w:rPr/>
        <w:t>give</w:t>
      </w:r>
      <w:r>
        <w:rPr>
          <w:spacing w:val="-8"/>
        </w:rPr>
        <w:t> </w:t>
      </w:r>
      <w:r>
        <w:rPr/>
        <w:t>a</w:t>
      </w:r>
      <w:r>
        <w:rPr>
          <w:spacing w:val="-8"/>
        </w:rPr>
        <w:t> </w:t>
      </w:r>
      <w:r>
        <w:rPr/>
        <w:t>holistic</w:t>
      </w:r>
      <w:r>
        <w:rPr>
          <w:spacing w:val="-14"/>
        </w:rPr>
        <w:t> </w:t>
      </w:r>
      <w:r>
        <w:rPr/>
        <w:t>approach</w:t>
      </w:r>
      <w:r>
        <w:rPr>
          <w:spacing w:val="-8"/>
        </w:rPr>
        <w:t> </w:t>
      </w:r>
      <w:r>
        <w:rPr/>
        <w:t>to</w:t>
      </w:r>
      <w:r>
        <w:rPr>
          <w:spacing w:val="-13"/>
        </w:rPr>
        <w:t> </w:t>
      </w:r>
      <w:r>
        <w:rPr/>
        <w:t>liquidity,</w:t>
      </w:r>
      <w:r>
        <w:rPr>
          <w:spacing w:val="-13"/>
        </w:rPr>
        <w:t> </w:t>
      </w:r>
      <w:r>
        <w:rPr/>
        <w:t>profitability and</w:t>
      </w:r>
      <w:r>
        <w:rPr>
          <w:spacing w:val="-12"/>
        </w:rPr>
        <w:t> </w:t>
      </w:r>
      <w:r>
        <w:rPr/>
        <w:t>value</w:t>
      </w:r>
      <w:r>
        <w:rPr>
          <w:spacing w:val="-7"/>
        </w:rPr>
        <w:t> </w:t>
      </w:r>
      <w:r>
        <w:rPr/>
        <w:t>creation</w:t>
      </w:r>
      <w:r>
        <w:rPr>
          <w:spacing w:val="-3"/>
        </w:rPr>
        <w:t> </w:t>
      </w:r>
      <w:r>
        <w:rPr/>
        <w:t>(Kagan,</w:t>
      </w:r>
      <w:r>
        <w:rPr>
          <w:spacing w:val="-7"/>
        </w:rPr>
        <w:t> </w:t>
      </w:r>
      <w:r>
        <w:rPr/>
        <w:t>2025).</w:t>
      </w:r>
      <w:r>
        <w:rPr>
          <w:spacing w:val="-17"/>
        </w:rPr>
        <w:t> </w:t>
      </w:r>
      <w:r>
        <w:rPr/>
        <w:t>Although</w:t>
      </w:r>
      <w:r>
        <w:rPr>
          <w:spacing w:val="-12"/>
        </w:rPr>
        <w:t> </w:t>
      </w:r>
      <w:r>
        <w:rPr/>
        <w:t>discounted</w:t>
      </w:r>
      <w:r>
        <w:rPr>
          <w:spacing w:val="-7"/>
        </w:rPr>
        <w:t> </w:t>
      </w:r>
      <w:r>
        <w:rPr/>
        <w:t>techniques</w:t>
      </w:r>
      <w:r>
        <w:rPr>
          <w:spacing w:val="-17"/>
        </w:rPr>
        <w:t> </w:t>
      </w:r>
      <w:r>
        <w:rPr/>
        <w:t>like</w:t>
      </w:r>
      <w:r>
        <w:rPr>
          <w:spacing w:val="-7"/>
        </w:rPr>
        <w:t> </w:t>
      </w:r>
      <w:r>
        <w:rPr/>
        <w:t>NPV</w:t>
      </w:r>
      <w:r>
        <w:rPr>
          <w:spacing w:val="-9"/>
        </w:rPr>
        <w:t> </w:t>
      </w:r>
      <w:r>
        <w:rPr/>
        <w:t>and</w:t>
      </w:r>
      <w:r>
        <w:rPr>
          <w:spacing w:val="-7"/>
        </w:rPr>
        <w:t> </w:t>
      </w:r>
      <w:r>
        <w:rPr/>
        <w:t>IRR</w:t>
      </w:r>
      <w:r>
        <w:rPr>
          <w:spacing w:val="-8"/>
        </w:rPr>
        <w:t> </w:t>
      </w:r>
      <w:r>
        <w:rPr/>
        <w:t>are better</w:t>
      </w:r>
      <w:r>
        <w:rPr>
          <w:spacing w:val="-6"/>
        </w:rPr>
        <w:t> </w:t>
      </w:r>
      <w:r>
        <w:rPr/>
        <w:t>in</w:t>
      </w:r>
      <w:r>
        <w:rPr>
          <w:spacing w:val="-3"/>
        </w:rPr>
        <w:t> </w:t>
      </w:r>
      <w:r>
        <w:rPr/>
        <w:t>theory</w:t>
      </w:r>
      <w:r>
        <w:rPr>
          <w:spacing w:val="-3"/>
        </w:rPr>
        <w:t> </w:t>
      </w:r>
      <w:r>
        <w:rPr/>
        <w:t>because</w:t>
      </w:r>
      <w:r>
        <w:rPr>
          <w:spacing w:val="-3"/>
        </w:rPr>
        <w:t> </w:t>
      </w:r>
      <w:r>
        <w:rPr/>
        <w:t>they</w:t>
      </w:r>
      <w:r>
        <w:rPr>
          <w:spacing w:val="-8"/>
        </w:rPr>
        <w:t> </w:t>
      </w:r>
      <w:r>
        <w:rPr/>
        <w:t>take</w:t>
      </w:r>
      <w:r>
        <w:rPr>
          <w:spacing w:val="-7"/>
        </w:rPr>
        <w:t> </w:t>
      </w:r>
      <w:r>
        <w:rPr/>
        <w:t>into</w:t>
      </w:r>
      <w:r>
        <w:rPr>
          <w:spacing w:val="-2"/>
        </w:rPr>
        <w:t> </w:t>
      </w:r>
      <w:r>
        <w:rPr/>
        <w:t>account</w:t>
      </w:r>
      <w:r>
        <w:rPr>
          <w:spacing w:val="-3"/>
        </w:rPr>
        <w:t> </w:t>
      </w:r>
      <w:r>
        <w:rPr/>
        <w:t>the</w:t>
      </w:r>
      <w:r>
        <w:rPr>
          <w:spacing w:val="-3"/>
        </w:rPr>
        <w:t> </w:t>
      </w:r>
      <w:r>
        <w:rPr/>
        <w:t>time</w:t>
      </w:r>
      <w:r>
        <w:rPr>
          <w:spacing w:val="-3"/>
        </w:rPr>
        <w:t> </w:t>
      </w:r>
      <w:r>
        <w:rPr/>
        <w:t>value</w:t>
      </w:r>
      <w:r>
        <w:rPr>
          <w:spacing w:val="-3"/>
        </w:rPr>
        <w:t> </w:t>
      </w:r>
      <w:r>
        <w:rPr/>
        <w:t>of</w:t>
      </w:r>
      <w:r>
        <w:rPr>
          <w:spacing w:val="-3"/>
        </w:rPr>
        <w:t> </w:t>
      </w:r>
      <w:r>
        <w:rPr/>
        <w:t>money,</w:t>
      </w:r>
      <w:r>
        <w:rPr>
          <w:spacing w:val="-3"/>
        </w:rPr>
        <w:t> </w:t>
      </w:r>
      <w:r>
        <w:rPr/>
        <w:t>non-discounted techniques, such as payback period, can still be applied to evaluate risk and capital recovery rate. This part reviews three suggested projects (A, B and C) to calculate the most economically feasible project using various appraisal methods.</w:t>
      </w:r>
    </w:p>
    <w:p>
      <w:pPr>
        <w:pStyle w:val="BodyText"/>
      </w:pPr>
    </w:p>
    <w:p>
      <w:pPr>
        <w:pStyle w:val="BodyText"/>
        <w:spacing w:before="182"/>
      </w:pPr>
    </w:p>
    <w:p>
      <w:pPr>
        <w:pStyle w:val="Heading2"/>
        <w:numPr>
          <w:ilvl w:val="1"/>
          <w:numId w:val="3"/>
        </w:numPr>
        <w:tabs>
          <w:tab w:pos="400" w:val="left" w:leader="none"/>
        </w:tabs>
        <w:spacing w:line="240" w:lineRule="auto" w:before="1" w:after="0"/>
        <w:ind w:left="400" w:right="0" w:hanging="400"/>
        <w:jc w:val="left"/>
      </w:pPr>
      <w:bookmarkStart w:name="5.2 Payback Period" w:id="53"/>
      <w:bookmarkEnd w:id="53"/>
      <w:r>
        <w:rPr>
          <w:b w:val="0"/>
        </w:rPr>
      </w:r>
      <w:bookmarkStart w:name="_bookmark26" w:id="54"/>
      <w:bookmarkEnd w:id="54"/>
      <w:r>
        <w:rPr>
          <w:b w:val="0"/>
        </w:rPr>
      </w:r>
      <w:r>
        <w:rPr/>
        <w:t>Payback</w:t>
      </w:r>
      <w:r>
        <w:rPr>
          <w:spacing w:val="-5"/>
        </w:rPr>
        <w:t> </w:t>
      </w:r>
      <w:r>
        <w:rPr>
          <w:spacing w:val="-2"/>
        </w:rPr>
        <w:t>Period</w:t>
      </w:r>
    </w:p>
    <w:p>
      <w:pPr>
        <w:pStyle w:val="BodyText"/>
        <w:spacing w:line="360" w:lineRule="auto" w:before="218"/>
        <w:ind w:right="360"/>
        <w:jc w:val="both"/>
      </w:pPr>
      <w:r>
        <w:rPr/>
        <w:t>Project C has the shortest payback period (3.6 years), which means that it recovers its initial investment much faster, and the liquidity risk decreases. Projects</w:t>
      </w:r>
      <w:r>
        <w:rPr>
          <w:spacing w:val="-7"/>
        </w:rPr>
        <w:t> </w:t>
      </w:r>
      <w:r>
        <w:rPr/>
        <w:t>A</w:t>
      </w:r>
      <w:r>
        <w:rPr>
          <w:spacing w:val="-6"/>
        </w:rPr>
        <w:t> </w:t>
      </w:r>
      <w:r>
        <w:rPr/>
        <w:t>and B have a duration exceeding 4.5 years, which implies a slower payback period and more risk. Financially, Project C will be more suitable in situations where liquidity is a major </w:t>
      </w:r>
      <w:r>
        <w:rPr>
          <w:spacing w:val="-2"/>
        </w:rPr>
        <w:t>consideration.</w:t>
      </w:r>
    </w:p>
    <w:p>
      <w:pPr>
        <w:pStyle w:val="BodyText"/>
        <w:spacing w:line="362" w:lineRule="auto" w:before="163"/>
        <w:ind w:right="364"/>
        <w:jc w:val="both"/>
      </w:pPr>
      <w:r>
        <w:rPr/>
        <w:t>Nonetheless, the payback approach has its weaknesses because it does not take into account</w:t>
      </w:r>
      <w:r>
        <w:rPr>
          <w:spacing w:val="-2"/>
        </w:rPr>
        <w:t> </w:t>
      </w:r>
      <w:r>
        <w:rPr/>
        <w:t>the</w:t>
      </w:r>
      <w:r>
        <w:rPr>
          <w:spacing w:val="-6"/>
        </w:rPr>
        <w:t> </w:t>
      </w:r>
      <w:r>
        <w:rPr/>
        <w:t>time</w:t>
      </w:r>
      <w:r>
        <w:rPr>
          <w:spacing w:val="-2"/>
        </w:rPr>
        <w:t> </w:t>
      </w:r>
      <w:r>
        <w:rPr/>
        <w:t>value</w:t>
      </w:r>
      <w:r>
        <w:rPr>
          <w:spacing w:val="-6"/>
        </w:rPr>
        <w:t> </w:t>
      </w:r>
      <w:r>
        <w:rPr/>
        <w:t>of</w:t>
      </w:r>
      <w:r>
        <w:rPr>
          <w:spacing w:val="-2"/>
        </w:rPr>
        <w:t> </w:t>
      </w:r>
      <w:r>
        <w:rPr/>
        <w:t>money</w:t>
      </w:r>
      <w:r>
        <w:rPr>
          <w:spacing w:val="-2"/>
        </w:rPr>
        <w:t> </w:t>
      </w:r>
      <w:r>
        <w:rPr/>
        <w:t>and</w:t>
      </w:r>
      <w:r>
        <w:rPr>
          <w:spacing w:val="-2"/>
        </w:rPr>
        <w:t> </w:t>
      </w:r>
      <w:r>
        <w:rPr/>
        <w:t>does</w:t>
      </w:r>
      <w:r>
        <w:rPr>
          <w:spacing w:val="-2"/>
        </w:rPr>
        <w:t> </w:t>
      </w:r>
      <w:r>
        <w:rPr/>
        <w:t>not</w:t>
      </w:r>
      <w:r>
        <w:rPr>
          <w:spacing w:val="-2"/>
        </w:rPr>
        <w:t> </w:t>
      </w:r>
      <w:r>
        <w:rPr/>
        <w:t>take</w:t>
      </w:r>
      <w:r>
        <w:rPr>
          <w:spacing w:val="-2"/>
        </w:rPr>
        <w:t> </w:t>
      </w:r>
      <w:r>
        <w:rPr/>
        <w:t>care</w:t>
      </w:r>
      <w:r>
        <w:rPr>
          <w:spacing w:val="-6"/>
        </w:rPr>
        <w:t> </w:t>
      </w:r>
      <w:r>
        <w:rPr/>
        <w:t>of</w:t>
      </w:r>
      <w:r>
        <w:rPr>
          <w:spacing w:val="-2"/>
        </w:rPr>
        <w:t> </w:t>
      </w:r>
      <w:r>
        <w:rPr/>
        <w:t>cash</w:t>
      </w:r>
      <w:r>
        <w:rPr>
          <w:spacing w:val="-2"/>
        </w:rPr>
        <w:t> </w:t>
      </w:r>
      <w:r>
        <w:rPr/>
        <w:t>flows</w:t>
      </w:r>
      <w:r>
        <w:rPr>
          <w:spacing w:val="-2"/>
        </w:rPr>
        <w:t> </w:t>
      </w:r>
      <w:r>
        <w:rPr/>
        <w:t>after</w:t>
      </w:r>
      <w:r>
        <w:rPr>
          <w:spacing w:val="-1"/>
        </w:rPr>
        <w:t> </w:t>
      </w:r>
      <w:r>
        <w:rPr/>
        <w:t>the</w:t>
      </w:r>
      <w:r>
        <w:rPr>
          <w:spacing w:val="-2"/>
        </w:rPr>
        <w:t> </w:t>
      </w:r>
      <w:r>
        <w:rPr/>
        <w:t>recovery period. That is why it is recommended to be employed in combination with discounted methods like NPV and IRR in order to have a comprehensive investment appraisal.</w:t>
      </w:r>
    </w:p>
    <w:p>
      <w:pPr>
        <w:pStyle w:val="Heading2"/>
        <w:spacing w:before="148"/>
        <w:jc w:val="both"/>
      </w:pPr>
      <w:r>
        <w:rPr/>
        <w:t>Note:</w:t>
      </w:r>
      <w:r>
        <w:rPr>
          <w:spacing w:val="-3"/>
        </w:rPr>
        <w:t> </w:t>
      </w:r>
      <w:r>
        <w:rPr/>
        <w:t>Cumulative</w:t>
      </w:r>
      <w:r>
        <w:rPr>
          <w:spacing w:val="-3"/>
        </w:rPr>
        <w:t> </w:t>
      </w:r>
      <w:r>
        <w:rPr/>
        <w:t>cash</w:t>
      </w:r>
      <w:r>
        <w:rPr>
          <w:spacing w:val="-6"/>
        </w:rPr>
        <w:t> </w:t>
      </w:r>
      <w:r>
        <w:rPr/>
        <w:t>flow</w:t>
      </w:r>
      <w:r>
        <w:rPr>
          <w:spacing w:val="-7"/>
        </w:rPr>
        <w:t> </w:t>
      </w:r>
      <w:r>
        <w:rPr/>
        <w:t>calculations</w:t>
      </w:r>
      <w:r>
        <w:rPr>
          <w:spacing w:val="-3"/>
        </w:rPr>
        <w:t> </w:t>
      </w:r>
      <w:r>
        <w:rPr/>
        <w:t>have</w:t>
      </w:r>
      <w:r>
        <w:rPr>
          <w:spacing w:val="-3"/>
        </w:rPr>
        <w:t> </w:t>
      </w:r>
      <w:r>
        <w:rPr/>
        <w:t>been</w:t>
      </w:r>
      <w:r>
        <w:rPr>
          <w:spacing w:val="-6"/>
        </w:rPr>
        <w:t> </w:t>
      </w:r>
      <w:r>
        <w:rPr/>
        <w:t>detailed</w:t>
      </w:r>
      <w:r>
        <w:rPr>
          <w:spacing w:val="-1"/>
        </w:rPr>
        <w:t> </w:t>
      </w:r>
      <w:r>
        <w:rPr/>
        <w:t>in</w:t>
      </w:r>
      <w:r>
        <w:rPr>
          <w:spacing w:val="-15"/>
        </w:rPr>
        <w:t> </w:t>
      </w:r>
      <w:r>
        <w:rPr/>
        <w:t>Appendix</w:t>
      </w:r>
      <w:r>
        <w:rPr>
          <w:spacing w:val="-10"/>
        </w:rPr>
        <w:t> </w:t>
      </w:r>
      <w:r>
        <w:rPr>
          <w:spacing w:val="-5"/>
        </w:rPr>
        <w:t>A.</w:t>
      </w:r>
    </w:p>
    <w:p>
      <w:pPr>
        <w:pStyle w:val="BodyText"/>
        <w:rPr>
          <w:rFonts w:ascii="Arial"/>
          <w:b/>
        </w:rPr>
      </w:pPr>
    </w:p>
    <w:p>
      <w:pPr>
        <w:pStyle w:val="BodyText"/>
        <w:rPr>
          <w:rFonts w:ascii="Arial"/>
          <w:b/>
        </w:rPr>
      </w:pPr>
    </w:p>
    <w:p>
      <w:pPr>
        <w:pStyle w:val="BodyText"/>
        <w:spacing w:before="39"/>
        <w:rPr>
          <w:rFonts w:ascii="Arial"/>
          <w:b/>
        </w:rPr>
      </w:pPr>
    </w:p>
    <w:p>
      <w:pPr>
        <w:pStyle w:val="Heading2"/>
        <w:numPr>
          <w:ilvl w:val="1"/>
          <w:numId w:val="3"/>
        </w:numPr>
        <w:tabs>
          <w:tab w:pos="391" w:val="left" w:leader="none"/>
        </w:tabs>
        <w:spacing w:line="240" w:lineRule="auto" w:before="0" w:after="0"/>
        <w:ind w:left="391" w:right="0" w:hanging="391"/>
        <w:jc w:val="left"/>
      </w:pPr>
      <w:bookmarkStart w:name="5.3 Accounting Rate of Return (ARR)" w:id="55"/>
      <w:bookmarkEnd w:id="55"/>
      <w:r>
        <w:rPr>
          <w:b w:val="0"/>
        </w:rPr>
      </w:r>
      <w:bookmarkStart w:name="_bookmark27" w:id="56"/>
      <w:bookmarkEnd w:id="56"/>
      <w:r>
        <w:rPr>
          <w:b w:val="0"/>
        </w:rPr>
      </w:r>
      <w:r>
        <w:rPr/>
        <w:t>Accounting</w:t>
      </w:r>
      <w:r>
        <w:rPr>
          <w:spacing w:val="-3"/>
        </w:rPr>
        <w:t> </w:t>
      </w:r>
      <w:r>
        <w:rPr/>
        <w:t>Rate</w:t>
      </w:r>
      <w:r>
        <w:rPr>
          <w:spacing w:val="-4"/>
        </w:rPr>
        <w:t> </w:t>
      </w:r>
      <w:r>
        <w:rPr/>
        <w:t>of</w:t>
      </w:r>
      <w:r>
        <w:rPr>
          <w:spacing w:val="-3"/>
        </w:rPr>
        <w:t> </w:t>
      </w:r>
      <w:r>
        <w:rPr/>
        <w:t>Return</w:t>
      </w:r>
      <w:r>
        <w:rPr>
          <w:spacing w:val="-7"/>
        </w:rPr>
        <w:t> </w:t>
      </w:r>
      <w:r>
        <w:rPr>
          <w:spacing w:val="-4"/>
        </w:rPr>
        <w:t>(ARR)</w:t>
      </w:r>
    </w:p>
    <w:p>
      <w:pPr>
        <w:pStyle w:val="BodyText"/>
        <w:spacing w:line="362" w:lineRule="auto" w:before="223"/>
        <w:ind w:right="357"/>
        <w:jc w:val="both"/>
      </w:pPr>
      <w:r>
        <w:rPr/>
        <w:t>Project C has the best</w:t>
      </w:r>
      <w:r>
        <w:rPr>
          <w:spacing w:val="-6"/>
        </w:rPr>
        <w:t> </w:t>
      </w:r>
      <w:r>
        <w:rPr/>
        <w:t>ARR of 12%, and this is far better than Projects</w:t>
      </w:r>
      <w:r>
        <w:rPr>
          <w:spacing w:val="-6"/>
        </w:rPr>
        <w:t> </w:t>
      </w:r>
      <w:r>
        <w:rPr/>
        <w:t>A</w:t>
      </w:r>
      <w:r>
        <w:rPr>
          <w:spacing w:val="-4"/>
        </w:rPr>
        <w:t> </w:t>
      </w:r>
      <w:r>
        <w:rPr/>
        <w:t>(3.2%) and B (4%), hence better accounting profitability. This implies that Project C offers the highest payback in terms of accounting returns as compared to invested capital.</w:t>
      </w:r>
    </w:p>
    <w:p>
      <w:pPr>
        <w:pStyle w:val="BodyText"/>
        <w:spacing w:after="0" w:line="362" w:lineRule="auto"/>
        <w:jc w:val="both"/>
        <w:sectPr>
          <w:pgSz w:w="12240" w:h="15840"/>
          <w:pgMar w:header="0" w:footer="1051" w:top="1360" w:bottom="1240" w:left="1440" w:right="1080"/>
        </w:sectPr>
      </w:pPr>
    </w:p>
    <w:p>
      <w:pPr>
        <w:pStyle w:val="BodyText"/>
        <w:spacing w:line="360" w:lineRule="auto" w:before="192"/>
        <w:ind w:right="351"/>
        <w:jc w:val="both"/>
      </w:pPr>
      <w:r>
        <w:rPr/>
        <w:t>Nonetheless, there are significant drawbacks to ARR. It is also founded on accounting profit instead of cash flows and does not take into account the time value of money, making it less reliable in making long-term investment decisions. Moreover,</w:t>
      </w:r>
      <w:r>
        <w:rPr>
          <w:spacing w:val="-2"/>
        </w:rPr>
        <w:t> </w:t>
      </w:r>
      <w:r>
        <w:rPr/>
        <w:t>ARR could be affected by accounting policies like depreciation.</w:t>
      </w:r>
    </w:p>
    <w:p>
      <w:pPr>
        <w:pStyle w:val="BodyText"/>
      </w:pPr>
    </w:p>
    <w:p>
      <w:pPr>
        <w:pStyle w:val="BodyText"/>
        <w:spacing w:before="178"/>
      </w:pPr>
    </w:p>
    <w:p>
      <w:pPr>
        <w:pStyle w:val="BodyText"/>
        <w:spacing w:line="362" w:lineRule="auto" w:before="1"/>
        <w:ind w:right="360"/>
        <w:jc w:val="both"/>
      </w:pPr>
      <w:r>
        <w:rPr/>
        <w:t>Thus, Project C seems to be the most attractive one in the</w:t>
      </w:r>
      <w:r>
        <w:rPr>
          <w:spacing w:val="-7"/>
        </w:rPr>
        <w:t> </w:t>
      </w:r>
      <w:r>
        <w:rPr/>
        <w:t>ARR, but this metric should not be the only criterion for the decision. It should be backed by discounting cash flow methods, including NPV and IRR, that would</w:t>
      </w:r>
      <w:r>
        <w:rPr>
          <w:spacing w:val="-2"/>
        </w:rPr>
        <w:t> </w:t>
      </w:r>
      <w:r>
        <w:rPr/>
        <w:t>make the project add to shareholder value and be in line with strategic financial goals.</w:t>
      </w:r>
    </w:p>
    <w:p>
      <w:pPr>
        <w:pStyle w:val="BodyText"/>
      </w:pPr>
    </w:p>
    <w:p>
      <w:pPr>
        <w:pStyle w:val="BodyText"/>
        <w:spacing w:before="172"/>
      </w:pPr>
    </w:p>
    <w:p>
      <w:pPr>
        <w:pStyle w:val="Heading2"/>
        <w:jc w:val="both"/>
      </w:pPr>
      <w:r>
        <w:rPr/>
        <w:t>Note:</w:t>
      </w:r>
      <w:r>
        <w:rPr>
          <w:spacing w:val="-2"/>
        </w:rPr>
        <w:t> </w:t>
      </w:r>
      <w:r>
        <w:rPr/>
        <w:t>Calculations</w:t>
      </w:r>
      <w:r>
        <w:rPr>
          <w:spacing w:val="-7"/>
        </w:rPr>
        <w:t> </w:t>
      </w:r>
      <w:r>
        <w:rPr/>
        <w:t>of</w:t>
      </w:r>
      <w:r>
        <w:rPr>
          <w:spacing w:val="-11"/>
        </w:rPr>
        <w:t> </w:t>
      </w:r>
      <w:r>
        <w:rPr/>
        <w:t>ARR</w:t>
      </w:r>
      <w:r>
        <w:rPr>
          <w:spacing w:val="-3"/>
        </w:rPr>
        <w:t> </w:t>
      </w:r>
      <w:r>
        <w:rPr/>
        <w:t>are</w:t>
      </w:r>
      <w:r>
        <w:rPr>
          <w:spacing w:val="-3"/>
        </w:rPr>
        <w:t> </w:t>
      </w:r>
      <w:r>
        <w:rPr/>
        <w:t>detailed</w:t>
      </w:r>
      <w:r>
        <w:rPr>
          <w:spacing w:val="-1"/>
        </w:rPr>
        <w:t> </w:t>
      </w:r>
      <w:r>
        <w:rPr/>
        <w:t>in</w:t>
      </w:r>
      <w:r>
        <w:rPr>
          <w:spacing w:val="-15"/>
        </w:rPr>
        <w:t> </w:t>
      </w:r>
      <w:r>
        <w:rPr/>
        <w:t>Appendix</w:t>
      </w:r>
      <w:r>
        <w:rPr>
          <w:spacing w:val="-2"/>
        </w:rPr>
        <w:t> </w:t>
      </w:r>
      <w:r>
        <w:rPr>
          <w:spacing w:val="-5"/>
        </w:rPr>
        <w:t>A.</w:t>
      </w:r>
    </w:p>
    <w:p>
      <w:pPr>
        <w:pStyle w:val="BodyText"/>
        <w:rPr>
          <w:rFonts w:ascii="Arial"/>
          <w:b/>
        </w:rPr>
      </w:pPr>
    </w:p>
    <w:p>
      <w:pPr>
        <w:pStyle w:val="BodyText"/>
        <w:rPr>
          <w:rFonts w:ascii="Arial"/>
          <w:b/>
        </w:rPr>
      </w:pPr>
    </w:p>
    <w:p>
      <w:pPr>
        <w:pStyle w:val="BodyText"/>
        <w:spacing w:before="38"/>
        <w:rPr>
          <w:rFonts w:ascii="Arial"/>
          <w:b/>
        </w:rPr>
      </w:pPr>
    </w:p>
    <w:p>
      <w:pPr>
        <w:pStyle w:val="Heading2"/>
        <w:numPr>
          <w:ilvl w:val="1"/>
          <w:numId w:val="3"/>
        </w:numPr>
        <w:tabs>
          <w:tab w:pos="400" w:val="left" w:leader="none"/>
        </w:tabs>
        <w:spacing w:line="240" w:lineRule="auto" w:before="1" w:after="0"/>
        <w:ind w:left="400" w:right="0" w:hanging="400"/>
        <w:jc w:val="left"/>
      </w:pPr>
      <w:bookmarkStart w:name="5.4 Net Present Value (NPV)" w:id="57"/>
      <w:bookmarkEnd w:id="57"/>
      <w:r>
        <w:rPr>
          <w:b w:val="0"/>
        </w:rPr>
      </w:r>
      <w:bookmarkStart w:name="_bookmark28" w:id="58"/>
      <w:bookmarkEnd w:id="58"/>
      <w:r>
        <w:rPr>
          <w:b w:val="0"/>
        </w:rPr>
      </w:r>
      <w:r>
        <w:rPr/>
        <w:t>Net</w:t>
      </w:r>
      <w:r>
        <w:rPr>
          <w:spacing w:val="-9"/>
        </w:rPr>
        <w:t> </w:t>
      </w:r>
      <w:r>
        <w:rPr/>
        <w:t>Present</w:t>
      </w:r>
      <w:r>
        <w:rPr>
          <w:spacing w:val="-8"/>
        </w:rPr>
        <w:t> </w:t>
      </w:r>
      <w:r>
        <w:rPr/>
        <w:t>Value</w:t>
      </w:r>
      <w:r>
        <w:rPr>
          <w:spacing w:val="-9"/>
        </w:rPr>
        <w:t> </w:t>
      </w:r>
      <w:r>
        <w:rPr>
          <w:spacing w:val="-4"/>
        </w:rPr>
        <w:t>(NPV)</w:t>
      </w:r>
    </w:p>
    <w:p>
      <w:pPr>
        <w:pStyle w:val="BodyText"/>
        <w:spacing w:line="362" w:lineRule="auto" w:before="223"/>
        <w:ind w:right="355"/>
        <w:jc w:val="both"/>
      </w:pPr>
      <w:r>
        <w:rPr/>
        <w:t>Each of the three projects generates negative NPVs, which implies that they do not generate the necessary 10% rate of return and, hence, they will fail to generate shareholder</w:t>
      </w:r>
      <w:r>
        <w:rPr>
          <w:spacing w:val="-6"/>
        </w:rPr>
        <w:t> </w:t>
      </w:r>
      <w:r>
        <w:rPr/>
        <w:t>value.</w:t>
      </w:r>
      <w:r>
        <w:rPr>
          <w:spacing w:val="-6"/>
        </w:rPr>
        <w:t> </w:t>
      </w:r>
      <w:r>
        <w:rPr/>
        <w:t>Nevertheless,</w:t>
      </w:r>
      <w:r>
        <w:rPr>
          <w:spacing w:val="-6"/>
        </w:rPr>
        <w:t> </w:t>
      </w:r>
      <w:r>
        <w:rPr/>
        <w:t>Project</w:t>
      </w:r>
      <w:r>
        <w:rPr>
          <w:spacing w:val="-7"/>
        </w:rPr>
        <w:t> </w:t>
      </w:r>
      <w:r>
        <w:rPr/>
        <w:t>C</w:t>
      </w:r>
      <w:r>
        <w:rPr>
          <w:spacing w:val="-7"/>
        </w:rPr>
        <w:t> </w:t>
      </w:r>
      <w:r>
        <w:rPr/>
        <w:t>is</w:t>
      </w:r>
      <w:r>
        <w:rPr>
          <w:spacing w:val="-12"/>
        </w:rPr>
        <w:t> </w:t>
      </w:r>
      <w:r>
        <w:rPr/>
        <w:t>not</w:t>
      </w:r>
      <w:r>
        <w:rPr>
          <w:spacing w:val="-6"/>
        </w:rPr>
        <w:t> </w:t>
      </w:r>
      <w:r>
        <w:rPr/>
        <w:t>the</w:t>
      </w:r>
      <w:r>
        <w:rPr>
          <w:spacing w:val="-7"/>
        </w:rPr>
        <w:t> </w:t>
      </w:r>
      <w:r>
        <w:rPr/>
        <w:t>worst,</w:t>
      </w:r>
      <w:r>
        <w:rPr>
          <w:spacing w:val="-6"/>
        </w:rPr>
        <w:t> </w:t>
      </w:r>
      <w:r>
        <w:rPr/>
        <w:t>as</w:t>
      </w:r>
      <w:r>
        <w:rPr>
          <w:spacing w:val="-7"/>
        </w:rPr>
        <w:t> </w:t>
      </w:r>
      <w:r>
        <w:rPr/>
        <w:t>the</w:t>
      </w:r>
      <w:r>
        <w:rPr>
          <w:spacing w:val="-11"/>
        </w:rPr>
        <w:t> </w:t>
      </w:r>
      <w:r>
        <w:rPr/>
        <w:t>least</w:t>
      </w:r>
      <w:r>
        <w:rPr>
          <w:spacing w:val="-7"/>
        </w:rPr>
        <w:t> </w:t>
      </w:r>
      <w:r>
        <w:rPr/>
        <w:t>negative</w:t>
      </w:r>
      <w:r>
        <w:rPr>
          <w:spacing w:val="-6"/>
        </w:rPr>
        <w:t> </w:t>
      </w:r>
      <w:r>
        <w:rPr/>
        <w:t>NPV</w:t>
      </w:r>
      <w:r>
        <w:rPr>
          <w:spacing w:val="3"/>
        </w:rPr>
        <w:t> </w:t>
      </w:r>
      <w:r>
        <w:rPr>
          <w:spacing w:val="-5"/>
        </w:rPr>
        <w:t>(–</w:t>
      </w:r>
    </w:p>
    <w:p>
      <w:pPr>
        <w:pStyle w:val="BodyText"/>
        <w:spacing w:line="274" w:lineRule="exact"/>
        <w:jc w:val="both"/>
      </w:pPr>
      <w:r>
        <w:rPr/>
        <w:t>£1.99m)</w:t>
      </w:r>
      <w:r>
        <w:rPr>
          <w:spacing w:val="-3"/>
        </w:rPr>
        <w:t> </w:t>
      </w:r>
      <w:r>
        <w:rPr/>
        <w:t>indicates</w:t>
      </w:r>
      <w:r>
        <w:rPr>
          <w:spacing w:val="-6"/>
        </w:rPr>
        <w:t> </w:t>
      </w:r>
      <w:r>
        <w:rPr/>
        <w:t>that</w:t>
      </w:r>
      <w:r>
        <w:rPr>
          <w:spacing w:val="-6"/>
        </w:rPr>
        <w:t> </w:t>
      </w:r>
      <w:r>
        <w:rPr/>
        <w:t>it</w:t>
      </w:r>
      <w:r>
        <w:rPr>
          <w:spacing w:val="-5"/>
        </w:rPr>
        <w:t> </w:t>
      </w:r>
      <w:r>
        <w:rPr/>
        <w:t>is</w:t>
      </w:r>
      <w:r>
        <w:rPr>
          <w:spacing w:val="-2"/>
        </w:rPr>
        <w:t> </w:t>
      </w:r>
      <w:r>
        <w:rPr/>
        <w:t>the</w:t>
      </w:r>
      <w:r>
        <w:rPr>
          <w:spacing w:val="-1"/>
        </w:rPr>
        <w:t> </w:t>
      </w:r>
      <w:r>
        <w:rPr/>
        <w:t>nearest</w:t>
      </w:r>
      <w:r>
        <w:rPr>
          <w:spacing w:val="-1"/>
        </w:rPr>
        <w:t> </w:t>
      </w:r>
      <w:r>
        <w:rPr/>
        <w:t>to</w:t>
      </w:r>
      <w:r>
        <w:rPr>
          <w:spacing w:val="-2"/>
        </w:rPr>
        <w:t> </w:t>
      </w:r>
      <w:r>
        <w:rPr/>
        <w:t>financial</w:t>
      </w:r>
      <w:r>
        <w:rPr>
          <w:spacing w:val="3"/>
        </w:rPr>
        <w:t> </w:t>
      </w:r>
      <w:r>
        <w:rPr>
          <w:spacing w:val="-2"/>
        </w:rPr>
        <w:t>acceptability.</w:t>
      </w:r>
    </w:p>
    <w:p>
      <w:pPr>
        <w:pStyle w:val="BodyText"/>
        <w:spacing w:before="19"/>
      </w:pPr>
    </w:p>
    <w:p>
      <w:pPr>
        <w:pStyle w:val="BodyText"/>
        <w:spacing w:line="362" w:lineRule="auto"/>
        <w:ind w:right="358"/>
        <w:jc w:val="both"/>
      </w:pPr>
      <w:r>
        <w:rPr/>
        <w:t>In terms of finances, NPV is the most accurate way of appraising investments since it takes into account the timing and size of the cash flows. Thus, although Project C is relatively better, a rigid NPV rule would dictate that all the projects should be rejected unless there are strategic reasons as to why the least favourable alternative should be </w:t>
      </w:r>
      <w:r>
        <w:rPr>
          <w:spacing w:val="-2"/>
        </w:rPr>
        <w:t>taken.</w:t>
      </w:r>
    </w:p>
    <w:p>
      <w:pPr>
        <w:pStyle w:val="Heading2"/>
        <w:spacing w:before="145"/>
        <w:jc w:val="both"/>
      </w:pPr>
      <w:r>
        <w:rPr/>
        <w:t>Note:</w:t>
      </w:r>
      <w:r>
        <w:rPr>
          <w:spacing w:val="-2"/>
        </w:rPr>
        <w:t> </w:t>
      </w:r>
      <w:r>
        <w:rPr/>
        <w:t>NPV</w:t>
      </w:r>
      <w:r>
        <w:rPr>
          <w:spacing w:val="-5"/>
        </w:rPr>
        <w:t> </w:t>
      </w:r>
      <w:r>
        <w:rPr/>
        <w:t>calculations</w:t>
      </w:r>
      <w:r>
        <w:rPr>
          <w:spacing w:val="-3"/>
        </w:rPr>
        <w:t> </w:t>
      </w:r>
      <w:r>
        <w:rPr/>
        <w:t>are</w:t>
      </w:r>
      <w:r>
        <w:rPr>
          <w:spacing w:val="-3"/>
        </w:rPr>
        <w:t> </w:t>
      </w:r>
      <w:r>
        <w:rPr/>
        <w:t>in</w:t>
      </w:r>
      <w:r>
        <w:rPr>
          <w:spacing w:val="-6"/>
        </w:rPr>
        <w:t> </w:t>
      </w:r>
      <w:r>
        <w:rPr/>
        <w:t>more</w:t>
      </w:r>
      <w:r>
        <w:rPr>
          <w:spacing w:val="-3"/>
        </w:rPr>
        <w:t> </w:t>
      </w:r>
      <w:r>
        <w:rPr/>
        <w:t>detail</w:t>
      </w:r>
      <w:r>
        <w:rPr>
          <w:spacing w:val="-3"/>
        </w:rPr>
        <w:t> </w:t>
      </w:r>
      <w:r>
        <w:rPr/>
        <w:t>in</w:t>
      </w:r>
      <w:r>
        <w:rPr>
          <w:spacing w:val="-10"/>
        </w:rPr>
        <w:t> </w:t>
      </w:r>
      <w:r>
        <w:rPr/>
        <w:t>Appendix</w:t>
      </w:r>
      <w:r>
        <w:rPr>
          <w:spacing w:val="-2"/>
        </w:rPr>
        <w:t> </w:t>
      </w:r>
      <w:r>
        <w:rPr>
          <w:spacing w:val="-5"/>
        </w:rPr>
        <w:t>A.</w:t>
      </w:r>
    </w:p>
    <w:p>
      <w:pPr>
        <w:pStyle w:val="Heading2"/>
        <w:spacing w:after="0"/>
        <w:jc w:val="both"/>
        <w:sectPr>
          <w:pgSz w:w="12240" w:h="15840"/>
          <w:pgMar w:header="0" w:footer="1051" w:top="1820" w:bottom="1240" w:left="1440" w:right="1080"/>
        </w:sectPr>
      </w:pPr>
    </w:p>
    <w:p>
      <w:pPr>
        <w:pStyle w:val="Heading2"/>
        <w:numPr>
          <w:ilvl w:val="1"/>
          <w:numId w:val="3"/>
        </w:numPr>
        <w:tabs>
          <w:tab w:pos="400" w:val="left" w:leader="none"/>
        </w:tabs>
        <w:spacing w:line="240" w:lineRule="auto" w:before="71" w:after="0"/>
        <w:ind w:left="400" w:right="0" w:hanging="400"/>
        <w:jc w:val="left"/>
      </w:pPr>
      <w:bookmarkStart w:name="5.5 Internal Rate of Return (IRR)" w:id="59"/>
      <w:bookmarkEnd w:id="59"/>
      <w:r>
        <w:rPr>
          <w:b w:val="0"/>
        </w:rPr>
      </w:r>
      <w:bookmarkStart w:name="_bookmark29" w:id="60"/>
      <w:bookmarkEnd w:id="60"/>
      <w:r>
        <w:rPr>
          <w:b w:val="0"/>
        </w:rPr>
      </w:r>
      <w:r>
        <w:rPr/>
        <w:t>Internal</w:t>
      </w:r>
      <w:r>
        <w:rPr>
          <w:spacing w:val="-4"/>
        </w:rPr>
        <w:t> </w:t>
      </w:r>
      <w:r>
        <w:rPr/>
        <w:t>Rate</w:t>
      </w:r>
      <w:r>
        <w:rPr>
          <w:spacing w:val="-4"/>
        </w:rPr>
        <w:t> </w:t>
      </w:r>
      <w:r>
        <w:rPr/>
        <w:t>of</w:t>
      </w:r>
      <w:r>
        <w:rPr>
          <w:spacing w:val="-3"/>
        </w:rPr>
        <w:t> </w:t>
      </w:r>
      <w:r>
        <w:rPr/>
        <w:t>Return</w:t>
      </w:r>
      <w:r>
        <w:rPr>
          <w:spacing w:val="-6"/>
        </w:rPr>
        <w:t> </w:t>
      </w:r>
      <w:r>
        <w:rPr>
          <w:spacing w:val="-4"/>
        </w:rPr>
        <w:t>(IRR)</w:t>
      </w:r>
    </w:p>
    <w:p>
      <w:pPr>
        <w:pStyle w:val="BodyText"/>
        <w:spacing w:line="362" w:lineRule="auto" w:before="223"/>
        <w:ind w:right="359"/>
        <w:jc w:val="both"/>
      </w:pPr>
      <w:r>
        <w:rPr/>
        <w:t>None of the projects has</w:t>
      </w:r>
      <w:r>
        <w:rPr>
          <w:spacing w:val="-2"/>
        </w:rPr>
        <w:t> </w:t>
      </w:r>
      <w:r>
        <w:rPr/>
        <w:t>an IRR below</w:t>
      </w:r>
      <w:r>
        <w:rPr>
          <w:spacing w:val="-3"/>
        </w:rPr>
        <w:t> </w:t>
      </w:r>
      <w:r>
        <w:rPr/>
        <w:t>the required</w:t>
      </w:r>
      <w:r>
        <w:rPr>
          <w:spacing w:val="-2"/>
        </w:rPr>
        <w:t> </w:t>
      </w:r>
      <w:r>
        <w:rPr/>
        <w:t>rate of</w:t>
      </w:r>
      <w:r>
        <w:rPr>
          <w:spacing w:val="-2"/>
        </w:rPr>
        <w:t> </w:t>
      </w:r>
      <w:r>
        <w:rPr/>
        <w:t>return of</w:t>
      </w:r>
      <w:r>
        <w:rPr>
          <w:spacing w:val="-2"/>
        </w:rPr>
        <w:t> </w:t>
      </w:r>
      <w:r>
        <w:rPr/>
        <w:t>10%, meaning they do not satisfy the minimum acceptable threshold of investing. Nevertheless, Project C yields the best IRR of around 8.83%, hence it is comparatively more appealing than Projects A and B.</w:t>
      </w:r>
    </w:p>
    <w:p>
      <w:pPr>
        <w:pStyle w:val="BodyText"/>
        <w:spacing w:line="362" w:lineRule="auto" w:before="148"/>
        <w:ind w:right="363"/>
        <w:jc w:val="both"/>
      </w:pPr>
      <w:r>
        <w:rPr/>
        <w:t>Critically,</w:t>
      </w:r>
      <w:r>
        <w:rPr>
          <w:spacing w:val="-17"/>
        </w:rPr>
        <w:t> </w:t>
      </w:r>
      <w:r>
        <w:rPr/>
        <w:t>IRR</w:t>
      </w:r>
      <w:r>
        <w:rPr>
          <w:spacing w:val="-17"/>
        </w:rPr>
        <w:t> </w:t>
      </w:r>
      <w:r>
        <w:rPr/>
        <w:t>is</w:t>
      </w:r>
      <w:r>
        <w:rPr>
          <w:spacing w:val="-16"/>
        </w:rPr>
        <w:t> </w:t>
      </w:r>
      <w:r>
        <w:rPr/>
        <w:t>applicable</w:t>
      </w:r>
      <w:r>
        <w:rPr>
          <w:spacing w:val="-17"/>
        </w:rPr>
        <w:t> </w:t>
      </w:r>
      <w:r>
        <w:rPr/>
        <w:t>to</w:t>
      </w:r>
      <w:r>
        <w:rPr>
          <w:spacing w:val="-17"/>
        </w:rPr>
        <w:t> </w:t>
      </w:r>
      <w:r>
        <w:rPr/>
        <w:t>the</w:t>
      </w:r>
      <w:r>
        <w:rPr>
          <w:spacing w:val="-17"/>
        </w:rPr>
        <w:t> </w:t>
      </w:r>
      <w:r>
        <w:rPr/>
        <w:t>relative</w:t>
      </w:r>
      <w:r>
        <w:rPr>
          <w:spacing w:val="-16"/>
        </w:rPr>
        <w:t> </w:t>
      </w:r>
      <w:r>
        <w:rPr/>
        <w:t>returns</w:t>
      </w:r>
      <w:r>
        <w:rPr>
          <w:spacing w:val="-17"/>
        </w:rPr>
        <w:t> </w:t>
      </w:r>
      <w:r>
        <w:rPr/>
        <w:t>comparison;</w:t>
      </w:r>
      <w:r>
        <w:rPr>
          <w:spacing w:val="-14"/>
        </w:rPr>
        <w:t> </w:t>
      </w:r>
      <w:r>
        <w:rPr/>
        <w:t>however,</w:t>
      </w:r>
      <w:r>
        <w:rPr>
          <w:spacing w:val="-15"/>
        </w:rPr>
        <w:t> </w:t>
      </w:r>
      <w:r>
        <w:rPr/>
        <w:t>it</w:t>
      </w:r>
      <w:r>
        <w:rPr>
          <w:spacing w:val="-17"/>
        </w:rPr>
        <w:t> </w:t>
      </w:r>
      <w:r>
        <w:rPr/>
        <w:t>has</w:t>
      </w:r>
      <w:r>
        <w:rPr>
          <w:spacing w:val="-15"/>
        </w:rPr>
        <w:t> </w:t>
      </w:r>
      <w:r>
        <w:rPr/>
        <w:t>constraints. It assumes reinvesting cash flows at the IRR and is not a measure of creating absolute values. Project C, thus, is not the best, but when making the decision, NPV should be given preference so that it is in line with the maximisation of shareholder wealth.</w:t>
      </w:r>
    </w:p>
    <w:p>
      <w:pPr>
        <w:pStyle w:val="Heading2"/>
        <w:spacing w:before="153"/>
        <w:jc w:val="both"/>
      </w:pPr>
      <w:r>
        <w:rPr/>
        <w:t>Note:</w:t>
      </w:r>
      <w:r>
        <w:rPr>
          <w:spacing w:val="-4"/>
        </w:rPr>
        <w:t> </w:t>
      </w:r>
      <w:r>
        <w:rPr/>
        <w:t>IRR</w:t>
      </w:r>
      <w:r>
        <w:rPr>
          <w:spacing w:val="-3"/>
        </w:rPr>
        <w:t> </w:t>
      </w:r>
      <w:r>
        <w:rPr/>
        <w:t>is</w:t>
      </w:r>
      <w:r>
        <w:rPr>
          <w:spacing w:val="-3"/>
        </w:rPr>
        <w:t> </w:t>
      </w:r>
      <w:r>
        <w:rPr/>
        <w:t>calculated</w:t>
      </w:r>
      <w:r>
        <w:rPr>
          <w:spacing w:val="-5"/>
        </w:rPr>
        <w:t> </w:t>
      </w:r>
      <w:r>
        <w:rPr/>
        <w:t>in</w:t>
      </w:r>
      <w:r>
        <w:rPr>
          <w:spacing w:val="-5"/>
        </w:rPr>
        <w:t> </w:t>
      </w:r>
      <w:r>
        <w:rPr/>
        <w:t>detail</w:t>
      </w:r>
      <w:r>
        <w:rPr>
          <w:spacing w:val="-2"/>
        </w:rPr>
        <w:t> </w:t>
      </w:r>
      <w:r>
        <w:rPr/>
        <w:t>in</w:t>
      </w:r>
      <w:r>
        <w:rPr>
          <w:spacing w:val="-14"/>
        </w:rPr>
        <w:t> </w:t>
      </w:r>
      <w:r>
        <w:rPr/>
        <w:t>Appendix</w:t>
      </w:r>
      <w:r>
        <w:rPr>
          <w:spacing w:val="-10"/>
        </w:rPr>
        <w:t> </w:t>
      </w:r>
      <w:r>
        <w:rPr>
          <w:spacing w:val="-5"/>
        </w:rPr>
        <w:t>A.</w:t>
      </w:r>
    </w:p>
    <w:p>
      <w:pPr>
        <w:pStyle w:val="Heading2"/>
        <w:spacing w:after="0"/>
        <w:jc w:val="both"/>
        <w:sectPr>
          <w:pgSz w:w="12240" w:h="15840"/>
          <w:pgMar w:header="0" w:footer="1051" w:top="1360" w:bottom="1240" w:left="1440" w:right="1080"/>
        </w:sectPr>
      </w:pPr>
    </w:p>
    <w:p>
      <w:pPr>
        <w:pStyle w:val="Heading2"/>
        <w:numPr>
          <w:ilvl w:val="1"/>
          <w:numId w:val="3"/>
        </w:numPr>
        <w:tabs>
          <w:tab w:pos="400" w:val="left" w:leader="none"/>
        </w:tabs>
        <w:spacing w:line="240" w:lineRule="auto" w:before="71" w:after="0"/>
        <w:ind w:left="400" w:right="0" w:hanging="400"/>
        <w:jc w:val="left"/>
      </w:pPr>
      <w:bookmarkStart w:name="5.6 Profitability Index (PI)" w:id="61"/>
      <w:bookmarkEnd w:id="61"/>
      <w:r>
        <w:rPr>
          <w:b w:val="0"/>
        </w:rPr>
      </w:r>
      <w:bookmarkStart w:name="_bookmark30" w:id="62"/>
      <w:bookmarkEnd w:id="62"/>
      <w:r>
        <w:rPr>
          <w:b w:val="0"/>
        </w:rPr>
      </w:r>
      <w:r>
        <w:rPr/>
        <w:t>Profitability</w:t>
      </w:r>
      <w:r>
        <w:rPr>
          <w:spacing w:val="-11"/>
        </w:rPr>
        <w:t> </w:t>
      </w:r>
      <w:r>
        <w:rPr/>
        <w:t>Index</w:t>
      </w:r>
      <w:r>
        <w:rPr>
          <w:spacing w:val="-5"/>
        </w:rPr>
        <w:t> </w:t>
      </w:r>
      <w:r>
        <w:rPr>
          <w:spacing w:val="-4"/>
        </w:rPr>
        <w:t>(PI)</w:t>
      </w:r>
    </w:p>
    <w:p>
      <w:pPr>
        <w:pStyle w:val="BodyText"/>
        <w:spacing w:line="362" w:lineRule="auto" w:before="223"/>
        <w:ind w:right="366"/>
        <w:jc w:val="both"/>
      </w:pPr>
      <w:r>
        <w:rPr/>
        <w:t>The PI for all three projects is below</w:t>
      </w:r>
      <w:r>
        <w:rPr>
          <w:spacing w:val="-3"/>
        </w:rPr>
        <w:t> </w:t>
      </w:r>
      <w:r>
        <w:rPr/>
        <w:t>1, indicating that none will provide enough value to justify the cash invested</w:t>
      </w:r>
      <w:r>
        <w:rPr>
          <w:spacing w:val="-3"/>
        </w:rPr>
        <w:t> </w:t>
      </w:r>
      <w:r>
        <w:rPr/>
        <w:t>in them</w:t>
      </w:r>
      <w:r>
        <w:rPr>
          <w:spacing w:val="-6"/>
        </w:rPr>
        <w:t> </w:t>
      </w:r>
      <w:r>
        <w:rPr/>
        <w:t>based on discounted cash flows. Nevertheless, Project C</w:t>
      </w:r>
      <w:r>
        <w:rPr>
          <w:spacing w:val="-7"/>
        </w:rPr>
        <w:t> </w:t>
      </w:r>
      <w:r>
        <w:rPr/>
        <w:t>is</w:t>
      </w:r>
      <w:r>
        <w:rPr>
          <w:spacing w:val="-12"/>
        </w:rPr>
        <w:t> </w:t>
      </w:r>
      <w:r>
        <w:rPr/>
        <w:t>a</w:t>
      </w:r>
      <w:r>
        <w:rPr>
          <w:spacing w:val="-11"/>
        </w:rPr>
        <w:t> </w:t>
      </w:r>
      <w:r>
        <w:rPr/>
        <w:t>little</w:t>
      </w:r>
      <w:r>
        <w:rPr>
          <w:spacing w:val="-6"/>
        </w:rPr>
        <w:t> </w:t>
      </w:r>
      <w:r>
        <w:rPr/>
        <w:t>more</w:t>
      </w:r>
      <w:r>
        <w:rPr>
          <w:spacing w:val="-6"/>
        </w:rPr>
        <w:t> </w:t>
      </w:r>
      <w:r>
        <w:rPr/>
        <w:t>favourable,</w:t>
      </w:r>
      <w:r>
        <w:rPr>
          <w:spacing w:val="-6"/>
        </w:rPr>
        <w:t> </w:t>
      </w:r>
      <w:r>
        <w:rPr/>
        <w:t>having</w:t>
      </w:r>
      <w:r>
        <w:rPr>
          <w:spacing w:val="-6"/>
        </w:rPr>
        <w:t> </w:t>
      </w:r>
      <w:r>
        <w:rPr/>
        <w:t>a</w:t>
      </w:r>
      <w:r>
        <w:rPr>
          <w:spacing w:val="-6"/>
        </w:rPr>
        <w:t> </w:t>
      </w:r>
      <w:r>
        <w:rPr/>
        <w:t>PI</w:t>
      </w:r>
      <w:r>
        <w:rPr>
          <w:spacing w:val="-11"/>
        </w:rPr>
        <w:t> </w:t>
      </w:r>
      <w:r>
        <w:rPr/>
        <w:t>of</w:t>
      </w:r>
      <w:r>
        <w:rPr>
          <w:spacing w:val="-6"/>
        </w:rPr>
        <w:t> </w:t>
      </w:r>
      <w:r>
        <w:rPr/>
        <w:t>0.96,</w:t>
      </w:r>
      <w:r>
        <w:rPr>
          <w:spacing w:val="-11"/>
        </w:rPr>
        <w:t> </w:t>
      </w:r>
      <w:r>
        <w:rPr/>
        <w:t>indicating</w:t>
      </w:r>
      <w:r>
        <w:rPr>
          <w:spacing w:val="-11"/>
        </w:rPr>
        <w:t> </w:t>
      </w:r>
      <w:r>
        <w:rPr/>
        <w:t>that</w:t>
      </w:r>
      <w:r>
        <w:rPr>
          <w:spacing w:val="-16"/>
        </w:rPr>
        <w:t> </w:t>
      </w:r>
      <w:r>
        <w:rPr/>
        <w:t>it</w:t>
      </w:r>
      <w:r>
        <w:rPr>
          <w:spacing w:val="-11"/>
        </w:rPr>
        <w:t> </w:t>
      </w:r>
      <w:r>
        <w:rPr/>
        <w:t>is</w:t>
      </w:r>
      <w:r>
        <w:rPr>
          <w:spacing w:val="-7"/>
        </w:rPr>
        <w:t> </w:t>
      </w:r>
      <w:r>
        <w:rPr/>
        <w:t>the</w:t>
      </w:r>
      <w:r>
        <w:rPr>
          <w:spacing w:val="-6"/>
        </w:rPr>
        <w:t> </w:t>
      </w:r>
      <w:r>
        <w:rPr/>
        <w:t>one</w:t>
      </w:r>
      <w:r>
        <w:rPr>
          <w:spacing w:val="-6"/>
        </w:rPr>
        <w:t> </w:t>
      </w:r>
      <w:r>
        <w:rPr/>
        <w:t>that</w:t>
      </w:r>
      <w:r>
        <w:rPr>
          <w:spacing w:val="-11"/>
        </w:rPr>
        <w:t> </w:t>
      </w:r>
      <w:r>
        <w:rPr/>
        <w:t>is</w:t>
      </w:r>
      <w:r>
        <w:rPr>
          <w:spacing w:val="-7"/>
        </w:rPr>
        <w:t> </w:t>
      </w:r>
      <w:r>
        <w:rPr/>
        <w:t>closest to financial feasibility.</w:t>
      </w:r>
    </w:p>
    <w:p>
      <w:pPr>
        <w:pStyle w:val="BodyText"/>
        <w:spacing w:line="360" w:lineRule="auto" w:before="148"/>
        <w:ind w:right="355"/>
        <w:jc w:val="both"/>
      </w:pPr>
      <w:r>
        <w:rPr/>
        <w:t>Strategically, PI can be applied especially when capital is limited, thereby enhancing investment</w:t>
      </w:r>
      <w:r>
        <w:rPr>
          <w:spacing w:val="-17"/>
        </w:rPr>
        <w:t> </w:t>
      </w:r>
      <w:r>
        <w:rPr/>
        <w:t>efficiency.</w:t>
      </w:r>
      <w:r>
        <w:rPr>
          <w:spacing w:val="-17"/>
        </w:rPr>
        <w:t> </w:t>
      </w:r>
      <w:r>
        <w:rPr/>
        <w:t>However,</w:t>
      </w:r>
      <w:r>
        <w:rPr>
          <w:spacing w:val="-16"/>
        </w:rPr>
        <w:t> </w:t>
      </w:r>
      <w:r>
        <w:rPr/>
        <w:t>in</w:t>
      </w:r>
      <w:r>
        <w:rPr>
          <w:spacing w:val="-17"/>
        </w:rPr>
        <w:t> </w:t>
      </w:r>
      <w:r>
        <w:rPr/>
        <w:t>line</w:t>
      </w:r>
      <w:r>
        <w:rPr>
          <w:spacing w:val="-17"/>
        </w:rPr>
        <w:t> </w:t>
      </w:r>
      <w:r>
        <w:rPr/>
        <w:t>with</w:t>
      </w:r>
      <w:r>
        <w:rPr>
          <w:spacing w:val="-17"/>
        </w:rPr>
        <w:t> </w:t>
      </w:r>
      <w:r>
        <w:rPr/>
        <w:t>the</w:t>
      </w:r>
      <w:r>
        <w:rPr>
          <w:spacing w:val="-16"/>
        </w:rPr>
        <w:t> </w:t>
      </w:r>
      <w:r>
        <w:rPr/>
        <w:t>NPV</w:t>
      </w:r>
      <w:r>
        <w:rPr>
          <w:spacing w:val="-17"/>
        </w:rPr>
        <w:t> </w:t>
      </w:r>
      <w:r>
        <w:rPr/>
        <w:t>results,</w:t>
      </w:r>
      <w:r>
        <w:rPr>
          <w:spacing w:val="-17"/>
        </w:rPr>
        <w:t> </w:t>
      </w:r>
      <w:r>
        <w:rPr/>
        <w:t>any</w:t>
      </w:r>
      <w:r>
        <w:rPr>
          <w:spacing w:val="-16"/>
        </w:rPr>
        <w:t> </w:t>
      </w:r>
      <w:r>
        <w:rPr/>
        <w:t>project</w:t>
      </w:r>
      <w:r>
        <w:rPr>
          <w:spacing w:val="-17"/>
        </w:rPr>
        <w:t> </w:t>
      </w:r>
      <w:r>
        <w:rPr/>
        <w:t>would</w:t>
      </w:r>
      <w:r>
        <w:rPr>
          <w:spacing w:val="-17"/>
        </w:rPr>
        <w:t> </w:t>
      </w:r>
      <w:r>
        <w:rPr/>
        <w:t>be</w:t>
      </w:r>
      <w:r>
        <w:rPr>
          <w:spacing w:val="-16"/>
        </w:rPr>
        <w:t> </w:t>
      </w:r>
      <w:r>
        <w:rPr/>
        <w:t>rejected based on its financial reasons. Nevertheless, in cases where strategic considerations require</w:t>
      </w:r>
      <w:r>
        <w:rPr>
          <w:spacing w:val="-2"/>
        </w:rPr>
        <w:t> </w:t>
      </w:r>
      <w:r>
        <w:rPr/>
        <w:t>investment, Project C would be a better choice because it has a relatively better </w:t>
      </w:r>
      <w:r>
        <w:rPr>
          <w:spacing w:val="-2"/>
        </w:rPr>
        <w:t>performance.</w:t>
      </w:r>
    </w:p>
    <w:p>
      <w:pPr>
        <w:pStyle w:val="Heading2"/>
        <w:spacing w:before="163"/>
        <w:jc w:val="both"/>
      </w:pPr>
      <w:r>
        <w:rPr/>
        <w:t>Note:</w:t>
      </w:r>
      <w:r>
        <w:rPr>
          <w:spacing w:val="-3"/>
        </w:rPr>
        <w:t> </w:t>
      </w:r>
      <w:r>
        <w:rPr/>
        <w:t>PI</w:t>
      </w:r>
      <w:r>
        <w:rPr>
          <w:spacing w:val="-7"/>
        </w:rPr>
        <w:t> </w:t>
      </w:r>
      <w:r>
        <w:rPr/>
        <w:t>calculations</w:t>
      </w:r>
      <w:r>
        <w:rPr>
          <w:spacing w:val="-3"/>
        </w:rPr>
        <w:t> </w:t>
      </w:r>
      <w:r>
        <w:rPr/>
        <w:t>in</w:t>
      </w:r>
      <w:r>
        <w:rPr>
          <w:spacing w:val="-6"/>
        </w:rPr>
        <w:t> </w:t>
      </w:r>
      <w:r>
        <w:rPr/>
        <w:t>detail</w:t>
      </w:r>
      <w:r>
        <w:rPr>
          <w:spacing w:val="-3"/>
        </w:rPr>
        <w:t> </w:t>
      </w:r>
      <w:r>
        <w:rPr/>
        <w:t>are</w:t>
      </w:r>
      <w:r>
        <w:rPr>
          <w:spacing w:val="-3"/>
        </w:rPr>
        <w:t> </w:t>
      </w:r>
      <w:r>
        <w:rPr/>
        <w:t>provided</w:t>
      </w:r>
      <w:r>
        <w:rPr>
          <w:spacing w:val="-6"/>
        </w:rPr>
        <w:t> </w:t>
      </w:r>
      <w:r>
        <w:rPr/>
        <w:t>in</w:t>
      </w:r>
      <w:r>
        <w:rPr>
          <w:spacing w:val="-10"/>
        </w:rPr>
        <w:t> </w:t>
      </w:r>
      <w:r>
        <w:rPr/>
        <w:t>Appendix</w:t>
      </w:r>
      <w:r>
        <w:rPr>
          <w:spacing w:val="-10"/>
        </w:rPr>
        <w:t> </w:t>
      </w:r>
      <w:r>
        <w:rPr>
          <w:spacing w:val="-5"/>
        </w:rPr>
        <w:t>A.</w:t>
      </w:r>
    </w:p>
    <w:p>
      <w:pPr>
        <w:pStyle w:val="BodyText"/>
        <w:rPr>
          <w:rFonts w:ascii="Arial"/>
          <w:b/>
        </w:rPr>
      </w:pPr>
    </w:p>
    <w:p>
      <w:pPr>
        <w:pStyle w:val="BodyText"/>
        <w:rPr>
          <w:rFonts w:ascii="Arial"/>
          <w:b/>
        </w:rPr>
      </w:pPr>
    </w:p>
    <w:p>
      <w:pPr>
        <w:pStyle w:val="BodyText"/>
        <w:spacing w:before="39"/>
        <w:rPr>
          <w:rFonts w:ascii="Arial"/>
          <w:b/>
        </w:rPr>
      </w:pPr>
    </w:p>
    <w:p>
      <w:pPr>
        <w:pStyle w:val="Heading2"/>
        <w:numPr>
          <w:ilvl w:val="1"/>
          <w:numId w:val="3"/>
        </w:numPr>
        <w:tabs>
          <w:tab w:pos="400" w:val="left" w:leader="none"/>
        </w:tabs>
        <w:spacing w:line="240" w:lineRule="auto" w:before="0" w:after="0"/>
        <w:ind w:left="400" w:right="0" w:hanging="400"/>
        <w:jc w:val="left"/>
      </w:pPr>
      <w:bookmarkStart w:name="5.7 Comparative Analysis of Projects" w:id="63"/>
      <w:bookmarkEnd w:id="63"/>
      <w:r>
        <w:rPr>
          <w:b w:val="0"/>
        </w:rPr>
      </w:r>
      <w:bookmarkStart w:name="_bookmark31" w:id="64"/>
      <w:bookmarkEnd w:id="64"/>
      <w:r>
        <w:rPr>
          <w:b w:val="0"/>
        </w:rPr>
      </w:r>
      <w:r>
        <w:rPr/>
        <w:t>Comparative</w:t>
      </w:r>
      <w:r>
        <w:rPr>
          <w:spacing w:val="-16"/>
        </w:rPr>
        <w:t> </w:t>
      </w:r>
      <w:r>
        <w:rPr/>
        <w:t>Analysis</w:t>
      </w:r>
      <w:r>
        <w:rPr>
          <w:spacing w:val="-6"/>
        </w:rPr>
        <w:t> </w:t>
      </w:r>
      <w:r>
        <w:rPr/>
        <w:t>of</w:t>
      </w:r>
      <w:r>
        <w:rPr>
          <w:spacing w:val="-6"/>
        </w:rPr>
        <w:t> </w:t>
      </w:r>
      <w:r>
        <w:rPr>
          <w:spacing w:val="-2"/>
        </w:rPr>
        <w:t>Projects</w:t>
      </w:r>
    </w:p>
    <w:p>
      <w:pPr>
        <w:pStyle w:val="BodyText"/>
        <w:spacing w:line="360" w:lineRule="auto" w:before="224"/>
        <w:ind w:right="355"/>
        <w:jc w:val="both"/>
      </w:pPr>
      <w:r>
        <w:rPr/>
        <w:t>Comparative analysis of Projects A, B, and C proves to be similar in all investment appraisal</w:t>
      </w:r>
      <w:r>
        <w:rPr>
          <w:spacing w:val="-3"/>
        </w:rPr>
        <w:t> </w:t>
      </w:r>
      <w:r>
        <w:rPr/>
        <w:t>methods.</w:t>
      </w:r>
      <w:r>
        <w:rPr>
          <w:spacing w:val="-6"/>
        </w:rPr>
        <w:t> </w:t>
      </w:r>
      <w:r>
        <w:rPr/>
        <w:t>Project</w:t>
      </w:r>
      <w:r>
        <w:rPr>
          <w:spacing w:val="-6"/>
        </w:rPr>
        <w:t> </w:t>
      </w:r>
      <w:r>
        <w:rPr/>
        <w:t>C</w:t>
      </w:r>
      <w:r>
        <w:rPr>
          <w:spacing w:val="-7"/>
        </w:rPr>
        <w:t> </w:t>
      </w:r>
      <w:r>
        <w:rPr/>
        <w:t>is</w:t>
      </w:r>
      <w:r>
        <w:rPr>
          <w:spacing w:val="-7"/>
        </w:rPr>
        <w:t> </w:t>
      </w:r>
      <w:r>
        <w:rPr/>
        <w:t>better</w:t>
      </w:r>
      <w:r>
        <w:rPr>
          <w:spacing w:val="-5"/>
        </w:rPr>
        <w:t> </w:t>
      </w:r>
      <w:r>
        <w:rPr/>
        <w:t>than</w:t>
      </w:r>
      <w:r>
        <w:rPr>
          <w:spacing w:val="-6"/>
        </w:rPr>
        <w:t> </w:t>
      </w:r>
      <w:r>
        <w:rPr/>
        <w:t>the</w:t>
      </w:r>
      <w:r>
        <w:rPr>
          <w:spacing w:val="-11"/>
        </w:rPr>
        <w:t> </w:t>
      </w:r>
      <w:r>
        <w:rPr/>
        <w:t>options;</w:t>
      </w:r>
      <w:r>
        <w:rPr>
          <w:spacing w:val="-6"/>
        </w:rPr>
        <w:t> </w:t>
      </w:r>
      <w:r>
        <w:rPr/>
        <w:t>its</w:t>
      </w:r>
      <w:r>
        <w:rPr>
          <w:spacing w:val="-6"/>
        </w:rPr>
        <w:t> </w:t>
      </w:r>
      <w:r>
        <w:rPr/>
        <w:t>payback</w:t>
      </w:r>
      <w:r>
        <w:rPr>
          <w:spacing w:val="-7"/>
        </w:rPr>
        <w:t> </w:t>
      </w:r>
      <w:r>
        <w:rPr/>
        <w:t>period</w:t>
      </w:r>
      <w:r>
        <w:rPr>
          <w:spacing w:val="-10"/>
        </w:rPr>
        <w:t> </w:t>
      </w:r>
      <w:r>
        <w:rPr/>
        <w:t>is</w:t>
      </w:r>
      <w:r>
        <w:rPr>
          <w:spacing w:val="-7"/>
        </w:rPr>
        <w:t> </w:t>
      </w:r>
      <w:r>
        <w:rPr/>
        <w:t>the</w:t>
      </w:r>
      <w:r>
        <w:rPr>
          <w:spacing w:val="-3"/>
        </w:rPr>
        <w:t> </w:t>
      </w:r>
      <w:r>
        <w:rPr/>
        <w:t>shortest (3.6 years),</w:t>
      </w:r>
      <w:r>
        <w:rPr>
          <w:spacing w:val="-7"/>
        </w:rPr>
        <w:t> </w:t>
      </w:r>
      <w:r>
        <w:rPr/>
        <w:t>it</w:t>
      </w:r>
      <w:r>
        <w:rPr>
          <w:spacing w:val="-2"/>
        </w:rPr>
        <w:t> </w:t>
      </w:r>
      <w:r>
        <w:rPr/>
        <w:t>has the highest</w:t>
      </w:r>
      <w:r>
        <w:rPr>
          <w:spacing w:val="-10"/>
        </w:rPr>
        <w:t> </w:t>
      </w:r>
      <w:r>
        <w:rPr/>
        <w:t>ARR (12%), IRR (8.83%),</w:t>
      </w:r>
      <w:r>
        <w:rPr>
          <w:spacing w:val="-2"/>
        </w:rPr>
        <w:t> </w:t>
      </w:r>
      <w:r>
        <w:rPr/>
        <w:t>and</w:t>
      </w:r>
      <w:r>
        <w:rPr>
          <w:spacing w:val="-1"/>
        </w:rPr>
        <w:t> </w:t>
      </w:r>
      <w:r>
        <w:rPr/>
        <w:t>has</w:t>
      </w:r>
      <w:r>
        <w:rPr>
          <w:spacing w:val="-2"/>
        </w:rPr>
        <w:t> </w:t>
      </w:r>
      <w:r>
        <w:rPr/>
        <w:t>the</w:t>
      </w:r>
      <w:r>
        <w:rPr>
          <w:spacing w:val="-1"/>
        </w:rPr>
        <w:t> </w:t>
      </w:r>
      <w:r>
        <w:rPr/>
        <w:t>least</w:t>
      </w:r>
      <w:r>
        <w:rPr>
          <w:spacing w:val="-2"/>
        </w:rPr>
        <w:t> </w:t>
      </w:r>
      <w:r>
        <w:rPr/>
        <w:t>negative</w:t>
      </w:r>
      <w:r>
        <w:rPr>
          <w:spacing w:val="-1"/>
        </w:rPr>
        <w:t> </w:t>
      </w:r>
      <w:r>
        <w:rPr/>
        <w:t>NPV (less than -1.99m), which shows comparatively good financial performance. Projects A and B are less favourable, with longer payback, lower returns and negative NPVs. Nevertheless, none of the projects will achieve the necessary 10% rate of return with negative NPVs and PI values of less than 1. Thus, Project C is the most desirable, but none of the projects would be viable in terms of capital budgeting requirements.</w:t>
      </w:r>
    </w:p>
    <w:p>
      <w:pPr>
        <w:pStyle w:val="BodyText"/>
      </w:pPr>
    </w:p>
    <w:p>
      <w:pPr>
        <w:pStyle w:val="BodyText"/>
        <w:spacing w:before="178"/>
      </w:pPr>
    </w:p>
    <w:p>
      <w:pPr>
        <w:pStyle w:val="Heading2"/>
        <w:numPr>
          <w:ilvl w:val="1"/>
          <w:numId w:val="3"/>
        </w:numPr>
        <w:tabs>
          <w:tab w:pos="400" w:val="left" w:leader="none"/>
        </w:tabs>
        <w:spacing w:line="240" w:lineRule="auto" w:before="1" w:after="0"/>
        <w:ind w:left="400" w:right="0" w:hanging="400"/>
        <w:jc w:val="left"/>
      </w:pPr>
      <w:bookmarkStart w:name="5.8 Final Investment Decision" w:id="65"/>
      <w:bookmarkEnd w:id="65"/>
      <w:r>
        <w:rPr>
          <w:b w:val="0"/>
        </w:rPr>
      </w:r>
      <w:bookmarkStart w:name="_bookmark32" w:id="66"/>
      <w:bookmarkEnd w:id="66"/>
      <w:r>
        <w:rPr>
          <w:b w:val="0"/>
        </w:rPr>
      </w:r>
      <w:r>
        <w:rPr/>
        <w:t>Final</w:t>
      </w:r>
      <w:r>
        <w:rPr>
          <w:spacing w:val="-9"/>
        </w:rPr>
        <w:t> </w:t>
      </w:r>
      <w:r>
        <w:rPr/>
        <w:t>Investment</w:t>
      </w:r>
      <w:r>
        <w:rPr>
          <w:spacing w:val="-8"/>
        </w:rPr>
        <w:t> </w:t>
      </w:r>
      <w:r>
        <w:rPr>
          <w:spacing w:val="-2"/>
        </w:rPr>
        <w:t>Decision</w:t>
      </w:r>
    </w:p>
    <w:p>
      <w:pPr>
        <w:pStyle w:val="BodyText"/>
        <w:spacing w:line="360" w:lineRule="auto" w:before="223"/>
        <w:ind w:right="351"/>
        <w:jc w:val="both"/>
      </w:pPr>
      <w:r>
        <w:rPr/>
        <w:t>Projects must be discarded on a financial basis alone, since they do not yield a positive NPV, and cannot cover the necessary rate of</w:t>
      </w:r>
      <w:r>
        <w:rPr>
          <w:spacing w:val="-3"/>
        </w:rPr>
        <w:t> </w:t>
      </w:r>
      <w:r>
        <w:rPr/>
        <w:t>return. Nevertheless</w:t>
      </w:r>
      <w:r>
        <w:rPr>
          <w:rFonts w:ascii="Arial"/>
          <w:b/>
        </w:rPr>
        <w:t>, Project C </w:t>
      </w:r>
      <w:r>
        <w:rPr/>
        <w:t>should be chosen</w:t>
      </w:r>
      <w:r>
        <w:rPr>
          <w:spacing w:val="-8"/>
        </w:rPr>
        <w:t> </w:t>
      </w:r>
      <w:r>
        <w:rPr/>
        <w:t>if</w:t>
      </w:r>
      <w:r>
        <w:rPr>
          <w:spacing w:val="-5"/>
        </w:rPr>
        <w:t> </w:t>
      </w:r>
      <w:r>
        <w:rPr/>
        <w:t>there</w:t>
      </w:r>
      <w:r>
        <w:rPr>
          <w:spacing w:val="-10"/>
        </w:rPr>
        <w:t> </w:t>
      </w:r>
      <w:r>
        <w:rPr/>
        <w:t>is</w:t>
      </w:r>
      <w:r>
        <w:rPr>
          <w:spacing w:val="-6"/>
        </w:rPr>
        <w:t> </w:t>
      </w:r>
      <w:r>
        <w:rPr/>
        <w:t>a</w:t>
      </w:r>
      <w:r>
        <w:rPr>
          <w:spacing w:val="-5"/>
        </w:rPr>
        <w:t> </w:t>
      </w:r>
      <w:r>
        <w:rPr/>
        <w:t>strategic</w:t>
      </w:r>
      <w:r>
        <w:rPr>
          <w:spacing w:val="-6"/>
        </w:rPr>
        <w:t> </w:t>
      </w:r>
      <w:r>
        <w:rPr/>
        <w:t>rationale</w:t>
      </w:r>
      <w:r>
        <w:rPr>
          <w:spacing w:val="-5"/>
        </w:rPr>
        <w:t> </w:t>
      </w:r>
      <w:r>
        <w:rPr/>
        <w:t>for</w:t>
      </w:r>
      <w:r>
        <w:rPr>
          <w:spacing w:val="-9"/>
        </w:rPr>
        <w:t> </w:t>
      </w:r>
      <w:r>
        <w:rPr/>
        <w:t>investment,</w:t>
      </w:r>
      <w:r>
        <w:rPr>
          <w:spacing w:val="-5"/>
        </w:rPr>
        <w:t> </w:t>
      </w:r>
      <w:r>
        <w:rPr/>
        <w:t>as</w:t>
      </w:r>
      <w:r>
        <w:rPr>
          <w:spacing w:val="-6"/>
        </w:rPr>
        <w:t> </w:t>
      </w:r>
      <w:r>
        <w:rPr/>
        <w:t>it</w:t>
      </w:r>
      <w:r>
        <w:rPr>
          <w:spacing w:val="-5"/>
        </w:rPr>
        <w:t> </w:t>
      </w:r>
      <w:r>
        <w:rPr/>
        <w:t>has</w:t>
      </w:r>
      <w:r>
        <w:rPr>
          <w:spacing w:val="-6"/>
        </w:rPr>
        <w:t> </w:t>
      </w:r>
      <w:r>
        <w:rPr/>
        <w:t>the</w:t>
      </w:r>
      <w:r>
        <w:rPr>
          <w:spacing w:val="-10"/>
        </w:rPr>
        <w:t> </w:t>
      </w:r>
      <w:r>
        <w:rPr/>
        <w:t>least</w:t>
      </w:r>
      <w:r>
        <w:rPr>
          <w:spacing w:val="-5"/>
        </w:rPr>
        <w:t> </w:t>
      </w:r>
      <w:r>
        <w:rPr/>
        <w:t>adverse</w:t>
      </w:r>
      <w:r>
        <w:rPr>
          <w:spacing w:val="-5"/>
        </w:rPr>
        <w:t> </w:t>
      </w:r>
      <w:r>
        <w:rPr/>
        <w:t>financial impact and a relatively high level of performance.</w:t>
      </w:r>
    </w:p>
    <w:p>
      <w:pPr>
        <w:pStyle w:val="BodyText"/>
        <w:spacing w:after="0" w:line="360" w:lineRule="auto"/>
        <w:jc w:val="both"/>
        <w:sectPr>
          <w:pgSz w:w="12240" w:h="15840"/>
          <w:pgMar w:header="0" w:footer="1051" w:top="1360" w:bottom="1240" w:left="1440" w:right="1080"/>
        </w:sectPr>
      </w:pPr>
    </w:p>
    <w:p>
      <w:pPr>
        <w:pStyle w:val="Heading2"/>
        <w:numPr>
          <w:ilvl w:val="0"/>
          <w:numId w:val="3"/>
        </w:numPr>
        <w:tabs>
          <w:tab w:pos="266" w:val="left" w:leader="none"/>
        </w:tabs>
        <w:spacing w:line="240" w:lineRule="auto" w:before="71" w:after="0"/>
        <w:ind w:left="266" w:right="0" w:hanging="266"/>
        <w:jc w:val="left"/>
      </w:pPr>
      <w:bookmarkStart w:name="6. Conclusion" w:id="67"/>
      <w:bookmarkEnd w:id="67"/>
      <w:r>
        <w:rPr>
          <w:b w:val="0"/>
        </w:rPr>
      </w:r>
      <w:bookmarkStart w:name="_bookmark33" w:id="68"/>
      <w:bookmarkEnd w:id="68"/>
      <w:r>
        <w:rPr>
          <w:b w:val="0"/>
        </w:rPr>
      </w:r>
      <w:r>
        <w:rPr>
          <w:spacing w:val="-2"/>
        </w:rPr>
        <w:t>Conclusion</w:t>
      </w:r>
    </w:p>
    <w:p>
      <w:pPr>
        <w:pStyle w:val="BodyText"/>
        <w:spacing w:before="24"/>
        <w:rPr>
          <w:rFonts w:ascii="Arial"/>
          <w:b/>
        </w:rPr>
      </w:pPr>
    </w:p>
    <w:p>
      <w:pPr>
        <w:pStyle w:val="Heading2"/>
        <w:numPr>
          <w:ilvl w:val="1"/>
          <w:numId w:val="3"/>
        </w:numPr>
        <w:tabs>
          <w:tab w:pos="401" w:val="left" w:leader="none"/>
        </w:tabs>
        <w:spacing w:line="240" w:lineRule="auto" w:before="0" w:after="0"/>
        <w:ind w:left="401" w:right="0" w:hanging="401"/>
        <w:jc w:val="left"/>
      </w:pPr>
      <w:bookmarkStart w:name="6.1 Summarised the key results" w:id="69"/>
      <w:bookmarkEnd w:id="69"/>
      <w:r>
        <w:rPr>
          <w:b w:val="0"/>
        </w:rPr>
      </w:r>
      <w:bookmarkStart w:name="_bookmark34" w:id="70"/>
      <w:bookmarkEnd w:id="70"/>
      <w:r>
        <w:rPr>
          <w:b w:val="0"/>
        </w:rPr>
      </w:r>
      <w:r>
        <w:rPr/>
        <w:t>Summarised</w:t>
      </w:r>
      <w:r>
        <w:rPr>
          <w:spacing w:val="-2"/>
        </w:rPr>
        <w:t> </w:t>
      </w:r>
      <w:r>
        <w:rPr/>
        <w:t>the</w:t>
      </w:r>
      <w:r>
        <w:rPr>
          <w:spacing w:val="-5"/>
        </w:rPr>
        <w:t> </w:t>
      </w:r>
      <w:r>
        <w:rPr/>
        <w:t>key</w:t>
      </w:r>
      <w:r>
        <w:rPr>
          <w:spacing w:val="-8"/>
        </w:rPr>
        <w:t> </w:t>
      </w:r>
      <w:r>
        <w:rPr>
          <w:spacing w:val="-2"/>
        </w:rPr>
        <w:t>results</w:t>
      </w:r>
    </w:p>
    <w:p>
      <w:pPr>
        <w:pStyle w:val="BodyText"/>
        <w:rPr>
          <w:rFonts w:ascii="Arial"/>
          <w:b/>
        </w:rPr>
      </w:pPr>
    </w:p>
    <w:p>
      <w:pPr>
        <w:pStyle w:val="BodyText"/>
        <w:spacing w:before="243"/>
        <w:rPr>
          <w:rFonts w:ascii="Arial"/>
          <w:b/>
        </w:rPr>
      </w:pPr>
    </w:p>
    <w:p>
      <w:pPr>
        <w:pStyle w:val="BodyText"/>
        <w:spacing w:line="360" w:lineRule="auto"/>
        <w:ind w:right="349"/>
        <w:jc w:val="both"/>
      </w:pPr>
      <w:r>
        <w:rPr/>
        <w:t>NIO Inc. has shown robust growth in revenue and expansion in operations, but on the financial side, its poor financial status is characterised by continued net losses, liquidity constraints</w:t>
      </w:r>
      <w:r>
        <w:rPr>
          <w:spacing w:val="-7"/>
        </w:rPr>
        <w:t> </w:t>
      </w:r>
      <w:r>
        <w:rPr/>
        <w:t>and</w:t>
      </w:r>
      <w:r>
        <w:rPr>
          <w:spacing w:val="-7"/>
        </w:rPr>
        <w:t> </w:t>
      </w:r>
      <w:r>
        <w:rPr/>
        <w:t>financial</w:t>
      </w:r>
      <w:r>
        <w:rPr>
          <w:spacing w:val="-5"/>
        </w:rPr>
        <w:t> </w:t>
      </w:r>
      <w:r>
        <w:rPr/>
        <w:t>leverage.</w:t>
      </w:r>
      <w:r>
        <w:rPr>
          <w:spacing w:val="-17"/>
        </w:rPr>
        <w:t> </w:t>
      </w:r>
      <w:r>
        <w:rPr/>
        <w:t>Although</w:t>
      </w:r>
      <w:r>
        <w:rPr>
          <w:spacing w:val="-7"/>
        </w:rPr>
        <w:t> </w:t>
      </w:r>
      <w:r>
        <w:rPr/>
        <w:t>the</w:t>
      </w:r>
      <w:r>
        <w:rPr>
          <w:spacing w:val="-7"/>
        </w:rPr>
        <w:t> </w:t>
      </w:r>
      <w:r>
        <w:rPr/>
        <w:t>gross</w:t>
      </w:r>
      <w:r>
        <w:rPr>
          <w:spacing w:val="-8"/>
        </w:rPr>
        <w:t> </w:t>
      </w:r>
      <w:r>
        <w:rPr/>
        <w:t>margins</w:t>
      </w:r>
      <w:r>
        <w:rPr>
          <w:spacing w:val="-8"/>
        </w:rPr>
        <w:t> </w:t>
      </w:r>
      <w:r>
        <w:rPr/>
        <w:t>and</w:t>
      </w:r>
      <w:r>
        <w:rPr>
          <w:spacing w:val="-7"/>
        </w:rPr>
        <w:t> </w:t>
      </w:r>
      <w:r>
        <w:rPr/>
        <w:t>operational</w:t>
      </w:r>
      <w:r>
        <w:rPr>
          <w:spacing w:val="-5"/>
        </w:rPr>
        <w:t> </w:t>
      </w:r>
      <w:r>
        <w:rPr/>
        <w:t>efficiency have been improving, the company still has a high dependency on external financing, which reflects a financial strain.</w:t>
      </w:r>
    </w:p>
    <w:p>
      <w:pPr>
        <w:pStyle w:val="BodyText"/>
        <w:spacing w:line="360" w:lineRule="auto" w:before="163"/>
        <w:ind w:right="352"/>
        <w:jc w:val="both"/>
      </w:pPr>
      <w:r>
        <w:rPr/>
        <w:t>Investment appraisal of Projects</w:t>
      </w:r>
      <w:r>
        <w:rPr>
          <w:spacing w:val="-10"/>
        </w:rPr>
        <w:t> </w:t>
      </w:r>
      <w:r>
        <w:rPr/>
        <w:t>A, B and C points out that the required rate of</w:t>
      </w:r>
      <w:r>
        <w:rPr>
          <w:spacing w:val="-1"/>
        </w:rPr>
        <w:t> </w:t>
      </w:r>
      <w:r>
        <w:rPr/>
        <w:t>return of 10% is not met in each of the projects, since the NPVs and PI values are negative and less than 1, respectively. Regardless of this, Project C is superior in all the assessment approaches,</w:t>
      </w:r>
      <w:r>
        <w:rPr>
          <w:spacing w:val="-1"/>
        </w:rPr>
        <w:t> </w:t>
      </w:r>
      <w:r>
        <w:rPr/>
        <w:t>i.e.</w:t>
      </w:r>
      <w:r>
        <w:rPr>
          <w:spacing w:val="-1"/>
        </w:rPr>
        <w:t> </w:t>
      </w:r>
      <w:r>
        <w:rPr/>
        <w:t>payback</w:t>
      </w:r>
      <w:r>
        <w:rPr>
          <w:spacing w:val="-1"/>
        </w:rPr>
        <w:t> </w:t>
      </w:r>
      <w:r>
        <w:rPr/>
        <w:t>period,</w:t>
      </w:r>
      <w:r>
        <w:rPr>
          <w:spacing w:val="-15"/>
        </w:rPr>
        <w:t> </w:t>
      </w:r>
      <w:r>
        <w:rPr/>
        <w:t>ARR</w:t>
      </w:r>
      <w:r>
        <w:rPr>
          <w:spacing w:val="-2"/>
        </w:rPr>
        <w:t> </w:t>
      </w:r>
      <w:r>
        <w:rPr/>
        <w:t>and</w:t>
      </w:r>
      <w:r>
        <w:rPr>
          <w:spacing w:val="-1"/>
        </w:rPr>
        <w:t> </w:t>
      </w:r>
      <w:r>
        <w:rPr/>
        <w:t>IRR,</w:t>
      </w:r>
      <w:r>
        <w:rPr>
          <w:spacing w:val="-1"/>
        </w:rPr>
        <w:t> </w:t>
      </w:r>
      <w:r>
        <w:rPr/>
        <w:t>which</w:t>
      </w:r>
      <w:r>
        <w:rPr>
          <w:spacing w:val="-1"/>
        </w:rPr>
        <w:t> </w:t>
      </w:r>
      <w:r>
        <w:rPr/>
        <w:t>reflect</w:t>
      </w:r>
      <w:r>
        <w:rPr>
          <w:spacing w:val="-1"/>
        </w:rPr>
        <w:t> </w:t>
      </w:r>
      <w:r>
        <w:rPr/>
        <w:t>a</w:t>
      </w:r>
      <w:r>
        <w:rPr>
          <w:spacing w:val="-1"/>
        </w:rPr>
        <w:t> </w:t>
      </w:r>
      <w:r>
        <w:rPr/>
        <w:t>relatively</w:t>
      </w:r>
      <w:r>
        <w:rPr>
          <w:spacing w:val="-1"/>
        </w:rPr>
        <w:t> </w:t>
      </w:r>
      <w:r>
        <w:rPr/>
        <w:t>higher financial potential. These results indicate that NIO is advancing in terms of operations, but the financial sustainability and disciplined capital distribution are still significant issues.</w:t>
      </w:r>
    </w:p>
    <w:p>
      <w:pPr>
        <w:pStyle w:val="BodyText"/>
      </w:pPr>
    </w:p>
    <w:p>
      <w:pPr>
        <w:pStyle w:val="BodyText"/>
        <w:spacing w:before="176"/>
      </w:pPr>
    </w:p>
    <w:p>
      <w:pPr>
        <w:pStyle w:val="Heading2"/>
        <w:numPr>
          <w:ilvl w:val="1"/>
          <w:numId w:val="3"/>
        </w:numPr>
        <w:tabs>
          <w:tab w:pos="400" w:val="left" w:leader="none"/>
        </w:tabs>
        <w:spacing w:line="240" w:lineRule="auto" w:before="0" w:after="0"/>
        <w:ind w:left="400" w:right="0" w:hanging="400"/>
        <w:jc w:val="left"/>
      </w:pPr>
      <w:bookmarkStart w:name="6.2 Final Strategic Recommendations" w:id="71"/>
      <w:bookmarkEnd w:id="71"/>
      <w:r>
        <w:rPr>
          <w:b w:val="0"/>
        </w:rPr>
      </w:r>
      <w:bookmarkStart w:name="_bookmark35" w:id="72"/>
      <w:bookmarkEnd w:id="72"/>
      <w:r>
        <w:rPr>
          <w:b w:val="0"/>
        </w:rPr>
      </w:r>
      <w:r>
        <w:rPr/>
        <w:t>Final</w:t>
      </w:r>
      <w:r>
        <w:rPr>
          <w:spacing w:val="-4"/>
        </w:rPr>
        <w:t> </w:t>
      </w:r>
      <w:r>
        <w:rPr/>
        <w:t>Strategic</w:t>
      </w:r>
      <w:r>
        <w:rPr>
          <w:spacing w:val="-3"/>
        </w:rPr>
        <w:t> </w:t>
      </w:r>
      <w:r>
        <w:rPr>
          <w:spacing w:val="-2"/>
        </w:rPr>
        <w:t>Recommendations</w:t>
      </w:r>
    </w:p>
    <w:p>
      <w:pPr>
        <w:pStyle w:val="BodyText"/>
        <w:rPr>
          <w:rFonts w:ascii="Arial"/>
          <w:b/>
        </w:rPr>
      </w:pPr>
    </w:p>
    <w:p>
      <w:pPr>
        <w:pStyle w:val="BodyText"/>
        <w:spacing w:before="243"/>
        <w:rPr>
          <w:rFonts w:ascii="Arial"/>
          <w:b/>
        </w:rPr>
      </w:pPr>
    </w:p>
    <w:p>
      <w:pPr>
        <w:pStyle w:val="BodyText"/>
        <w:spacing w:line="362" w:lineRule="auto"/>
        <w:ind w:right="363"/>
        <w:jc w:val="both"/>
      </w:pPr>
      <w:r>
        <w:rPr/>
        <w:t>NIO Inc. must take a middle way approach of liquidity management, improvement in profitability,</w:t>
      </w:r>
      <w:r>
        <w:rPr>
          <w:spacing w:val="-13"/>
        </w:rPr>
        <w:t> </w:t>
      </w:r>
      <w:r>
        <w:rPr/>
        <w:t>and</w:t>
      </w:r>
      <w:r>
        <w:rPr>
          <w:spacing w:val="-11"/>
        </w:rPr>
        <w:t> </w:t>
      </w:r>
      <w:r>
        <w:rPr/>
        <w:t>effective</w:t>
      </w:r>
      <w:r>
        <w:rPr>
          <w:spacing w:val="-13"/>
        </w:rPr>
        <w:t> </w:t>
      </w:r>
      <w:r>
        <w:rPr/>
        <w:t>allocation</w:t>
      </w:r>
      <w:r>
        <w:rPr>
          <w:spacing w:val="-17"/>
        </w:rPr>
        <w:t> </w:t>
      </w:r>
      <w:r>
        <w:rPr/>
        <w:t>of</w:t>
      </w:r>
      <w:r>
        <w:rPr>
          <w:spacing w:val="-13"/>
        </w:rPr>
        <w:t> </w:t>
      </w:r>
      <w:r>
        <w:rPr/>
        <w:t>capital</w:t>
      </w:r>
      <w:r>
        <w:rPr>
          <w:spacing w:val="-10"/>
        </w:rPr>
        <w:t> </w:t>
      </w:r>
      <w:r>
        <w:rPr/>
        <w:t>to</w:t>
      </w:r>
      <w:r>
        <w:rPr>
          <w:spacing w:val="-13"/>
        </w:rPr>
        <w:t> </w:t>
      </w:r>
      <w:r>
        <w:rPr/>
        <w:t>enhance</w:t>
      </w:r>
      <w:r>
        <w:rPr>
          <w:spacing w:val="-17"/>
        </w:rPr>
        <w:t> </w:t>
      </w:r>
      <w:r>
        <w:rPr/>
        <w:t>its</w:t>
      </w:r>
      <w:r>
        <w:rPr>
          <w:spacing w:val="-17"/>
        </w:rPr>
        <w:t> </w:t>
      </w:r>
      <w:r>
        <w:rPr/>
        <w:t>financial</w:t>
      </w:r>
      <w:r>
        <w:rPr>
          <w:spacing w:val="-14"/>
        </w:rPr>
        <w:t> </w:t>
      </w:r>
      <w:r>
        <w:rPr/>
        <w:t>position.</w:t>
      </w:r>
      <w:r>
        <w:rPr>
          <w:spacing w:val="-17"/>
        </w:rPr>
        <w:t> </w:t>
      </w:r>
      <w:r>
        <w:rPr/>
        <w:t>To</w:t>
      </w:r>
      <w:r>
        <w:rPr>
          <w:spacing w:val="-17"/>
        </w:rPr>
        <w:t> </w:t>
      </w:r>
      <w:r>
        <w:rPr/>
        <w:t>improve liquidity resiliency, the firm must first improve its working capital management and decrease the use of short-term debt. Second, it is necessary to attain a straight line to profitability,</w:t>
      </w:r>
      <w:r>
        <w:rPr>
          <w:spacing w:val="-17"/>
        </w:rPr>
        <w:t> </w:t>
      </w:r>
      <w:r>
        <w:rPr/>
        <w:t>and</w:t>
      </w:r>
      <w:r>
        <w:rPr>
          <w:spacing w:val="-16"/>
        </w:rPr>
        <w:t> </w:t>
      </w:r>
      <w:r>
        <w:rPr/>
        <w:t>this</w:t>
      </w:r>
      <w:r>
        <w:rPr>
          <w:spacing w:val="-16"/>
        </w:rPr>
        <w:t> </w:t>
      </w:r>
      <w:r>
        <w:rPr/>
        <w:t>will</w:t>
      </w:r>
      <w:r>
        <w:rPr>
          <w:spacing w:val="-13"/>
        </w:rPr>
        <w:t> </w:t>
      </w:r>
      <w:r>
        <w:rPr/>
        <w:t>necessitate</w:t>
      </w:r>
      <w:r>
        <w:rPr>
          <w:spacing w:val="-15"/>
        </w:rPr>
        <w:t> </w:t>
      </w:r>
      <w:r>
        <w:rPr/>
        <w:t>optimisation</w:t>
      </w:r>
      <w:r>
        <w:rPr>
          <w:spacing w:val="-16"/>
        </w:rPr>
        <w:t> </w:t>
      </w:r>
      <w:r>
        <w:rPr/>
        <w:t>of</w:t>
      </w:r>
      <w:r>
        <w:rPr>
          <w:spacing w:val="-16"/>
        </w:rPr>
        <w:t> </w:t>
      </w:r>
      <w:r>
        <w:rPr/>
        <w:t>costs,</w:t>
      </w:r>
      <w:r>
        <w:rPr>
          <w:spacing w:val="-16"/>
        </w:rPr>
        <w:t> </w:t>
      </w:r>
      <w:r>
        <w:rPr/>
        <w:t>better</w:t>
      </w:r>
      <w:r>
        <w:rPr>
          <w:spacing w:val="-15"/>
        </w:rPr>
        <w:t> </w:t>
      </w:r>
      <w:r>
        <w:rPr/>
        <w:t>pricing</w:t>
      </w:r>
      <w:r>
        <w:rPr>
          <w:spacing w:val="-15"/>
        </w:rPr>
        <w:t> </w:t>
      </w:r>
      <w:r>
        <w:rPr/>
        <w:t>policy</w:t>
      </w:r>
      <w:r>
        <w:rPr>
          <w:spacing w:val="-17"/>
        </w:rPr>
        <w:t> </w:t>
      </w:r>
      <w:r>
        <w:rPr/>
        <w:t>and</w:t>
      </w:r>
      <w:r>
        <w:rPr>
          <w:spacing w:val="-15"/>
        </w:rPr>
        <w:t> </w:t>
      </w:r>
      <w:r>
        <w:rPr/>
        <w:t>stricter research and development spending.</w:t>
      </w:r>
    </w:p>
    <w:p>
      <w:pPr>
        <w:pStyle w:val="BodyText"/>
        <w:spacing w:line="360" w:lineRule="auto" w:before="145"/>
        <w:ind w:right="351"/>
        <w:jc w:val="both"/>
      </w:pPr>
      <w:r>
        <w:rPr/>
        <w:t>Third, NIO has to look into diversified funding sources such as strategic alliances, selective equity funding, and long-term debt financing to suit its capital-intensive investments. As an investor, one should not invest in value-destructive projects, but in case there is a strategic need to invest,</w:t>
      </w:r>
      <w:r>
        <w:rPr>
          <w:spacing w:val="18"/>
        </w:rPr>
        <w:t> </w:t>
      </w:r>
      <w:r>
        <w:rPr/>
        <w:t>Project C should be preferred because it has a</w:t>
      </w:r>
    </w:p>
    <w:p>
      <w:pPr>
        <w:pStyle w:val="BodyText"/>
        <w:spacing w:after="0" w:line="360" w:lineRule="auto"/>
        <w:jc w:val="both"/>
        <w:sectPr>
          <w:pgSz w:w="12240" w:h="15840"/>
          <w:pgMar w:header="0" w:footer="1051" w:top="1360" w:bottom="1240" w:left="1440" w:right="1080"/>
        </w:sectPr>
      </w:pPr>
    </w:p>
    <w:p>
      <w:pPr>
        <w:pStyle w:val="BodyText"/>
        <w:spacing w:line="362" w:lineRule="auto" w:before="76"/>
        <w:ind w:right="351"/>
      </w:pPr>
      <w:r>
        <w:rPr/>
        <w:t>better</w:t>
      </w:r>
      <w:r>
        <w:rPr>
          <w:spacing w:val="-8"/>
        </w:rPr>
        <w:t> </w:t>
      </w:r>
      <w:r>
        <w:rPr/>
        <w:t>financial</w:t>
      </w:r>
      <w:r>
        <w:rPr>
          <w:spacing w:val="-7"/>
        </w:rPr>
        <w:t> </w:t>
      </w:r>
      <w:r>
        <w:rPr/>
        <w:t>performance</w:t>
      </w:r>
      <w:r>
        <w:rPr>
          <w:spacing w:val="-9"/>
        </w:rPr>
        <w:t> </w:t>
      </w:r>
      <w:r>
        <w:rPr/>
        <w:t>as</w:t>
      </w:r>
      <w:r>
        <w:rPr>
          <w:spacing w:val="-5"/>
        </w:rPr>
        <w:t> </w:t>
      </w:r>
      <w:r>
        <w:rPr/>
        <w:t>compared</w:t>
      </w:r>
      <w:r>
        <w:rPr>
          <w:spacing w:val="-9"/>
        </w:rPr>
        <w:t> </w:t>
      </w:r>
      <w:r>
        <w:rPr/>
        <w:t>to</w:t>
      </w:r>
      <w:r>
        <w:rPr>
          <w:spacing w:val="-9"/>
        </w:rPr>
        <w:t> </w:t>
      </w:r>
      <w:r>
        <w:rPr/>
        <w:t>Project</w:t>
      </w:r>
      <w:r>
        <w:rPr>
          <w:spacing w:val="-9"/>
        </w:rPr>
        <w:t> </w:t>
      </w:r>
      <w:r>
        <w:rPr/>
        <w:t>B.</w:t>
      </w:r>
      <w:r>
        <w:rPr>
          <w:spacing w:val="-14"/>
        </w:rPr>
        <w:t> </w:t>
      </w:r>
      <w:r>
        <w:rPr/>
        <w:t>This</w:t>
      </w:r>
      <w:r>
        <w:rPr>
          <w:spacing w:val="-10"/>
        </w:rPr>
        <w:t> </w:t>
      </w:r>
      <w:r>
        <w:rPr/>
        <w:t>will</w:t>
      </w:r>
      <w:r>
        <w:rPr>
          <w:spacing w:val="-7"/>
        </w:rPr>
        <w:t> </w:t>
      </w:r>
      <w:r>
        <w:rPr/>
        <w:t>aid</w:t>
      </w:r>
      <w:r>
        <w:rPr>
          <w:spacing w:val="-14"/>
        </w:rPr>
        <w:t> </w:t>
      </w:r>
      <w:r>
        <w:rPr/>
        <w:t>in</w:t>
      </w:r>
      <w:r>
        <w:rPr>
          <w:spacing w:val="-9"/>
        </w:rPr>
        <w:t> </w:t>
      </w:r>
      <w:r>
        <w:rPr/>
        <w:t>sustainable</w:t>
      </w:r>
      <w:r>
        <w:rPr>
          <w:spacing w:val="-9"/>
        </w:rPr>
        <w:t> </w:t>
      </w:r>
      <w:r>
        <w:rPr/>
        <w:t>growth and value creation in the long term.</w:t>
      </w:r>
    </w:p>
    <w:p>
      <w:pPr>
        <w:pStyle w:val="BodyText"/>
        <w:spacing w:after="0" w:line="362" w:lineRule="auto"/>
        <w:sectPr>
          <w:pgSz w:w="12240" w:h="15840"/>
          <w:pgMar w:header="0" w:footer="1051" w:top="1360" w:bottom="1240" w:left="1440" w:right="1080"/>
        </w:sectPr>
      </w:pPr>
    </w:p>
    <w:p>
      <w:pPr>
        <w:pStyle w:val="Heading2"/>
        <w:spacing w:before="71"/>
        <w:jc w:val="both"/>
      </w:pPr>
      <w:bookmarkStart w:name="Reference list" w:id="73"/>
      <w:bookmarkEnd w:id="73"/>
      <w:r>
        <w:rPr>
          <w:b w:val="0"/>
        </w:rPr>
      </w:r>
      <w:bookmarkStart w:name="_bookmark36" w:id="74"/>
      <w:bookmarkEnd w:id="74"/>
      <w:r>
        <w:rPr>
          <w:b w:val="0"/>
        </w:rPr>
      </w:r>
      <w:r>
        <w:rPr/>
        <w:t>Reference</w:t>
      </w:r>
      <w:r>
        <w:rPr>
          <w:spacing w:val="-7"/>
        </w:rPr>
        <w:t> </w:t>
      </w:r>
      <w:r>
        <w:rPr>
          <w:spacing w:val="-4"/>
        </w:rPr>
        <w:t>list</w:t>
      </w:r>
    </w:p>
    <w:p>
      <w:pPr>
        <w:spacing w:line="362" w:lineRule="auto" w:before="223"/>
        <w:ind w:left="0" w:right="357" w:firstLine="0"/>
        <w:jc w:val="both"/>
        <w:rPr>
          <w:sz w:val="24"/>
        </w:rPr>
      </w:pPr>
      <w:r>
        <w:rPr>
          <w:sz w:val="24"/>
        </w:rPr>
        <w:t>B,</w:t>
      </w:r>
      <w:r>
        <w:rPr>
          <w:spacing w:val="-17"/>
          <w:sz w:val="24"/>
        </w:rPr>
        <w:t> </w:t>
      </w:r>
      <w:r>
        <w:rPr>
          <w:sz w:val="24"/>
        </w:rPr>
        <w:t>K.,</w:t>
      </w:r>
      <w:r>
        <w:rPr>
          <w:spacing w:val="-11"/>
          <w:sz w:val="24"/>
        </w:rPr>
        <w:t> </w:t>
      </w:r>
      <w:r>
        <w:rPr>
          <w:sz w:val="24"/>
        </w:rPr>
        <w:t>K,</w:t>
      </w:r>
      <w:r>
        <w:rPr>
          <w:spacing w:val="-7"/>
          <w:sz w:val="24"/>
        </w:rPr>
        <w:t> </w:t>
      </w:r>
      <w:r>
        <w:rPr>
          <w:sz w:val="24"/>
        </w:rPr>
        <w:t>S.</w:t>
      </w:r>
      <w:r>
        <w:rPr>
          <w:spacing w:val="-7"/>
          <w:sz w:val="24"/>
        </w:rPr>
        <w:t> </w:t>
      </w:r>
      <w:r>
        <w:rPr>
          <w:sz w:val="24"/>
        </w:rPr>
        <w:t>and</w:t>
      </w:r>
      <w:r>
        <w:rPr>
          <w:spacing w:val="-7"/>
          <w:sz w:val="24"/>
        </w:rPr>
        <w:t> </w:t>
      </w:r>
      <w:r>
        <w:rPr>
          <w:sz w:val="24"/>
        </w:rPr>
        <w:t>M,</w:t>
      </w:r>
      <w:r>
        <w:rPr>
          <w:spacing w:val="-17"/>
          <w:sz w:val="24"/>
        </w:rPr>
        <w:t> </w:t>
      </w:r>
      <w:r>
        <w:rPr>
          <w:sz w:val="24"/>
        </w:rPr>
        <w:t>A.</w:t>
      </w:r>
      <w:r>
        <w:rPr>
          <w:spacing w:val="-7"/>
          <w:sz w:val="24"/>
        </w:rPr>
        <w:t> </w:t>
      </w:r>
      <w:r>
        <w:rPr>
          <w:sz w:val="24"/>
        </w:rPr>
        <w:t>(2026).</w:t>
      </w:r>
      <w:r>
        <w:rPr>
          <w:spacing w:val="-17"/>
          <w:sz w:val="24"/>
        </w:rPr>
        <w:t> </w:t>
      </w:r>
      <w:r>
        <w:rPr>
          <w:sz w:val="24"/>
        </w:rPr>
        <w:t>A</w:t>
      </w:r>
      <w:r>
        <w:rPr>
          <w:spacing w:val="-17"/>
          <w:sz w:val="24"/>
        </w:rPr>
        <w:t> </w:t>
      </w:r>
      <w:r>
        <w:rPr>
          <w:sz w:val="24"/>
        </w:rPr>
        <w:t>Study</w:t>
      </w:r>
      <w:r>
        <w:rPr>
          <w:spacing w:val="-7"/>
          <w:sz w:val="24"/>
        </w:rPr>
        <w:t> </w:t>
      </w:r>
      <w:r>
        <w:rPr>
          <w:sz w:val="24"/>
        </w:rPr>
        <w:t>on</w:t>
      </w:r>
      <w:r>
        <w:rPr>
          <w:spacing w:val="-7"/>
          <w:sz w:val="24"/>
        </w:rPr>
        <w:t> </w:t>
      </w:r>
      <w:r>
        <w:rPr>
          <w:sz w:val="24"/>
        </w:rPr>
        <w:t>the</w:t>
      </w:r>
      <w:r>
        <w:rPr>
          <w:spacing w:val="-7"/>
          <w:sz w:val="24"/>
        </w:rPr>
        <w:t> </w:t>
      </w:r>
      <w:r>
        <w:rPr>
          <w:sz w:val="24"/>
        </w:rPr>
        <w:t>Impact</w:t>
      </w:r>
      <w:r>
        <w:rPr>
          <w:spacing w:val="-7"/>
          <w:sz w:val="24"/>
        </w:rPr>
        <w:t> </w:t>
      </w:r>
      <w:r>
        <w:rPr>
          <w:sz w:val="24"/>
        </w:rPr>
        <w:t>of</w:t>
      </w:r>
      <w:r>
        <w:rPr>
          <w:spacing w:val="-12"/>
          <w:sz w:val="24"/>
        </w:rPr>
        <w:t> </w:t>
      </w:r>
      <w:r>
        <w:rPr>
          <w:sz w:val="24"/>
        </w:rPr>
        <w:t>Working</w:t>
      </w:r>
      <w:r>
        <w:rPr>
          <w:spacing w:val="-7"/>
          <w:sz w:val="24"/>
        </w:rPr>
        <w:t> </w:t>
      </w:r>
      <w:r>
        <w:rPr>
          <w:sz w:val="24"/>
        </w:rPr>
        <w:t>Capital</w:t>
      </w:r>
      <w:r>
        <w:rPr>
          <w:spacing w:val="-8"/>
          <w:sz w:val="24"/>
        </w:rPr>
        <w:t> </w:t>
      </w:r>
      <w:r>
        <w:rPr>
          <w:sz w:val="24"/>
        </w:rPr>
        <w:t>Management</w:t>
      </w:r>
      <w:r>
        <w:rPr>
          <w:spacing w:val="-7"/>
          <w:sz w:val="24"/>
        </w:rPr>
        <w:t> </w:t>
      </w:r>
      <w:r>
        <w:rPr>
          <w:sz w:val="24"/>
        </w:rPr>
        <w:t>and Profitability</w:t>
      </w:r>
      <w:r>
        <w:rPr>
          <w:spacing w:val="-17"/>
          <w:sz w:val="24"/>
        </w:rPr>
        <w:t> </w:t>
      </w:r>
      <w:r>
        <w:rPr>
          <w:sz w:val="24"/>
        </w:rPr>
        <w:t>of</w:t>
      </w:r>
      <w:r>
        <w:rPr>
          <w:spacing w:val="-17"/>
          <w:sz w:val="24"/>
        </w:rPr>
        <w:t> </w:t>
      </w:r>
      <w:r>
        <w:rPr>
          <w:sz w:val="24"/>
        </w:rPr>
        <w:t>Tata</w:t>
      </w:r>
      <w:r>
        <w:rPr>
          <w:spacing w:val="-16"/>
          <w:sz w:val="24"/>
        </w:rPr>
        <w:t> </w:t>
      </w:r>
      <w:r>
        <w:rPr>
          <w:sz w:val="24"/>
        </w:rPr>
        <w:t>Steel</w:t>
      </w:r>
      <w:r>
        <w:rPr>
          <w:spacing w:val="-17"/>
          <w:sz w:val="24"/>
        </w:rPr>
        <w:t> </w:t>
      </w:r>
      <w:r>
        <w:rPr>
          <w:sz w:val="24"/>
        </w:rPr>
        <w:t>Ltd.</w:t>
      </w:r>
      <w:r>
        <w:rPr>
          <w:spacing w:val="-17"/>
          <w:sz w:val="24"/>
        </w:rPr>
        <w:t> </w:t>
      </w:r>
      <w:r>
        <w:rPr>
          <w:rFonts w:ascii="Arial" w:hAnsi="Arial"/>
          <w:i/>
          <w:sz w:val="24"/>
        </w:rPr>
        <w:t>International</w:t>
      </w:r>
      <w:r>
        <w:rPr>
          <w:rFonts w:ascii="Arial" w:hAnsi="Arial"/>
          <w:i/>
          <w:spacing w:val="-17"/>
          <w:sz w:val="24"/>
        </w:rPr>
        <w:t> </w:t>
      </w:r>
      <w:r>
        <w:rPr>
          <w:rFonts w:ascii="Arial" w:hAnsi="Arial"/>
          <w:i/>
          <w:sz w:val="24"/>
        </w:rPr>
        <w:t>Journal</w:t>
      </w:r>
      <w:r>
        <w:rPr>
          <w:rFonts w:ascii="Arial" w:hAnsi="Arial"/>
          <w:i/>
          <w:spacing w:val="-16"/>
          <w:sz w:val="24"/>
        </w:rPr>
        <w:t> </w:t>
      </w:r>
      <w:r>
        <w:rPr>
          <w:rFonts w:ascii="Arial" w:hAnsi="Arial"/>
          <w:i/>
          <w:sz w:val="24"/>
        </w:rPr>
        <w:t>of</w:t>
      </w:r>
      <w:r>
        <w:rPr>
          <w:rFonts w:ascii="Arial" w:hAnsi="Arial"/>
          <w:i/>
          <w:spacing w:val="-17"/>
          <w:sz w:val="24"/>
        </w:rPr>
        <w:t> </w:t>
      </w:r>
      <w:r>
        <w:rPr>
          <w:rFonts w:ascii="Arial" w:hAnsi="Arial"/>
          <w:i/>
          <w:sz w:val="24"/>
        </w:rPr>
        <w:t>Science,</w:t>
      </w:r>
      <w:r>
        <w:rPr>
          <w:rFonts w:ascii="Arial" w:hAnsi="Arial"/>
          <w:i/>
          <w:spacing w:val="-17"/>
          <w:sz w:val="24"/>
        </w:rPr>
        <w:t> </w:t>
      </w:r>
      <w:r>
        <w:rPr>
          <w:rFonts w:ascii="Arial" w:hAnsi="Arial"/>
          <w:i/>
          <w:sz w:val="24"/>
        </w:rPr>
        <w:t>Strategic</w:t>
      </w:r>
      <w:r>
        <w:rPr>
          <w:rFonts w:ascii="Arial" w:hAnsi="Arial"/>
          <w:i/>
          <w:spacing w:val="-16"/>
          <w:sz w:val="24"/>
        </w:rPr>
        <w:t> </w:t>
      </w:r>
      <w:r>
        <w:rPr>
          <w:rFonts w:ascii="Arial" w:hAnsi="Arial"/>
          <w:i/>
          <w:sz w:val="24"/>
        </w:rPr>
        <w:t>Management</w:t>
      </w:r>
      <w:r>
        <w:rPr>
          <w:rFonts w:ascii="Arial" w:hAnsi="Arial"/>
          <w:i/>
          <w:spacing w:val="-17"/>
          <w:sz w:val="24"/>
        </w:rPr>
        <w:t> </w:t>
      </w:r>
      <w:r>
        <w:rPr>
          <w:rFonts w:ascii="Arial" w:hAnsi="Arial"/>
          <w:i/>
          <w:sz w:val="24"/>
        </w:rPr>
        <w:t>and Technology</w:t>
      </w:r>
      <w:r>
        <w:rPr>
          <w:sz w:val="24"/>
        </w:rPr>
        <w:t>, [online] 02(03), pp.1–9. doi:https://doi.org/10.55041/ijsmt.v2i3.352.</w:t>
      </w:r>
    </w:p>
    <w:p>
      <w:pPr>
        <w:spacing w:line="362" w:lineRule="auto" w:before="152"/>
        <w:ind w:left="0" w:right="351" w:firstLine="0"/>
        <w:jc w:val="both"/>
        <w:rPr>
          <w:sz w:val="24"/>
        </w:rPr>
      </w:pPr>
      <w:r>
        <w:rPr>
          <w:sz w:val="24"/>
        </w:rPr>
        <w:t>CFO Perspective (2020). </w:t>
      </w:r>
      <w:r>
        <w:rPr>
          <w:rFonts w:ascii="Arial"/>
          <w:i/>
          <w:sz w:val="24"/>
        </w:rPr>
        <w:t>The Short Cash Cycle: How to Cut Crunches and Grab More Growth</w:t>
      </w:r>
      <w:r>
        <w:rPr>
          <w:sz w:val="24"/>
        </w:rPr>
        <w:t>. [online] CFO Perspective. Available at: https://cfoperspective.com/free-your- </w:t>
      </w:r>
      <w:r>
        <w:rPr>
          <w:spacing w:val="-2"/>
          <w:sz w:val="24"/>
        </w:rPr>
        <w:t>cash-trapped-in-the-cash-conversion-cycle/.</w:t>
      </w:r>
    </w:p>
    <w:p>
      <w:pPr>
        <w:pStyle w:val="BodyText"/>
        <w:spacing w:line="362" w:lineRule="auto" w:before="152"/>
        <w:ind w:right="355"/>
        <w:jc w:val="both"/>
      </w:pPr>
      <w:r>
        <w:rPr/>
        <w:t>Cui,</w:t>
      </w:r>
      <w:r>
        <w:rPr>
          <w:spacing w:val="-17"/>
        </w:rPr>
        <w:t> </w:t>
      </w:r>
      <w:r>
        <w:rPr/>
        <w:t>X.</w:t>
      </w:r>
      <w:r>
        <w:rPr>
          <w:spacing w:val="-17"/>
        </w:rPr>
        <w:t> </w:t>
      </w:r>
      <w:r>
        <w:rPr/>
        <w:t>&amp;</w:t>
      </w:r>
      <w:r>
        <w:rPr>
          <w:spacing w:val="-16"/>
        </w:rPr>
        <w:t> </w:t>
      </w:r>
      <w:r>
        <w:rPr/>
        <w:t>Chen,</w:t>
      </w:r>
      <w:r>
        <w:rPr>
          <w:spacing w:val="-17"/>
        </w:rPr>
        <w:t> </w:t>
      </w:r>
      <w:r>
        <w:rPr/>
        <w:t>J.</w:t>
      </w:r>
      <w:r>
        <w:rPr>
          <w:spacing w:val="-17"/>
        </w:rPr>
        <w:t> </w:t>
      </w:r>
      <w:r>
        <w:rPr/>
        <w:t>(2025).</w:t>
      </w:r>
      <w:r>
        <w:rPr>
          <w:spacing w:val="-17"/>
        </w:rPr>
        <w:t> </w:t>
      </w:r>
      <w:r>
        <w:rPr/>
        <w:t>Green</w:t>
      </w:r>
      <w:r>
        <w:rPr>
          <w:spacing w:val="-16"/>
        </w:rPr>
        <w:t> </w:t>
      </w:r>
      <w:r>
        <w:rPr/>
        <w:t>Bonds</w:t>
      </w:r>
      <w:r>
        <w:rPr>
          <w:spacing w:val="-17"/>
        </w:rPr>
        <w:t> </w:t>
      </w:r>
      <w:r>
        <w:rPr/>
        <w:t>in</w:t>
      </w:r>
      <w:r>
        <w:rPr>
          <w:spacing w:val="-17"/>
        </w:rPr>
        <w:t> </w:t>
      </w:r>
      <w:r>
        <w:rPr/>
        <w:t>the</w:t>
      </w:r>
      <w:r>
        <w:rPr>
          <w:spacing w:val="-16"/>
        </w:rPr>
        <w:t> </w:t>
      </w:r>
      <w:r>
        <w:rPr/>
        <w:t>Automotive</w:t>
      </w:r>
      <w:r>
        <w:rPr>
          <w:spacing w:val="-17"/>
        </w:rPr>
        <w:t> </w:t>
      </w:r>
      <w:r>
        <w:rPr/>
        <w:t>Sector:</w:t>
      </w:r>
      <w:r>
        <w:rPr>
          <w:spacing w:val="-17"/>
        </w:rPr>
        <w:t> </w:t>
      </w:r>
      <w:r>
        <w:rPr/>
        <w:t>a</w:t>
      </w:r>
      <w:r>
        <w:rPr>
          <w:spacing w:val="-16"/>
        </w:rPr>
        <w:t> </w:t>
      </w:r>
      <w:r>
        <w:rPr/>
        <w:t>Performance</w:t>
      </w:r>
      <w:r>
        <w:rPr>
          <w:spacing w:val="-17"/>
        </w:rPr>
        <w:t> </w:t>
      </w:r>
      <w:r>
        <w:rPr/>
        <w:t>Analysis of</w:t>
      </w:r>
      <w:r>
        <w:rPr>
          <w:spacing w:val="-17"/>
        </w:rPr>
        <w:t> </w:t>
      </w:r>
      <w:r>
        <w:rPr/>
        <w:t>Tesla,</w:t>
      </w:r>
      <w:r>
        <w:rPr>
          <w:spacing w:val="-17"/>
        </w:rPr>
        <w:t> </w:t>
      </w:r>
      <w:r>
        <w:rPr/>
        <w:t>Volkswagen</w:t>
      </w:r>
      <w:r>
        <w:rPr>
          <w:spacing w:val="-16"/>
        </w:rPr>
        <w:t> </w:t>
      </w:r>
      <w:r>
        <w:rPr/>
        <w:t>and</w:t>
      </w:r>
      <w:r>
        <w:rPr>
          <w:spacing w:val="-17"/>
        </w:rPr>
        <w:t> </w:t>
      </w:r>
      <w:r>
        <w:rPr/>
        <w:t>General</w:t>
      </w:r>
      <w:r>
        <w:rPr>
          <w:spacing w:val="-17"/>
        </w:rPr>
        <w:t> </w:t>
      </w:r>
      <w:r>
        <w:rPr/>
        <w:t>Motors.</w:t>
      </w:r>
      <w:r>
        <w:rPr>
          <w:spacing w:val="-17"/>
        </w:rPr>
        <w:t> </w:t>
      </w:r>
      <w:r>
        <w:rPr>
          <w:rFonts w:ascii="Arial" w:hAnsi="Arial"/>
          <w:i/>
        </w:rPr>
        <w:t>Sustainable</w:t>
      </w:r>
      <w:r>
        <w:rPr>
          <w:rFonts w:ascii="Arial" w:hAnsi="Arial"/>
          <w:i/>
          <w:spacing w:val="-16"/>
        </w:rPr>
        <w:t> </w:t>
      </w:r>
      <w:r>
        <w:rPr>
          <w:rFonts w:ascii="Arial" w:hAnsi="Arial"/>
          <w:i/>
        </w:rPr>
        <w:t>Development</w:t>
      </w:r>
      <w:r>
        <w:rPr>
          <w:rFonts w:ascii="Arial" w:hAnsi="Arial"/>
          <w:i/>
          <w:spacing w:val="-17"/>
        </w:rPr>
        <w:t> </w:t>
      </w:r>
      <w:r>
        <w:rPr>
          <w:rFonts w:ascii="Arial" w:hAnsi="Arial"/>
          <w:i/>
        </w:rPr>
        <w:t>Economics</w:t>
      </w:r>
      <w:r>
        <w:rPr/>
        <w:t>,</w:t>
      </w:r>
      <w:r>
        <w:rPr>
          <w:spacing w:val="-17"/>
        </w:rPr>
        <w:t> </w:t>
      </w:r>
      <w:r>
        <w:rPr/>
        <w:t>[online] 1(1), pp.44–51. doi:https://doi.org/10.64229/veggc814.</w:t>
      </w:r>
    </w:p>
    <w:p>
      <w:pPr>
        <w:spacing w:line="362" w:lineRule="auto" w:before="152"/>
        <w:ind w:left="0" w:right="352" w:firstLine="0"/>
        <w:jc w:val="both"/>
        <w:rPr>
          <w:sz w:val="24"/>
        </w:rPr>
      </w:pPr>
      <w:r>
        <w:rPr>
          <w:sz w:val="24"/>
        </w:rPr>
        <w:t>Gandhi, J. (2025). Comparison of</w:t>
      </w:r>
      <w:r>
        <w:rPr>
          <w:spacing w:val="-1"/>
          <w:sz w:val="24"/>
        </w:rPr>
        <w:t> </w:t>
      </w:r>
      <w:r>
        <w:rPr>
          <w:sz w:val="24"/>
        </w:rPr>
        <w:t>Short- Term Financing Options;</w:t>
      </w:r>
      <w:r>
        <w:rPr>
          <w:spacing w:val="-1"/>
          <w:sz w:val="24"/>
        </w:rPr>
        <w:t> </w:t>
      </w:r>
      <w:r>
        <w:rPr>
          <w:sz w:val="24"/>
        </w:rPr>
        <w:t>Factoring as the Best Alternative.</w:t>
      </w:r>
      <w:r>
        <w:rPr>
          <w:spacing w:val="-16"/>
          <w:sz w:val="24"/>
        </w:rPr>
        <w:t> </w:t>
      </w:r>
      <w:r>
        <w:rPr>
          <w:rFonts w:ascii="Arial" w:hAnsi="Arial"/>
          <w:i/>
          <w:sz w:val="24"/>
        </w:rPr>
        <w:t>Journal</w:t>
      </w:r>
      <w:r>
        <w:rPr>
          <w:rFonts w:ascii="Arial" w:hAnsi="Arial"/>
          <w:i/>
          <w:spacing w:val="-16"/>
          <w:sz w:val="24"/>
        </w:rPr>
        <w:t> </w:t>
      </w:r>
      <w:r>
        <w:rPr>
          <w:rFonts w:ascii="Arial" w:hAnsi="Arial"/>
          <w:i/>
          <w:sz w:val="24"/>
        </w:rPr>
        <w:t>of</w:t>
      </w:r>
      <w:r>
        <w:rPr>
          <w:rFonts w:ascii="Arial" w:hAnsi="Arial"/>
          <w:i/>
          <w:spacing w:val="-17"/>
          <w:sz w:val="24"/>
        </w:rPr>
        <w:t> </w:t>
      </w:r>
      <w:r>
        <w:rPr>
          <w:rFonts w:ascii="Arial" w:hAnsi="Arial"/>
          <w:i/>
          <w:sz w:val="24"/>
        </w:rPr>
        <w:t>Information</w:t>
      </w:r>
      <w:r>
        <w:rPr>
          <w:rFonts w:ascii="Arial" w:hAnsi="Arial"/>
          <w:i/>
          <w:spacing w:val="-16"/>
          <w:sz w:val="24"/>
        </w:rPr>
        <w:t> </w:t>
      </w:r>
      <w:r>
        <w:rPr>
          <w:rFonts w:ascii="Arial" w:hAnsi="Arial"/>
          <w:i/>
          <w:sz w:val="24"/>
        </w:rPr>
        <w:t>Systems</w:t>
      </w:r>
      <w:r>
        <w:rPr>
          <w:rFonts w:ascii="Arial" w:hAnsi="Arial"/>
          <w:i/>
          <w:spacing w:val="-17"/>
          <w:sz w:val="24"/>
        </w:rPr>
        <w:t> </w:t>
      </w:r>
      <w:r>
        <w:rPr>
          <w:rFonts w:ascii="Arial" w:hAnsi="Arial"/>
          <w:i/>
          <w:sz w:val="24"/>
        </w:rPr>
        <w:t>Engineering</w:t>
      </w:r>
      <w:r>
        <w:rPr>
          <w:rFonts w:ascii="Arial" w:hAnsi="Arial"/>
          <w:i/>
          <w:spacing w:val="-17"/>
          <w:sz w:val="24"/>
        </w:rPr>
        <w:t> </w:t>
      </w:r>
      <w:r>
        <w:rPr>
          <w:rFonts w:ascii="Arial" w:hAnsi="Arial"/>
          <w:i/>
          <w:sz w:val="24"/>
        </w:rPr>
        <w:t>&amp;</w:t>
      </w:r>
      <w:r>
        <w:rPr>
          <w:rFonts w:ascii="Arial" w:hAnsi="Arial"/>
          <w:i/>
          <w:spacing w:val="-13"/>
          <w:sz w:val="24"/>
        </w:rPr>
        <w:t> </w:t>
      </w:r>
      <w:r>
        <w:rPr>
          <w:rFonts w:ascii="Arial" w:hAnsi="Arial"/>
          <w:i/>
          <w:sz w:val="24"/>
        </w:rPr>
        <w:t>Management</w:t>
      </w:r>
      <w:r>
        <w:rPr>
          <w:sz w:val="24"/>
        </w:rPr>
        <w:t>,</w:t>
      </w:r>
      <w:r>
        <w:rPr>
          <w:spacing w:val="-17"/>
          <w:sz w:val="24"/>
        </w:rPr>
        <w:t> </w:t>
      </w:r>
      <w:r>
        <w:rPr>
          <w:sz w:val="24"/>
        </w:rPr>
        <w:t>[online]</w:t>
      </w:r>
      <w:r>
        <w:rPr>
          <w:spacing w:val="-17"/>
          <w:sz w:val="24"/>
        </w:rPr>
        <w:t> </w:t>
      </w:r>
      <w:r>
        <w:rPr>
          <w:sz w:val="24"/>
        </w:rPr>
        <w:t>10(40s), pp.166–175. doi:https://doi.org/10.52783/jisem.v10i40s.7261.</w:t>
      </w:r>
    </w:p>
    <w:p>
      <w:pPr>
        <w:pStyle w:val="BodyText"/>
        <w:tabs>
          <w:tab w:pos="921" w:val="left" w:leader="none"/>
          <w:tab w:pos="2348" w:val="left" w:leader="none"/>
          <w:tab w:pos="3701" w:val="left" w:leader="none"/>
          <w:tab w:pos="5481" w:val="left" w:leader="none"/>
          <w:tab w:pos="7073" w:val="left" w:leader="none"/>
          <w:tab w:pos="8431" w:val="left" w:leader="none"/>
        </w:tabs>
        <w:spacing w:line="362" w:lineRule="auto" w:before="152"/>
        <w:ind w:right="350"/>
        <w:jc w:val="both"/>
      </w:pPr>
      <w:r>
        <w:rPr/>
        <w:t>Jing</w:t>
      </w:r>
      <w:r>
        <w:rPr>
          <w:spacing w:val="-6"/>
        </w:rPr>
        <w:t> </w:t>
      </w:r>
      <w:r>
        <w:rPr/>
        <w:t>Tang</w:t>
      </w:r>
      <w:r>
        <w:rPr>
          <w:spacing w:val="-2"/>
        </w:rPr>
        <w:t> </w:t>
      </w:r>
      <w:r>
        <w:rPr/>
        <w:t>Xing,</w:t>
      </w:r>
      <w:r>
        <w:rPr>
          <w:spacing w:val="-2"/>
        </w:rPr>
        <w:t> </w:t>
      </w:r>
      <w:r>
        <w:rPr/>
        <w:t>Liu,</w:t>
      </w:r>
      <w:r>
        <w:rPr>
          <w:spacing w:val="-2"/>
        </w:rPr>
        <w:t> </w:t>
      </w:r>
      <w:r>
        <w:rPr/>
        <w:t>X. &amp;</w:t>
      </w:r>
      <w:r>
        <w:rPr>
          <w:spacing w:val="-3"/>
        </w:rPr>
        <w:t> </w:t>
      </w:r>
      <w:r>
        <w:rPr/>
        <w:t>Zhang,</w:t>
      </w:r>
      <w:r>
        <w:rPr>
          <w:spacing w:val="-6"/>
        </w:rPr>
        <w:t> </w:t>
      </w:r>
      <w:r>
        <w:rPr/>
        <w:t>Y.</w:t>
      </w:r>
      <w:r>
        <w:rPr>
          <w:spacing w:val="-2"/>
        </w:rPr>
        <w:t> </w:t>
      </w:r>
      <w:r>
        <w:rPr/>
        <w:t>(2023).</w:t>
      </w:r>
      <w:r>
        <w:rPr>
          <w:spacing w:val="-2"/>
        </w:rPr>
        <w:t> </w:t>
      </w:r>
      <w:r>
        <w:rPr/>
        <w:t>Development</w:t>
      </w:r>
      <w:r>
        <w:rPr>
          <w:spacing w:val="-2"/>
        </w:rPr>
        <w:t> </w:t>
      </w:r>
      <w:r>
        <w:rPr/>
        <w:t>of</w:t>
      </w:r>
      <w:r>
        <w:rPr>
          <w:spacing w:val="-2"/>
        </w:rPr>
        <w:t> </w:t>
      </w:r>
      <w:r>
        <w:rPr/>
        <w:t>the</w:t>
      </w:r>
      <w:r>
        <w:rPr>
          <w:spacing w:val="-2"/>
        </w:rPr>
        <w:t> </w:t>
      </w:r>
      <w:r>
        <w:rPr/>
        <w:t>Electric</w:t>
      </w:r>
      <w:r>
        <w:rPr>
          <w:spacing w:val="-2"/>
        </w:rPr>
        <w:t> </w:t>
      </w:r>
      <w:r>
        <w:rPr/>
        <w:t>Vehicle</w:t>
      </w:r>
      <w:r>
        <w:rPr>
          <w:spacing w:val="-2"/>
        </w:rPr>
        <w:t> </w:t>
      </w:r>
      <w:r>
        <w:rPr/>
        <w:t>Industry </w:t>
      </w:r>
      <w:r>
        <w:rPr>
          <w:spacing w:val="-6"/>
        </w:rPr>
        <w:t>in</w:t>
      </w:r>
      <w:r>
        <w:rPr/>
        <w:tab/>
      </w:r>
      <w:r>
        <w:rPr>
          <w:spacing w:val="-2"/>
        </w:rPr>
        <w:t>China.</w:t>
      </w:r>
      <w:r>
        <w:rPr/>
        <w:tab/>
      </w:r>
      <w:r>
        <w:rPr>
          <w:rFonts w:ascii="Arial" w:hAnsi="Arial"/>
          <w:i/>
          <w:spacing w:val="-4"/>
        </w:rPr>
        <w:t>China</w:t>
      </w:r>
      <w:r>
        <w:rPr>
          <w:rFonts w:ascii="Arial" w:hAnsi="Arial"/>
          <w:i/>
        </w:rPr>
        <w:tab/>
      </w:r>
      <w:r>
        <w:rPr>
          <w:rFonts w:ascii="Arial" w:hAnsi="Arial"/>
          <w:i/>
          <w:spacing w:val="-2"/>
        </w:rPr>
        <w:t>Economic</w:t>
      </w:r>
      <w:r>
        <w:rPr>
          <w:rFonts w:ascii="Arial" w:hAnsi="Arial"/>
          <w:i/>
        </w:rPr>
        <w:tab/>
      </w:r>
      <w:r>
        <w:rPr>
          <w:rFonts w:ascii="Arial" w:hAnsi="Arial"/>
          <w:i/>
          <w:spacing w:val="-2"/>
        </w:rPr>
        <w:t>Journal</w:t>
      </w:r>
      <w:r>
        <w:rPr>
          <w:spacing w:val="-2"/>
        </w:rPr>
        <w:t>,</w:t>
      </w:r>
      <w:r>
        <w:rPr/>
        <w:tab/>
      </w:r>
      <w:r>
        <w:rPr>
          <w:spacing w:val="-2"/>
        </w:rPr>
        <w:t>16(2),</w:t>
      </w:r>
      <w:r>
        <w:rPr/>
        <w:tab/>
      </w:r>
      <w:r>
        <w:rPr>
          <w:spacing w:val="-2"/>
        </w:rPr>
        <w:t>pp.1–46. doi:https://doi.org/10.1080/17538963.2023.2244279.</w:t>
      </w:r>
    </w:p>
    <w:p>
      <w:pPr>
        <w:spacing w:line="362" w:lineRule="auto" w:before="152"/>
        <w:ind w:left="0" w:right="355" w:firstLine="0"/>
        <w:jc w:val="both"/>
        <w:rPr>
          <w:sz w:val="24"/>
        </w:rPr>
      </w:pPr>
      <w:r>
        <w:rPr>
          <w:sz w:val="24"/>
        </w:rPr>
        <w:t>Kagan, J. (2025). </w:t>
      </w:r>
      <w:r>
        <w:rPr>
          <w:rFonts w:ascii="Arial"/>
          <w:i/>
          <w:sz w:val="24"/>
        </w:rPr>
        <w:t>Payback period: Definition, formula, and Calculation</w:t>
      </w:r>
      <w:r>
        <w:rPr>
          <w:sz w:val="24"/>
        </w:rPr>
        <w:t>. [online] Investopedia. Available at: https:/</w:t>
      </w:r>
      <w:hyperlink r:id="rId11">
        <w:r>
          <w:rPr>
            <w:sz w:val="24"/>
          </w:rPr>
          <w:t>/www.investopedia.com/terms/p/paybackperiod.asp.</w:t>
        </w:r>
      </w:hyperlink>
    </w:p>
    <w:p>
      <w:pPr>
        <w:pStyle w:val="BodyText"/>
        <w:tabs>
          <w:tab w:pos="2510" w:val="left" w:leader="none"/>
          <w:tab w:pos="5757" w:val="left" w:leader="none"/>
          <w:tab w:pos="8165" w:val="left" w:leader="none"/>
        </w:tabs>
        <w:spacing w:line="362" w:lineRule="auto" w:before="155"/>
        <w:ind w:right="350"/>
        <w:jc w:val="both"/>
      </w:pPr>
      <w:r>
        <w:rPr>
          <w:spacing w:val="-2"/>
        </w:rPr>
        <w:t>Lind,</w:t>
      </w:r>
      <w:r>
        <w:rPr>
          <w:spacing w:val="-14"/>
        </w:rPr>
        <w:t> </w:t>
      </w:r>
      <w:r>
        <w:rPr>
          <w:spacing w:val="-2"/>
        </w:rPr>
        <w:t>L.,</w:t>
      </w:r>
      <w:r>
        <w:rPr>
          <w:spacing w:val="-13"/>
        </w:rPr>
        <w:t> </w:t>
      </w:r>
      <w:r>
        <w:rPr>
          <w:spacing w:val="-2"/>
        </w:rPr>
        <w:t>Pirttilä,</w:t>
      </w:r>
      <w:r>
        <w:rPr>
          <w:spacing w:val="-10"/>
        </w:rPr>
        <w:t> </w:t>
      </w:r>
      <w:r>
        <w:rPr>
          <w:spacing w:val="-2"/>
        </w:rPr>
        <w:t>M.,</w:t>
      </w:r>
      <w:r>
        <w:rPr>
          <w:spacing w:val="-10"/>
        </w:rPr>
        <w:t> </w:t>
      </w:r>
      <w:r>
        <w:rPr>
          <w:spacing w:val="-2"/>
        </w:rPr>
        <w:t>Viskari,</w:t>
      </w:r>
      <w:r>
        <w:rPr>
          <w:spacing w:val="-15"/>
        </w:rPr>
        <w:t> </w:t>
      </w:r>
      <w:r>
        <w:rPr>
          <w:spacing w:val="-2"/>
        </w:rPr>
        <w:t>S.,</w:t>
      </w:r>
      <w:r>
        <w:rPr>
          <w:spacing w:val="-9"/>
        </w:rPr>
        <w:t> </w:t>
      </w:r>
      <w:r>
        <w:rPr>
          <w:spacing w:val="-2"/>
        </w:rPr>
        <w:t>Schupp,</w:t>
      </w:r>
      <w:r>
        <w:rPr>
          <w:spacing w:val="-15"/>
        </w:rPr>
        <w:t> </w:t>
      </w:r>
      <w:r>
        <w:rPr>
          <w:spacing w:val="-2"/>
        </w:rPr>
        <w:t>F.</w:t>
      </w:r>
      <w:r>
        <w:rPr>
          <w:spacing w:val="-3"/>
        </w:rPr>
        <w:t> </w:t>
      </w:r>
      <w:r>
        <w:rPr>
          <w:spacing w:val="-2"/>
        </w:rPr>
        <w:t>&amp;</w:t>
      </w:r>
      <w:r>
        <w:rPr>
          <w:spacing w:val="-12"/>
        </w:rPr>
        <w:t> </w:t>
      </w:r>
      <w:r>
        <w:rPr>
          <w:spacing w:val="-2"/>
        </w:rPr>
        <w:t>Kärri,</w:t>
      </w:r>
      <w:r>
        <w:rPr>
          <w:spacing w:val="-15"/>
        </w:rPr>
        <w:t> </w:t>
      </w:r>
      <w:r>
        <w:rPr>
          <w:spacing w:val="-2"/>
        </w:rPr>
        <w:t>T.</w:t>
      </w:r>
      <w:r>
        <w:rPr>
          <w:spacing w:val="-15"/>
        </w:rPr>
        <w:t> </w:t>
      </w:r>
      <w:r>
        <w:rPr>
          <w:spacing w:val="-2"/>
        </w:rPr>
        <w:t>(2012).</w:t>
      </w:r>
      <w:r>
        <w:rPr>
          <w:spacing w:val="-14"/>
        </w:rPr>
        <w:t> </w:t>
      </w:r>
      <w:r>
        <w:rPr>
          <w:spacing w:val="-2"/>
        </w:rPr>
        <w:t>Working</w:t>
      </w:r>
      <w:r>
        <w:rPr>
          <w:spacing w:val="-9"/>
        </w:rPr>
        <w:t> </w:t>
      </w:r>
      <w:r>
        <w:rPr>
          <w:spacing w:val="-2"/>
        </w:rPr>
        <w:t>capital</w:t>
      </w:r>
      <w:r>
        <w:rPr>
          <w:spacing w:val="-5"/>
        </w:rPr>
        <w:t> </w:t>
      </w:r>
      <w:r>
        <w:rPr>
          <w:spacing w:val="-2"/>
        </w:rPr>
        <w:t>management </w:t>
      </w:r>
      <w:r>
        <w:rPr/>
        <w:t>in the automotive industry: Financial value chain analysis. </w:t>
      </w:r>
      <w:r>
        <w:rPr>
          <w:rFonts w:ascii="Arial" w:hAnsi="Arial"/>
          <w:i/>
        </w:rPr>
        <w:t>Journal of Purchasing and </w:t>
      </w:r>
      <w:r>
        <w:rPr>
          <w:rFonts w:ascii="Arial" w:hAnsi="Arial"/>
          <w:i/>
          <w:spacing w:val="-2"/>
        </w:rPr>
        <w:t>Supply</w:t>
      </w:r>
      <w:r>
        <w:rPr>
          <w:rFonts w:ascii="Arial" w:hAnsi="Arial"/>
          <w:i/>
        </w:rPr>
        <w:tab/>
      </w:r>
      <w:r>
        <w:rPr>
          <w:rFonts w:ascii="Arial" w:hAnsi="Arial"/>
          <w:i/>
          <w:spacing w:val="-2"/>
        </w:rPr>
        <w:t>Management</w:t>
      </w:r>
      <w:r>
        <w:rPr>
          <w:spacing w:val="-2"/>
        </w:rPr>
        <w:t>,</w:t>
      </w:r>
      <w:r>
        <w:rPr/>
        <w:tab/>
      </w:r>
      <w:r>
        <w:rPr>
          <w:spacing w:val="-2"/>
        </w:rPr>
        <w:t>18(2),</w:t>
      </w:r>
      <w:r>
        <w:rPr/>
        <w:tab/>
      </w:r>
      <w:r>
        <w:rPr>
          <w:spacing w:val="-2"/>
        </w:rPr>
        <w:t>pp.92–100. doi:https://doi.org/10.1016/j.pursup.2012.04.003.</w:t>
      </w:r>
    </w:p>
    <w:p>
      <w:pPr>
        <w:pStyle w:val="BodyText"/>
        <w:spacing w:line="362" w:lineRule="auto" w:before="148"/>
        <w:ind w:right="350"/>
        <w:jc w:val="both"/>
      </w:pPr>
      <w:r>
        <w:rPr/>
        <w:t>Lou, X. (2024). Financial Analysis of China’s New Energy Vehicle Industry under the Harvard Analytical Framework: a Case Study of BYD Company Limited and NIO Inc. </w:t>
      </w:r>
      <w:r>
        <w:rPr>
          <w:rFonts w:ascii="Arial" w:hAnsi="Arial"/>
          <w:i/>
        </w:rPr>
        <w:t>Highlights in Business, Economics and Management</w:t>
      </w:r>
      <w:r>
        <w:rPr/>
        <w:t>, [online] 40(3), pp.214–221. </w:t>
      </w:r>
      <w:r>
        <w:rPr>
          <w:spacing w:val="-2"/>
        </w:rPr>
        <w:t>doi:https://doi.org/10.54097/k8va6688.</w:t>
      </w:r>
    </w:p>
    <w:p>
      <w:pPr>
        <w:pStyle w:val="BodyText"/>
        <w:spacing w:line="360" w:lineRule="auto" w:before="153"/>
        <w:ind w:right="354"/>
        <w:jc w:val="both"/>
      </w:pPr>
      <w:r>
        <w:rPr/>
        <w:t>Musa Muhammad Tsagem, Norhani Aripin &amp; Ishak, R. (2017). Cash Conversion Cycle and</w:t>
      </w:r>
      <w:r>
        <w:rPr>
          <w:spacing w:val="40"/>
        </w:rPr>
        <w:t> </w:t>
      </w:r>
      <w:r>
        <w:rPr/>
        <w:t>Profitability</w:t>
      </w:r>
      <w:r>
        <w:rPr>
          <w:spacing w:val="40"/>
        </w:rPr>
        <w:t> </w:t>
      </w:r>
      <w:r>
        <w:rPr/>
        <w:t>of</w:t>
      </w:r>
      <w:r>
        <w:rPr>
          <w:spacing w:val="40"/>
        </w:rPr>
        <w:t> </w:t>
      </w:r>
      <w:r>
        <w:rPr/>
        <w:t>Nigerian</w:t>
      </w:r>
      <w:r>
        <w:rPr>
          <w:spacing w:val="40"/>
        </w:rPr>
        <w:t> </w:t>
      </w:r>
      <w:r>
        <w:rPr/>
        <w:t>Small</w:t>
      </w:r>
      <w:r>
        <w:rPr>
          <w:spacing w:val="40"/>
        </w:rPr>
        <w:t> </w:t>
      </w:r>
      <w:r>
        <w:rPr/>
        <w:t>and</w:t>
      </w:r>
      <w:r>
        <w:rPr>
          <w:spacing w:val="40"/>
        </w:rPr>
        <w:t> </w:t>
      </w:r>
      <w:r>
        <w:rPr/>
        <w:t>Medium-Sized</w:t>
      </w:r>
      <w:r>
        <w:rPr>
          <w:spacing w:val="40"/>
        </w:rPr>
        <w:t> </w:t>
      </w:r>
      <w:r>
        <w:rPr/>
        <w:t>Entities:</w:t>
      </w:r>
      <w:r>
        <w:rPr>
          <w:spacing w:val="40"/>
        </w:rPr>
        <w:t> </w:t>
      </w:r>
      <w:r>
        <w:rPr/>
        <w:t>an</w:t>
      </w:r>
      <w:r>
        <w:rPr>
          <w:spacing w:val="40"/>
        </w:rPr>
        <w:t> </w:t>
      </w:r>
      <w:r>
        <w:rPr/>
        <w:t>Empirical</w:t>
      </w:r>
      <w:r>
        <w:rPr>
          <w:spacing w:val="25"/>
        </w:rPr>
        <w:t> </w:t>
      </w:r>
      <w:r>
        <w:rPr/>
        <w:t>Analysis.</w:t>
      </w:r>
    </w:p>
    <w:p>
      <w:pPr>
        <w:pStyle w:val="BodyText"/>
        <w:spacing w:after="0" w:line="360" w:lineRule="auto"/>
        <w:jc w:val="both"/>
        <w:sectPr>
          <w:pgSz w:w="12240" w:h="15840"/>
          <w:pgMar w:header="0" w:footer="1051" w:top="1360" w:bottom="1240" w:left="1440" w:right="1080"/>
        </w:sectPr>
      </w:pPr>
    </w:p>
    <w:p>
      <w:pPr>
        <w:spacing w:line="362" w:lineRule="auto" w:before="76"/>
        <w:ind w:left="0" w:right="353" w:firstLine="0"/>
        <w:jc w:val="both"/>
        <w:rPr>
          <w:sz w:val="24"/>
        </w:rPr>
      </w:pPr>
      <w:r>
        <w:rPr>
          <w:rFonts w:ascii="Arial" w:hAnsi="Arial"/>
          <w:i/>
          <w:sz w:val="24"/>
        </w:rPr>
        <w:t>International Journal of Banking and Finance</w:t>
      </w:r>
      <w:r>
        <w:rPr>
          <w:sz w:val="24"/>
        </w:rPr>
        <w:t>, [online] 13(1), pp.49–69. Available at: </w:t>
      </w:r>
      <w:hyperlink r:id="rId12">
        <w:r>
          <w:rPr>
            <w:sz w:val="24"/>
          </w:rPr>
          <w:t>http://e-journal.uum.edu.my/index.php/ijbf/article/view/8498</w:t>
        </w:r>
      </w:hyperlink>
      <w:r>
        <w:rPr>
          <w:sz w:val="24"/>
        </w:rPr>
        <w:t> [Accessed 21 Apr. 2026].</w:t>
      </w:r>
    </w:p>
    <w:p>
      <w:pPr>
        <w:pStyle w:val="BodyText"/>
        <w:tabs>
          <w:tab w:pos="2855" w:val="left" w:leader="none"/>
          <w:tab w:pos="5531" w:val="left" w:leader="none"/>
          <w:tab w:pos="7757" w:val="left" w:leader="none"/>
        </w:tabs>
        <w:spacing w:line="362" w:lineRule="auto" w:before="156"/>
        <w:ind w:right="355"/>
        <w:jc w:val="both"/>
      </w:pPr>
      <w:r>
        <w:rPr/>
        <w:t>Nabila Sukma Dewi &amp; Mayang Sari Edastami (2025). Impact of Liquidity, Leverage, and Operating Cash Flow on Financial Distress with Firm Size Moderation. </w:t>
      </w:r>
      <w:r>
        <w:rPr>
          <w:rFonts w:ascii="Arial" w:hAnsi="Arial"/>
          <w:i/>
        </w:rPr>
        <w:t>Jurnal Ilmiah </w:t>
      </w:r>
      <w:r>
        <w:rPr>
          <w:rFonts w:ascii="Arial" w:hAnsi="Arial"/>
          <w:i/>
          <w:spacing w:val="-2"/>
        </w:rPr>
        <w:t>Manajemen</w:t>
      </w:r>
      <w:r>
        <w:rPr>
          <w:rFonts w:ascii="Arial" w:hAnsi="Arial"/>
          <w:i/>
        </w:rPr>
        <w:tab/>
      </w:r>
      <w:r>
        <w:rPr>
          <w:rFonts w:ascii="Arial" w:hAnsi="Arial"/>
          <w:i/>
          <w:spacing w:val="-2"/>
        </w:rPr>
        <w:t>Kesatuan</w:t>
      </w:r>
      <w:r>
        <w:rPr>
          <w:spacing w:val="-2"/>
        </w:rPr>
        <w:t>,</w:t>
      </w:r>
      <w:r>
        <w:rPr/>
        <w:tab/>
      </w:r>
      <w:r>
        <w:rPr>
          <w:spacing w:val="-2"/>
        </w:rPr>
        <w:t>13(4),</w:t>
      </w:r>
      <w:r>
        <w:rPr/>
        <w:tab/>
      </w:r>
      <w:r>
        <w:rPr>
          <w:spacing w:val="-2"/>
        </w:rPr>
        <w:t>pp.2267–2278. doi:https://doi.org/10.37641/jimkes.v13i4.3352.</w:t>
      </w:r>
    </w:p>
    <w:p>
      <w:pPr>
        <w:pStyle w:val="BodyText"/>
        <w:spacing w:line="360" w:lineRule="auto" w:before="148"/>
        <w:ind w:right="352"/>
        <w:jc w:val="both"/>
      </w:pPr>
      <w:r>
        <w:rPr/>
        <w:t>Ngema,</w:t>
      </w:r>
      <w:r>
        <w:rPr>
          <w:spacing w:val="-7"/>
        </w:rPr>
        <w:t> </w:t>
      </w:r>
      <w:r>
        <w:rPr/>
        <w:t>N.N.</w:t>
      </w:r>
      <w:r>
        <w:rPr>
          <w:spacing w:val="-3"/>
        </w:rPr>
        <w:t> </w:t>
      </w:r>
      <w:r>
        <w:rPr/>
        <w:t>&amp;</w:t>
      </w:r>
      <w:r>
        <w:rPr>
          <w:spacing w:val="-9"/>
        </w:rPr>
        <w:t> </w:t>
      </w:r>
      <w:r>
        <w:rPr/>
        <w:t>Chauke,</w:t>
      </w:r>
      <w:r>
        <w:rPr>
          <w:spacing w:val="-7"/>
        </w:rPr>
        <w:t> </w:t>
      </w:r>
      <w:r>
        <w:rPr/>
        <w:t>V.</w:t>
      </w:r>
      <w:r>
        <w:rPr>
          <w:spacing w:val="-4"/>
        </w:rPr>
        <w:t> </w:t>
      </w:r>
      <w:r>
        <w:rPr/>
        <w:t>(2026).</w:t>
      </w:r>
      <w:r>
        <w:rPr>
          <w:spacing w:val="-7"/>
        </w:rPr>
        <w:t> </w:t>
      </w:r>
      <w:r>
        <w:rPr/>
        <w:t>Sustainable</w:t>
      </w:r>
      <w:r>
        <w:rPr>
          <w:spacing w:val="-7"/>
        </w:rPr>
        <w:t> </w:t>
      </w:r>
      <w:r>
        <w:rPr/>
        <w:t>financing</w:t>
      </w:r>
      <w:r>
        <w:rPr>
          <w:spacing w:val="-7"/>
        </w:rPr>
        <w:t> </w:t>
      </w:r>
      <w:r>
        <w:rPr/>
        <w:t>models</w:t>
      </w:r>
      <w:r>
        <w:rPr>
          <w:spacing w:val="-8"/>
        </w:rPr>
        <w:t> </w:t>
      </w:r>
      <w:r>
        <w:rPr/>
        <w:t>for</w:t>
      </w:r>
      <w:r>
        <w:rPr>
          <w:spacing w:val="-6"/>
        </w:rPr>
        <w:t> </w:t>
      </w:r>
      <w:r>
        <w:rPr/>
        <w:t>long-term</w:t>
      </w:r>
      <w:r>
        <w:rPr>
          <w:spacing w:val="-16"/>
        </w:rPr>
        <w:t> </w:t>
      </w:r>
      <w:r>
        <w:rPr/>
        <w:t>viability</w:t>
      </w:r>
      <w:r>
        <w:rPr>
          <w:spacing w:val="-12"/>
        </w:rPr>
        <w:t> </w:t>
      </w:r>
      <w:r>
        <w:rPr/>
        <w:t>in social</w:t>
      </w:r>
      <w:r>
        <w:rPr>
          <w:spacing w:val="29"/>
        </w:rPr>
        <w:t> </w:t>
      </w:r>
      <w:r>
        <w:rPr/>
        <w:t>and</w:t>
      </w:r>
      <w:r>
        <w:rPr>
          <w:spacing w:val="25"/>
        </w:rPr>
        <w:t> </w:t>
      </w:r>
      <w:r>
        <w:rPr/>
        <w:t>affordable</w:t>
      </w:r>
      <w:r>
        <w:rPr>
          <w:spacing w:val="25"/>
        </w:rPr>
        <w:t> </w:t>
      </w:r>
      <w:r>
        <w:rPr/>
        <w:t>housing</w:t>
      </w:r>
      <w:r>
        <w:rPr>
          <w:spacing w:val="25"/>
        </w:rPr>
        <w:t> </w:t>
      </w:r>
      <w:r>
        <w:rPr/>
        <w:t>projects</w:t>
      </w:r>
      <w:r>
        <w:rPr>
          <w:spacing w:val="25"/>
        </w:rPr>
        <w:t> </w:t>
      </w:r>
      <w:r>
        <w:rPr/>
        <w:t>in</w:t>
      </w:r>
      <w:r>
        <w:rPr>
          <w:spacing w:val="25"/>
        </w:rPr>
        <w:t> </w:t>
      </w:r>
      <w:r>
        <w:rPr/>
        <w:t>South Africa.</w:t>
      </w:r>
      <w:r>
        <w:rPr>
          <w:spacing w:val="36"/>
        </w:rPr>
        <w:t> </w:t>
      </w:r>
      <w:r>
        <w:rPr>
          <w:rFonts w:ascii="Arial"/>
          <w:i/>
        </w:rPr>
        <w:t>Frontiers</w:t>
      </w:r>
      <w:r>
        <w:rPr>
          <w:rFonts w:ascii="Arial"/>
          <w:i/>
          <w:spacing w:val="25"/>
        </w:rPr>
        <w:t> </w:t>
      </w:r>
      <w:r>
        <w:rPr>
          <w:rFonts w:ascii="Arial"/>
          <w:i/>
        </w:rPr>
        <w:t>in</w:t>
      </w:r>
      <w:r>
        <w:rPr>
          <w:rFonts w:ascii="Arial"/>
          <w:i/>
          <w:spacing w:val="29"/>
        </w:rPr>
        <w:t> </w:t>
      </w:r>
      <w:r>
        <w:rPr>
          <w:rFonts w:ascii="Arial"/>
          <w:i/>
        </w:rPr>
        <w:t>Sustainable</w:t>
      </w:r>
      <w:r>
        <w:rPr>
          <w:rFonts w:ascii="Arial"/>
          <w:i/>
          <w:spacing w:val="25"/>
        </w:rPr>
        <w:t> </w:t>
      </w:r>
      <w:r>
        <w:rPr>
          <w:rFonts w:ascii="Arial"/>
          <w:i/>
        </w:rPr>
        <w:t>Cities</w:t>
      </w:r>
      <w:r>
        <w:rPr/>
        <w:t>,</w:t>
      </w:r>
    </w:p>
    <w:p>
      <w:pPr>
        <w:pStyle w:val="BodyText"/>
        <w:spacing w:before="7"/>
        <w:jc w:val="both"/>
      </w:pPr>
      <w:r>
        <w:rPr/>
        <w:t>7(3).</w:t>
      </w:r>
      <w:r>
        <w:rPr>
          <w:spacing w:val="-2"/>
        </w:rPr>
        <w:t> doi:https://doi.org/10.3389/frsc.2025.1674727.</w:t>
      </w:r>
    </w:p>
    <w:p>
      <w:pPr>
        <w:pStyle w:val="BodyText"/>
        <w:spacing w:before="15"/>
      </w:pPr>
    </w:p>
    <w:p>
      <w:pPr>
        <w:pStyle w:val="BodyText"/>
        <w:tabs>
          <w:tab w:pos="734" w:val="left" w:leader="none"/>
          <w:tab w:pos="1806" w:val="left" w:leader="none"/>
          <w:tab w:pos="4633" w:val="left" w:leader="none"/>
          <w:tab w:pos="5536" w:val="left" w:leader="none"/>
          <w:tab w:pos="6615" w:val="left" w:leader="none"/>
          <w:tab w:pos="7818" w:val="left" w:leader="none"/>
          <w:tab w:pos="9089" w:val="left" w:leader="none"/>
        </w:tabs>
        <w:spacing w:line="362" w:lineRule="auto"/>
        <w:ind w:right="360"/>
      </w:pPr>
      <w:r>
        <w:rPr>
          <w:spacing w:val="-4"/>
        </w:rPr>
        <w:t>NIO</w:t>
      </w:r>
      <w:r>
        <w:rPr/>
        <w:tab/>
      </w:r>
      <w:r>
        <w:rPr>
          <w:spacing w:val="-2"/>
        </w:rPr>
        <w:t>(2025).</w:t>
      </w:r>
      <w:r>
        <w:rPr/>
        <w:tab/>
      </w:r>
      <w:r>
        <w:rPr>
          <w:rFonts w:ascii="Arial"/>
          <w:i/>
        </w:rPr>
        <w:t>NIO Inc._December 31,</w:t>
        <w:tab/>
      </w:r>
      <w:r>
        <w:rPr>
          <w:rFonts w:ascii="Arial"/>
          <w:i/>
          <w:spacing w:val="-2"/>
        </w:rPr>
        <w:t>2025</w:t>
      </w:r>
      <w:r>
        <w:rPr>
          <w:spacing w:val="-2"/>
        </w:rPr>
        <w:t>.</w:t>
      </w:r>
      <w:r>
        <w:rPr/>
        <w:tab/>
      </w:r>
      <w:r>
        <w:rPr>
          <w:spacing w:val="-2"/>
        </w:rPr>
        <w:t>[online]</w:t>
      </w:r>
      <w:r>
        <w:rPr/>
        <w:tab/>
      </w:r>
      <w:r>
        <w:rPr>
          <w:spacing w:val="-2"/>
        </w:rPr>
        <w:t>Sec.gov.</w:t>
      </w:r>
      <w:r>
        <w:rPr/>
        <w:tab/>
      </w:r>
      <w:r>
        <w:rPr>
          <w:spacing w:val="-2"/>
        </w:rPr>
        <w:t>Available</w:t>
      </w:r>
      <w:r>
        <w:rPr/>
        <w:tab/>
      </w:r>
      <w:r>
        <w:rPr>
          <w:spacing w:val="-4"/>
        </w:rPr>
        <w:t>at: </w:t>
      </w:r>
      <w:r>
        <w:rPr>
          <w:spacing w:val="-2"/>
        </w:rPr>
        <w:t>https:/</w:t>
      </w:r>
      <w:hyperlink r:id="rId13">
        <w:r>
          <w:rPr>
            <w:spacing w:val="-2"/>
          </w:rPr>
          <w:t>/www.sec.gov/Archives/edgar/data/1736541/000110465926041765/nio-</w:t>
        </w:r>
      </w:hyperlink>
      <w:r>
        <w:rPr>
          <w:spacing w:val="-2"/>
        </w:rPr>
        <w:t> 20251231x20f.htm.</w:t>
      </w:r>
    </w:p>
    <w:p>
      <w:pPr>
        <w:spacing w:line="362" w:lineRule="auto" w:before="151"/>
        <w:ind w:left="0" w:right="351" w:firstLine="0"/>
        <w:jc w:val="both"/>
        <w:rPr>
          <w:sz w:val="24"/>
        </w:rPr>
      </w:pPr>
      <w:r>
        <w:rPr>
          <w:sz w:val="24"/>
        </w:rPr>
        <w:t>NIO (2026). </w:t>
      </w:r>
      <w:r>
        <w:rPr>
          <w:rFonts w:ascii="Arial"/>
          <w:i/>
          <w:sz w:val="24"/>
        </w:rPr>
        <w:t>NIO.N - | Stock Price &amp; Latest News | Reuters</w:t>
      </w:r>
      <w:r>
        <w:rPr>
          <w:sz w:val="24"/>
        </w:rPr>
        <w:t>. [online] Reuters.com. Available at: https://</w:t>
      </w:r>
      <w:hyperlink r:id="rId14">
        <w:r>
          <w:rPr>
            <w:sz w:val="24"/>
          </w:rPr>
          <w:t>www.reuters.com/markets/companies/NIO.N/financials/balance-</w:t>
        </w:r>
      </w:hyperlink>
      <w:r>
        <w:rPr>
          <w:sz w:val="24"/>
        </w:rPr>
        <w:t> sheet-annual/ [Accessed 21 Apr. 2026].</w:t>
      </w:r>
    </w:p>
    <w:p>
      <w:pPr>
        <w:spacing w:line="362" w:lineRule="auto" w:before="152"/>
        <w:ind w:left="0" w:right="351" w:firstLine="0"/>
        <w:jc w:val="both"/>
        <w:rPr>
          <w:sz w:val="24"/>
        </w:rPr>
      </w:pPr>
      <w:r>
        <w:rPr>
          <w:sz w:val="24"/>
        </w:rPr>
        <w:t>NIO Inc (2025). </w:t>
      </w:r>
      <w:r>
        <w:rPr>
          <w:rFonts w:ascii="Arial"/>
          <w:i/>
          <w:sz w:val="24"/>
        </w:rPr>
        <w:t>NIO Inc. Files Its 2024 Annual Report on Form 20-F</w:t>
      </w:r>
      <w:r>
        <w:rPr>
          <w:sz w:val="24"/>
        </w:rPr>
        <w:t>. [online] Yahoo Finance. Available at: https://finance.yahoo.com/news/nio-inc-files-2024-annual- 210900586.html [Accessed 21 Apr. 2026].</w:t>
      </w:r>
    </w:p>
    <w:p>
      <w:pPr>
        <w:tabs>
          <w:tab w:pos="1301" w:val="left" w:leader="none"/>
          <w:tab w:pos="2746" w:val="left" w:leader="none"/>
          <w:tab w:pos="4463" w:val="left" w:leader="none"/>
          <w:tab w:pos="6104" w:val="left" w:leader="none"/>
          <w:tab w:pos="7040" w:val="left" w:leader="none"/>
        </w:tabs>
        <w:spacing w:line="362" w:lineRule="auto" w:before="152"/>
        <w:ind w:left="0" w:right="351" w:firstLine="0"/>
        <w:jc w:val="left"/>
        <w:rPr>
          <w:sz w:val="24"/>
        </w:rPr>
      </w:pPr>
      <w:r>
        <w:rPr>
          <w:sz w:val="24"/>
        </w:rPr>
        <w:t>Reuters (2019). </w:t>
      </w:r>
      <w:r>
        <w:rPr>
          <w:rFonts w:ascii="Arial"/>
          <w:i/>
          <w:sz w:val="24"/>
        </w:rPr>
        <w:t>Chinese EV Carmaker NIO</w:t>
      </w:r>
      <w:r>
        <w:rPr>
          <w:rFonts w:ascii="Arial"/>
          <w:i/>
          <w:spacing w:val="-3"/>
          <w:sz w:val="24"/>
        </w:rPr>
        <w:t> </w:t>
      </w:r>
      <w:r>
        <w:rPr>
          <w:rFonts w:ascii="Arial"/>
          <w:i/>
          <w:sz w:val="24"/>
        </w:rPr>
        <w:t>Aims to Raise $650 Million via Convertible </w:t>
      </w:r>
      <w:r>
        <w:rPr>
          <w:rFonts w:ascii="Arial"/>
          <w:i/>
          <w:spacing w:val="-2"/>
          <w:sz w:val="24"/>
        </w:rPr>
        <w:t>Bond</w:t>
      </w:r>
      <w:r>
        <w:rPr>
          <w:spacing w:val="-2"/>
          <w:sz w:val="24"/>
        </w:rPr>
        <w:t>.</w:t>
      </w:r>
      <w:r>
        <w:rPr>
          <w:sz w:val="24"/>
        </w:rPr>
        <w:tab/>
      </w:r>
      <w:r>
        <w:rPr>
          <w:spacing w:val="-2"/>
          <w:sz w:val="24"/>
        </w:rPr>
        <w:t>[online]</w:t>
      </w:r>
      <w:r>
        <w:rPr>
          <w:sz w:val="24"/>
        </w:rPr>
        <w:tab/>
      </w:r>
      <w:r>
        <w:rPr>
          <w:spacing w:val="-2"/>
          <w:sz w:val="24"/>
        </w:rPr>
        <w:t>@bsindia.</w:t>
      </w:r>
      <w:r>
        <w:rPr>
          <w:sz w:val="24"/>
        </w:rPr>
        <w:tab/>
      </w:r>
      <w:r>
        <w:rPr>
          <w:spacing w:val="-2"/>
          <w:sz w:val="24"/>
        </w:rPr>
        <w:t>Available</w:t>
      </w:r>
      <w:r>
        <w:rPr>
          <w:sz w:val="24"/>
        </w:rPr>
        <w:tab/>
      </w:r>
      <w:r>
        <w:rPr>
          <w:spacing w:val="-4"/>
          <w:sz w:val="24"/>
        </w:rPr>
        <w:t>at:</w:t>
      </w:r>
      <w:r>
        <w:rPr>
          <w:sz w:val="24"/>
        </w:rPr>
        <w:tab/>
      </w:r>
      <w:r>
        <w:rPr>
          <w:spacing w:val="-2"/>
          <w:sz w:val="24"/>
        </w:rPr>
        <w:t>https://www.business- standard.com/amp/article/reuters/chinese-ev-carmaker-nio-aims-to-raise-650-million-</w:t>
      </w:r>
      <w:r>
        <w:rPr>
          <w:spacing w:val="40"/>
          <w:sz w:val="24"/>
        </w:rPr>
        <w:t>  </w:t>
      </w:r>
      <w:r>
        <w:rPr>
          <w:sz w:val="24"/>
        </w:rPr>
        <w:t>via-convertible-bond-119013000737_1.html [Accessed 22 Apr. 2026].</w:t>
      </w:r>
    </w:p>
    <w:p>
      <w:pPr>
        <w:pStyle w:val="BodyText"/>
        <w:spacing w:line="362" w:lineRule="auto" w:before="153"/>
        <w:ind w:right="351"/>
        <w:jc w:val="both"/>
      </w:pPr>
      <w:r>
        <w:rPr/>
        <w:t>Stock Titan (2026). </w:t>
      </w:r>
      <w:r>
        <w:rPr>
          <w:rFonts w:ascii="Arial"/>
          <w:i/>
        </w:rPr>
        <w:t>NIO Details 2025 Results and China Risk in 20-F</w:t>
      </w:r>
      <w:r>
        <w:rPr/>
        <w:t>. [online] Stocktitan.net. Available at: https:/</w:t>
      </w:r>
      <w:hyperlink r:id="rId15">
        <w:r>
          <w:rPr/>
          <w:t>/www.stocktitan.net/sec-filings/NIO/20-f-nio-inc-files-</w:t>
        </w:r>
      </w:hyperlink>
      <w:r>
        <w:rPr/>
        <w:t> annual-report-foreign-issuer-2af70053e4bf.html [Accessed 21 Apr. 2026].</w:t>
      </w:r>
    </w:p>
    <w:p>
      <w:pPr>
        <w:spacing w:line="360" w:lineRule="auto" w:before="152"/>
        <w:ind w:left="0" w:right="350" w:firstLine="0"/>
        <w:jc w:val="both"/>
        <w:rPr>
          <w:sz w:val="24"/>
        </w:rPr>
      </w:pPr>
      <w:r>
        <w:rPr>
          <w:sz w:val="24"/>
        </w:rPr>
        <w:t>Wang, Z. (2025). Analysis of NIO’s Business Model Strategy. </w:t>
      </w:r>
      <w:r>
        <w:rPr>
          <w:rFonts w:ascii="Arial" w:hAnsi="Arial"/>
          <w:i/>
          <w:sz w:val="24"/>
        </w:rPr>
        <w:t>Proceedings of the 2nd International Conference on E-commerce and Modern Logistics</w:t>
      </w:r>
      <w:r>
        <w:rPr>
          <w:sz w:val="24"/>
        </w:rPr>
        <w:t>, [online] 14(3), pp.507–</w:t>
      </w:r>
    </w:p>
    <w:p>
      <w:pPr>
        <w:pStyle w:val="BodyText"/>
        <w:spacing w:before="2"/>
        <w:jc w:val="both"/>
      </w:pPr>
      <w:r>
        <w:rPr>
          <w:spacing w:val="-2"/>
        </w:rPr>
        <w:t>511.</w:t>
      </w:r>
      <w:r>
        <w:rPr>
          <w:spacing w:val="-11"/>
        </w:rPr>
        <w:t> </w:t>
      </w:r>
      <w:r>
        <w:rPr>
          <w:spacing w:val="-2"/>
        </w:rPr>
        <w:t>doi:https://doi.org/10.5220/0013848400004719.</w:t>
      </w:r>
    </w:p>
    <w:p>
      <w:pPr>
        <w:pStyle w:val="BodyText"/>
        <w:spacing w:after="0"/>
        <w:jc w:val="both"/>
        <w:sectPr>
          <w:pgSz w:w="12240" w:h="15840"/>
          <w:pgMar w:header="0" w:footer="1051" w:top="1360" w:bottom="1240" w:left="1440" w:right="1080"/>
        </w:sectPr>
      </w:pPr>
    </w:p>
    <w:p>
      <w:pPr>
        <w:spacing w:line="360" w:lineRule="auto" w:before="76"/>
        <w:ind w:left="0" w:right="355" w:firstLine="0"/>
        <w:jc w:val="both"/>
        <w:rPr>
          <w:sz w:val="24"/>
        </w:rPr>
      </w:pPr>
      <w:r>
        <w:rPr>
          <w:sz w:val="24"/>
        </w:rPr>
        <w:t>Yetunde Amodu and Ken Shyaka (2025). Distressed Financing in Canada 2025: a Lender’s</w:t>
      </w:r>
      <w:r>
        <w:rPr>
          <w:spacing w:val="-17"/>
          <w:sz w:val="24"/>
        </w:rPr>
        <w:t> </w:t>
      </w:r>
      <w:r>
        <w:rPr>
          <w:sz w:val="24"/>
        </w:rPr>
        <w:t>Perspective.</w:t>
      </w:r>
      <w:r>
        <w:rPr>
          <w:spacing w:val="-17"/>
          <w:sz w:val="24"/>
        </w:rPr>
        <w:t> </w:t>
      </w:r>
      <w:r>
        <w:rPr>
          <w:rFonts w:ascii="Arial" w:hAnsi="Arial"/>
          <w:i/>
          <w:sz w:val="24"/>
        </w:rPr>
        <w:t>World</w:t>
      </w:r>
      <w:r>
        <w:rPr>
          <w:rFonts w:ascii="Arial" w:hAnsi="Arial"/>
          <w:i/>
          <w:spacing w:val="-16"/>
          <w:sz w:val="24"/>
        </w:rPr>
        <w:t> </w:t>
      </w:r>
      <w:r>
        <w:rPr>
          <w:rFonts w:ascii="Arial" w:hAnsi="Arial"/>
          <w:i/>
          <w:sz w:val="24"/>
        </w:rPr>
        <w:t>Journal</w:t>
      </w:r>
      <w:r>
        <w:rPr>
          <w:rFonts w:ascii="Arial" w:hAnsi="Arial"/>
          <w:i/>
          <w:spacing w:val="-17"/>
          <w:sz w:val="24"/>
        </w:rPr>
        <w:t> </w:t>
      </w:r>
      <w:r>
        <w:rPr>
          <w:rFonts w:ascii="Arial" w:hAnsi="Arial"/>
          <w:i/>
          <w:sz w:val="24"/>
        </w:rPr>
        <w:t>of</w:t>
      </w:r>
      <w:r>
        <w:rPr>
          <w:rFonts w:ascii="Arial" w:hAnsi="Arial"/>
          <w:i/>
          <w:spacing w:val="-19"/>
          <w:sz w:val="24"/>
        </w:rPr>
        <w:t> </w:t>
      </w:r>
      <w:r>
        <w:rPr>
          <w:rFonts w:ascii="Arial" w:hAnsi="Arial"/>
          <w:i/>
          <w:sz w:val="24"/>
        </w:rPr>
        <w:t>Advanced</w:t>
      </w:r>
      <w:r>
        <w:rPr>
          <w:rFonts w:ascii="Arial" w:hAnsi="Arial"/>
          <w:i/>
          <w:spacing w:val="-13"/>
          <w:sz w:val="24"/>
        </w:rPr>
        <w:t> </w:t>
      </w:r>
      <w:r>
        <w:rPr>
          <w:rFonts w:ascii="Arial" w:hAnsi="Arial"/>
          <w:i/>
          <w:sz w:val="24"/>
        </w:rPr>
        <w:t>Research</w:t>
      </w:r>
      <w:r>
        <w:rPr>
          <w:rFonts w:ascii="Arial" w:hAnsi="Arial"/>
          <w:i/>
          <w:spacing w:val="-17"/>
          <w:sz w:val="24"/>
        </w:rPr>
        <w:t> </w:t>
      </w:r>
      <w:r>
        <w:rPr>
          <w:rFonts w:ascii="Arial" w:hAnsi="Arial"/>
          <w:i/>
          <w:sz w:val="24"/>
        </w:rPr>
        <w:t>and</w:t>
      </w:r>
      <w:r>
        <w:rPr>
          <w:rFonts w:ascii="Arial" w:hAnsi="Arial"/>
          <w:i/>
          <w:spacing w:val="-16"/>
          <w:sz w:val="24"/>
        </w:rPr>
        <w:t> </w:t>
      </w:r>
      <w:r>
        <w:rPr>
          <w:rFonts w:ascii="Arial" w:hAnsi="Arial"/>
          <w:i/>
          <w:sz w:val="24"/>
        </w:rPr>
        <w:t>Reviews</w:t>
      </w:r>
      <w:r>
        <w:rPr>
          <w:sz w:val="24"/>
        </w:rPr>
        <w:t>,</w:t>
      </w:r>
      <w:r>
        <w:rPr>
          <w:spacing w:val="-13"/>
          <w:sz w:val="24"/>
        </w:rPr>
        <w:t> </w:t>
      </w:r>
      <w:r>
        <w:rPr>
          <w:sz w:val="24"/>
        </w:rPr>
        <w:t>27(2),</w:t>
      </w:r>
      <w:r>
        <w:rPr>
          <w:spacing w:val="-17"/>
          <w:sz w:val="24"/>
        </w:rPr>
        <w:t> </w:t>
      </w:r>
      <w:r>
        <w:rPr>
          <w:sz w:val="24"/>
        </w:rPr>
        <w:t>pp.187–</w:t>
      </w:r>
    </w:p>
    <w:p>
      <w:pPr>
        <w:pStyle w:val="BodyText"/>
        <w:spacing w:before="3"/>
      </w:pPr>
      <w:r>
        <w:rPr/>
        <w:t>193.</w:t>
      </w:r>
      <w:r>
        <w:rPr>
          <w:spacing w:val="-2"/>
        </w:rPr>
        <w:t> doi:https://doi.org/10.30574/wjarr.2025.27.2.2846.</w:t>
      </w:r>
    </w:p>
    <w:p>
      <w:pPr>
        <w:pStyle w:val="BodyText"/>
        <w:spacing w:before="19"/>
      </w:pPr>
    </w:p>
    <w:p>
      <w:pPr>
        <w:tabs>
          <w:tab w:pos="1382" w:val="left" w:leader="none"/>
          <w:tab w:pos="2505" w:val="left" w:leader="none"/>
          <w:tab w:pos="3890" w:val="left" w:leader="none"/>
          <w:tab w:pos="5434" w:val="left" w:leader="none"/>
          <w:tab w:pos="7354" w:val="left" w:leader="none"/>
          <w:tab w:pos="9096" w:val="left" w:leader="none"/>
        </w:tabs>
        <w:spacing w:line="362" w:lineRule="auto" w:before="0"/>
        <w:ind w:left="0" w:right="354" w:firstLine="0"/>
        <w:jc w:val="both"/>
        <w:rPr>
          <w:sz w:val="24"/>
        </w:rPr>
      </w:pPr>
      <w:r>
        <w:rPr>
          <w:sz w:val="24"/>
        </w:rPr>
        <w:t>Zhang, P. (2024). </w:t>
      </w:r>
      <w:r>
        <w:rPr>
          <w:rFonts w:ascii="Arial" w:hAnsi="Arial"/>
          <w:i/>
          <w:sz w:val="24"/>
        </w:rPr>
        <w:t>Automakers’ NEV Market Share in China in 2023: BYD 35%, Tesla </w:t>
      </w:r>
      <w:r>
        <w:rPr>
          <w:rFonts w:ascii="Arial" w:hAnsi="Arial"/>
          <w:i/>
          <w:spacing w:val="-2"/>
          <w:sz w:val="24"/>
        </w:rPr>
        <w:t>7.8%,</w:t>
      </w:r>
      <w:r>
        <w:rPr>
          <w:rFonts w:ascii="Arial" w:hAnsi="Arial"/>
          <w:i/>
          <w:sz w:val="24"/>
        </w:rPr>
        <w:tab/>
      </w:r>
      <w:r>
        <w:rPr>
          <w:rFonts w:ascii="Arial" w:hAnsi="Arial"/>
          <w:i/>
          <w:spacing w:val="-4"/>
          <w:sz w:val="24"/>
        </w:rPr>
        <w:t>Nio</w:t>
      </w:r>
      <w:r>
        <w:rPr>
          <w:rFonts w:ascii="Arial" w:hAnsi="Arial"/>
          <w:i/>
          <w:sz w:val="24"/>
        </w:rPr>
        <w:tab/>
      </w:r>
      <w:r>
        <w:rPr>
          <w:rFonts w:ascii="Arial" w:hAnsi="Arial"/>
          <w:i/>
          <w:spacing w:val="-4"/>
          <w:sz w:val="24"/>
        </w:rPr>
        <w:t>2.1%</w:t>
      </w:r>
      <w:r>
        <w:rPr>
          <w:spacing w:val="-4"/>
          <w:sz w:val="24"/>
        </w:rPr>
        <w:t>.</w:t>
      </w:r>
      <w:r>
        <w:rPr>
          <w:sz w:val="24"/>
        </w:rPr>
        <w:tab/>
      </w:r>
      <w:r>
        <w:rPr>
          <w:spacing w:val="-2"/>
          <w:sz w:val="24"/>
        </w:rPr>
        <w:t>[online]</w:t>
      </w:r>
      <w:r>
        <w:rPr>
          <w:sz w:val="24"/>
        </w:rPr>
        <w:tab/>
      </w:r>
      <w:r>
        <w:rPr>
          <w:spacing w:val="-2"/>
          <w:sz w:val="24"/>
        </w:rPr>
        <w:t>CnEVPost.</w:t>
      </w:r>
      <w:r>
        <w:rPr>
          <w:sz w:val="24"/>
        </w:rPr>
        <w:tab/>
      </w:r>
      <w:r>
        <w:rPr>
          <w:spacing w:val="-2"/>
          <w:sz w:val="24"/>
        </w:rPr>
        <w:t>Available</w:t>
      </w:r>
      <w:r>
        <w:rPr>
          <w:sz w:val="24"/>
        </w:rPr>
        <w:tab/>
      </w:r>
      <w:r>
        <w:rPr>
          <w:spacing w:val="-4"/>
          <w:sz w:val="24"/>
        </w:rPr>
        <w:t>at: </w:t>
      </w:r>
      <w:r>
        <w:rPr>
          <w:spacing w:val="-2"/>
          <w:sz w:val="24"/>
        </w:rPr>
        <w:t>https://cnevpost.com/2024/01/10/automakers-nev-market-share-in-china-in-2023/.</w:t>
      </w:r>
    </w:p>
    <w:p>
      <w:pPr>
        <w:spacing w:line="362" w:lineRule="auto" w:before="152"/>
        <w:ind w:left="0" w:right="350" w:firstLine="0"/>
        <w:jc w:val="both"/>
        <w:rPr>
          <w:sz w:val="24"/>
        </w:rPr>
      </w:pPr>
      <w:r>
        <w:rPr>
          <w:sz w:val="24"/>
        </w:rPr>
        <w:t>Zhang, R. (2023). SWOT</w:t>
      </w:r>
      <w:r>
        <w:rPr>
          <w:spacing w:val="-14"/>
          <w:sz w:val="24"/>
        </w:rPr>
        <w:t> </w:t>
      </w:r>
      <w:r>
        <w:rPr>
          <w:sz w:val="24"/>
        </w:rPr>
        <w:t>Analysis, Porter’s Five Forces</w:t>
      </w:r>
      <w:r>
        <w:rPr>
          <w:spacing w:val="-12"/>
          <w:sz w:val="24"/>
        </w:rPr>
        <w:t> </w:t>
      </w:r>
      <w:r>
        <w:rPr>
          <w:sz w:val="24"/>
        </w:rPr>
        <w:t>Analysis and Financial</w:t>
      </w:r>
      <w:r>
        <w:rPr>
          <w:spacing w:val="-8"/>
          <w:sz w:val="24"/>
        </w:rPr>
        <w:t> </w:t>
      </w:r>
      <w:r>
        <w:rPr>
          <w:sz w:val="24"/>
        </w:rPr>
        <w:t>Analysis for NIO Inc. </w:t>
      </w:r>
      <w:r>
        <w:rPr>
          <w:rFonts w:ascii="Arial" w:hAnsi="Arial"/>
          <w:i/>
          <w:sz w:val="24"/>
        </w:rPr>
        <w:t>Highlights in business, economics and management</w:t>
      </w:r>
      <w:r>
        <w:rPr>
          <w:sz w:val="24"/>
        </w:rPr>
        <w:t>, 23(3), pp.1147–1155. </w:t>
      </w:r>
      <w:r>
        <w:rPr>
          <w:spacing w:val="-2"/>
          <w:sz w:val="24"/>
        </w:rPr>
        <w:t>doi:https://doi.org/10.54097/teyapv40.</w:t>
      </w:r>
    </w:p>
    <w:p>
      <w:pPr>
        <w:spacing w:after="0" w:line="362" w:lineRule="auto"/>
        <w:jc w:val="both"/>
        <w:rPr>
          <w:sz w:val="24"/>
        </w:rPr>
        <w:sectPr>
          <w:pgSz w:w="12240" w:h="15840"/>
          <w:pgMar w:header="0" w:footer="1051" w:top="1360" w:bottom="1240" w:left="1440" w:right="1080"/>
        </w:sectPr>
      </w:pPr>
    </w:p>
    <w:p>
      <w:pPr>
        <w:pStyle w:val="Heading1"/>
      </w:pPr>
      <w:bookmarkStart w:name="_bookmark37" w:id="75"/>
      <w:bookmarkEnd w:id="75"/>
      <w:r>
        <w:rPr>
          <w:b w:val="0"/>
        </w:rPr>
      </w:r>
      <w:r>
        <w:rPr>
          <w:spacing w:val="-2"/>
        </w:rPr>
        <w:t>Appendix</w:t>
      </w:r>
    </w:p>
    <w:p>
      <w:pPr>
        <w:pStyle w:val="Heading2"/>
        <w:spacing w:before="162"/>
      </w:pPr>
      <w:r>
        <w:rPr/>
        <w:t>Appendix</w:t>
      </w:r>
      <w:r>
        <w:rPr>
          <w:spacing w:val="-15"/>
        </w:rPr>
        <w:t> </w:t>
      </w:r>
      <w:r>
        <w:rPr>
          <w:spacing w:val="-10"/>
        </w:rPr>
        <w:t>A</w:t>
      </w:r>
    </w:p>
    <w:p>
      <w:pPr>
        <w:pStyle w:val="BodyText"/>
        <w:spacing w:before="24"/>
        <w:rPr>
          <w:rFonts w:ascii="Arial"/>
          <w:b/>
        </w:rPr>
      </w:pPr>
    </w:p>
    <w:p>
      <w:pPr>
        <w:pStyle w:val="ListParagraph"/>
        <w:numPr>
          <w:ilvl w:val="1"/>
          <w:numId w:val="6"/>
        </w:numPr>
        <w:tabs>
          <w:tab w:pos="400" w:val="left" w:leader="none"/>
        </w:tabs>
        <w:spacing w:line="240" w:lineRule="auto" w:before="0" w:after="0"/>
        <w:ind w:left="400" w:right="0" w:hanging="400"/>
        <w:jc w:val="left"/>
        <w:rPr>
          <w:b/>
          <w:sz w:val="24"/>
        </w:rPr>
      </w:pPr>
      <w:r>
        <w:rPr>
          <w:b/>
          <w:sz w:val="24"/>
        </w:rPr>
        <w:t>Payback</w:t>
      </w:r>
      <w:r>
        <w:rPr>
          <w:b/>
          <w:spacing w:val="-5"/>
          <w:sz w:val="24"/>
        </w:rPr>
        <w:t> </w:t>
      </w:r>
      <w:r>
        <w:rPr>
          <w:b/>
          <w:spacing w:val="-2"/>
          <w:sz w:val="24"/>
        </w:rPr>
        <w:t>Period</w:t>
      </w:r>
    </w:p>
    <w:p>
      <w:pPr>
        <w:pStyle w:val="BodyText"/>
        <w:spacing w:before="20"/>
        <w:rPr>
          <w:rFonts w:ascii="Arial"/>
          <w:b/>
        </w:rPr>
      </w:pPr>
    </w:p>
    <w:p>
      <w:pPr>
        <w:pStyle w:val="BodyText"/>
        <w:spacing w:line="367" w:lineRule="auto"/>
        <w:ind w:right="24"/>
      </w:pPr>
      <w:r>
        <w:rPr/>
        <w:t>A Payback</w:t>
      </w:r>
      <w:r>
        <w:rPr>
          <w:spacing w:val="30"/>
        </w:rPr>
        <w:t> </w:t>
      </w:r>
      <w:r>
        <w:rPr/>
        <w:t>Period</w:t>
      </w:r>
      <w:r>
        <w:rPr>
          <w:spacing w:val="28"/>
        </w:rPr>
        <w:t> </w:t>
      </w:r>
      <w:r>
        <w:rPr/>
        <w:t>is</w:t>
      </w:r>
      <w:r>
        <w:rPr>
          <w:spacing w:val="27"/>
        </w:rPr>
        <w:t> </w:t>
      </w:r>
      <w:r>
        <w:rPr/>
        <w:t>the</w:t>
      </w:r>
      <w:r>
        <w:rPr>
          <w:spacing w:val="27"/>
        </w:rPr>
        <w:t> </w:t>
      </w:r>
      <w:r>
        <w:rPr/>
        <w:t>length</w:t>
      </w:r>
      <w:r>
        <w:rPr>
          <w:spacing w:val="28"/>
        </w:rPr>
        <w:t> </w:t>
      </w:r>
      <w:r>
        <w:rPr/>
        <w:t>of</w:t>
      </w:r>
      <w:r>
        <w:rPr>
          <w:spacing w:val="30"/>
        </w:rPr>
        <w:t> </w:t>
      </w:r>
      <w:r>
        <w:rPr/>
        <w:t>time</w:t>
      </w:r>
      <w:r>
        <w:rPr>
          <w:spacing w:val="30"/>
        </w:rPr>
        <w:t> </w:t>
      </w:r>
      <w:r>
        <w:rPr/>
        <w:t>needed</w:t>
      </w:r>
      <w:r>
        <w:rPr>
          <w:spacing w:val="30"/>
        </w:rPr>
        <w:t> </w:t>
      </w:r>
      <w:r>
        <w:rPr/>
        <w:t>by</w:t>
      </w:r>
      <w:r>
        <w:rPr>
          <w:spacing w:val="30"/>
        </w:rPr>
        <w:t> </w:t>
      </w:r>
      <w:r>
        <w:rPr/>
        <w:t>an</w:t>
      </w:r>
      <w:r>
        <w:rPr>
          <w:spacing w:val="27"/>
        </w:rPr>
        <w:t> </w:t>
      </w:r>
      <w:r>
        <w:rPr/>
        <w:t>investment</w:t>
      </w:r>
      <w:r>
        <w:rPr>
          <w:spacing w:val="30"/>
        </w:rPr>
        <w:t> </w:t>
      </w:r>
      <w:r>
        <w:rPr/>
        <w:t>to</w:t>
      </w:r>
      <w:r>
        <w:rPr>
          <w:spacing w:val="28"/>
        </w:rPr>
        <w:t> </w:t>
      </w:r>
      <w:r>
        <w:rPr/>
        <w:t>recoup</w:t>
      </w:r>
      <w:r>
        <w:rPr>
          <w:spacing w:val="40"/>
        </w:rPr>
        <w:t> </w:t>
      </w:r>
      <w:r>
        <w:rPr/>
        <w:t>the</w:t>
      </w:r>
      <w:r>
        <w:rPr>
          <w:spacing w:val="28"/>
        </w:rPr>
        <w:t> </w:t>
      </w:r>
      <w:r>
        <w:rPr/>
        <w:t>initial investment through a series of cash inflows. It is calculated using:</w:t>
      </w:r>
    </w:p>
    <w:p>
      <w:pPr>
        <w:pStyle w:val="BodyText"/>
        <w:spacing w:line="187" w:lineRule="auto" w:before="180"/>
        <w:ind w:left="2161" w:right="2516" w:firstLine="2425"/>
        <w:rPr>
          <w:rFonts w:ascii="Cambria Math" w:eastAsia="Cambria Math"/>
        </w:rPr>
      </w:pPr>
      <w:r>
        <w:rPr>
          <w:rFonts w:ascii="Cambria Math" w:eastAsia="Cambria Math"/>
        </w:rPr>
        <mc:AlternateContent>
          <mc:Choice Requires="wps">
            <w:drawing>
              <wp:anchor distT="0" distB="0" distL="0" distR="0" allowOverlap="1" layoutInCell="1" locked="0" behindDoc="1" simplePos="0" relativeHeight="486791168">
                <wp:simplePos x="0" y="0"/>
                <wp:positionH relativeFrom="page">
                  <wp:posOffset>3826764</wp:posOffset>
                </wp:positionH>
                <wp:positionV relativeFrom="paragraph">
                  <wp:posOffset>292755</wp:posOffset>
                </wp:positionV>
                <wp:extent cx="1661795" cy="9525"/>
                <wp:effectExtent l="0" t="0" r="0" b="0"/>
                <wp:wrapNone/>
                <wp:docPr id="35" name="Graphic 35"/>
                <wp:cNvGraphicFramePr>
                  <a:graphicFrameLocks/>
                </wp:cNvGraphicFramePr>
                <a:graphic>
                  <a:graphicData uri="http://schemas.microsoft.com/office/word/2010/wordprocessingShape">
                    <wps:wsp>
                      <wps:cNvPr id="35" name="Graphic 35"/>
                      <wps:cNvSpPr/>
                      <wps:spPr>
                        <a:xfrm>
                          <a:off x="0" y="0"/>
                          <a:ext cx="1661795" cy="9525"/>
                        </a:xfrm>
                        <a:custGeom>
                          <a:avLst/>
                          <a:gdLst/>
                          <a:ahLst/>
                          <a:cxnLst/>
                          <a:rect l="l" t="t" r="r" b="b"/>
                          <a:pathLst>
                            <a:path w="1661795" h="9525">
                              <a:moveTo>
                                <a:pt x="1661794" y="0"/>
                              </a:moveTo>
                              <a:lnTo>
                                <a:pt x="0" y="0"/>
                              </a:lnTo>
                              <a:lnTo>
                                <a:pt x="0" y="9144"/>
                              </a:lnTo>
                              <a:lnTo>
                                <a:pt x="1661794" y="9144"/>
                              </a:lnTo>
                              <a:lnTo>
                                <a:pt x="1661794"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rect style="position:absolute;margin-left:301.320007pt;margin-top:23.051641pt;width:130.85pt;height:.72pt;mso-position-horizontal-relative:page;mso-position-vertical-relative:paragraph;z-index:-16525312" id="docshape34" filled="true" fillcolor="#000000" stroked="false">
                <v:fill type="solid"/>
                <w10:wrap type="none"/>
              </v:rect>
            </w:pict>
          </mc:Fallback>
        </mc:AlternateContent>
      </w:r>
      <w:r>
        <w:rPr/>
        <w:t>Unrecovered</w:t>
      </w:r>
      <w:r>
        <w:rPr>
          <w:spacing w:val="-17"/>
        </w:rPr>
        <w:t> </w:t>
      </w:r>
      <w:r>
        <w:rPr/>
        <w:t>Investment </w:t>
      </w:r>
      <w:r>
        <w:rPr>
          <w:position w:val="16"/>
        </w:rPr>
        <w:t>Payback</w:t>
      </w:r>
      <w:r>
        <w:rPr>
          <w:spacing w:val="-3"/>
          <w:position w:val="16"/>
        </w:rPr>
        <w:t> </w:t>
      </w:r>
      <w:r>
        <w:rPr>
          <w:position w:val="16"/>
        </w:rPr>
        <w:t>Period</w:t>
      </w:r>
      <w:r>
        <w:rPr>
          <w:spacing w:val="-4"/>
          <w:position w:val="16"/>
        </w:rPr>
        <w:t> </w:t>
      </w:r>
      <w:r>
        <w:rPr>
          <w:rFonts w:ascii="Cambria Math" w:eastAsia="Cambria Math"/>
          <w:position w:val="16"/>
        </w:rPr>
        <w:t>=</w:t>
      </w:r>
      <w:r>
        <w:rPr>
          <w:rFonts w:ascii="Cambria Math" w:eastAsia="Cambria Math"/>
          <w:spacing w:val="10"/>
          <w:position w:val="16"/>
        </w:rPr>
        <w:t> </w:t>
      </w:r>
      <w:r>
        <w:rPr>
          <w:rFonts w:ascii="Cambria Math" w:eastAsia="Cambria Math"/>
          <w:position w:val="16"/>
        </w:rPr>
        <w:t>𝑛</w:t>
      </w:r>
      <w:r>
        <w:rPr>
          <w:rFonts w:ascii="Cambria Math" w:eastAsia="Cambria Math"/>
          <w:spacing w:val="-1"/>
          <w:position w:val="16"/>
        </w:rPr>
        <w:t> </w:t>
      </w:r>
      <w:r>
        <w:rPr>
          <w:rFonts w:ascii="Cambria Math" w:eastAsia="Cambria Math"/>
          <w:position w:val="16"/>
        </w:rPr>
        <w:t>+</w:t>
      </w:r>
      <w:r>
        <w:rPr>
          <w:rFonts w:ascii="Cambria Math" w:eastAsia="Cambria Math"/>
          <w:spacing w:val="24"/>
          <w:position w:val="16"/>
        </w:rPr>
        <w:t> </w:t>
      </w:r>
      <w:r>
        <w:rPr/>
        <w:t>Cash</w:t>
      </w:r>
      <w:r>
        <w:rPr>
          <w:spacing w:val="-2"/>
        </w:rPr>
        <w:t> </w:t>
      </w:r>
      <w:r>
        <w:rPr/>
        <w:t>Flow</w:t>
      </w:r>
      <w:r>
        <w:rPr>
          <w:spacing w:val="-8"/>
        </w:rPr>
        <w:t> </w:t>
      </w:r>
      <w:r>
        <w:rPr/>
        <w:t>in</w:t>
      </w:r>
      <w:r>
        <w:rPr>
          <w:spacing w:val="-6"/>
        </w:rPr>
        <w:t> </w:t>
      </w:r>
      <w:r>
        <w:rPr/>
        <w:t>Year</w:t>
      </w:r>
      <w:r>
        <w:rPr>
          <w:spacing w:val="2"/>
        </w:rPr>
        <w:t> </w:t>
      </w:r>
      <w:r>
        <w:rPr>
          <w:rFonts w:ascii="Cambria Math" w:eastAsia="Cambria Math"/>
        </w:rPr>
        <w:t>𝑛</w:t>
      </w:r>
      <w:r>
        <w:rPr>
          <w:rFonts w:ascii="Cambria Math" w:eastAsia="Cambria Math"/>
          <w:spacing w:val="-1"/>
        </w:rPr>
        <w:t> </w:t>
      </w:r>
      <w:r>
        <w:rPr>
          <w:rFonts w:ascii="Cambria Math" w:eastAsia="Cambria Math"/>
        </w:rPr>
        <w:t>+</w:t>
      </w:r>
      <w:r>
        <w:rPr>
          <w:rFonts w:ascii="Cambria Math" w:eastAsia="Cambria Math"/>
          <w:spacing w:val="-3"/>
        </w:rPr>
        <w:t> </w:t>
      </w:r>
      <w:r>
        <w:rPr>
          <w:rFonts w:ascii="Cambria Math" w:eastAsia="Cambria Math"/>
          <w:spacing w:val="-10"/>
        </w:rPr>
        <w:t>1</w:t>
      </w:r>
    </w:p>
    <w:p>
      <w:pPr>
        <w:pStyle w:val="BodyText"/>
        <w:spacing w:before="234"/>
      </w:pPr>
      <w:r>
        <w:rPr/>
        <w:t>where</w:t>
      </w:r>
      <w:r>
        <w:rPr>
          <w:spacing w:val="-4"/>
        </w:rPr>
        <w:t> </w:t>
      </w:r>
      <w:r>
        <w:rPr>
          <w:rFonts w:ascii="Arial"/>
          <w:i/>
        </w:rPr>
        <w:t>n</w:t>
      </w:r>
      <w:r>
        <w:rPr>
          <w:rFonts w:ascii="Arial"/>
          <w:i/>
          <w:spacing w:val="-3"/>
        </w:rPr>
        <w:t> </w:t>
      </w:r>
      <w:r>
        <w:rPr/>
        <w:t>represents</w:t>
      </w:r>
      <w:r>
        <w:rPr>
          <w:spacing w:val="-4"/>
        </w:rPr>
        <w:t> </w:t>
      </w:r>
      <w:r>
        <w:rPr/>
        <w:t>the</w:t>
      </w:r>
      <w:r>
        <w:rPr>
          <w:spacing w:val="-4"/>
        </w:rPr>
        <w:t> </w:t>
      </w:r>
      <w:r>
        <w:rPr/>
        <w:t>final year</w:t>
      </w:r>
      <w:r>
        <w:rPr>
          <w:spacing w:val="-3"/>
        </w:rPr>
        <w:t> </w:t>
      </w:r>
      <w:r>
        <w:rPr/>
        <w:t>before</w:t>
      </w:r>
      <w:r>
        <w:rPr>
          <w:spacing w:val="-8"/>
        </w:rPr>
        <w:t> </w:t>
      </w:r>
      <w:r>
        <w:rPr/>
        <w:t>full</w:t>
      </w:r>
      <w:r>
        <w:rPr>
          <w:spacing w:val="-1"/>
        </w:rPr>
        <w:t> </w:t>
      </w:r>
      <w:r>
        <w:rPr/>
        <w:t>recovery</w:t>
      </w:r>
      <w:r>
        <w:rPr>
          <w:spacing w:val="-3"/>
        </w:rPr>
        <w:t> </w:t>
      </w:r>
      <w:r>
        <w:rPr>
          <w:spacing w:val="-2"/>
        </w:rPr>
        <w:t>occurs.</w:t>
      </w:r>
    </w:p>
    <w:p>
      <w:pPr>
        <w:pStyle w:val="BodyText"/>
      </w:pPr>
    </w:p>
    <w:p>
      <w:pPr>
        <w:pStyle w:val="BodyText"/>
      </w:pPr>
    </w:p>
    <w:p>
      <w:pPr>
        <w:pStyle w:val="BodyText"/>
        <w:spacing w:before="39"/>
      </w:pPr>
    </w:p>
    <w:p>
      <w:pPr>
        <w:pStyle w:val="Heading2"/>
      </w:pPr>
      <w:r>
        <w:rPr/>
        <w:t>Project</w:t>
      </w:r>
      <w:r>
        <w:rPr>
          <w:spacing w:val="-11"/>
        </w:rPr>
        <w:t> </w:t>
      </w:r>
      <w:r>
        <w:rPr/>
        <w:t>A</w:t>
      </w:r>
      <w:r>
        <w:rPr>
          <w:spacing w:val="-16"/>
        </w:rPr>
        <w:t> </w:t>
      </w:r>
      <w:r>
        <w:rPr>
          <w:spacing w:val="-2"/>
        </w:rPr>
        <w:t>Calculation</w:t>
      </w:r>
    </w:p>
    <w:p>
      <w:pPr>
        <w:pStyle w:val="BodyText"/>
        <w:spacing w:before="98"/>
        <w:rPr>
          <w:rFonts w:ascii="Arial"/>
          <w:b/>
          <w:sz w:val="20"/>
        </w:rPr>
      </w:pPr>
    </w:p>
    <w:tbl>
      <w:tblPr>
        <w:tblW w:w="0" w:type="auto"/>
        <w:jc w:val="left"/>
        <w:tblInd w:w="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77"/>
        <w:gridCol w:w="1981"/>
        <w:gridCol w:w="3196"/>
      </w:tblGrid>
      <w:tr>
        <w:trPr>
          <w:trHeight w:val="618" w:hRule="atLeast"/>
        </w:trPr>
        <w:tc>
          <w:tcPr>
            <w:tcW w:w="577" w:type="dxa"/>
            <w:tcBorders>
              <w:bottom w:val="double" w:sz="4" w:space="0" w:color="000000"/>
            </w:tcBorders>
            <w:shd w:val="clear" w:color="auto" w:fill="92D050"/>
          </w:tcPr>
          <w:p>
            <w:pPr>
              <w:pStyle w:val="TableParagraph"/>
              <w:spacing w:before="15"/>
              <w:ind w:left="0" w:right="21"/>
              <w:rPr>
                <w:rFonts w:ascii="Arial"/>
                <w:b/>
                <w:sz w:val="24"/>
              </w:rPr>
            </w:pPr>
            <w:r>
              <w:rPr>
                <w:rFonts w:ascii="Arial"/>
                <w:b/>
                <w:spacing w:val="-4"/>
                <w:sz w:val="24"/>
              </w:rPr>
              <w:t>Year</w:t>
            </w:r>
          </w:p>
        </w:tc>
        <w:tc>
          <w:tcPr>
            <w:tcW w:w="1981" w:type="dxa"/>
            <w:tcBorders>
              <w:bottom w:val="double" w:sz="4" w:space="0" w:color="000000"/>
              <w:right w:val="double" w:sz="4" w:space="0" w:color="000000"/>
            </w:tcBorders>
            <w:shd w:val="clear" w:color="auto" w:fill="92D050"/>
          </w:tcPr>
          <w:p>
            <w:pPr>
              <w:pStyle w:val="TableParagraph"/>
              <w:spacing w:before="15"/>
              <w:ind w:left="2" w:right="2"/>
              <w:rPr>
                <w:rFonts w:ascii="Arial" w:hAnsi="Arial"/>
                <w:b/>
                <w:sz w:val="24"/>
              </w:rPr>
            </w:pPr>
            <w:r>
              <w:rPr>
                <w:rFonts w:ascii="Arial" w:hAnsi="Arial"/>
                <w:b/>
                <w:sz w:val="24"/>
              </w:rPr>
              <w:t>Cash</w:t>
            </w:r>
            <w:r>
              <w:rPr>
                <w:rFonts w:ascii="Arial" w:hAnsi="Arial"/>
                <w:b/>
                <w:spacing w:val="-6"/>
                <w:sz w:val="24"/>
              </w:rPr>
              <w:t> </w:t>
            </w:r>
            <w:r>
              <w:rPr>
                <w:rFonts w:ascii="Arial" w:hAnsi="Arial"/>
                <w:b/>
                <w:sz w:val="24"/>
              </w:rPr>
              <w:t>Inflow </w:t>
            </w:r>
            <w:r>
              <w:rPr>
                <w:rFonts w:ascii="Arial" w:hAnsi="Arial"/>
                <w:b/>
                <w:spacing w:val="-4"/>
                <w:sz w:val="24"/>
              </w:rPr>
              <w:t>(£m)</w:t>
            </w:r>
          </w:p>
        </w:tc>
        <w:tc>
          <w:tcPr>
            <w:tcW w:w="3196" w:type="dxa"/>
            <w:tcBorders>
              <w:left w:val="double" w:sz="4" w:space="0" w:color="000000"/>
              <w:bottom w:val="double" w:sz="4" w:space="0" w:color="000000"/>
            </w:tcBorders>
            <w:shd w:val="clear" w:color="auto" w:fill="92D050"/>
          </w:tcPr>
          <w:p>
            <w:pPr>
              <w:pStyle w:val="TableParagraph"/>
              <w:spacing w:before="15"/>
              <w:ind w:left="18"/>
              <w:rPr>
                <w:rFonts w:ascii="Arial" w:hAnsi="Arial"/>
                <w:b/>
                <w:sz w:val="24"/>
              </w:rPr>
            </w:pPr>
            <w:r>
              <w:rPr>
                <w:rFonts w:ascii="Arial" w:hAnsi="Arial"/>
                <w:b/>
                <w:sz w:val="24"/>
              </w:rPr>
              <w:t>Cumulative</w:t>
            </w:r>
            <w:r>
              <w:rPr>
                <w:rFonts w:ascii="Arial" w:hAnsi="Arial"/>
                <w:b/>
                <w:spacing w:val="-2"/>
                <w:sz w:val="24"/>
              </w:rPr>
              <w:t> </w:t>
            </w:r>
            <w:r>
              <w:rPr>
                <w:rFonts w:ascii="Arial" w:hAnsi="Arial"/>
                <w:b/>
                <w:sz w:val="24"/>
              </w:rPr>
              <w:t>Cash</w:t>
            </w:r>
            <w:r>
              <w:rPr>
                <w:rFonts w:ascii="Arial" w:hAnsi="Arial"/>
                <w:b/>
                <w:spacing w:val="-5"/>
                <w:sz w:val="24"/>
              </w:rPr>
              <w:t> </w:t>
            </w:r>
            <w:r>
              <w:rPr>
                <w:rFonts w:ascii="Arial" w:hAnsi="Arial"/>
                <w:b/>
                <w:sz w:val="24"/>
              </w:rPr>
              <w:t>Flow</w:t>
            </w:r>
            <w:r>
              <w:rPr>
                <w:rFonts w:ascii="Arial" w:hAnsi="Arial"/>
                <w:b/>
                <w:spacing w:val="-1"/>
                <w:sz w:val="24"/>
              </w:rPr>
              <w:t> </w:t>
            </w:r>
            <w:r>
              <w:rPr>
                <w:rFonts w:ascii="Arial" w:hAnsi="Arial"/>
                <w:b/>
                <w:spacing w:val="-4"/>
                <w:sz w:val="24"/>
              </w:rPr>
              <w:t>(£m)</w:t>
            </w:r>
          </w:p>
        </w:tc>
      </w:tr>
      <w:tr>
        <w:trPr>
          <w:trHeight w:val="613" w:hRule="atLeast"/>
        </w:trPr>
        <w:tc>
          <w:tcPr>
            <w:tcW w:w="577" w:type="dxa"/>
            <w:tcBorders>
              <w:top w:val="double" w:sz="4" w:space="0" w:color="000000"/>
            </w:tcBorders>
          </w:tcPr>
          <w:p>
            <w:pPr>
              <w:pStyle w:val="TableParagraph"/>
              <w:ind w:left="0" w:right="19"/>
              <w:rPr>
                <w:sz w:val="24"/>
              </w:rPr>
            </w:pPr>
            <w:r>
              <w:rPr>
                <w:spacing w:val="-10"/>
                <w:sz w:val="24"/>
              </w:rPr>
              <w:t>0</w:t>
            </w:r>
          </w:p>
        </w:tc>
        <w:tc>
          <w:tcPr>
            <w:tcW w:w="1981" w:type="dxa"/>
            <w:tcBorders>
              <w:top w:val="double" w:sz="4" w:space="0" w:color="000000"/>
              <w:right w:val="double" w:sz="4" w:space="0" w:color="000000"/>
            </w:tcBorders>
          </w:tcPr>
          <w:p>
            <w:pPr>
              <w:pStyle w:val="TableParagraph"/>
              <w:ind w:left="1" w:right="2"/>
              <w:rPr>
                <w:sz w:val="24"/>
              </w:rPr>
            </w:pPr>
            <w:r>
              <w:rPr>
                <w:spacing w:val="-5"/>
                <w:sz w:val="24"/>
              </w:rPr>
              <w:t>–50</w:t>
            </w:r>
          </w:p>
        </w:tc>
        <w:tc>
          <w:tcPr>
            <w:tcW w:w="3196" w:type="dxa"/>
            <w:tcBorders>
              <w:top w:val="double" w:sz="4" w:space="0" w:color="000000"/>
              <w:left w:val="double" w:sz="4" w:space="0" w:color="000000"/>
            </w:tcBorders>
          </w:tcPr>
          <w:p>
            <w:pPr>
              <w:pStyle w:val="TableParagraph"/>
              <w:ind w:left="23"/>
              <w:rPr>
                <w:sz w:val="24"/>
              </w:rPr>
            </w:pPr>
            <w:r>
              <w:rPr>
                <w:spacing w:val="-5"/>
                <w:sz w:val="24"/>
              </w:rPr>
              <w:t>–50</w:t>
            </w:r>
          </w:p>
        </w:tc>
      </w:tr>
      <w:tr>
        <w:trPr>
          <w:trHeight w:val="662" w:hRule="atLeast"/>
        </w:trPr>
        <w:tc>
          <w:tcPr>
            <w:tcW w:w="577" w:type="dxa"/>
          </w:tcPr>
          <w:p>
            <w:pPr>
              <w:pStyle w:val="TableParagraph"/>
              <w:spacing w:before="43"/>
              <w:ind w:left="0" w:right="19"/>
              <w:rPr>
                <w:sz w:val="24"/>
              </w:rPr>
            </w:pPr>
            <w:r>
              <w:rPr>
                <w:spacing w:val="-10"/>
                <w:sz w:val="24"/>
              </w:rPr>
              <w:t>1</w:t>
            </w:r>
          </w:p>
        </w:tc>
        <w:tc>
          <w:tcPr>
            <w:tcW w:w="1981" w:type="dxa"/>
            <w:tcBorders>
              <w:right w:val="double" w:sz="4" w:space="0" w:color="000000"/>
            </w:tcBorders>
          </w:tcPr>
          <w:p>
            <w:pPr>
              <w:pStyle w:val="TableParagraph"/>
              <w:spacing w:before="43"/>
              <w:ind w:left="1" w:right="2"/>
              <w:rPr>
                <w:sz w:val="24"/>
              </w:rPr>
            </w:pPr>
            <w:r>
              <w:rPr>
                <w:spacing w:val="-5"/>
                <w:sz w:val="24"/>
              </w:rPr>
              <w:t>10</w:t>
            </w:r>
          </w:p>
        </w:tc>
        <w:tc>
          <w:tcPr>
            <w:tcW w:w="3196" w:type="dxa"/>
            <w:tcBorders>
              <w:left w:val="double" w:sz="4" w:space="0" w:color="000000"/>
            </w:tcBorders>
          </w:tcPr>
          <w:p>
            <w:pPr>
              <w:pStyle w:val="TableParagraph"/>
              <w:spacing w:before="43"/>
              <w:ind w:left="23"/>
              <w:rPr>
                <w:sz w:val="24"/>
              </w:rPr>
            </w:pPr>
            <w:r>
              <w:rPr>
                <w:spacing w:val="-5"/>
                <w:sz w:val="24"/>
              </w:rPr>
              <w:t>–40</w:t>
            </w:r>
          </w:p>
        </w:tc>
      </w:tr>
      <w:tr>
        <w:trPr>
          <w:trHeight w:val="633" w:hRule="atLeast"/>
        </w:trPr>
        <w:tc>
          <w:tcPr>
            <w:tcW w:w="577" w:type="dxa"/>
          </w:tcPr>
          <w:p>
            <w:pPr>
              <w:pStyle w:val="TableParagraph"/>
              <w:spacing w:before="14"/>
              <w:ind w:left="0" w:right="19"/>
              <w:rPr>
                <w:sz w:val="24"/>
              </w:rPr>
            </w:pPr>
            <w:r>
              <w:rPr>
                <w:spacing w:val="-10"/>
                <w:sz w:val="24"/>
              </w:rPr>
              <w:t>2</w:t>
            </w:r>
          </w:p>
        </w:tc>
        <w:tc>
          <w:tcPr>
            <w:tcW w:w="1981" w:type="dxa"/>
            <w:tcBorders>
              <w:right w:val="double" w:sz="4" w:space="0" w:color="000000"/>
            </w:tcBorders>
          </w:tcPr>
          <w:p>
            <w:pPr>
              <w:pStyle w:val="TableParagraph"/>
              <w:spacing w:before="14"/>
              <w:ind w:left="1" w:right="2"/>
              <w:rPr>
                <w:sz w:val="24"/>
              </w:rPr>
            </w:pPr>
            <w:r>
              <w:rPr>
                <w:spacing w:val="-5"/>
                <w:sz w:val="24"/>
              </w:rPr>
              <w:t>12</w:t>
            </w:r>
          </w:p>
        </w:tc>
        <w:tc>
          <w:tcPr>
            <w:tcW w:w="3196" w:type="dxa"/>
            <w:tcBorders>
              <w:left w:val="double" w:sz="4" w:space="0" w:color="000000"/>
            </w:tcBorders>
          </w:tcPr>
          <w:p>
            <w:pPr>
              <w:pStyle w:val="TableParagraph"/>
              <w:spacing w:before="14"/>
              <w:ind w:left="23"/>
              <w:rPr>
                <w:sz w:val="24"/>
              </w:rPr>
            </w:pPr>
            <w:r>
              <w:rPr>
                <w:spacing w:val="-5"/>
                <w:sz w:val="24"/>
              </w:rPr>
              <w:t>–28</w:t>
            </w:r>
          </w:p>
        </w:tc>
      </w:tr>
      <w:tr>
        <w:trPr>
          <w:trHeight w:val="633" w:hRule="atLeast"/>
        </w:trPr>
        <w:tc>
          <w:tcPr>
            <w:tcW w:w="577" w:type="dxa"/>
          </w:tcPr>
          <w:p>
            <w:pPr>
              <w:pStyle w:val="TableParagraph"/>
              <w:spacing w:before="19"/>
              <w:ind w:left="0" w:right="19"/>
              <w:rPr>
                <w:sz w:val="24"/>
              </w:rPr>
            </w:pPr>
            <w:r>
              <w:rPr>
                <w:spacing w:val="-10"/>
                <w:sz w:val="24"/>
              </w:rPr>
              <w:t>3</w:t>
            </w:r>
          </w:p>
        </w:tc>
        <w:tc>
          <w:tcPr>
            <w:tcW w:w="1981" w:type="dxa"/>
            <w:tcBorders>
              <w:right w:val="double" w:sz="4" w:space="0" w:color="000000"/>
            </w:tcBorders>
          </w:tcPr>
          <w:p>
            <w:pPr>
              <w:pStyle w:val="TableParagraph"/>
              <w:spacing w:before="19"/>
              <w:ind w:left="1" w:right="2"/>
              <w:rPr>
                <w:sz w:val="24"/>
              </w:rPr>
            </w:pPr>
            <w:r>
              <w:rPr>
                <w:spacing w:val="-5"/>
                <w:sz w:val="24"/>
              </w:rPr>
              <w:t>14</w:t>
            </w:r>
          </w:p>
        </w:tc>
        <w:tc>
          <w:tcPr>
            <w:tcW w:w="3196" w:type="dxa"/>
            <w:tcBorders>
              <w:left w:val="double" w:sz="4" w:space="0" w:color="000000"/>
            </w:tcBorders>
          </w:tcPr>
          <w:p>
            <w:pPr>
              <w:pStyle w:val="TableParagraph"/>
              <w:spacing w:before="19"/>
              <w:ind w:left="23"/>
              <w:rPr>
                <w:sz w:val="24"/>
              </w:rPr>
            </w:pPr>
            <w:r>
              <w:rPr>
                <w:spacing w:val="-5"/>
                <w:sz w:val="24"/>
              </w:rPr>
              <w:t>–14</w:t>
            </w:r>
          </w:p>
        </w:tc>
      </w:tr>
      <w:tr>
        <w:trPr>
          <w:trHeight w:val="633" w:hRule="atLeast"/>
        </w:trPr>
        <w:tc>
          <w:tcPr>
            <w:tcW w:w="577" w:type="dxa"/>
          </w:tcPr>
          <w:p>
            <w:pPr>
              <w:pStyle w:val="TableParagraph"/>
              <w:spacing w:before="19"/>
              <w:ind w:left="0" w:right="19"/>
              <w:rPr>
                <w:sz w:val="24"/>
              </w:rPr>
            </w:pPr>
            <w:r>
              <w:rPr>
                <w:spacing w:val="-10"/>
                <w:sz w:val="24"/>
              </w:rPr>
              <w:t>4</w:t>
            </w:r>
          </w:p>
        </w:tc>
        <w:tc>
          <w:tcPr>
            <w:tcW w:w="1981" w:type="dxa"/>
            <w:tcBorders>
              <w:right w:val="double" w:sz="4" w:space="0" w:color="000000"/>
            </w:tcBorders>
          </w:tcPr>
          <w:p>
            <w:pPr>
              <w:pStyle w:val="TableParagraph"/>
              <w:spacing w:before="19"/>
              <w:ind w:left="1" w:right="2"/>
              <w:rPr>
                <w:sz w:val="24"/>
              </w:rPr>
            </w:pPr>
            <w:r>
              <w:rPr>
                <w:spacing w:val="-5"/>
                <w:sz w:val="24"/>
              </w:rPr>
              <w:t>10</w:t>
            </w:r>
          </w:p>
        </w:tc>
        <w:tc>
          <w:tcPr>
            <w:tcW w:w="3196" w:type="dxa"/>
            <w:tcBorders>
              <w:left w:val="double" w:sz="4" w:space="0" w:color="000000"/>
            </w:tcBorders>
          </w:tcPr>
          <w:p>
            <w:pPr>
              <w:pStyle w:val="TableParagraph"/>
              <w:spacing w:before="19"/>
              <w:ind w:left="12"/>
              <w:rPr>
                <w:sz w:val="24"/>
              </w:rPr>
            </w:pPr>
            <w:r>
              <w:rPr>
                <w:spacing w:val="-5"/>
                <w:sz w:val="24"/>
              </w:rPr>
              <w:t>–4</w:t>
            </w:r>
          </w:p>
        </w:tc>
      </w:tr>
      <w:tr>
        <w:trPr>
          <w:trHeight w:val="609" w:hRule="atLeast"/>
        </w:trPr>
        <w:tc>
          <w:tcPr>
            <w:tcW w:w="577" w:type="dxa"/>
          </w:tcPr>
          <w:p>
            <w:pPr>
              <w:pStyle w:val="TableParagraph"/>
              <w:spacing w:before="19"/>
              <w:ind w:left="0" w:right="19"/>
              <w:rPr>
                <w:sz w:val="24"/>
              </w:rPr>
            </w:pPr>
            <w:r>
              <w:rPr>
                <w:spacing w:val="-10"/>
                <w:sz w:val="24"/>
              </w:rPr>
              <w:t>5</w:t>
            </w:r>
          </w:p>
        </w:tc>
        <w:tc>
          <w:tcPr>
            <w:tcW w:w="1981" w:type="dxa"/>
            <w:tcBorders>
              <w:right w:val="double" w:sz="4" w:space="0" w:color="000000"/>
            </w:tcBorders>
          </w:tcPr>
          <w:p>
            <w:pPr>
              <w:pStyle w:val="TableParagraph"/>
              <w:spacing w:before="19"/>
              <w:ind w:left="0" w:right="2"/>
              <w:rPr>
                <w:sz w:val="24"/>
              </w:rPr>
            </w:pPr>
            <w:r>
              <w:rPr>
                <w:spacing w:val="-10"/>
                <w:sz w:val="24"/>
              </w:rPr>
              <w:t>8</w:t>
            </w:r>
          </w:p>
        </w:tc>
        <w:tc>
          <w:tcPr>
            <w:tcW w:w="3196" w:type="dxa"/>
            <w:tcBorders>
              <w:left w:val="double" w:sz="4" w:space="0" w:color="000000"/>
            </w:tcBorders>
          </w:tcPr>
          <w:p>
            <w:pPr>
              <w:pStyle w:val="TableParagraph"/>
              <w:spacing w:before="19"/>
              <w:ind w:left="18" w:right="2"/>
              <w:rPr>
                <w:sz w:val="24"/>
              </w:rPr>
            </w:pPr>
            <w:r>
              <w:rPr>
                <w:spacing w:val="-5"/>
                <w:sz w:val="24"/>
              </w:rPr>
              <w:t>+4</w:t>
            </w:r>
          </w:p>
        </w:tc>
      </w:tr>
    </w:tbl>
    <w:p>
      <w:pPr>
        <w:pStyle w:val="BodyText"/>
        <w:spacing w:before="32"/>
      </w:pPr>
      <w:r>
        <w:rPr/>
        <w:t>Payback</w:t>
      </w:r>
      <w:r>
        <w:rPr>
          <w:spacing w:val="-9"/>
        </w:rPr>
        <w:t> </w:t>
      </w:r>
      <w:r>
        <w:rPr/>
        <w:t>occurs</w:t>
      </w:r>
      <w:r>
        <w:rPr>
          <w:spacing w:val="-11"/>
        </w:rPr>
        <w:t> </w:t>
      </w:r>
      <w:r>
        <w:rPr/>
        <w:t>in</w:t>
      </w:r>
      <w:r>
        <w:rPr>
          <w:spacing w:val="-10"/>
        </w:rPr>
        <w:t> </w:t>
      </w:r>
      <w:r>
        <w:rPr/>
        <w:t>Year</w:t>
      </w:r>
      <w:r>
        <w:rPr>
          <w:spacing w:val="-9"/>
        </w:rPr>
        <w:t> </w:t>
      </w:r>
      <w:r>
        <w:rPr>
          <w:spacing w:val="-5"/>
        </w:rPr>
        <w:t>5:</w:t>
      </w:r>
    </w:p>
    <w:p>
      <w:pPr>
        <w:pStyle w:val="BodyText"/>
        <w:spacing w:before="9"/>
        <w:rPr>
          <w:sz w:val="17"/>
        </w:rPr>
      </w:pPr>
    </w:p>
    <w:p>
      <w:pPr>
        <w:pStyle w:val="BodyText"/>
        <w:spacing w:after="0"/>
        <w:rPr>
          <w:sz w:val="17"/>
        </w:rPr>
        <w:sectPr>
          <w:pgSz w:w="12240" w:h="15840"/>
          <w:pgMar w:header="0" w:footer="1051" w:top="1820" w:bottom="1240" w:left="1440" w:right="1080"/>
        </w:sectPr>
      </w:pPr>
    </w:p>
    <w:p>
      <w:pPr>
        <w:pStyle w:val="BodyText"/>
        <w:spacing w:line="232" w:lineRule="exact" w:before="59"/>
        <w:ind w:left="4581"/>
        <w:rPr>
          <w:rFonts w:ascii="Cambria Math"/>
        </w:rPr>
      </w:pPr>
      <w:r>
        <w:rPr>
          <w:rFonts w:ascii="Cambria Math"/>
          <w:spacing w:val="-10"/>
        </w:rPr>
        <w:t>4</w:t>
      </w:r>
    </w:p>
    <w:p>
      <w:pPr>
        <w:pStyle w:val="BodyText"/>
        <w:spacing w:line="170" w:lineRule="exact"/>
        <w:ind w:right="187"/>
        <w:jc w:val="right"/>
        <w:rPr>
          <w:rFonts w:ascii="Cambria Math"/>
        </w:rPr>
      </w:pPr>
      <w:r>
        <w:rPr>
          <w:rFonts w:ascii="Cambria Math"/>
        </w:rPr>
        <mc:AlternateContent>
          <mc:Choice Requires="wps">
            <w:drawing>
              <wp:anchor distT="0" distB="0" distL="0" distR="0" allowOverlap="1" layoutInCell="1" locked="0" behindDoc="0" simplePos="0" relativeHeight="15740416">
                <wp:simplePos x="0" y="0"/>
                <wp:positionH relativeFrom="page">
                  <wp:posOffset>3823715</wp:posOffset>
                </wp:positionH>
                <wp:positionV relativeFrom="paragraph">
                  <wp:posOffset>64932</wp:posOffset>
                </wp:positionV>
                <wp:extent cx="85725" cy="9525"/>
                <wp:effectExtent l="0" t="0" r="0" b="0"/>
                <wp:wrapNone/>
                <wp:docPr id="36" name="Graphic 36"/>
                <wp:cNvGraphicFramePr>
                  <a:graphicFrameLocks/>
                </wp:cNvGraphicFramePr>
                <a:graphic>
                  <a:graphicData uri="http://schemas.microsoft.com/office/word/2010/wordprocessingShape">
                    <wps:wsp>
                      <wps:cNvPr id="36" name="Graphic 36"/>
                      <wps:cNvSpPr/>
                      <wps:spPr>
                        <a:xfrm>
                          <a:off x="0" y="0"/>
                          <a:ext cx="85725" cy="9525"/>
                        </a:xfrm>
                        <a:custGeom>
                          <a:avLst/>
                          <a:gdLst/>
                          <a:ahLst/>
                          <a:cxnLst/>
                          <a:rect l="l" t="t" r="r" b="b"/>
                          <a:pathLst>
                            <a:path w="85725" h="9525">
                              <a:moveTo>
                                <a:pt x="85344" y="0"/>
                              </a:moveTo>
                              <a:lnTo>
                                <a:pt x="0" y="0"/>
                              </a:lnTo>
                              <a:lnTo>
                                <a:pt x="0" y="9144"/>
                              </a:lnTo>
                              <a:lnTo>
                                <a:pt x="85344" y="9144"/>
                              </a:lnTo>
                              <a:lnTo>
                                <a:pt x="85344"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rect style="position:absolute;margin-left:301.079987pt;margin-top:5.112805pt;width:6.72pt;height:.72003pt;mso-position-horizontal-relative:page;mso-position-vertical-relative:paragraph;z-index:15740416" id="docshape35" filled="true" fillcolor="#000000" stroked="false">
                <v:fill type="solid"/>
                <w10:wrap type="none"/>
              </v:rect>
            </w:pict>
          </mc:Fallback>
        </mc:AlternateContent>
      </w:r>
      <w:r>
        <w:rPr/>
        <w:t>PBP</w:t>
      </w:r>
      <w:r>
        <w:rPr>
          <w:spacing w:val="1"/>
        </w:rPr>
        <w:t> </w:t>
      </w:r>
      <w:r>
        <w:rPr>
          <w:rFonts w:ascii="Cambria Math"/>
        </w:rPr>
        <w:t>=</w:t>
      </w:r>
      <w:r>
        <w:rPr>
          <w:rFonts w:ascii="Cambria Math"/>
          <w:spacing w:val="16"/>
        </w:rPr>
        <w:t> </w:t>
      </w:r>
      <w:r>
        <w:rPr>
          <w:rFonts w:ascii="Cambria Math"/>
        </w:rPr>
        <w:t>4</w:t>
      </w:r>
      <w:r>
        <w:rPr>
          <w:rFonts w:ascii="Cambria Math"/>
          <w:spacing w:val="-5"/>
        </w:rPr>
        <w:t> </w:t>
      </w:r>
      <w:r>
        <w:rPr>
          <w:rFonts w:ascii="Cambria Math"/>
          <w:spacing w:val="-12"/>
        </w:rPr>
        <w:t>+</w:t>
      </w:r>
    </w:p>
    <w:p>
      <w:pPr>
        <w:pStyle w:val="BodyText"/>
        <w:spacing w:line="220" w:lineRule="exact"/>
        <w:ind w:left="4581"/>
        <w:rPr>
          <w:rFonts w:ascii="Cambria Math"/>
        </w:rPr>
      </w:pPr>
      <w:r>
        <w:rPr>
          <w:rFonts w:ascii="Cambria Math"/>
          <w:spacing w:val="-10"/>
        </w:rPr>
        <w:t>8</w:t>
      </w:r>
    </w:p>
    <w:p>
      <w:pPr>
        <w:pStyle w:val="BodyText"/>
        <w:spacing w:before="242"/>
        <w:ind w:left="23"/>
      </w:pPr>
      <w:r>
        <w:rPr/>
        <w:br w:type="column"/>
      </w:r>
      <w:r>
        <w:rPr>
          <w:rFonts w:ascii="Cambria Math"/>
        </w:rPr>
        <w:t>=</w:t>
      </w:r>
      <w:r>
        <w:rPr>
          <w:rFonts w:ascii="Cambria Math"/>
          <w:spacing w:val="16"/>
        </w:rPr>
        <w:t> </w:t>
      </w:r>
      <w:r>
        <w:rPr>
          <w:rFonts w:ascii="Cambria Math"/>
        </w:rPr>
        <w:t>4.5</w:t>
      </w:r>
      <w:r>
        <w:rPr>
          <w:rFonts w:ascii="Cambria Math"/>
          <w:spacing w:val="15"/>
        </w:rPr>
        <w:t> </w:t>
      </w:r>
      <w:r>
        <w:rPr>
          <w:spacing w:val="-2"/>
        </w:rPr>
        <w:t>years</w:t>
      </w:r>
    </w:p>
    <w:p>
      <w:pPr>
        <w:pStyle w:val="BodyText"/>
        <w:spacing w:after="0"/>
        <w:sectPr>
          <w:type w:val="continuous"/>
          <w:pgSz w:w="12240" w:h="15840"/>
          <w:pgMar w:header="0" w:footer="1051" w:top="1820" w:bottom="1240" w:left="1440" w:right="1080"/>
          <w:cols w:num="2" w:equalWidth="0">
            <w:col w:w="4715" w:space="40"/>
            <w:col w:w="4965"/>
          </w:cols>
        </w:sectPr>
      </w:pPr>
    </w:p>
    <w:p>
      <w:pPr>
        <w:pStyle w:val="Heading2"/>
        <w:spacing w:before="76"/>
      </w:pPr>
      <w:r>
        <w:rPr/>
        <w:t>Project</w:t>
      </w:r>
      <w:r>
        <w:rPr>
          <w:spacing w:val="-2"/>
        </w:rPr>
        <w:t> </w:t>
      </w:r>
      <w:r>
        <w:rPr/>
        <w:t>B</w:t>
      </w:r>
      <w:r>
        <w:rPr>
          <w:spacing w:val="-1"/>
        </w:rPr>
        <w:t> </w:t>
      </w:r>
      <w:r>
        <w:rPr>
          <w:spacing w:val="-2"/>
        </w:rPr>
        <w:t>Calculation</w:t>
      </w:r>
    </w:p>
    <w:p>
      <w:pPr>
        <w:pStyle w:val="BodyText"/>
        <w:spacing w:before="96"/>
        <w:rPr>
          <w:rFonts w:ascii="Arial"/>
          <w:b/>
          <w:sz w:val="20"/>
        </w:rPr>
      </w:pPr>
    </w:p>
    <w:tbl>
      <w:tblPr>
        <w:tblW w:w="0" w:type="auto"/>
        <w:jc w:val="left"/>
        <w:tblInd w:w="39" w:type="dxa"/>
        <w:tblBorders>
          <w:top w:val="double" w:sz="4" w:space="0" w:color="000000"/>
          <w:left w:val="double" w:sz="4" w:space="0" w:color="000000"/>
          <w:bottom w:val="double" w:sz="4" w:space="0" w:color="000000"/>
          <w:right w:val="double" w:sz="4" w:space="0" w:color="000000"/>
          <w:insideH w:val="double" w:sz="4" w:space="0" w:color="000000"/>
          <w:insideV w:val="double" w:sz="4" w:space="0" w:color="000000"/>
        </w:tblBorders>
        <w:tblLayout w:type="fixed"/>
        <w:tblCellMar>
          <w:top w:w="0" w:type="dxa"/>
          <w:left w:w="0" w:type="dxa"/>
          <w:bottom w:w="0" w:type="dxa"/>
          <w:right w:w="0" w:type="dxa"/>
        </w:tblCellMar>
        <w:tblLook w:val="01E0"/>
      </w:tblPr>
      <w:tblGrid>
        <w:gridCol w:w="584"/>
        <w:gridCol w:w="2002"/>
        <w:gridCol w:w="3213"/>
      </w:tblGrid>
      <w:tr>
        <w:trPr>
          <w:trHeight w:val="621" w:hRule="atLeast"/>
        </w:trPr>
        <w:tc>
          <w:tcPr>
            <w:tcW w:w="584" w:type="dxa"/>
            <w:shd w:val="clear" w:color="auto" w:fill="92D050"/>
          </w:tcPr>
          <w:p>
            <w:pPr>
              <w:pStyle w:val="TableParagraph"/>
              <w:spacing w:before="16"/>
              <w:ind w:left="8"/>
              <w:rPr>
                <w:rFonts w:ascii="Arial"/>
                <w:b/>
                <w:sz w:val="24"/>
              </w:rPr>
            </w:pPr>
            <w:r>
              <w:rPr>
                <w:rFonts w:ascii="Arial"/>
                <w:b/>
                <w:spacing w:val="-4"/>
                <w:sz w:val="24"/>
              </w:rPr>
              <w:t>Year</w:t>
            </w:r>
          </w:p>
        </w:tc>
        <w:tc>
          <w:tcPr>
            <w:tcW w:w="2002" w:type="dxa"/>
            <w:shd w:val="clear" w:color="auto" w:fill="92D050"/>
          </w:tcPr>
          <w:p>
            <w:pPr>
              <w:pStyle w:val="TableParagraph"/>
              <w:spacing w:before="16"/>
              <w:ind w:left="18" w:right="8"/>
              <w:rPr>
                <w:rFonts w:ascii="Arial" w:hAnsi="Arial"/>
                <w:b/>
                <w:sz w:val="24"/>
              </w:rPr>
            </w:pPr>
            <w:r>
              <w:rPr>
                <w:rFonts w:ascii="Arial" w:hAnsi="Arial"/>
                <w:b/>
                <w:sz w:val="24"/>
              </w:rPr>
              <w:t>Cash</w:t>
            </w:r>
            <w:r>
              <w:rPr>
                <w:rFonts w:ascii="Arial" w:hAnsi="Arial"/>
                <w:b/>
                <w:spacing w:val="-6"/>
                <w:sz w:val="24"/>
              </w:rPr>
              <w:t> </w:t>
            </w:r>
            <w:r>
              <w:rPr>
                <w:rFonts w:ascii="Arial" w:hAnsi="Arial"/>
                <w:b/>
                <w:sz w:val="24"/>
              </w:rPr>
              <w:t>Inflow </w:t>
            </w:r>
            <w:r>
              <w:rPr>
                <w:rFonts w:ascii="Arial" w:hAnsi="Arial"/>
                <w:b/>
                <w:spacing w:val="-4"/>
                <w:sz w:val="24"/>
              </w:rPr>
              <w:t>(£m)</w:t>
            </w:r>
          </w:p>
        </w:tc>
        <w:tc>
          <w:tcPr>
            <w:tcW w:w="3213" w:type="dxa"/>
            <w:shd w:val="clear" w:color="auto" w:fill="92D050"/>
          </w:tcPr>
          <w:p>
            <w:pPr>
              <w:pStyle w:val="TableParagraph"/>
              <w:spacing w:before="16"/>
              <w:ind w:left="18" w:right="6"/>
              <w:rPr>
                <w:rFonts w:ascii="Arial" w:hAnsi="Arial"/>
                <w:b/>
                <w:sz w:val="24"/>
              </w:rPr>
            </w:pPr>
            <w:r>
              <w:rPr>
                <w:rFonts w:ascii="Arial" w:hAnsi="Arial"/>
                <w:b/>
                <w:sz w:val="24"/>
              </w:rPr>
              <w:t>Cumulative</w:t>
            </w:r>
            <w:r>
              <w:rPr>
                <w:rFonts w:ascii="Arial" w:hAnsi="Arial"/>
                <w:b/>
                <w:spacing w:val="-3"/>
                <w:sz w:val="24"/>
              </w:rPr>
              <w:t> </w:t>
            </w:r>
            <w:r>
              <w:rPr>
                <w:rFonts w:ascii="Arial" w:hAnsi="Arial"/>
                <w:b/>
                <w:sz w:val="24"/>
              </w:rPr>
              <w:t>Cash</w:t>
            </w:r>
            <w:r>
              <w:rPr>
                <w:rFonts w:ascii="Arial" w:hAnsi="Arial"/>
                <w:b/>
                <w:spacing w:val="-4"/>
                <w:sz w:val="24"/>
              </w:rPr>
              <w:t> </w:t>
            </w:r>
            <w:r>
              <w:rPr>
                <w:rFonts w:ascii="Arial" w:hAnsi="Arial"/>
                <w:b/>
                <w:sz w:val="24"/>
              </w:rPr>
              <w:t>Flow</w:t>
            </w:r>
            <w:r>
              <w:rPr>
                <w:rFonts w:ascii="Arial" w:hAnsi="Arial"/>
                <w:b/>
                <w:spacing w:val="-2"/>
                <w:sz w:val="24"/>
              </w:rPr>
              <w:t> </w:t>
            </w:r>
            <w:r>
              <w:rPr>
                <w:rFonts w:ascii="Arial" w:hAnsi="Arial"/>
                <w:b/>
                <w:spacing w:val="-4"/>
                <w:sz w:val="24"/>
              </w:rPr>
              <w:t>(£m)</w:t>
            </w:r>
          </w:p>
        </w:tc>
      </w:tr>
      <w:tr>
        <w:trPr>
          <w:trHeight w:val="622" w:hRule="atLeast"/>
        </w:trPr>
        <w:tc>
          <w:tcPr>
            <w:tcW w:w="584" w:type="dxa"/>
          </w:tcPr>
          <w:p>
            <w:pPr>
              <w:pStyle w:val="TableParagraph"/>
              <w:rPr>
                <w:sz w:val="24"/>
              </w:rPr>
            </w:pPr>
            <w:r>
              <w:rPr>
                <w:spacing w:val="-10"/>
                <w:sz w:val="24"/>
              </w:rPr>
              <w:t>0</w:t>
            </w:r>
          </w:p>
        </w:tc>
        <w:tc>
          <w:tcPr>
            <w:tcW w:w="2002" w:type="dxa"/>
          </w:tcPr>
          <w:p>
            <w:pPr>
              <w:pStyle w:val="TableParagraph"/>
              <w:ind w:left="16" w:right="8"/>
              <w:rPr>
                <w:sz w:val="24"/>
              </w:rPr>
            </w:pPr>
            <w:r>
              <w:rPr>
                <w:spacing w:val="-5"/>
                <w:sz w:val="24"/>
              </w:rPr>
              <w:t>–50</w:t>
            </w:r>
          </w:p>
        </w:tc>
        <w:tc>
          <w:tcPr>
            <w:tcW w:w="3213" w:type="dxa"/>
          </w:tcPr>
          <w:p>
            <w:pPr>
              <w:pStyle w:val="TableParagraph"/>
              <w:ind w:left="18"/>
              <w:rPr>
                <w:sz w:val="24"/>
              </w:rPr>
            </w:pPr>
            <w:r>
              <w:rPr>
                <w:spacing w:val="-5"/>
                <w:sz w:val="24"/>
              </w:rPr>
              <w:t>–50</w:t>
            </w:r>
          </w:p>
        </w:tc>
      </w:tr>
      <w:tr>
        <w:trPr>
          <w:trHeight w:val="627" w:hRule="atLeast"/>
        </w:trPr>
        <w:tc>
          <w:tcPr>
            <w:tcW w:w="584" w:type="dxa"/>
          </w:tcPr>
          <w:p>
            <w:pPr>
              <w:pStyle w:val="TableParagraph"/>
              <w:spacing w:before="28"/>
              <w:rPr>
                <w:sz w:val="24"/>
              </w:rPr>
            </w:pPr>
            <w:r>
              <w:rPr>
                <w:spacing w:val="-10"/>
                <w:sz w:val="24"/>
              </w:rPr>
              <w:t>1</w:t>
            </w:r>
          </w:p>
        </w:tc>
        <w:tc>
          <w:tcPr>
            <w:tcW w:w="2002" w:type="dxa"/>
          </w:tcPr>
          <w:p>
            <w:pPr>
              <w:pStyle w:val="TableParagraph"/>
              <w:spacing w:before="28"/>
              <w:ind w:left="0" w:right="8"/>
              <w:rPr>
                <w:sz w:val="24"/>
              </w:rPr>
            </w:pPr>
            <w:r>
              <w:rPr>
                <w:spacing w:val="-5"/>
                <w:sz w:val="24"/>
              </w:rPr>
              <w:t>11</w:t>
            </w:r>
          </w:p>
        </w:tc>
        <w:tc>
          <w:tcPr>
            <w:tcW w:w="3213" w:type="dxa"/>
          </w:tcPr>
          <w:p>
            <w:pPr>
              <w:pStyle w:val="TableParagraph"/>
              <w:spacing w:before="28"/>
              <w:ind w:left="18"/>
              <w:rPr>
                <w:sz w:val="24"/>
              </w:rPr>
            </w:pPr>
            <w:r>
              <w:rPr>
                <w:spacing w:val="-5"/>
                <w:sz w:val="24"/>
              </w:rPr>
              <w:t>–39</w:t>
            </w:r>
          </w:p>
        </w:tc>
      </w:tr>
      <w:tr>
        <w:trPr>
          <w:trHeight w:val="623" w:hRule="atLeast"/>
        </w:trPr>
        <w:tc>
          <w:tcPr>
            <w:tcW w:w="584" w:type="dxa"/>
          </w:tcPr>
          <w:p>
            <w:pPr>
              <w:pStyle w:val="TableParagraph"/>
              <w:rPr>
                <w:sz w:val="24"/>
              </w:rPr>
            </w:pPr>
            <w:r>
              <w:rPr>
                <w:spacing w:val="-10"/>
                <w:sz w:val="24"/>
              </w:rPr>
              <w:t>2</w:t>
            </w:r>
          </w:p>
        </w:tc>
        <w:tc>
          <w:tcPr>
            <w:tcW w:w="2002" w:type="dxa"/>
          </w:tcPr>
          <w:p>
            <w:pPr>
              <w:pStyle w:val="TableParagraph"/>
              <w:ind w:left="0" w:right="8"/>
              <w:rPr>
                <w:sz w:val="24"/>
              </w:rPr>
            </w:pPr>
            <w:r>
              <w:rPr>
                <w:spacing w:val="-5"/>
                <w:sz w:val="24"/>
              </w:rPr>
              <w:t>11</w:t>
            </w:r>
          </w:p>
        </w:tc>
        <w:tc>
          <w:tcPr>
            <w:tcW w:w="3213" w:type="dxa"/>
          </w:tcPr>
          <w:p>
            <w:pPr>
              <w:pStyle w:val="TableParagraph"/>
              <w:ind w:left="18"/>
              <w:rPr>
                <w:sz w:val="24"/>
              </w:rPr>
            </w:pPr>
            <w:r>
              <w:rPr>
                <w:spacing w:val="-5"/>
                <w:sz w:val="24"/>
              </w:rPr>
              <w:t>–28</w:t>
            </w:r>
          </w:p>
        </w:tc>
      </w:tr>
      <w:tr>
        <w:trPr>
          <w:trHeight w:val="622" w:hRule="atLeast"/>
        </w:trPr>
        <w:tc>
          <w:tcPr>
            <w:tcW w:w="584" w:type="dxa"/>
          </w:tcPr>
          <w:p>
            <w:pPr>
              <w:pStyle w:val="TableParagraph"/>
              <w:rPr>
                <w:sz w:val="24"/>
              </w:rPr>
            </w:pPr>
            <w:r>
              <w:rPr>
                <w:spacing w:val="-10"/>
                <w:sz w:val="24"/>
              </w:rPr>
              <w:t>3</w:t>
            </w:r>
          </w:p>
        </w:tc>
        <w:tc>
          <w:tcPr>
            <w:tcW w:w="2002" w:type="dxa"/>
          </w:tcPr>
          <w:p>
            <w:pPr>
              <w:pStyle w:val="TableParagraph"/>
              <w:ind w:left="0" w:right="8"/>
              <w:rPr>
                <w:sz w:val="24"/>
              </w:rPr>
            </w:pPr>
            <w:r>
              <w:rPr>
                <w:spacing w:val="-5"/>
                <w:sz w:val="24"/>
              </w:rPr>
              <w:t>11</w:t>
            </w:r>
          </w:p>
        </w:tc>
        <w:tc>
          <w:tcPr>
            <w:tcW w:w="3213" w:type="dxa"/>
          </w:tcPr>
          <w:p>
            <w:pPr>
              <w:pStyle w:val="TableParagraph"/>
              <w:ind w:left="18"/>
              <w:rPr>
                <w:sz w:val="24"/>
              </w:rPr>
            </w:pPr>
            <w:r>
              <w:rPr>
                <w:spacing w:val="-5"/>
                <w:sz w:val="24"/>
              </w:rPr>
              <w:t>–17</w:t>
            </w:r>
          </w:p>
        </w:tc>
      </w:tr>
      <w:tr>
        <w:trPr>
          <w:trHeight w:val="623" w:hRule="atLeast"/>
        </w:trPr>
        <w:tc>
          <w:tcPr>
            <w:tcW w:w="584" w:type="dxa"/>
          </w:tcPr>
          <w:p>
            <w:pPr>
              <w:pStyle w:val="TableParagraph"/>
              <w:rPr>
                <w:sz w:val="24"/>
              </w:rPr>
            </w:pPr>
            <w:r>
              <w:rPr>
                <w:spacing w:val="-10"/>
                <w:sz w:val="24"/>
              </w:rPr>
              <w:t>4</w:t>
            </w:r>
          </w:p>
        </w:tc>
        <w:tc>
          <w:tcPr>
            <w:tcW w:w="2002" w:type="dxa"/>
          </w:tcPr>
          <w:p>
            <w:pPr>
              <w:pStyle w:val="TableParagraph"/>
              <w:ind w:left="0" w:right="8"/>
              <w:rPr>
                <w:sz w:val="24"/>
              </w:rPr>
            </w:pPr>
            <w:r>
              <w:rPr>
                <w:spacing w:val="-5"/>
                <w:sz w:val="24"/>
              </w:rPr>
              <w:t>11</w:t>
            </w:r>
          </w:p>
        </w:tc>
        <w:tc>
          <w:tcPr>
            <w:tcW w:w="3213" w:type="dxa"/>
          </w:tcPr>
          <w:p>
            <w:pPr>
              <w:pStyle w:val="TableParagraph"/>
              <w:ind w:left="18" w:right="11"/>
              <w:rPr>
                <w:sz w:val="24"/>
              </w:rPr>
            </w:pPr>
            <w:r>
              <w:rPr>
                <w:spacing w:val="-5"/>
                <w:sz w:val="24"/>
              </w:rPr>
              <w:t>–6</w:t>
            </w:r>
          </w:p>
        </w:tc>
      </w:tr>
      <w:tr>
        <w:trPr>
          <w:trHeight w:val="625" w:hRule="atLeast"/>
        </w:trPr>
        <w:tc>
          <w:tcPr>
            <w:tcW w:w="584" w:type="dxa"/>
          </w:tcPr>
          <w:p>
            <w:pPr>
              <w:pStyle w:val="TableParagraph"/>
              <w:spacing w:before="28"/>
              <w:rPr>
                <w:sz w:val="24"/>
              </w:rPr>
            </w:pPr>
            <w:r>
              <w:rPr>
                <w:spacing w:val="-10"/>
                <w:sz w:val="24"/>
              </w:rPr>
              <w:t>5</w:t>
            </w:r>
          </w:p>
        </w:tc>
        <w:tc>
          <w:tcPr>
            <w:tcW w:w="2002" w:type="dxa"/>
          </w:tcPr>
          <w:p>
            <w:pPr>
              <w:pStyle w:val="TableParagraph"/>
              <w:spacing w:before="28"/>
              <w:ind w:left="0" w:right="8"/>
              <w:rPr>
                <w:sz w:val="24"/>
              </w:rPr>
            </w:pPr>
            <w:r>
              <w:rPr>
                <w:spacing w:val="-5"/>
                <w:sz w:val="24"/>
              </w:rPr>
              <w:t>11</w:t>
            </w:r>
          </w:p>
        </w:tc>
        <w:tc>
          <w:tcPr>
            <w:tcW w:w="3213" w:type="dxa"/>
          </w:tcPr>
          <w:p>
            <w:pPr>
              <w:pStyle w:val="TableParagraph"/>
              <w:spacing w:before="28"/>
              <w:ind w:left="18" w:right="7"/>
              <w:rPr>
                <w:sz w:val="24"/>
              </w:rPr>
            </w:pPr>
            <w:r>
              <w:rPr>
                <w:spacing w:val="-5"/>
                <w:sz w:val="24"/>
              </w:rPr>
              <w:t>+5</w:t>
            </w:r>
          </w:p>
        </w:tc>
      </w:tr>
    </w:tbl>
    <w:p>
      <w:pPr>
        <w:pStyle w:val="BodyText"/>
        <w:rPr>
          <w:rFonts w:ascii="Arial"/>
          <w:b/>
        </w:rPr>
      </w:pPr>
    </w:p>
    <w:p>
      <w:pPr>
        <w:pStyle w:val="BodyText"/>
        <w:spacing w:before="23"/>
        <w:rPr>
          <w:rFonts w:ascii="Arial"/>
          <w:b/>
        </w:rPr>
      </w:pPr>
    </w:p>
    <w:p>
      <w:pPr>
        <w:pStyle w:val="BodyText"/>
        <w:spacing w:before="1"/>
      </w:pPr>
      <w:r>
        <w:rPr/>
        <w:t>Payback</w:t>
      </w:r>
      <w:r>
        <w:rPr>
          <w:spacing w:val="-9"/>
        </w:rPr>
        <w:t> </w:t>
      </w:r>
      <w:r>
        <w:rPr/>
        <w:t>occurs</w:t>
      </w:r>
      <w:r>
        <w:rPr>
          <w:spacing w:val="-11"/>
        </w:rPr>
        <w:t> </w:t>
      </w:r>
      <w:r>
        <w:rPr/>
        <w:t>in</w:t>
      </w:r>
      <w:r>
        <w:rPr>
          <w:spacing w:val="-10"/>
        </w:rPr>
        <w:t> </w:t>
      </w:r>
      <w:r>
        <w:rPr/>
        <w:t>Year</w:t>
      </w:r>
      <w:r>
        <w:rPr>
          <w:spacing w:val="-9"/>
        </w:rPr>
        <w:t> </w:t>
      </w:r>
      <w:r>
        <w:rPr>
          <w:spacing w:val="-5"/>
        </w:rPr>
        <w:t>5:</w:t>
      </w:r>
    </w:p>
    <w:p>
      <w:pPr>
        <w:pStyle w:val="BodyText"/>
        <w:spacing w:before="3"/>
        <w:rPr>
          <w:sz w:val="18"/>
        </w:rPr>
      </w:pPr>
    </w:p>
    <w:p>
      <w:pPr>
        <w:pStyle w:val="BodyText"/>
        <w:spacing w:after="0"/>
        <w:rPr>
          <w:sz w:val="18"/>
        </w:rPr>
        <w:sectPr>
          <w:pgSz w:w="12240" w:h="15840"/>
          <w:pgMar w:header="0" w:footer="1051" w:top="1360" w:bottom="1240" w:left="1440" w:right="1080"/>
        </w:sectPr>
      </w:pPr>
    </w:p>
    <w:p>
      <w:pPr>
        <w:pStyle w:val="BodyText"/>
        <w:spacing w:line="232" w:lineRule="exact" w:before="58"/>
        <w:ind w:left="4514"/>
        <w:rPr>
          <w:rFonts w:ascii="Cambria Math"/>
        </w:rPr>
      </w:pPr>
      <w:r>
        <w:rPr>
          <w:rFonts w:ascii="Cambria Math"/>
          <w:spacing w:val="-10"/>
        </w:rPr>
        <w:t>6</w:t>
      </w:r>
    </w:p>
    <w:p>
      <w:pPr>
        <w:pStyle w:val="BodyText"/>
        <w:spacing w:line="170" w:lineRule="exact"/>
        <w:ind w:right="323"/>
        <w:jc w:val="right"/>
        <w:rPr>
          <w:rFonts w:ascii="Cambria Math"/>
        </w:rPr>
      </w:pPr>
      <w:r>
        <w:rPr>
          <w:rFonts w:ascii="Cambria Math"/>
        </w:rPr>
        <mc:AlternateContent>
          <mc:Choice Requires="wps">
            <w:drawing>
              <wp:anchor distT="0" distB="0" distL="0" distR="0" allowOverlap="1" layoutInCell="1" locked="0" behindDoc="0" simplePos="0" relativeHeight="15740928">
                <wp:simplePos x="0" y="0"/>
                <wp:positionH relativeFrom="page">
                  <wp:posOffset>3741420</wp:posOffset>
                </wp:positionH>
                <wp:positionV relativeFrom="paragraph">
                  <wp:posOffset>65026</wp:posOffset>
                </wp:positionV>
                <wp:extent cx="167640" cy="9525"/>
                <wp:effectExtent l="0" t="0" r="0" b="0"/>
                <wp:wrapNone/>
                <wp:docPr id="37" name="Graphic 37"/>
                <wp:cNvGraphicFramePr>
                  <a:graphicFrameLocks/>
                </wp:cNvGraphicFramePr>
                <a:graphic>
                  <a:graphicData uri="http://schemas.microsoft.com/office/word/2010/wordprocessingShape">
                    <wps:wsp>
                      <wps:cNvPr id="37" name="Graphic 37"/>
                      <wps:cNvSpPr/>
                      <wps:spPr>
                        <a:xfrm>
                          <a:off x="0" y="0"/>
                          <a:ext cx="167640" cy="9525"/>
                        </a:xfrm>
                        <a:custGeom>
                          <a:avLst/>
                          <a:gdLst/>
                          <a:ahLst/>
                          <a:cxnLst/>
                          <a:rect l="l" t="t" r="r" b="b"/>
                          <a:pathLst>
                            <a:path w="167640" h="9525">
                              <a:moveTo>
                                <a:pt x="167639" y="0"/>
                              </a:moveTo>
                              <a:lnTo>
                                <a:pt x="0" y="0"/>
                              </a:lnTo>
                              <a:lnTo>
                                <a:pt x="0" y="9144"/>
                              </a:lnTo>
                              <a:lnTo>
                                <a:pt x="167639" y="9144"/>
                              </a:lnTo>
                              <a:lnTo>
                                <a:pt x="167639"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rect style="position:absolute;margin-left:294.600006pt;margin-top:5.120222pt;width:13.2pt;height:.72pt;mso-position-horizontal-relative:page;mso-position-vertical-relative:paragraph;z-index:15740928" id="docshape36" filled="true" fillcolor="#000000" stroked="false">
                <v:fill type="solid"/>
                <w10:wrap type="none"/>
              </v:rect>
            </w:pict>
          </mc:Fallback>
        </mc:AlternateContent>
      </w:r>
      <w:r>
        <w:rPr/>
        <w:t>PBP</w:t>
      </w:r>
      <w:r>
        <w:rPr>
          <w:spacing w:val="1"/>
        </w:rPr>
        <w:t> </w:t>
      </w:r>
      <w:r>
        <w:rPr>
          <w:rFonts w:ascii="Cambria Math"/>
        </w:rPr>
        <w:t>=</w:t>
      </w:r>
      <w:r>
        <w:rPr>
          <w:rFonts w:ascii="Cambria Math"/>
          <w:spacing w:val="11"/>
        </w:rPr>
        <w:t> </w:t>
      </w:r>
      <w:r>
        <w:rPr>
          <w:rFonts w:ascii="Cambria Math"/>
        </w:rPr>
        <w:t>4 </w:t>
      </w:r>
      <w:r>
        <w:rPr>
          <w:rFonts w:ascii="Cambria Math"/>
          <w:spacing w:val="-12"/>
        </w:rPr>
        <w:t>+</w:t>
      </w:r>
    </w:p>
    <w:p>
      <w:pPr>
        <w:pStyle w:val="BodyText"/>
        <w:spacing w:line="220" w:lineRule="exact"/>
        <w:ind w:left="4452"/>
        <w:rPr>
          <w:rFonts w:ascii="Cambria Math"/>
        </w:rPr>
      </w:pPr>
      <w:r>
        <w:rPr>
          <w:rFonts w:ascii="Cambria Math"/>
          <w:spacing w:val="-5"/>
        </w:rPr>
        <w:t>11</w:t>
      </w:r>
    </w:p>
    <w:p>
      <w:pPr>
        <w:pStyle w:val="BodyText"/>
        <w:spacing w:before="241"/>
        <w:ind w:left="22"/>
      </w:pPr>
      <w:r>
        <w:rPr/>
        <w:br w:type="column"/>
      </w:r>
      <w:r>
        <w:rPr>
          <w:rFonts w:ascii="Cambria Math" w:hAnsi="Cambria Math"/>
        </w:rPr>
        <w:t>≈</w:t>
      </w:r>
      <w:r>
        <w:rPr>
          <w:rFonts w:ascii="Cambria Math" w:hAnsi="Cambria Math"/>
          <w:spacing w:val="10"/>
        </w:rPr>
        <w:t> </w:t>
      </w:r>
      <w:r>
        <w:rPr>
          <w:rFonts w:ascii="Cambria Math" w:hAnsi="Cambria Math"/>
        </w:rPr>
        <w:t>4.55</w:t>
      </w:r>
      <w:r>
        <w:rPr>
          <w:rFonts w:ascii="Cambria Math" w:hAnsi="Cambria Math"/>
          <w:spacing w:val="15"/>
        </w:rPr>
        <w:t> </w:t>
      </w:r>
      <w:r>
        <w:rPr>
          <w:spacing w:val="-2"/>
        </w:rPr>
        <w:t>years</w:t>
      </w:r>
    </w:p>
    <w:p>
      <w:pPr>
        <w:pStyle w:val="BodyText"/>
        <w:spacing w:after="0"/>
        <w:sectPr>
          <w:type w:val="continuous"/>
          <w:pgSz w:w="12240" w:h="15840"/>
          <w:pgMar w:header="0" w:footer="1051" w:top="1820" w:bottom="1240" w:left="1440" w:right="1080"/>
          <w:cols w:num="2" w:equalWidth="0">
            <w:col w:w="4721" w:space="40"/>
            <w:col w:w="4959"/>
          </w:cols>
        </w:sectPr>
      </w:pPr>
    </w:p>
    <w:p>
      <w:pPr>
        <w:pStyle w:val="BodyText"/>
      </w:pPr>
    </w:p>
    <w:p>
      <w:pPr>
        <w:pStyle w:val="BodyText"/>
        <w:spacing w:before="106"/>
      </w:pPr>
    </w:p>
    <w:p>
      <w:pPr>
        <w:pStyle w:val="Heading2"/>
      </w:pPr>
      <w:r>
        <w:rPr/>
        <w:t>Project</w:t>
      </w:r>
      <w:r>
        <w:rPr>
          <w:spacing w:val="-2"/>
        </w:rPr>
        <w:t> </w:t>
      </w:r>
      <w:r>
        <w:rPr/>
        <w:t>C</w:t>
      </w:r>
      <w:r>
        <w:rPr>
          <w:spacing w:val="-1"/>
        </w:rPr>
        <w:t> </w:t>
      </w:r>
      <w:r>
        <w:rPr>
          <w:spacing w:val="-2"/>
        </w:rPr>
        <w:t>Calculation</w:t>
      </w:r>
    </w:p>
    <w:p>
      <w:pPr>
        <w:pStyle w:val="BodyText"/>
        <w:spacing w:before="96"/>
        <w:rPr>
          <w:rFonts w:ascii="Arial"/>
          <w:b/>
          <w:sz w:val="20"/>
        </w:rPr>
      </w:pPr>
    </w:p>
    <w:tbl>
      <w:tblPr>
        <w:tblW w:w="0" w:type="auto"/>
        <w:jc w:val="left"/>
        <w:tblInd w:w="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84"/>
        <w:gridCol w:w="2002"/>
        <w:gridCol w:w="3213"/>
      </w:tblGrid>
      <w:tr>
        <w:trPr>
          <w:trHeight w:val="620" w:hRule="atLeast"/>
        </w:trPr>
        <w:tc>
          <w:tcPr>
            <w:tcW w:w="584" w:type="dxa"/>
            <w:shd w:val="clear" w:color="auto" w:fill="92D050"/>
          </w:tcPr>
          <w:p>
            <w:pPr>
              <w:pStyle w:val="TableParagraph"/>
              <w:spacing w:before="16"/>
              <w:ind w:left="8"/>
              <w:rPr>
                <w:rFonts w:ascii="Arial"/>
                <w:b/>
                <w:sz w:val="24"/>
              </w:rPr>
            </w:pPr>
            <w:r>
              <w:rPr>
                <w:rFonts w:ascii="Arial"/>
                <w:b/>
                <w:spacing w:val="-4"/>
                <w:sz w:val="24"/>
              </w:rPr>
              <w:t>Year</w:t>
            </w:r>
          </w:p>
        </w:tc>
        <w:tc>
          <w:tcPr>
            <w:tcW w:w="2002" w:type="dxa"/>
            <w:tcBorders>
              <w:top w:val="double" w:sz="4" w:space="0" w:color="000000"/>
              <w:bottom w:val="double" w:sz="4" w:space="0" w:color="000000"/>
              <w:right w:val="double" w:sz="4" w:space="0" w:color="000000"/>
            </w:tcBorders>
            <w:shd w:val="clear" w:color="auto" w:fill="92D050"/>
          </w:tcPr>
          <w:p>
            <w:pPr>
              <w:pStyle w:val="TableParagraph"/>
              <w:spacing w:before="16"/>
              <w:ind w:left="20"/>
              <w:rPr>
                <w:rFonts w:ascii="Arial" w:hAnsi="Arial"/>
                <w:b/>
                <w:sz w:val="24"/>
              </w:rPr>
            </w:pPr>
            <w:r>
              <w:rPr>
                <w:rFonts w:ascii="Arial" w:hAnsi="Arial"/>
                <w:b/>
                <w:sz w:val="24"/>
              </w:rPr>
              <w:t>Cash</w:t>
            </w:r>
            <w:r>
              <w:rPr>
                <w:rFonts w:ascii="Arial" w:hAnsi="Arial"/>
                <w:b/>
                <w:spacing w:val="-6"/>
                <w:sz w:val="24"/>
              </w:rPr>
              <w:t> </w:t>
            </w:r>
            <w:r>
              <w:rPr>
                <w:rFonts w:ascii="Arial" w:hAnsi="Arial"/>
                <w:b/>
                <w:sz w:val="24"/>
              </w:rPr>
              <w:t>Inflow </w:t>
            </w:r>
            <w:r>
              <w:rPr>
                <w:rFonts w:ascii="Arial" w:hAnsi="Arial"/>
                <w:b/>
                <w:spacing w:val="-4"/>
                <w:sz w:val="24"/>
              </w:rPr>
              <w:t>(£m)</w:t>
            </w:r>
          </w:p>
        </w:tc>
        <w:tc>
          <w:tcPr>
            <w:tcW w:w="3213" w:type="dxa"/>
            <w:tcBorders>
              <w:top w:val="double" w:sz="4" w:space="0" w:color="000000"/>
              <w:left w:val="double" w:sz="4" w:space="0" w:color="000000"/>
              <w:bottom w:val="double" w:sz="4" w:space="0" w:color="000000"/>
              <w:right w:val="double" w:sz="4" w:space="0" w:color="000000"/>
            </w:tcBorders>
            <w:shd w:val="clear" w:color="auto" w:fill="92D050"/>
          </w:tcPr>
          <w:p>
            <w:pPr>
              <w:pStyle w:val="TableParagraph"/>
              <w:spacing w:before="16"/>
              <w:ind w:left="18" w:right="6"/>
              <w:rPr>
                <w:rFonts w:ascii="Arial" w:hAnsi="Arial"/>
                <w:b/>
                <w:sz w:val="24"/>
              </w:rPr>
            </w:pPr>
            <w:r>
              <w:rPr>
                <w:rFonts w:ascii="Arial" w:hAnsi="Arial"/>
                <w:b/>
                <w:sz w:val="24"/>
              </w:rPr>
              <w:t>Cumulative</w:t>
            </w:r>
            <w:r>
              <w:rPr>
                <w:rFonts w:ascii="Arial" w:hAnsi="Arial"/>
                <w:b/>
                <w:spacing w:val="-3"/>
                <w:sz w:val="24"/>
              </w:rPr>
              <w:t> </w:t>
            </w:r>
            <w:r>
              <w:rPr>
                <w:rFonts w:ascii="Arial" w:hAnsi="Arial"/>
                <w:b/>
                <w:sz w:val="24"/>
              </w:rPr>
              <w:t>Cash</w:t>
            </w:r>
            <w:r>
              <w:rPr>
                <w:rFonts w:ascii="Arial" w:hAnsi="Arial"/>
                <w:b/>
                <w:spacing w:val="-4"/>
                <w:sz w:val="24"/>
              </w:rPr>
              <w:t> </w:t>
            </w:r>
            <w:r>
              <w:rPr>
                <w:rFonts w:ascii="Arial" w:hAnsi="Arial"/>
                <w:b/>
                <w:sz w:val="24"/>
              </w:rPr>
              <w:t>Flow</w:t>
            </w:r>
            <w:r>
              <w:rPr>
                <w:rFonts w:ascii="Arial" w:hAnsi="Arial"/>
                <w:b/>
                <w:spacing w:val="-2"/>
                <w:sz w:val="24"/>
              </w:rPr>
              <w:t> </w:t>
            </w:r>
            <w:r>
              <w:rPr>
                <w:rFonts w:ascii="Arial" w:hAnsi="Arial"/>
                <w:b/>
                <w:spacing w:val="-4"/>
                <w:sz w:val="24"/>
              </w:rPr>
              <w:t>(£m)</w:t>
            </w:r>
          </w:p>
        </w:tc>
      </w:tr>
      <w:tr>
        <w:trPr>
          <w:trHeight w:val="623" w:hRule="atLeast"/>
        </w:trPr>
        <w:tc>
          <w:tcPr>
            <w:tcW w:w="584" w:type="dxa"/>
            <w:tcBorders>
              <w:left w:val="double" w:sz="4" w:space="0" w:color="000000"/>
              <w:bottom w:val="double" w:sz="4" w:space="0" w:color="000000"/>
              <w:right w:val="double" w:sz="4" w:space="0" w:color="000000"/>
            </w:tcBorders>
          </w:tcPr>
          <w:p>
            <w:pPr>
              <w:pStyle w:val="TableParagraph"/>
              <w:rPr>
                <w:sz w:val="24"/>
              </w:rPr>
            </w:pPr>
            <w:r>
              <w:rPr>
                <w:spacing w:val="-10"/>
                <w:sz w:val="24"/>
              </w:rPr>
              <w:t>0</w:t>
            </w:r>
          </w:p>
        </w:tc>
        <w:tc>
          <w:tcPr>
            <w:tcW w:w="2002" w:type="dxa"/>
            <w:tcBorders>
              <w:top w:val="double" w:sz="4" w:space="0" w:color="000000"/>
              <w:left w:val="double" w:sz="4" w:space="0" w:color="000000"/>
              <w:bottom w:val="double" w:sz="4" w:space="0" w:color="000000"/>
              <w:right w:val="double" w:sz="4" w:space="0" w:color="000000"/>
            </w:tcBorders>
          </w:tcPr>
          <w:p>
            <w:pPr>
              <w:pStyle w:val="TableParagraph"/>
              <w:ind w:left="16" w:right="8"/>
              <w:rPr>
                <w:sz w:val="24"/>
              </w:rPr>
            </w:pPr>
            <w:r>
              <w:rPr>
                <w:spacing w:val="-5"/>
                <w:sz w:val="24"/>
              </w:rPr>
              <w:t>–50</w:t>
            </w:r>
          </w:p>
        </w:tc>
        <w:tc>
          <w:tcPr>
            <w:tcW w:w="3213" w:type="dxa"/>
            <w:tcBorders>
              <w:top w:val="double" w:sz="4" w:space="0" w:color="000000"/>
              <w:left w:val="double" w:sz="4" w:space="0" w:color="000000"/>
              <w:bottom w:val="double" w:sz="4" w:space="0" w:color="000000"/>
              <w:right w:val="double" w:sz="4" w:space="0" w:color="000000"/>
            </w:tcBorders>
          </w:tcPr>
          <w:p>
            <w:pPr>
              <w:pStyle w:val="TableParagraph"/>
              <w:ind w:left="18"/>
              <w:rPr>
                <w:sz w:val="24"/>
              </w:rPr>
            </w:pPr>
            <w:r>
              <w:rPr>
                <w:spacing w:val="-5"/>
                <w:sz w:val="24"/>
              </w:rPr>
              <w:t>–50</w:t>
            </w:r>
          </w:p>
        </w:tc>
      </w:tr>
      <w:tr>
        <w:trPr>
          <w:trHeight w:val="627" w:hRule="atLeast"/>
        </w:trPr>
        <w:tc>
          <w:tcPr>
            <w:tcW w:w="584" w:type="dxa"/>
            <w:tcBorders>
              <w:top w:val="double" w:sz="4" w:space="0" w:color="000000"/>
              <w:left w:val="double" w:sz="4" w:space="0" w:color="000000"/>
              <w:bottom w:val="double" w:sz="4" w:space="0" w:color="000000"/>
              <w:right w:val="double" w:sz="4" w:space="0" w:color="000000"/>
            </w:tcBorders>
          </w:tcPr>
          <w:p>
            <w:pPr>
              <w:pStyle w:val="TableParagraph"/>
              <w:spacing w:before="28"/>
              <w:rPr>
                <w:sz w:val="24"/>
              </w:rPr>
            </w:pPr>
            <w:r>
              <w:rPr>
                <w:spacing w:val="-10"/>
                <w:sz w:val="24"/>
              </w:rPr>
              <w:t>1</w:t>
            </w:r>
          </w:p>
        </w:tc>
        <w:tc>
          <w:tcPr>
            <w:tcW w:w="2002" w:type="dxa"/>
            <w:tcBorders>
              <w:top w:val="double" w:sz="4" w:space="0" w:color="000000"/>
              <w:left w:val="double" w:sz="4" w:space="0" w:color="000000"/>
              <w:bottom w:val="double" w:sz="4" w:space="0" w:color="000000"/>
              <w:right w:val="double" w:sz="4" w:space="0" w:color="000000"/>
            </w:tcBorders>
          </w:tcPr>
          <w:p>
            <w:pPr>
              <w:pStyle w:val="TableParagraph"/>
              <w:spacing w:before="28"/>
              <w:ind w:left="15" w:right="8"/>
              <w:rPr>
                <w:sz w:val="24"/>
              </w:rPr>
            </w:pPr>
            <w:r>
              <w:rPr>
                <w:spacing w:val="-10"/>
                <w:sz w:val="24"/>
              </w:rPr>
              <w:t>5</w:t>
            </w:r>
          </w:p>
        </w:tc>
        <w:tc>
          <w:tcPr>
            <w:tcW w:w="3213" w:type="dxa"/>
            <w:tcBorders>
              <w:top w:val="double" w:sz="4" w:space="0" w:color="000000"/>
              <w:left w:val="double" w:sz="4" w:space="0" w:color="000000"/>
              <w:bottom w:val="double" w:sz="4" w:space="0" w:color="000000"/>
              <w:right w:val="double" w:sz="4" w:space="0" w:color="000000"/>
            </w:tcBorders>
          </w:tcPr>
          <w:p>
            <w:pPr>
              <w:pStyle w:val="TableParagraph"/>
              <w:spacing w:before="28"/>
              <w:ind w:left="18"/>
              <w:rPr>
                <w:sz w:val="24"/>
              </w:rPr>
            </w:pPr>
            <w:r>
              <w:rPr>
                <w:spacing w:val="-5"/>
                <w:sz w:val="24"/>
              </w:rPr>
              <w:t>–45</w:t>
            </w:r>
          </w:p>
        </w:tc>
      </w:tr>
      <w:tr>
        <w:trPr>
          <w:trHeight w:val="622" w:hRule="atLeast"/>
        </w:trPr>
        <w:tc>
          <w:tcPr>
            <w:tcW w:w="584" w:type="dxa"/>
            <w:tcBorders>
              <w:top w:val="double" w:sz="4" w:space="0" w:color="000000"/>
              <w:left w:val="double" w:sz="4" w:space="0" w:color="000000"/>
              <w:bottom w:val="double" w:sz="4" w:space="0" w:color="000000"/>
              <w:right w:val="double" w:sz="4" w:space="0" w:color="000000"/>
            </w:tcBorders>
          </w:tcPr>
          <w:p>
            <w:pPr>
              <w:pStyle w:val="TableParagraph"/>
              <w:rPr>
                <w:sz w:val="24"/>
              </w:rPr>
            </w:pPr>
            <w:r>
              <w:rPr>
                <w:spacing w:val="-10"/>
                <w:sz w:val="24"/>
              </w:rPr>
              <w:t>2</w:t>
            </w:r>
          </w:p>
        </w:tc>
        <w:tc>
          <w:tcPr>
            <w:tcW w:w="2002" w:type="dxa"/>
            <w:tcBorders>
              <w:top w:val="double" w:sz="4" w:space="0" w:color="000000"/>
              <w:left w:val="double" w:sz="4" w:space="0" w:color="000000"/>
              <w:bottom w:val="double" w:sz="4" w:space="0" w:color="000000"/>
              <w:right w:val="double" w:sz="4" w:space="0" w:color="000000"/>
            </w:tcBorders>
          </w:tcPr>
          <w:p>
            <w:pPr>
              <w:pStyle w:val="TableParagraph"/>
              <w:ind w:left="16" w:right="8"/>
              <w:rPr>
                <w:sz w:val="24"/>
              </w:rPr>
            </w:pPr>
            <w:r>
              <w:rPr>
                <w:spacing w:val="-5"/>
                <w:sz w:val="24"/>
              </w:rPr>
              <w:t>10</w:t>
            </w:r>
          </w:p>
        </w:tc>
        <w:tc>
          <w:tcPr>
            <w:tcW w:w="3213" w:type="dxa"/>
            <w:tcBorders>
              <w:top w:val="double" w:sz="4" w:space="0" w:color="000000"/>
              <w:left w:val="double" w:sz="4" w:space="0" w:color="000000"/>
              <w:bottom w:val="double" w:sz="4" w:space="0" w:color="000000"/>
              <w:right w:val="double" w:sz="4" w:space="0" w:color="000000"/>
            </w:tcBorders>
          </w:tcPr>
          <w:p>
            <w:pPr>
              <w:pStyle w:val="TableParagraph"/>
              <w:ind w:left="18"/>
              <w:rPr>
                <w:sz w:val="24"/>
              </w:rPr>
            </w:pPr>
            <w:r>
              <w:rPr>
                <w:spacing w:val="-5"/>
                <w:sz w:val="24"/>
              </w:rPr>
              <w:t>–35</w:t>
            </w:r>
          </w:p>
        </w:tc>
      </w:tr>
      <w:tr>
        <w:trPr>
          <w:trHeight w:val="623" w:hRule="atLeast"/>
        </w:trPr>
        <w:tc>
          <w:tcPr>
            <w:tcW w:w="584" w:type="dxa"/>
            <w:tcBorders>
              <w:top w:val="double" w:sz="4" w:space="0" w:color="000000"/>
              <w:left w:val="double" w:sz="4" w:space="0" w:color="000000"/>
              <w:bottom w:val="double" w:sz="4" w:space="0" w:color="000000"/>
              <w:right w:val="double" w:sz="4" w:space="0" w:color="000000"/>
            </w:tcBorders>
          </w:tcPr>
          <w:p>
            <w:pPr>
              <w:pStyle w:val="TableParagraph"/>
              <w:rPr>
                <w:sz w:val="24"/>
              </w:rPr>
            </w:pPr>
            <w:r>
              <w:rPr>
                <w:spacing w:val="-10"/>
                <w:sz w:val="24"/>
              </w:rPr>
              <w:t>3</w:t>
            </w:r>
          </w:p>
        </w:tc>
        <w:tc>
          <w:tcPr>
            <w:tcW w:w="2002" w:type="dxa"/>
            <w:tcBorders>
              <w:top w:val="double" w:sz="4" w:space="0" w:color="000000"/>
              <w:left w:val="double" w:sz="4" w:space="0" w:color="000000"/>
              <w:bottom w:val="double" w:sz="4" w:space="0" w:color="000000"/>
              <w:right w:val="double" w:sz="4" w:space="0" w:color="000000"/>
            </w:tcBorders>
          </w:tcPr>
          <w:p>
            <w:pPr>
              <w:pStyle w:val="TableParagraph"/>
              <w:ind w:left="16" w:right="8"/>
              <w:rPr>
                <w:sz w:val="24"/>
              </w:rPr>
            </w:pPr>
            <w:r>
              <w:rPr>
                <w:spacing w:val="-5"/>
                <w:sz w:val="24"/>
              </w:rPr>
              <w:t>20</w:t>
            </w:r>
          </w:p>
        </w:tc>
        <w:tc>
          <w:tcPr>
            <w:tcW w:w="3213" w:type="dxa"/>
            <w:tcBorders>
              <w:top w:val="double" w:sz="4" w:space="0" w:color="000000"/>
              <w:left w:val="double" w:sz="4" w:space="0" w:color="000000"/>
              <w:bottom w:val="double" w:sz="4" w:space="0" w:color="000000"/>
              <w:right w:val="double" w:sz="4" w:space="0" w:color="000000"/>
            </w:tcBorders>
          </w:tcPr>
          <w:p>
            <w:pPr>
              <w:pStyle w:val="TableParagraph"/>
              <w:ind w:left="18"/>
              <w:rPr>
                <w:sz w:val="24"/>
              </w:rPr>
            </w:pPr>
            <w:r>
              <w:rPr>
                <w:spacing w:val="-5"/>
                <w:sz w:val="24"/>
              </w:rPr>
              <w:t>–15</w:t>
            </w:r>
          </w:p>
        </w:tc>
      </w:tr>
      <w:tr>
        <w:trPr>
          <w:trHeight w:val="622" w:hRule="atLeast"/>
        </w:trPr>
        <w:tc>
          <w:tcPr>
            <w:tcW w:w="584" w:type="dxa"/>
            <w:tcBorders>
              <w:top w:val="double" w:sz="4" w:space="0" w:color="000000"/>
              <w:left w:val="double" w:sz="4" w:space="0" w:color="000000"/>
              <w:bottom w:val="double" w:sz="4" w:space="0" w:color="000000"/>
              <w:right w:val="double" w:sz="4" w:space="0" w:color="000000"/>
            </w:tcBorders>
          </w:tcPr>
          <w:p>
            <w:pPr>
              <w:pStyle w:val="TableParagraph"/>
              <w:rPr>
                <w:sz w:val="24"/>
              </w:rPr>
            </w:pPr>
            <w:r>
              <w:rPr>
                <w:spacing w:val="-10"/>
                <w:sz w:val="24"/>
              </w:rPr>
              <w:t>4</w:t>
            </w:r>
          </w:p>
        </w:tc>
        <w:tc>
          <w:tcPr>
            <w:tcW w:w="2002" w:type="dxa"/>
            <w:tcBorders>
              <w:top w:val="double" w:sz="4" w:space="0" w:color="000000"/>
              <w:left w:val="double" w:sz="4" w:space="0" w:color="000000"/>
              <w:bottom w:val="double" w:sz="4" w:space="0" w:color="000000"/>
              <w:right w:val="double" w:sz="4" w:space="0" w:color="000000"/>
            </w:tcBorders>
          </w:tcPr>
          <w:p>
            <w:pPr>
              <w:pStyle w:val="TableParagraph"/>
              <w:ind w:left="16" w:right="8"/>
              <w:rPr>
                <w:sz w:val="24"/>
              </w:rPr>
            </w:pPr>
            <w:r>
              <w:rPr>
                <w:spacing w:val="-5"/>
                <w:sz w:val="24"/>
              </w:rPr>
              <w:t>25</w:t>
            </w:r>
          </w:p>
        </w:tc>
        <w:tc>
          <w:tcPr>
            <w:tcW w:w="3213" w:type="dxa"/>
            <w:tcBorders>
              <w:top w:val="double" w:sz="4" w:space="0" w:color="000000"/>
              <w:left w:val="double" w:sz="4" w:space="0" w:color="000000"/>
              <w:bottom w:val="double" w:sz="4" w:space="0" w:color="000000"/>
              <w:right w:val="double" w:sz="4" w:space="0" w:color="000000"/>
            </w:tcBorders>
          </w:tcPr>
          <w:p>
            <w:pPr>
              <w:pStyle w:val="TableParagraph"/>
              <w:ind w:left="18" w:right="6"/>
              <w:rPr>
                <w:sz w:val="24"/>
              </w:rPr>
            </w:pPr>
            <w:r>
              <w:rPr>
                <w:spacing w:val="-5"/>
                <w:sz w:val="24"/>
              </w:rPr>
              <w:t>+10</w:t>
            </w:r>
          </w:p>
        </w:tc>
      </w:tr>
      <w:tr>
        <w:trPr>
          <w:trHeight w:val="625" w:hRule="atLeast"/>
        </w:trPr>
        <w:tc>
          <w:tcPr>
            <w:tcW w:w="584" w:type="dxa"/>
            <w:tcBorders>
              <w:top w:val="double" w:sz="4" w:space="0" w:color="000000"/>
              <w:left w:val="double" w:sz="4" w:space="0" w:color="000000"/>
              <w:bottom w:val="double" w:sz="4" w:space="0" w:color="000000"/>
              <w:right w:val="double" w:sz="4" w:space="0" w:color="000000"/>
            </w:tcBorders>
          </w:tcPr>
          <w:p>
            <w:pPr>
              <w:pStyle w:val="TableParagraph"/>
              <w:spacing w:before="28"/>
              <w:rPr>
                <w:sz w:val="24"/>
              </w:rPr>
            </w:pPr>
            <w:r>
              <w:rPr>
                <w:spacing w:val="-10"/>
                <w:sz w:val="24"/>
              </w:rPr>
              <w:t>5</w:t>
            </w:r>
          </w:p>
        </w:tc>
        <w:tc>
          <w:tcPr>
            <w:tcW w:w="2002" w:type="dxa"/>
            <w:tcBorders>
              <w:top w:val="double" w:sz="4" w:space="0" w:color="000000"/>
              <w:left w:val="double" w:sz="4" w:space="0" w:color="000000"/>
              <w:bottom w:val="double" w:sz="4" w:space="0" w:color="000000"/>
              <w:right w:val="double" w:sz="4" w:space="0" w:color="000000"/>
            </w:tcBorders>
          </w:tcPr>
          <w:p>
            <w:pPr>
              <w:pStyle w:val="TableParagraph"/>
              <w:spacing w:before="28"/>
              <w:ind w:left="15" w:right="8"/>
              <w:rPr>
                <w:sz w:val="24"/>
              </w:rPr>
            </w:pPr>
            <w:r>
              <w:rPr>
                <w:spacing w:val="-10"/>
                <w:sz w:val="24"/>
              </w:rPr>
              <w:t>5</w:t>
            </w:r>
          </w:p>
        </w:tc>
        <w:tc>
          <w:tcPr>
            <w:tcW w:w="3213" w:type="dxa"/>
            <w:tcBorders>
              <w:top w:val="double" w:sz="4" w:space="0" w:color="000000"/>
              <w:left w:val="double" w:sz="4" w:space="0" w:color="000000"/>
              <w:bottom w:val="double" w:sz="4" w:space="0" w:color="000000"/>
              <w:right w:val="double" w:sz="4" w:space="0" w:color="000000"/>
            </w:tcBorders>
          </w:tcPr>
          <w:p>
            <w:pPr>
              <w:pStyle w:val="TableParagraph"/>
              <w:spacing w:before="28"/>
              <w:ind w:left="18" w:right="6"/>
              <w:rPr>
                <w:sz w:val="24"/>
              </w:rPr>
            </w:pPr>
            <w:r>
              <w:rPr>
                <w:spacing w:val="-5"/>
                <w:sz w:val="24"/>
              </w:rPr>
              <w:t>+15</w:t>
            </w:r>
          </w:p>
        </w:tc>
      </w:tr>
    </w:tbl>
    <w:p>
      <w:pPr>
        <w:pStyle w:val="TableParagraph"/>
        <w:spacing w:after="0"/>
        <w:rPr>
          <w:sz w:val="24"/>
        </w:rPr>
        <w:sectPr>
          <w:type w:val="continuous"/>
          <w:pgSz w:w="12240" w:h="15840"/>
          <w:pgMar w:header="0" w:footer="1051" w:top="1820" w:bottom="1240" w:left="1440" w:right="1080"/>
        </w:sectPr>
      </w:pPr>
    </w:p>
    <w:p>
      <w:pPr>
        <w:pStyle w:val="BodyText"/>
        <w:spacing w:before="197"/>
      </w:pPr>
      <w:r>
        <w:rPr/>
        <w:t>Payback</w:t>
      </w:r>
      <w:r>
        <w:rPr>
          <w:spacing w:val="-9"/>
        </w:rPr>
        <w:t> </w:t>
      </w:r>
      <w:r>
        <w:rPr/>
        <w:t>occurs</w:t>
      </w:r>
      <w:r>
        <w:rPr>
          <w:spacing w:val="-11"/>
        </w:rPr>
        <w:t> </w:t>
      </w:r>
      <w:r>
        <w:rPr/>
        <w:t>in</w:t>
      </w:r>
      <w:r>
        <w:rPr>
          <w:spacing w:val="-10"/>
        </w:rPr>
        <w:t> </w:t>
      </w:r>
      <w:r>
        <w:rPr/>
        <w:t>Year</w:t>
      </w:r>
      <w:r>
        <w:rPr>
          <w:spacing w:val="-9"/>
        </w:rPr>
        <w:t> </w:t>
      </w:r>
      <w:r>
        <w:rPr>
          <w:spacing w:val="-5"/>
        </w:rPr>
        <w:t>4:</w:t>
      </w:r>
    </w:p>
    <w:p>
      <w:pPr>
        <w:pStyle w:val="BodyText"/>
        <w:spacing w:before="3"/>
        <w:rPr>
          <w:sz w:val="18"/>
        </w:rPr>
      </w:pPr>
    </w:p>
    <w:p>
      <w:pPr>
        <w:pStyle w:val="BodyText"/>
        <w:spacing w:after="0"/>
        <w:rPr>
          <w:sz w:val="18"/>
        </w:rPr>
        <w:sectPr>
          <w:pgSz w:w="12240" w:h="15840"/>
          <w:pgMar w:header="0" w:footer="1051" w:top="1820" w:bottom="1240" w:left="1440" w:right="1080"/>
        </w:sectPr>
      </w:pPr>
    </w:p>
    <w:p>
      <w:pPr>
        <w:pStyle w:val="BodyText"/>
        <w:spacing w:line="232" w:lineRule="exact" w:before="58"/>
        <w:ind w:left="4514"/>
        <w:rPr>
          <w:rFonts w:ascii="Cambria Math"/>
        </w:rPr>
      </w:pPr>
      <w:r>
        <w:rPr>
          <w:rFonts w:ascii="Cambria Math"/>
          <w:spacing w:val="-5"/>
        </w:rPr>
        <w:t>15</w:t>
      </w:r>
    </w:p>
    <w:p>
      <w:pPr>
        <w:pStyle w:val="BodyText"/>
        <w:spacing w:line="170" w:lineRule="exact"/>
        <w:ind w:right="318"/>
        <w:jc w:val="right"/>
        <w:rPr>
          <w:rFonts w:ascii="Cambria Math"/>
        </w:rPr>
      </w:pPr>
      <w:r>
        <w:rPr>
          <w:rFonts w:ascii="Cambria Math"/>
        </w:rPr>
        <mc:AlternateContent>
          <mc:Choice Requires="wps">
            <w:drawing>
              <wp:anchor distT="0" distB="0" distL="0" distR="0" allowOverlap="1" layoutInCell="1" locked="0" behindDoc="0" simplePos="0" relativeHeight="15741952">
                <wp:simplePos x="0" y="0"/>
                <wp:positionH relativeFrom="page">
                  <wp:posOffset>3781044</wp:posOffset>
                </wp:positionH>
                <wp:positionV relativeFrom="paragraph">
                  <wp:posOffset>65123</wp:posOffset>
                </wp:positionV>
                <wp:extent cx="167640" cy="9525"/>
                <wp:effectExtent l="0" t="0" r="0" b="0"/>
                <wp:wrapNone/>
                <wp:docPr id="38" name="Graphic 38"/>
                <wp:cNvGraphicFramePr>
                  <a:graphicFrameLocks/>
                </wp:cNvGraphicFramePr>
                <a:graphic>
                  <a:graphicData uri="http://schemas.microsoft.com/office/word/2010/wordprocessingShape">
                    <wps:wsp>
                      <wps:cNvPr id="38" name="Graphic 38"/>
                      <wps:cNvSpPr/>
                      <wps:spPr>
                        <a:xfrm>
                          <a:off x="0" y="0"/>
                          <a:ext cx="167640" cy="9525"/>
                        </a:xfrm>
                        <a:custGeom>
                          <a:avLst/>
                          <a:gdLst/>
                          <a:ahLst/>
                          <a:cxnLst/>
                          <a:rect l="l" t="t" r="r" b="b"/>
                          <a:pathLst>
                            <a:path w="167640" h="9525">
                              <a:moveTo>
                                <a:pt x="167639" y="0"/>
                              </a:moveTo>
                              <a:lnTo>
                                <a:pt x="0" y="0"/>
                              </a:lnTo>
                              <a:lnTo>
                                <a:pt x="0" y="9144"/>
                              </a:lnTo>
                              <a:lnTo>
                                <a:pt x="167639" y="9144"/>
                              </a:lnTo>
                              <a:lnTo>
                                <a:pt x="167639"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rect style="position:absolute;margin-left:297.720001pt;margin-top:5.127873pt;width:13.2pt;height:.72pt;mso-position-horizontal-relative:page;mso-position-vertical-relative:paragraph;z-index:15741952" id="docshape37" filled="true" fillcolor="#000000" stroked="false">
                <v:fill type="solid"/>
                <w10:wrap type="none"/>
              </v:rect>
            </w:pict>
          </mc:Fallback>
        </mc:AlternateContent>
      </w:r>
      <w:r>
        <w:rPr/>
        <w:t>PBP</w:t>
      </w:r>
      <w:r>
        <w:rPr>
          <w:spacing w:val="1"/>
        </w:rPr>
        <w:t> </w:t>
      </w:r>
      <w:r>
        <w:rPr>
          <w:rFonts w:ascii="Cambria Math"/>
        </w:rPr>
        <w:t>=</w:t>
      </w:r>
      <w:r>
        <w:rPr>
          <w:rFonts w:ascii="Cambria Math"/>
          <w:spacing w:val="11"/>
        </w:rPr>
        <w:t> </w:t>
      </w:r>
      <w:r>
        <w:rPr>
          <w:rFonts w:ascii="Cambria Math"/>
        </w:rPr>
        <w:t>3 </w:t>
      </w:r>
      <w:r>
        <w:rPr>
          <w:rFonts w:ascii="Cambria Math"/>
          <w:spacing w:val="-12"/>
        </w:rPr>
        <w:t>+</w:t>
      </w:r>
    </w:p>
    <w:p>
      <w:pPr>
        <w:pStyle w:val="BodyText"/>
        <w:spacing w:line="220" w:lineRule="exact"/>
        <w:ind w:left="4514"/>
        <w:rPr>
          <w:rFonts w:ascii="Cambria Math"/>
        </w:rPr>
      </w:pPr>
      <w:r>
        <w:rPr>
          <w:rFonts w:ascii="Cambria Math"/>
          <w:spacing w:val="-5"/>
        </w:rPr>
        <w:t>25</w:t>
      </w:r>
    </w:p>
    <w:p>
      <w:pPr>
        <w:pStyle w:val="BodyText"/>
        <w:spacing w:before="241"/>
        <w:ind w:left="22"/>
      </w:pPr>
      <w:r>
        <w:rPr/>
        <w:br w:type="column"/>
      </w:r>
      <w:r>
        <w:rPr>
          <w:rFonts w:ascii="Cambria Math"/>
        </w:rPr>
        <w:t>=</w:t>
      </w:r>
      <w:r>
        <w:rPr>
          <w:rFonts w:ascii="Cambria Math"/>
          <w:spacing w:val="16"/>
        </w:rPr>
        <w:t> </w:t>
      </w:r>
      <w:r>
        <w:rPr>
          <w:rFonts w:ascii="Cambria Math"/>
        </w:rPr>
        <w:t>3.6</w:t>
      </w:r>
      <w:r>
        <w:rPr>
          <w:rFonts w:ascii="Cambria Math"/>
          <w:spacing w:val="15"/>
        </w:rPr>
        <w:t> </w:t>
      </w:r>
      <w:r>
        <w:rPr>
          <w:spacing w:val="-2"/>
        </w:rPr>
        <w:t>years</w:t>
      </w:r>
    </w:p>
    <w:p>
      <w:pPr>
        <w:pStyle w:val="BodyText"/>
        <w:spacing w:after="0"/>
        <w:sectPr>
          <w:type w:val="continuous"/>
          <w:pgSz w:w="12240" w:h="15840"/>
          <w:pgMar w:header="0" w:footer="1051" w:top="1820" w:bottom="1240" w:left="1440" w:right="1080"/>
          <w:cols w:num="2" w:equalWidth="0">
            <w:col w:w="4784" w:space="40"/>
            <w:col w:w="4896"/>
          </w:cols>
        </w:sectPr>
      </w:pPr>
    </w:p>
    <w:p>
      <w:pPr>
        <w:pStyle w:val="BodyText"/>
      </w:pPr>
    </w:p>
    <w:p>
      <w:pPr>
        <w:pStyle w:val="BodyText"/>
      </w:pPr>
    </w:p>
    <w:p>
      <w:pPr>
        <w:pStyle w:val="BodyText"/>
      </w:pPr>
    </w:p>
    <w:p>
      <w:pPr>
        <w:pStyle w:val="BodyText"/>
        <w:spacing w:before="135"/>
      </w:pPr>
    </w:p>
    <w:p>
      <w:pPr>
        <w:pStyle w:val="Heading2"/>
        <w:numPr>
          <w:ilvl w:val="1"/>
          <w:numId w:val="6"/>
        </w:numPr>
        <w:tabs>
          <w:tab w:pos="391" w:val="left" w:leader="none"/>
        </w:tabs>
        <w:spacing w:line="240" w:lineRule="auto" w:before="0" w:after="0"/>
        <w:ind w:left="391" w:right="0" w:hanging="391"/>
        <w:jc w:val="left"/>
      </w:pPr>
      <w:r>
        <w:rPr/>
        <w:t>Accounting</w:t>
      </w:r>
      <w:r>
        <w:rPr>
          <w:spacing w:val="-4"/>
        </w:rPr>
        <w:t> </w:t>
      </w:r>
      <w:r>
        <w:rPr/>
        <w:t>Rate</w:t>
      </w:r>
      <w:r>
        <w:rPr>
          <w:spacing w:val="-5"/>
        </w:rPr>
        <w:t> </w:t>
      </w:r>
      <w:r>
        <w:rPr/>
        <w:t>of</w:t>
      </w:r>
      <w:r>
        <w:rPr>
          <w:spacing w:val="-1"/>
        </w:rPr>
        <w:t> </w:t>
      </w:r>
      <w:r>
        <w:rPr/>
        <w:t>Return</w:t>
      </w:r>
      <w:r>
        <w:rPr>
          <w:spacing w:val="-8"/>
        </w:rPr>
        <w:t> </w:t>
      </w:r>
      <w:r>
        <w:rPr>
          <w:spacing w:val="-4"/>
        </w:rPr>
        <w:t>(ARR)</w:t>
      </w:r>
    </w:p>
    <w:p>
      <w:pPr>
        <w:pStyle w:val="BodyText"/>
        <w:spacing w:before="19"/>
        <w:rPr>
          <w:rFonts w:ascii="Arial"/>
          <w:b/>
        </w:rPr>
      </w:pPr>
    </w:p>
    <w:p>
      <w:pPr>
        <w:pStyle w:val="BodyText"/>
        <w:spacing w:line="362" w:lineRule="auto" w:before="1"/>
        <w:ind w:right="367"/>
        <w:jc w:val="both"/>
      </w:pPr>
      <w:r>
        <w:rPr/>
        <w:t>Accounting rate of Return (ARR) is used to measure profitability of an investment by assessing the average accounting profit per annum as a percentage of the average investment. It is estimated as:</w:t>
      </w:r>
    </w:p>
    <w:p>
      <w:pPr>
        <w:pStyle w:val="BodyText"/>
        <w:spacing w:after="0" w:line="362" w:lineRule="auto"/>
        <w:jc w:val="both"/>
        <w:sectPr>
          <w:type w:val="continuous"/>
          <w:pgSz w:w="12240" w:h="15840"/>
          <w:pgMar w:header="0" w:footer="1051" w:top="1820" w:bottom="1240" w:left="1440" w:right="1080"/>
        </w:sectPr>
      </w:pPr>
    </w:p>
    <w:p>
      <w:pPr>
        <w:pStyle w:val="BodyText"/>
        <w:spacing w:before="45"/>
      </w:pPr>
    </w:p>
    <w:p>
      <w:pPr>
        <w:pStyle w:val="BodyText"/>
        <w:spacing w:before="1"/>
        <w:jc w:val="right"/>
        <w:rPr>
          <w:rFonts w:ascii="Cambria Math"/>
        </w:rPr>
      </w:pPr>
      <w:r>
        <w:rPr>
          <w:rFonts w:ascii="Cambria Math"/>
        </w:rPr>
        <mc:AlternateContent>
          <mc:Choice Requires="wps">
            <w:drawing>
              <wp:anchor distT="0" distB="0" distL="0" distR="0" allowOverlap="1" layoutInCell="1" locked="0" behindDoc="1" simplePos="0" relativeHeight="486793728">
                <wp:simplePos x="0" y="0"/>
                <wp:positionH relativeFrom="page">
                  <wp:posOffset>3195573</wp:posOffset>
                </wp:positionH>
                <wp:positionV relativeFrom="paragraph">
                  <wp:posOffset>96560</wp:posOffset>
                </wp:positionV>
                <wp:extent cx="1473200" cy="9525"/>
                <wp:effectExtent l="0" t="0" r="0" b="0"/>
                <wp:wrapNone/>
                <wp:docPr id="39" name="Graphic 39"/>
                <wp:cNvGraphicFramePr>
                  <a:graphicFrameLocks/>
                </wp:cNvGraphicFramePr>
                <a:graphic>
                  <a:graphicData uri="http://schemas.microsoft.com/office/word/2010/wordprocessingShape">
                    <wps:wsp>
                      <wps:cNvPr id="39" name="Graphic 39"/>
                      <wps:cNvSpPr/>
                      <wps:spPr>
                        <a:xfrm>
                          <a:off x="0" y="0"/>
                          <a:ext cx="1473200" cy="9525"/>
                        </a:xfrm>
                        <a:custGeom>
                          <a:avLst/>
                          <a:gdLst/>
                          <a:ahLst/>
                          <a:cxnLst/>
                          <a:rect l="l" t="t" r="r" b="b"/>
                          <a:pathLst>
                            <a:path w="1473200" h="9525">
                              <a:moveTo>
                                <a:pt x="1472819" y="0"/>
                              </a:moveTo>
                              <a:lnTo>
                                <a:pt x="0" y="0"/>
                              </a:lnTo>
                              <a:lnTo>
                                <a:pt x="0" y="9143"/>
                              </a:lnTo>
                              <a:lnTo>
                                <a:pt x="1472819" y="9143"/>
                              </a:lnTo>
                              <a:lnTo>
                                <a:pt x="1472819"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rect style="position:absolute;margin-left:251.619995pt;margin-top:7.603194pt;width:115.97pt;height:.71997pt;mso-position-horizontal-relative:page;mso-position-vertical-relative:paragraph;z-index:-16522752" id="docshape38" filled="true" fillcolor="#000000" stroked="false">
                <v:fill type="solid"/>
                <w10:wrap type="none"/>
              </v:rect>
            </w:pict>
          </mc:Fallback>
        </mc:AlternateContent>
      </w:r>
      <w:r>
        <w:rPr/>
        <w:t>ARR</w:t>
      </w:r>
      <w:r>
        <w:rPr>
          <w:spacing w:val="-3"/>
        </w:rPr>
        <w:t> </w:t>
      </w:r>
      <w:r>
        <w:rPr>
          <w:rFonts w:ascii="Cambria Math"/>
          <w:spacing w:val="-10"/>
        </w:rPr>
        <w:t>=</w:t>
      </w:r>
    </w:p>
    <w:p>
      <w:pPr>
        <w:pStyle w:val="BodyText"/>
        <w:spacing w:line="187" w:lineRule="auto" w:before="192"/>
        <w:ind w:left="116" w:right="3124" w:hanging="92"/>
        <w:rPr>
          <w:rFonts w:ascii="Cambria Math" w:hAnsi="Cambria Math"/>
          <w:position w:val="16"/>
        </w:rPr>
      </w:pPr>
      <w:r>
        <w:rPr/>
        <w:br w:type="column"/>
      </w:r>
      <w:r>
        <w:rPr/>
        <w:t>Average Annual Profit Average</w:t>
      </w:r>
      <w:r>
        <w:rPr>
          <w:spacing w:val="-10"/>
        </w:rPr>
        <w:t> </w:t>
      </w:r>
      <w:r>
        <w:rPr/>
        <w:t>Investment</w:t>
      </w:r>
      <w:r>
        <w:rPr>
          <w:spacing w:val="40"/>
        </w:rPr>
        <w:t> </w:t>
      </w:r>
      <w:r>
        <w:rPr>
          <w:rFonts w:ascii="Cambria Math" w:hAnsi="Cambria Math"/>
          <w:position w:val="16"/>
        </w:rPr>
        <w:t>×</w:t>
      </w:r>
      <w:r>
        <w:rPr>
          <w:rFonts w:ascii="Cambria Math" w:hAnsi="Cambria Math"/>
          <w:spacing w:val="-7"/>
          <w:position w:val="16"/>
        </w:rPr>
        <w:t> </w:t>
      </w:r>
      <w:r>
        <w:rPr>
          <w:rFonts w:ascii="Cambria Math" w:hAnsi="Cambria Math"/>
          <w:position w:val="16"/>
        </w:rPr>
        <w:t>100</w:t>
      </w:r>
    </w:p>
    <w:p>
      <w:pPr>
        <w:pStyle w:val="BodyText"/>
        <w:spacing w:after="0" w:line="187" w:lineRule="auto"/>
        <w:rPr>
          <w:rFonts w:ascii="Cambria Math" w:hAnsi="Cambria Math"/>
          <w:position w:val="16"/>
        </w:rPr>
        <w:sectPr>
          <w:type w:val="continuous"/>
          <w:pgSz w:w="12240" w:h="15840"/>
          <w:pgMar w:header="0" w:footer="1051" w:top="1820" w:bottom="1240" w:left="1440" w:right="1080"/>
          <w:cols w:num="2" w:equalWidth="0">
            <w:col w:w="3527" w:space="40"/>
            <w:col w:w="6153"/>
          </w:cols>
        </w:sectPr>
      </w:pPr>
    </w:p>
    <w:p>
      <w:pPr>
        <w:pStyle w:val="BodyText"/>
        <w:spacing w:before="275"/>
      </w:pPr>
      <w:r>
        <w:rPr>
          <w:spacing w:val="-2"/>
        </w:rPr>
        <w:t>where:</w:t>
      </w:r>
    </w:p>
    <w:p>
      <w:pPr>
        <w:pStyle w:val="BodyText"/>
        <w:spacing w:before="4"/>
        <w:rPr>
          <w:sz w:val="16"/>
        </w:rPr>
      </w:pPr>
    </w:p>
    <w:p>
      <w:pPr>
        <w:pStyle w:val="BodyText"/>
        <w:spacing w:after="0"/>
        <w:rPr>
          <w:sz w:val="16"/>
        </w:rPr>
        <w:sectPr>
          <w:type w:val="continuous"/>
          <w:pgSz w:w="12240" w:h="15840"/>
          <w:pgMar w:header="0" w:footer="1051" w:top="1820" w:bottom="1240" w:left="1440" w:right="1080"/>
        </w:sectPr>
      </w:pPr>
    </w:p>
    <w:p>
      <w:pPr>
        <w:pStyle w:val="BodyText"/>
        <w:spacing w:before="272"/>
        <w:ind w:left="1618"/>
        <w:rPr>
          <w:rFonts w:ascii="Cambria Math"/>
        </w:rPr>
      </w:pPr>
      <w:r>
        <w:rPr/>
        <w:t>Average</w:t>
      </w:r>
      <w:r>
        <w:rPr>
          <w:spacing w:val="-10"/>
        </w:rPr>
        <w:t> </w:t>
      </w:r>
      <w:r>
        <w:rPr/>
        <w:t>Investment</w:t>
      </w:r>
      <w:r>
        <w:rPr>
          <w:spacing w:val="-2"/>
        </w:rPr>
        <w:t> </w:t>
      </w:r>
      <w:r>
        <w:rPr>
          <w:rFonts w:ascii="Cambria Math"/>
          <w:spacing w:val="-10"/>
        </w:rPr>
        <w:t>=</w:t>
      </w:r>
    </w:p>
    <w:p>
      <w:pPr>
        <w:pStyle w:val="BodyText"/>
        <w:spacing w:before="90"/>
        <w:ind w:left="8" w:right="1952"/>
        <w:jc w:val="center"/>
      </w:pPr>
      <w:r>
        <w:rPr/>
        <w:br w:type="column"/>
      </w:r>
      <w:r>
        <w:rPr/>
        <w:t>Initial</w:t>
      </w:r>
      <w:r>
        <w:rPr>
          <w:spacing w:val="-4"/>
        </w:rPr>
        <w:t> </w:t>
      </w:r>
      <w:r>
        <w:rPr/>
        <w:t>Investment</w:t>
      </w:r>
      <w:r>
        <w:rPr>
          <w:spacing w:val="-14"/>
        </w:rPr>
        <w:t> </w:t>
      </w:r>
      <w:r>
        <w:rPr>
          <w:rFonts w:ascii="Cambria Math"/>
        </w:rPr>
        <w:t>+ </w:t>
      </w:r>
      <w:r>
        <w:rPr/>
        <w:t>Residual</w:t>
      </w:r>
      <w:r>
        <w:rPr>
          <w:spacing w:val="-3"/>
        </w:rPr>
        <w:t> </w:t>
      </w:r>
      <w:r>
        <w:rPr>
          <w:spacing w:val="-4"/>
        </w:rPr>
        <w:t>Value</w:t>
      </w:r>
    </w:p>
    <w:p>
      <w:pPr>
        <w:pStyle w:val="BodyText"/>
        <w:spacing w:before="6"/>
        <w:rPr>
          <w:sz w:val="4"/>
        </w:rPr>
      </w:pPr>
    </w:p>
    <w:p>
      <w:pPr>
        <w:pStyle w:val="BodyText"/>
        <w:spacing w:line="20" w:lineRule="exact"/>
        <w:ind w:left="25"/>
        <w:rPr>
          <w:sz w:val="2"/>
        </w:rPr>
      </w:pPr>
      <w:r>
        <w:rPr>
          <w:sz w:val="2"/>
        </w:rPr>
        <mc:AlternateContent>
          <mc:Choice Requires="wps">
            <w:drawing>
              <wp:inline distT="0" distB="0" distL="0" distR="0">
                <wp:extent cx="2338705" cy="9525"/>
                <wp:effectExtent l="0" t="0" r="0" b="0"/>
                <wp:docPr id="40" name="Group 40"/>
                <wp:cNvGraphicFramePr>
                  <a:graphicFrameLocks/>
                </wp:cNvGraphicFramePr>
                <a:graphic>
                  <a:graphicData uri="http://schemas.microsoft.com/office/word/2010/wordprocessingGroup">
                    <wpg:wgp>
                      <wpg:cNvPr id="40" name="Group 40"/>
                      <wpg:cNvGrpSpPr/>
                      <wpg:grpSpPr>
                        <a:xfrm>
                          <a:off x="0" y="0"/>
                          <a:ext cx="2338705" cy="9525"/>
                          <a:chExt cx="2338705" cy="9525"/>
                        </a:xfrm>
                      </wpg:grpSpPr>
                      <wps:wsp>
                        <wps:cNvPr id="41" name="Graphic 41"/>
                        <wps:cNvSpPr/>
                        <wps:spPr>
                          <a:xfrm>
                            <a:off x="0" y="0"/>
                            <a:ext cx="2338705" cy="9525"/>
                          </a:xfrm>
                          <a:custGeom>
                            <a:avLst/>
                            <a:gdLst/>
                            <a:ahLst/>
                            <a:cxnLst/>
                            <a:rect l="l" t="t" r="r" b="b"/>
                            <a:pathLst>
                              <a:path w="2338705" h="9525">
                                <a:moveTo>
                                  <a:pt x="2338704" y="0"/>
                                </a:moveTo>
                                <a:lnTo>
                                  <a:pt x="0" y="0"/>
                                </a:lnTo>
                                <a:lnTo>
                                  <a:pt x="0" y="9144"/>
                                </a:lnTo>
                                <a:lnTo>
                                  <a:pt x="2338704" y="9144"/>
                                </a:lnTo>
                                <a:lnTo>
                                  <a:pt x="2338704"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style="width:184.15pt;height:.75pt;mso-position-horizontal-relative:char;mso-position-vertical-relative:line" id="docshapegroup39" coordorigin="0,0" coordsize="3683,15">
                <v:rect style="position:absolute;left:0;top:0;width:3683;height:15" id="docshape40" filled="true" fillcolor="#000000" stroked="false">
                  <v:fill type="solid"/>
                </v:rect>
              </v:group>
            </w:pict>
          </mc:Fallback>
        </mc:AlternateContent>
      </w:r>
      <w:r>
        <w:rPr>
          <w:sz w:val="2"/>
        </w:rPr>
      </w:r>
    </w:p>
    <w:p>
      <w:pPr>
        <w:pStyle w:val="BodyText"/>
        <w:ind w:right="1952"/>
        <w:jc w:val="center"/>
        <w:rPr>
          <w:rFonts w:ascii="Cambria Math"/>
        </w:rPr>
      </w:pPr>
      <w:r>
        <w:rPr>
          <w:rFonts w:ascii="Cambria Math"/>
          <w:spacing w:val="-10"/>
        </w:rPr>
        <w:t>2</w:t>
      </w:r>
    </w:p>
    <w:p>
      <w:pPr>
        <w:pStyle w:val="BodyText"/>
        <w:spacing w:after="0"/>
        <w:jc w:val="center"/>
        <w:rPr>
          <w:rFonts w:ascii="Cambria Math"/>
        </w:rPr>
        <w:sectPr>
          <w:type w:val="continuous"/>
          <w:pgSz w:w="12240" w:h="15840"/>
          <w:pgMar w:header="0" w:footer="1051" w:top="1820" w:bottom="1240" w:left="1440" w:right="1080"/>
          <w:cols w:num="2" w:equalWidth="0">
            <w:col w:w="3998" w:space="40"/>
            <w:col w:w="5682"/>
          </w:cols>
        </w:sectPr>
      </w:pPr>
    </w:p>
    <w:p>
      <w:pPr>
        <w:pStyle w:val="BodyText"/>
        <w:rPr>
          <w:rFonts w:ascii="Cambria Math"/>
        </w:rPr>
      </w:pPr>
    </w:p>
    <w:p>
      <w:pPr>
        <w:pStyle w:val="BodyText"/>
        <w:spacing w:before="246"/>
        <w:rPr>
          <w:rFonts w:ascii="Cambria Math"/>
        </w:rPr>
      </w:pPr>
    </w:p>
    <w:p>
      <w:pPr>
        <w:pStyle w:val="Heading2"/>
      </w:pPr>
      <w:r>
        <w:rPr/>
        <w:t>Step 1:</w:t>
      </w:r>
      <w:r>
        <w:rPr>
          <w:spacing w:val="-1"/>
        </w:rPr>
        <w:t> </w:t>
      </w:r>
      <w:r>
        <w:rPr/>
        <w:t>Key</w:t>
      </w:r>
      <w:r>
        <w:rPr>
          <w:spacing w:val="-14"/>
        </w:rPr>
        <w:t> </w:t>
      </w:r>
      <w:r>
        <w:rPr>
          <w:spacing w:val="-2"/>
        </w:rPr>
        <w:t>Assumptions</w:t>
      </w:r>
    </w:p>
    <w:p>
      <w:pPr>
        <w:pStyle w:val="BodyText"/>
        <w:spacing w:before="24"/>
        <w:rPr>
          <w:rFonts w:ascii="Arial"/>
          <w:b/>
        </w:rPr>
      </w:pPr>
    </w:p>
    <w:p>
      <w:pPr>
        <w:pStyle w:val="ListParagraph"/>
        <w:numPr>
          <w:ilvl w:val="0"/>
          <w:numId w:val="7"/>
        </w:numPr>
        <w:tabs>
          <w:tab w:pos="720" w:val="left" w:leader="none"/>
        </w:tabs>
        <w:spacing w:line="240" w:lineRule="auto" w:before="0" w:after="0"/>
        <w:ind w:left="720" w:right="0" w:hanging="360"/>
        <w:jc w:val="left"/>
        <w:rPr>
          <w:rFonts w:ascii="Arial MT" w:hAnsi="Arial MT"/>
          <w:sz w:val="24"/>
        </w:rPr>
      </w:pPr>
      <w:r>
        <w:rPr>
          <w:rFonts w:ascii="Arial MT" w:hAnsi="Arial MT"/>
          <w:sz w:val="24"/>
        </w:rPr>
        <w:t>Initial</w:t>
      </w:r>
      <w:r>
        <w:rPr>
          <w:rFonts w:ascii="Arial MT" w:hAnsi="Arial MT"/>
          <w:spacing w:val="-4"/>
          <w:sz w:val="24"/>
        </w:rPr>
        <w:t> </w:t>
      </w:r>
      <w:r>
        <w:rPr>
          <w:rFonts w:ascii="Arial MT" w:hAnsi="Arial MT"/>
          <w:sz w:val="24"/>
        </w:rPr>
        <w:t>Investment</w:t>
      </w:r>
      <w:r>
        <w:rPr>
          <w:rFonts w:ascii="Arial MT" w:hAnsi="Arial MT"/>
          <w:spacing w:val="-2"/>
          <w:sz w:val="24"/>
        </w:rPr>
        <w:t> </w:t>
      </w:r>
      <w:r>
        <w:rPr>
          <w:rFonts w:ascii="Arial MT" w:hAnsi="Arial MT"/>
          <w:sz w:val="24"/>
        </w:rPr>
        <w:t>=</w:t>
      </w:r>
      <w:r>
        <w:rPr>
          <w:rFonts w:ascii="Arial MT" w:hAnsi="Arial MT"/>
          <w:spacing w:val="-4"/>
          <w:sz w:val="24"/>
        </w:rPr>
        <w:t> </w:t>
      </w:r>
      <w:r>
        <w:rPr>
          <w:rFonts w:ascii="Arial MT" w:hAnsi="Arial MT"/>
          <w:sz w:val="24"/>
        </w:rPr>
        <w:t>£50</w:t>
      </w:r>
      <w:r>
        <w:rPr>
          <w:rFonts w:ascii="Arial MT" w:hAnsi="Arial MT"/>
          <w:spacing w:val="-2"/>
          <w:sz w:val="24"/>
        </w:rPr>
        <w:t> </w:t>
      </w:r>
      <w:r>
        <w:rPr>
          <w:rFonts w:ascii="Arial MT" w:hAnsi="Arial MT"/>
          <w:sz w:val="24"/>
        </w:rPr>
        <w:t>million</w:t>
      </w:r>
      <w:r>
        <w:rPr>
          <w:rFonts w:ascii="Arial MT" w:hAnsi="Arial MT"/>
          <w:spacing w:val="-3"/>
          <w:sz w:val="24"/>
        </w:rPr>
        <w:t> </w:t>
      </w:r>
      <w:r>
        <w:rPr>
          <w:rFonts w:ascii="Arial MT" w:hAnsi="Arial MT"/>
          <w:sz w:val="24"/>
        </w:rPr>
        <w:t>(all</w:t>
      </w:r>
      <w:r>
        <w:rPr>
          <w:rFonts w:ascii="Arial MT" w:hAnsi="Arial MT"/>
          <w:spacing w:val="-3"/>
          <w:sz w:val="24"/>
        </w:rPr>
        <w:t> </w:t>
      </w:r>
      <w:r>
        <w:rPr>
          <w:rFonts w:ascii="Arial MT" w:hAnsi="Arial MT"/>
          <w:spacing w:val="-2"/>
          <w:sz w:val="24"/>
        </w:rPr>
        <w:t>projects)</w:t>
      </w:r>
    </w:p>
    <w:p>
      <w:pPr>
        <w:pStyle w:val="BodyText"/>
        <w:spacing w:before="24"/>
      </w:pPr>
    </w:p>
    <w:p>
      <w:pPr>
        <w:pStyle w:val="ListParagraph"/>
        <w:numPr>
          <w:ilvl w:val="0"/>
          <w:numId w:val="7"/>
        </w:numPr>
        <w:tabs>
          <w:tab w:pos="720" w:val="left" w:leader="none"/>
        </w:tabs>
        <w:spacing w:line="240" w:lineRule="auto" w:before="0" w:after="0"/>
        <w:ind w:left="720" w:right="0" w:hanging="360"/>
        <w:jc w:val="left"/>
        <w:rPr>
          <w:rFonts w:ascii="Arial MT" w:hAnsi="Arial MT"/>
          <w:sz w:val="24"/>
        </w:rPr>
      </w:pPr>
      <w:r>
        <w:rPr>
          <w:rFonts w:ascii="Arial MT" w:hAnsi="Arial MT"/>
          <w:sz w:val="24"/>
        </w:rPr>
        <w:t>Residual</w:t>
      </w:r>
      <w:r>
        <w:rPr>
          <w:rFonts w:ascii="Arial MT" w:hAnsi="Arial MT"/>
          <w:spacing w:val="-9"/>
          <w:sz w:val="24"/>
        </w:rPr>
        <w:t> </w:t>
      </w:r>
      <w:r>
        <w:rPr>
          <w:rFonts w:ascii="Arial MT" w:hAnsi="Arial MT"/>
          <w:sz w:val="24"/>
        </w:rPr>
        <w:t>Value</w:t>
      </w:r>
      <w:r>
        <w:rPr>
          <w:rFonts w:ascii="Arial MT" w:hAnsi="Arial MT"/>
          <w:spacing w:val="-11"/>
          <w:sz w:val="24"/>
        </w:rPr>
        <w:t> </w:t>
      </w:r>
      <w:r>
        <w:rPr>
          <w:rFonts w:ascii="Arial MT" w:hAnsi="Arial MT"/>
          <w:sz w:val="24"/>
        </w:rPr>
        <w:t>=</w:t>
      </w:r>
      <w:r>
        <w:rPr>
          <w:rFonts w:ascii="Arial MT" w:hAnsi="Arial MT"/>
          <w:spacing w:val="-6"/>
          <w:sz w:val="24"/>
        </w:rPr>
        <w:t> </w:t>
      </w:r>
      <w:r>
        <w:rPr>
          <w:rFonts w:ascii="Arial MT" w:hAnsi="Arial MT"/>
          <w:spacing w:val="-5"/>
          <w:sz w:val="24"/>
        </w:rPr>
        <w:t>£0</w:t>
      </w:r>
    </w:p>
    <w:p>
      <w:pPr>
        <w:pStyle w:val="BodyText"/>
        <w:spacing w:before="19"/>
      </w:pPr>
    </w:p>
    <w:p>
      <w:pPr>
        <w:pStyle w:val="ListParagraph"/>
        <w:numPr>
          <w:ilvl w:val="0"/>
          <w:numId w:val="7"/>
        </w:numPr>
        <w:tabs>
          <w:tab w:pos="720" w:val="left" w:leader="none"/>
        </w:tabs>
        <w:spacing w:line="240" w:lineRule="auto" w:before="1" w:after="0"/>
        <w:ind w:left="720" w:right="0" w:hanging="360"/>
        <w:jc w:val="left"/>
        <w:rPr>
          <w:rFonts w:ascii="Arial MT" w:hAnsi="Arial MT"/>
          <w:sz w:val="24"/>
        </w:rPr>
      </w:pPr>
      <w:r>
        <w:rPr>
          <w:rFonts w:ascii="Arial MT" w:hAnsi="Arial MT"/>
          <w:sz w:val="24"/>
        </w:rPr>
        <w:t>Project</w:t>
      </w:r>
      <w:r>
        <w:rPr>
          <w:rFonts w:ascii="Arial MT" w:hAnsi="Arial MT"/>
          <w:spacing w:val="-3"/>
          <w:sz w:val="24"/>
        </w:rPr>
        <w:t> </w:t>
      </w:r>
      <w:r>
        <w:rPr>
          <w:rFonts w:ascii="Arial MT" w:hAnsi="Arial MT"/>
          <w:sz w:val="24"/>
        </w:rPr>
        <w:t>Life =</w:t>
      </w:r>
      <w:r>
        <w:rPr>
          <w:rFonts w:ascii="Arial MT" w:hAnsi="Arial MT"/>
          <w:spacing w:val="-1"/>
          <w:sz w:val="24"/>
        </w:rPr>
        <w:t> </w:t>
      </w:r>
      <w:r>
        <w:rPr>
          <w:rFonts w:ascii="Arial MT" w:hAnsi="Arial MT"/>
          <w:sz w:val="24"/>
        </w:rPr>
        <w:t>5</w:t>
      </w:r>
      <w:r>
        <w:rPr>
          <w:rFonts w:ascii="Arial MT" w:hAnsi="Arial MT"/>
          <w:spacing w:val="-1"/>
          <w:sz w:val="24"/>
        </w:rPr>
        <w:t> </w:t>
      </w:r>
      <w:r>
        <w:rPr>
          <w:rFonts w:ascii="Arial MT" w:hAnsi="Arial MT"/>
          <w:spacing w:val="-4"/>
          <w:sz w:val="24"/>
        </w:rPr>
        <w:t>years</w:t>
      </w:r>
    </w:p>
    <w:p>
      <w:pPr>
        <w:pStyle w:val="BodyText"/>
        <w:spacing w:before="19"/>
      </w:pPr>
    </w:p>
    <w:p>
      <w:pPr>
        <w:pStyle w:val="ListParagraph"/>
        <w:numPr>
          <w:ilvl w:val="0"/>
          <w:numId w:val="7"/>
        </w:numPr>
        <w:tabs>
          <w:tab w:pos="720" w:val="left" w:leader="none"/>
        </w:tabs>
        <w:spacing w:line="240" w:lineRule="auto" w:before="0" w:after="0"/>
        <w:ind w:left="720" w:right="0" w:hanging="360"/>
        <w:jc w:val="left"/>
        <w:rPr>
          <w:b/>
          <w:sz w:val="24"/>
        </w:rPr>
      </w:pPr>
      <w:r>
        <w:rPr>
          <w:rFonts w:ascii="Arial MT" w:hAnsi="Arial MT"/>
          <w:sz w:val="24"/>
        </w:rPr>
        <w:t>Depreciation</w:t>
      </w:r>
      <w:r>
        <w:rPr>
          <w:rFonts w:ascii="Arial MT" w:hAnsi="Arial MT"/>
          <w:spacing w:val="-5"/>
          <w:sz w:val="24"/>
        </w:rPr>
        <w:t> </w:t>
      </w:r>
      <w:r>
        <w:rPr>
          <w:rFonts w:ascii="Arial MT" w:hAnsi="Arial MT"/>
          <w:sz w:val="24"/>
        </w:rPr>
        <w:t>(straight-line) =</w:t>
      </w:r>
      <w:r>
        <w:rPr>
          <w:rFonts w:ascii="Arial MT" w:hAnsi="Arial MT"/>
          <w:spacing w:val="-1"/>
          <w:sz w:val="24"/>
        </w:rPr>
        <w:t> </w:t>
      </w:r>
      <w:r>
        <w:rPr>
          <w:rFonts w:ascii="Arial MT" w:hAnsi="Arial MT"/>
          <w:sz w:val="24"/>
        </w:rPr>
        <w:t>50</w:t>
      </w:r>
      <w:r>
        <w:rPr>
          <w:rFonts w:ascii="Arial MT" w:hAnsi="Arial MT"/>
          <w:spacing w:val="-2"/>
          <w:sz w:val="24"/>
        </w:rPr>
        <w:t> </w:t>
      </w:r>
      <w:r>
        <w:rPr>
          <w:rFonts w:ascii="Arial MT" w:hAnsi="Arial MT"/>
          <w:sz w:val="24"/>
        </w:rPr>
        <w:t>/</w:t>
      </w:r>
      <w:r>
        <w:rPr>
          <w:rFonts w:ascii="Arial MT" w:hAnsi="Arial MT"/>
          <w:spacing w:val="-4"/>
          <w:sz w:val="24"/>
        </w:rPr>
        <w:t> </w:t>
      </w:r>
      <w:r>
        <w:rPr>
          <w:rFonts w:ascii="Arial MT" w:hAnsi="Arial MT"/>
          <w:sz w:val="24"/>
        </w:rPr>
        <w:t>5</w:t>
      </w:r>
      <w:r>
        <w:rPr>
          <w:rFonts w:ascii="Arial MT" w:hAnsi="Arial MT"/>
          <w:spacing w:val="-1"/>
          <w:sz w:val="24"/>
        </w:rPr>
        <w:t> </w:t>
      </w:r>
      <w:r>
        <w:rPr>
          <w:rFonts w:ascii="Arial MT" w:hAnsi="Arial MT"/>
          <w:sz w:val="24"/>
        </w:rPr>
        <w:t>= </w:t>
      </w:r>
      <w:r>
        <w:rPr>
          <w:b/>
          <w:sz w:val="24"/>
        </w:rPr>
        <w:t>£10</w:t>
      </w:r>
      <w:r>
        <w:rPr>
          <w:b/>
          <w:spacing w:val="-1"/>
          <w:sz w:val="24"/>
        </w:rPr>
        <w:t> </w:t>
      </w:r>
      <w:r>
        <w:rPr>
          <w:b/>
          <w:sz w:val="24"/>
        </w:rPr>
        <w:t>million</w:t>
      </w:r>
      <w:r>
        <w:rPr>
          <w:b/>
          <w:spacing w:val="-4"/>
          <w:sz w:val="24"/>
        </w:rPr>
        <w:t> </w:t>
      </w:r>
      <w:r>
        <w:rPr>
          <w:b/>
          <w:sz w:val="24"/>
        </w:rPr>
        <w:t>per</w:t>
      </w:r>
      <w:r>
        <w:rPr>
          <w:b/>
          <w:spacing w:val="-3"/>
          <w:sz w:val="24"/>
        </w:rPr>
        <w:t> </w:t>
      </w:r>
      <w:r>
        <w:rPr>
          <w:b/>
          <w:spacing w:val="-4"/>
          <w:sz w:val="24"/>
        </w:rPr>
        <w:t>year</w:t>
      </w:r>
    </w:p>
    <w:p>
      <w:pPr>
        <w:pStyle w:val="BodyText"/>
        <w:rPr>
          <w:rFonts w:ascii="Arial"/>
          <w:b/>
        </w:rPr>
      </w:pPr>
    </w:p>
    <w:p>
      <w:pPr>
        <w:pStyle w:val="BodyText"/>
        <w:rPr>
          <w:rFonts w:ascii="Arial"/>
          <w:b/>
        </w:rPr>
      </w:pPr>
    </w:p>
    <w:p>
      <w:pPr>
        <w:pStyle w:val="BodyText"/>
        <w:spacing w:before="43"/>
        <w:rPr>
          <w:rFonts w:ascii="Arial"/>
          <w:b/>
        </w:rPr>
      </w:pPr>
    </w:p>
    <w:p>
      <w:pPr>
        <w:pStyle w:val="Heading2"/>
        <w:spacing w:line="501" w:lineRule="auto" w:before="1"/>
        <w:ind w:right="6870"/>
      </w:pPr>
      <w:r>
        <w:rPr/>
        <w:t>Project</w:t>
      </w:r>
      <w:r>
        <w:rPr>
          <w:spacing w:val="-17"/>
        </w:rPr>
        <w:t> </w:t>
      </w:r>
      <w:r>
        <w:rPr/>
        <w:t>A</w:t>
      </w:r>
      <w:r>
        <w:rPr>
          <w:spacing w:val="-17"/>
        </w:rPr>
        <w:t> </w:t>
      </w:r>
      <w:r>
        <w:rPr/>
        <w:t>Calculation Cash Inflows</w:t>
      </w:r>
    </w:p>
    <w:p>
      <w:pPr>
        <w:spacing w:line="270" w:lineRule="exact" w:before="0"/>
        <w:ind w:left="0" w:right="0" w:firstLine="0"/>
        <w:jc w:val="left"/>
        <w:rPr>
          <w:rFonts w:ascii="Arial" w:hAnsi="Arial"/>
          <w:b/>
          <w:sz w:val="24"/>
        </w:rPr>
      </w:pPr>
      <w:r>
        <w:rPr>
          <w:sz w:val="24"/>
        </w:rPr>
        <w:t>10</w:t>
      </w:r>
      <w:r>
        <w:rPr>
          <w:spacing w:val="-1"/>
          <w:sz w:val="24"/>
        </w:rPr>
        <w:t> </w:t>
      </w:r>
      <w:r>
        <w:rPr>
          <w:sz w:val="24"/>
        </w:rPr>
        <w:t>+ 12</w:t>
      </w:r>
      <w:r>
        <w:rPr>
          <w:spacing w:val="-1"/>
          <w:sz w:val="24"/>
        </w:rPr>
        <w:t> </w:t>
      </w:r>
      <w:r>
        <w:rPr>
          <w:sz w:val="24"/>
        </w:rPr>
        <w:t>+ 14 +</w:t>
      </w:r>
      <w:r>
        <w:rPr>
          <w:spacing w:val="-1"/>
          <w:sz w:val="24"/>
        </w:rPr>
        <w:t> </w:t>
      </w:r>
      <w:r>
        <w:rPr>
          <w:sz w:val="24"/>
        </w:rPr>
        <w:t>10 + 8</w:t>
      </w:r>
      <w:r>
        <w:rPr>
          <w:spacing w:val="-1"/>
          <w:sz w:val="24"/>
        </w:rPr>
        <w:t> </w:t>
      </w:r>
      <w:r>
        <w:rPr>
          <w:sz w:val="24"/>
        </w:rPr>
        <w:t>=</w:t>
      </w:r>
      <w:r>
        <w:rPr>
          <w:spacing w:val="2"/>
          <w:sz w:val="24"/>
        </w:rPr>
        <w:t> </w:t>
      </w:r>
      <w:r>
        <w:rPr>
          <w:rFonts w:ascii="Arial" w:hAnsi="Arial"/>
          <w:b/>
          <w:sz w:val="24"/>
        </w:rPr>
        <w:t>£54</w:t>
      </w:r>
      <w:r>
        <w:rPr>
          <w:rFonts w:ascii="Arial" w:hAnsi="Arial"/>
          <w:b/>
          <w:spacing w:val="-4"/>
          <w:sz w:val="24"/>
        </w:rPr>
        <w:t> </w:t>
      </w:r>
      <w:r>
        <w:rPr>
          <w:rFonts w:ascii="Arial" w:hAnsi="Arial"/>
          <w:b/>
          <w:spacing w:val="-2"/>
          <w:sz w:val="24"/>
        </w:rPr>
        <w:t>million</w:t>
      </w:r>
    </w:p>
    <w:p>
      <w:pPr>
        <w:spacing w:after="0" w:line="270" w:lineRule="exact"/>
        <w:jc w:val="left"/>
        <w:rPr>
          <w:rFonts w:ascii="Arial" w:hAnsi="Arial"/>
          <w:b/>
          <w:sz w:val="24"/>
        </w:rPr>
        <w:sectPr>
          <w:type w:val="continuous"/>
          <w:pgSz w:w="12240" w:h="15840"/>
          <w:pgMar w:header="0" w:footer="1051" w:top="1820" w:bottom="1240" w:left="1440" w:right="1080"/>
        </w:sectPr>
      </w:pPr>
    </w:p>
    <w:p>
      <w:pPr>
        <w:pStyle w:val="Heading2"/>
        <w:spacing w:line="499" w:lineRule="auto" w:before="76"/>
        <w:ind w:right="6478"/>
      </w:pPr>
      <w:r>
        <w:rPr/>
        <w:t>Average</w:t>
      </w:r>
      <w:r>
        <w:rPr>
          <w:spacing w:val="-19"/>
        </w:rPr>
        <w:t> </w:t>
      </w:r>
      <w:r>
        <w:rPr/>
        <w:t>Annual</w:t>
      </w:r>
      <w:r>
        <w:rPr>
          <w:spacing w:val="-17"/>
        </w:rPr>
        <w:t> </w:t>
      </w:r>
      <w:r>
        <w:rPr/>
        <w:t>Cash</w:t>
      </w:r>
      <w:r>
        <w:rPr>
          <w:spacing w:val="-16"/>
        </w:rPr>
        <w:t> </w:t>
      </w:r>
      <w:r>
        <w:rPr/>
        <w:t>Inflow </w:t>
      </w:r>
      <w:r>
        <w:rPr>
          <w:rFonts w:ascii="Arial MT" w:hAnsi="Arial MT"/>
          <w:b w:val="0"/>
        </w:rPr>
        <w:t>54 / 5 = </w:t>
      </w:r>
      <w:r>
        <w:rPr/>
        <w:t>£10.8 million Average Annual Profit</w:t>
      </w:r>
    </w:p>
    <w:p>
      <w:pPr>
        <w:spacing w:line="496" w:lineRule="auto" w:before="1"/>
        <w:ind w:left="0" w:right="6870" w:firstLine="0"/>
        <w:jc w:val="left"/>
        <w:rPr>
          <w:rFonts w:ascii="Arial" w:hAnsi="Arial"/>
          <w:b/>
          <w:sz w:val="24"/>
        </w:rPr>
      </w:pPr>
      <w:r>
        <w:rPr>
          <w:sz w:val="24"/>
        </w:rPr>
        <w:t>=</w:t>
      </w:r>
      <w:r>
        <w:rPr>
          <w:spacing w:val="-7"/>
          <w:sz w:val="24"/>
        </w:rPr>
        <w:t> </w:t>
      </w:r>
      <w:r>
        <w:rPr>
          <w:sz w:val="24"/>
        </w:rPr>
        <w:t>10.8</w:t>
      </w:r>
      <w:r>
        <w:rPr>
          <w:spacing w:val="-3"/>
          <w:sz w:val="24"/>
        </w:rPr>
        <w:t> </w:t>
      </w:r>
      <w:r>
        <w:rPr>
          <w:sz w:val="24"/>
        </w:rPr>
        <w:t>–</w:t>
      </w:r>
      <w:r>
        <w:rPr>
          <w:spacing w:val="-5"/>
          <w:sz w:val="24"/>
        </w:rPr>
        <w:t> </w:t>
      </w:r>
      <w:r>
        <w:rPr>
          <w:sz w:val="24"/>
        </w:rPr>
        <w:t>10</w:t>
      </w:r>
      <w:r>
        <w:rPr>
          <w:spacing w:val="-10"/>
          <w:sz w:val="24"/>
        </w:rPr>
        <w:t> </w:t>
      </w:r>
      <w:r>
        <w:rPr>
          <w:sz w:val="24"/>
        </w:rPr>
        <w:t>=</w:t>
      </w:r>
      <w:r>
        <w:rPr>
          <w:spacing w:val="-6"/>
          <w:sz w:val="24"/>
        </w:rPr>
        <w:t> </w:t>
      </w:r>
      <w:r>
        <w:rPr>
          <w:rFonts w:ascii="Arial" w:hAnsi="Arial"/>
          <w:b/>
          <w:sz w:val="24"/>
        </w:rPr>
        <w:t>£0.8</w:t>
      </w:r>
      <w:r>
        <w:rPr>
          <w:rFonts w:ascii="Arial" w:hAnsi="Arial"/>
          <w:b/>
          <w:spacing w:val="-4"/>
          <w:sz w:val="24"/>
        </w:rPr>
        <w:t> </w:t>
      </w:r>
      <w:r>
        <w:rPr>
          <w:rFonts w:ascii="Arial" w:hAnsi="Arial"/>
          <w:b/>
          <w:sz w:val="24"/>
        </w:rPr>
        <w:t>million Average Investment</w:t>
      </w:r>
    </w:p>
    <w:p>
      <w:pPr>
        <w:spacing w:before="6"/>
        <w:ind w:left="0" w:right="0" w:firstLine="0"/>
        <w:jc w:val="left"/>
        <w:rPr>
          <w:rFonts w:ascii="Arial" w:hAnsi="Arial"/>
          <w:b/>
          <w:sz w:val="24"/>
        </w:rPr>
      </w:pPr>
      <w:r>
        <w:rPr>
          <w:sz w:val="24"/>
        </w:rPr>
        <w:t>=</w:t>
      </w:r>
      <w:r>
        <w:rPr>
          <w:spacing w:val="-1"/>
          <w:sz w:val="24"/>
        </w:rPr>
        <w:t> </w:t>
      </w:r>
      <w:r>
        <w:rPr>
          <w:sz w:val="24"/>
        </w:rPr>
        <w:t>(50 + 0)</w:t>
      </w:r>
      <w:r>
        <w:rPr>
          <w:spacing w:val="1"/>
          <w:sz w:val="24"/>
        </w:rPr>
        <w:t> </w:t>
      </w:r>
      <w:r>
        <w:rPr>
          <w:sz w:val="24"/>
        </w:rPr>
        <w:t>/</w:t>
      </w:r>
      <w:r>
        <w:rPr>
          <w:spacing w:val="-4"/>
          <w:sz w:val="24"/>
        </w:rPr>
        <w:t> </w:t>
      </w:r>
      <w:r>
        <w:rPr>
          <w:sz w:val="24"/>
        </w:rPr>
        <w:t>2</w:t>
      </w:r>
      <w:r>
        <w:rPr>
          <w:spacing w:val="1"/>
          <w:sz w:val="24"/>
        </w:rPr>
        <w:t> </w:t>
      </w:r>
      <w:r>
        <w:rPr>
          <w:sz w:val="24"/>
        </w:rPr>
        <w:t>=</w:t>
      </w:r>
      <w:r>
        <w:rPr>
          <w:spacing w:val="2"/>
          <w:sz w:val="24"/>
        </w:rPr>
        <w:t> </w:t>
      </w:r>
      <w:r>
        <w:rPr>
          <w:rFonts w:ascii="Arial" w:hAnsi="Arial"/>
          <w:b/>
          <w:sz w:val="24"/>
        </w:rPr>
        <w:t>£25</w:t>
      </w:r>
      <w:r>
        <w:rPr>
          <w:rFonts w:ascii="Arial" w:hAnsi="Arial"/>
          <w:b/>
          <w:spacing w:val="1"/>
          <w:sz w:val="24"/>
        </w:rPr>
        <w:t> </w:t>
      </w:r>
      <w:r>
        <w:rPr>
          <w:rFonts w:ascii="Arial" w:hAnsi="Arial"/>
          <w:b/>
          <w:spacing w:val="-2"/>
          <w:sz w:val="24"/>
        </w:rPr>
        <w:t>million</w:t>
      </w:r>
    </w:p>
    <w:p>
      <w:pPr>
        <w:pStyle w:val="BodyText"/>
        <w:spacing w:before="2"/>
        <w:rPr>
          <w:rFonts w:ascii="Arial"/>
          <w:b/>
          <w:sz w:val="18"/>
        </w:rPr>
      </w:pPr>
    </w:p>
    <w:p>
      <w:pPr>
        <w:pStyle w:val="BodyText"/>
        <w:spacing w:after="0"/>
        <w:rPr>
          <w:rFonts w:ascii="Arial"/>
          <w:b/>
          <w:sz w:val="18"/>
        </w:rPr>
        <w:sectPr>
          <w:pgSz w:w="12240" w:h="15840"/>
          <w:pgMar w:header="0" w:footer="1051" w:top="1360" w:bottom="1240" w:left="1440" w:right="1080"/>
        </w:sectPr>
      </w:pPr>
    </w:p>
    <w:p>
      <w:pPr>
        <w:pStyle w:val="BodyText"/>
        <w:spacing w:before="241"/>
        <w:jc w:val="right"/>
        <w:rPr>
          <w:rFonts w:ascii="Cambria Math"/>
        </w:rPr>
      </w:pPr>
      <w:r>
        <w:rPr/>
        <w:t>ARR</w:t>
      </w:r>
      <w:r>
        <w:rPr>
          <w:spacing w:val="-4"/>
        </w:rPr>
        <w:t> </w:t>
      </w:r>
      <w:r>
        <w:rPr>
          <w:rFonts w:ascii="Cambria Math"/>
          <w:spacing w:val="-10"/>
        </w:rPr>
        <w:t>=</w:t>
      </w:r>
    </w:p>
    <w:p>
      <w:pPr>
        <w:spacing w:before="59"/>
        <w:ind w:left="25" w:right="0" w:firstLine="0"/>
        <w:jc w:val="left"/>
        <w:rPr>
          <w:rFonts w:ascii="Cambria Math"/>
          <w:sz w:val="24"/>
        </w:rPr>
      </w:pPr>
      <w:r>
        <w:rPr/>
        <w:br w:type="column"/>
      </w:r>
      <w:r>
        <w:rPr>
          <w:rFonts w:ascii="Cambria Math"/>
          <w:spacing w:val="-5"/>
          <w:sz w:val="24"/>
        </w:rPr>
        <w:t>0.8</w:t>
      </w:r>
    </w:p>
    <w:p>
      <w:pPr>
        <w:pStyle w:val="BodyText"/>
        <w:spacing w:before="5"/>
        <w:rPr>
          <w:rFonts w:ascii="Cambria Math"/>
          <w:sz w:val="4"/>
        </w:rPr>
      </w:pPr>
    </w:p>
    <w:p>
      <w:pPr>
        <w:pStyle w:val="BodyText"/>
        <w:spacing w:line="20" w:lineRule="exact"/>
        <w:ind w:left="25" w:right="-72"/>
        <w:rPr>
          <w:rFonts w:ascii="Cambria Math"/>
          <w:sz w:val="2"/>
        </w:rPr>
      </w:pPr>
      <w:r>
        <w:rPr>
          <w:rFonts w:ascii="Cambria Math"/>
          <w:sz w:val="2"/>
        </w:rPr>
        <mc:AlternateContent>
          <mc:Choice Requires="wps">
            <w:drawing>
              <wp:inline distT="0" distB="0" distL="0" distR="0">
                <wp:extent cx="201930" cy="9525"/>
                <wp:effectExtent l="0" t="0" r="0" b="0"/>
                <wp:docPr id="42" name="Group 42"/>
                <wp:cNvGraphicFramePr>
                  <a:graphicFrameLocks/>
                </wp:cNvGraphicFramePr>
                <a:graphic>
                  <a:graphicData uri="http://schemas.microsoft.com/office/word/2010/wordprocessingGroup">
                    <wpg:wgp>
                      <wpg:cNvPr id="42" name="Group 42"/>
                      <wpg:cNvGrpSpPr/>
                      <wpg:grpSpPr>
                        <a:xfrm>
                          <a:off x="0" y="0"/>
                          <a:ext cx="201930" cy="9525"/>
                          <a:chExt cx="201930" cy="9525"/>
                        </a:xfrm>
                      </wpg:grpSpPr>
                      <wps:wsp>
                        <wps:cNvPr id="43" name="Graphic 43"/>
                        <wps:cNvSpPr/>
                        <wps:spPr>
                          <a:xfrm>
                            <a:off x="0" y="0"/>
                            <a:ext cx="201930" cy="9525"/>
                          </a:xfrm>
                          <a:custGeom>
                            <a:avLst/>
                            <a:gdLst/>
                            <a:ahLst/>
                            <a:cxnLst/>
                            <a:rect l="l" t="t" r="r" b="b"/>
                            <a:pathLst>
                              <a:path w="201930" h="9525">
                                <a:moveTo>
                                  <a:pt x="201472" y="0"/>
                                </a:moveTo>
                                <a:lnTo>
                                  <a:pt x="0" y="0"/>
                                </a:lnTo>
                                <a:lnTo>
                                  <a:pt x="0" y="9144"/>
                                </a:lnTo>
                                <a:lnTo>
                                  <a:pt x="201472" y="9144"/>
                                </a:lnTo>
                                <a:lnTo>
                                  <a:pt x="201472"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style="width:15.9pt;height:.75pt;mso-position-horizontal-relative:char;mso-position-vertical-relative:line" id="docshapegroup41" coordorigin="0,0" coordsize="318,15">
                <v:rect style="position:absolute;left:0;top:0;width:318;height:15" id="docshape42" filled="true" fillcolor="#000000" stroked="false">
                  <v:fill type="solid"/>
                </v:rect>
              </v:group>
            </w:pict>
          </mc:Fallback>
        </mc:AlternateContent>
      </w:r>
      <w:r>
        <w:rPr>
          <w:rFonts w:ascii="Cambria Math"/>
          <w:sz w:val="2"/>
        </w:rPr>
      </w:r>
    </w:p>
    <w:p>
      <w:pPr>
        <w:pStyle w:val="BodyText"/>
        <w:ind w:left="49"/>
        <w:rPr>
          <w:rFonts w:ascii="Cambria Math"/>
        </w:rPr>
      </w:pPr>
      <w:r>
        <w:rPr>
          <w:rFonts w:ascii="Cambria Math"/>
          <w:spacing w:val="-5"/>
        </w:rPr>
        <w:t>25</w:t>
      </w:r>
    </w:p>
    <w:p>
      <w:pPr>
        <w:pStyle w:val="BodyText"/>
        <w:spacing w:before="241"/>
        <w:ind w:left="14"/>
        <w:rPr>
          <w:rFonts w:ascii="Cambria Math" w:hAnsi="Cambria Math"/>
        </w:rPr>
      </w:pPr>
      <w:r>
        <w:rPr/>
        <w:br w:type="column"/>
      </w:r>
      <w:r>
        <w:rPr>
          <w:rFonts w:ascii="Cambria Math" w:hAnsi="Cambria Math"/>
        </w:rPr>
        <w:t>×</w:t>
      </w:r>
      <w:r>
        <w:rPr>
          <w:rFonts w:ascii="Cambria Math" w:hAnsi="Cambria Math"/>
          <w:spacing w:val="-1"/>
        </w:rPr>
        <w:t> </w:t>
      </w:r>
      <w:r>
        <w:rPr>
          <w:rFonts w:ascii="Cambria Math" w:hAnsi="Cambria Math"/>
        </w:rPr>
        <w:t>100</w:t>
      </w:r>
      <w:r>
        <w:rPr>
          <w:rFonts w:ascii="Cambria Math" w:hAnsi="Cambria Math"/>
          <w:spacing w:val="12"/>
        </w:rPr>
        <w:t> </w:t>
      </w:r>
      <w:r>
        <w:rPr>
          <w:rFonts w:ascii="Cambria Math" w:hAnsi="Cambria Math"/>
        </w:rPr>
        <w:t>=</w:t>
      </w:r>
      <w:r>
        <w:rPr>
          <w:rFonts w:ascii="Cambria Math" w:hAnsi="Cambria Math"/>
          <w:spacing w:val="13"/>
        </w:rPr>
        <w:t> </w:t>
      </w:r>
      <w:r>
        <w:rPr>
          <w:rFonts w:ascii="Cambria Math" w:hAnsi="Cambria Math"/>
          <w:spacing w:val="-4"/>
        </w:rPr>
        <w:t>3.2%</w:t>
      </w:r>
    </w:p>
    <w:p>
      <w:pPr>
        <w:pStyle w:val="BodyText"/>
        <w:spacing w:after="0"/>
        <w:rPr>
          <w:rFonts w:ascii="Cambria Math" w:hAnsi="Cambria Math"/>
        </w:rPr>
        <w:sectPr>
          <w:type w:val="continuous"/>
          <w:pgSz w:w="12240" w:h="15840"/>
          <w:pgMar w:header="0" w:footer="1051" w:top="1820" w:bottom="1240" w:left="1440" w:right="1080"/>
          <w:cols w:num="3" w:equalWidth="0">
            <w:col w:w="4108" w:space="40"/>
            <w:col w:w="342" w:space="39"/>
            <w:col w:w="5191"/>
          </w:cols>
        </w:sectPr>
      </w:pPr>
    </w:p>
    <w:p>
      <w:pPr>
        <w:pStyle w:val="BodyText"/>
        <w:rPr>
          <w:rFonts w:ascii="Cambria Math"/>
        </w:rPr>
      </w:pPr>
    </w:p>
    <w:p>
      <w:pPr>
        <w:pStyle w:val="BodyText"/>
        <w:spacing w:before="87"/>
        <w:rPr>
          <w:rFonts w:ascii="Cambria Math"/>
        </w:rPr>
      </w:pPr>
    </w:p>
    <w:p>
      <w:pPr>
        <w:pStyle w:val="Heading2"/>
        <w:spacing w:line="501" w:lineRule="auto" w:before="1"/>
        <w:ind w:right="6870" w:firstLine="67"/>
      </w:pPr>
      <w:r>
        <w:rPr/>
        <w:t>Project</w:t>
      </w:r>
      <w:r>
        <w:rPr>
          <w:spacing w:val="-17"/>
        </w:rPr>
        <w:t> </w:t>
      </w:r>
      <w:r>
        <w:rPr/>
        <w:t>B</w:t>
      </w:r>
      <w:r>
        <w:rPr>
          <w:spacing w:val="-17"/>
        </w:rPr>
        <w:t> </w:t>
      </w:r>
      <w:r>
        <w:rPr/>
        <w:t>Calculation Cash Inflows</w:t>
      </w:r>
    </w:p>
    <w:p>
      <w:pPr>
        <w:spacing w:line="501" w:lineRule="auto" w:before="0"/>
        <w:ind w:left="0" w:right="5306" w:firstLine="0"/>
        <w:jc w:val="left"/>
        <w:rPr>
          <w:rFonts w:ascii="Arial" w:hAnsi="Arial"/>
          <w:b/>
          <w:sz w:val="24"/>
        </w:rPr>
      </w:pPr>
      <w:r>
        <w:rPr>
          <w:sz w:val="24"/>
        </w:rPr>
        <w:t>11</w:t>
      </w:r>
      <w:r>
        <w:rPr>
          <w:spacing w:val="-12"/>
          <w:sz w:val="24"/>
        </w:rPr>
        <w:t> </w:t>
      </w:r>
      <w:r>
        <w:rPr>
          <w:sz w:val="24"/>
        </w:rPr>
        <w:t>+</w:t>
      </w:r>
      <w:r>
        <w:rPr>
          <w:spacing w:val="-12"/>
          <w:sz w:val="24"/>
        </w:rPr>
        <w:t> </w:t>
      </w:r>
      <w:r>
        <w:rPr>
          <w:sz w:val="24"/>
        </w:rPr>
        <w:t>11</w:t>
      </w:r>
      <w:r>
        <w:rPr>
          <w:spacing w:val="-12"/>
          <w:sz w:val="24"/>
        </w:rPr>
        <w:t> </w:t>
      </w:r>
      <w:r>
        <w:rPr>
          <w:sz w:val="24"/>
        </w:rPr>
        <w:t>+</w:t>
      </w:r>
      <w:r>
        <w:rPr>
          <w:spacing w:val="-12"/>
          <w:sz w:val="24"/>
        </w:rPr>
        <w:t> </w:t>
      </w:r>
      <w:r>
        <w:rPr>
          <w:sz w:val="24"/>
        </w:rPr>
        <w:t>11</w:t>
      </w:r>
      <w:r>
        <w:rPr>
          <w:spacing w:val="-12"/>
          <w:sz w:val="24"/>
        </w:rPr>
        <w:t> </w:t>
      </w:r>
      <w:r>
        <w:rPr>
          <w:sz w:val="24"/>
        </w:rPr>
        <w:t>+</w:t>
      </w:r>
      <w:r>
        <w:rPr>
          <w:spacing w:val="-12"/>
          <w:sz w:val="24"/>
        </w:rPr>
        <w:t> </w:t>
      </w:r>
      <w:r>
        <w:rPr>
          <w:sz w:val="24"/>
        </w:rPr>
        <w:t>11</w:t>
      </w:r>
      <w:r>
        <w:rPr>
          <w:spacing w:val="-12"/>
          <w:sz w:val="24"/>
        </w:rPr>
        <w:t> </w:t>
      </w:r>
      <w:r>
        <w:rPr>
          <w:sz w:val="24"/>
        </w:rPr>
        <w:t>+</w:t>
      </w:r>
      <w:r>
        <w:rPr>
          <w:spacing w:val="-12"/>
          <w:sz w:val="24"/>
        </w:rPr>
        <w:t> </w:t>
      </w:r>
      <w:r>
        <w:rPr>
          <w:sz w:val="24"/>
        </w:rPr>
        <w:t>11</w:t>
      </w:r>
      <w:r>
        <w:rPr>
          <w:spacing w:val="-12"/>
          <w:sz w:val="24"/>
        </w:rPr>
        <w:t> </w:t>
      </w:r>
      <w:r>
        <w:rPr>
          <w:sz w:val="24"/>
        </w:rPr>
        <w:t>=</w:t>
      </w:r>
      <w:r>
        <w:rPr>
          <w:spacing w:val="-10"/>
          <w:sz w:val="24"/>
        </w:rPr>
        <w:t> </w:t>
      </w:r>
      <w:r>
        <w:rPr>
          <w:rFonts w:ascii="Arial" w:hAnsi="Arial"/>
          <w:b/>
          <w:sz w:val="24"/>
        </w:rPr>
        <w:t>£55</w:t>
      </w:r>
      <w:r>
        <w:rPr>
          <w:rFonts w:ascii="Arial" w:hAnsi="Arial"/>
          <w:b/>
          <w:spacing w:val="-12"/>
          <w:sz w:val="24"/>
        </w:rPr>
        <w:t> </w:t>
      </w:r>
      <w:r>
        <w:rPr>
          <w:rFonts w:ascii="Arial" w:hAnsi="Arial"/>
          <w:b/>
          <w:sz w:val="24"/>
        </w:rPr>
        <w:t>million Average Annual Cash Inflow</w:t>
      </w:r>
    </w:p>
    <w:p>
      <w:pPr>
        <w:spacing w:line="501" w:lineRule="auto" w:before="0"/>
        <w:ind w:left="0" w:right="7213" w:firstLine="0"/>
        <w:jc w:val="left"/>
        <w:rPr>
          <w:rFonts w:ascii="Arial" w:hAnsi="Arial"/>
          <w:b/>
          <w:sz w:val="24"/>
        </w:rPr>
      </w:pPr>
      <w:r>
        <w:rPr>
          <w:sz w:val="24"/>
        </w:rPr>
        <w:t>55 / 5 = </w:t>
      </w:r>
      <w:r>
        <w:rPr>
          <w:rFonts w:ascii="Arial" w:hAnsi="Arial"/>
          <w:b/>
          <w:sz w:val="24"/>
        </w:rPr>
        <w:t>£11 million Average</w:t>
      </w:r>
      <w:r>
        <w:rPr>
          <w:rFonts w:ascii="Arial" w:hAnsi="Arial"/>
          <w:b/>
          <w:spacing w:val="-17"/>
          <w:sz w:val="24"/>
        </w:rPr>
        <w:t> </w:t>
      </w:r>
      <w:r>
        <w:rPr>
          <w:rFonts w:ascii="Arial" w:hAnsi="Arial"/>
          <w:b/>
          <w:sz w:val="24"/>
        </w:rPr>
        <w:t>Annual</w:t>
      </w:r>
      <w:r>
        <w:rPr>
          <w:rFonts w:ascii="Arial" w:hAnsi="Arial"/>
          <w:b/>
          <w:spacing w:val="-17"/>
          <w:sz w:val="24"/>
        </w:rPr>
        <w:t> </w:t>
      </w:r>
      <w:r>
        <w:rPr>
          <w:rFonts w:ascii="Arial" w:hAnsi="Arial"/>
          <w:b/>
          <w:sz w:val="24"/>
        </w:rPr>
        <w:t>Profit</w:t>
      </w:r>
    </w:p>
    <w:p>
      <w:pPr>
        <w:spacing w:line="275" w:lineRule="exact" w:before="0"/>
        <w:ind w:left="0" w:right="0" w:firstLine="0"/>
        <w:jc w:val="left"/>
        <w:rPr>
          <w:rFonts w:ascii="Arial" w:hAnsi="Arial"/>
          <w:b/>
          <w:sz w:val="24"/>
        </w:rPr>
      </w:pPr>
      <w:r>
        <w:rPr>
          <w:sz w:val="24"/>
        </w:rPr>
        <w:t>=</w:t>
      </w:r>
      <w:r>
        <w:rPr>
          <w:spacing w:val="-4"/>
          <w:sz w:val="24"/>
        </w:rPr>
        <w:t> </w:t>
      </w:r>
      <w:r>
        <w:rPr>
          <w:sz w:val="24"/>
        </w:rPr>
        <w:t>11</w:t>
      </w:r>
      <w:r>
        <w:rPr>
          <w:spacing w:val="-2"/>
          <w:sz w:val="24"/>
        </w:rPr>
        <w:t> </w:t>
      </w:r>
      <w:r>
        <w:rPr>
          <w:sz w:val="24"/>
        </w:rPr>
        <w:t>–</w:t>
      </w:r>
      <w:r>
        <w:rPr>
          <w:spacing w:val="-2"/>
          <w:sz w:val="24"/>
        </w:rPr>
        <w:t> </w:t>
      </w:r>
      <w:r>
        <w:rPr>
          <w:sz w:val="24"/>
        </w:rPr>
        <w:t>10</w:t>
      </w:r>
      <w:r>
        <w:rPr>
          <w:spacing w:val="-3"/>
          <w:sz w:val="24"/>
        </w:rPr>
        <w:t> </w:t>
      </w:r>
      <w:r>
        <w:rPr>
          <w:sz w:val="24"/>
        </w:rPr>
        <w:t>=</w:t>
      </w:r>
      <w:r>
        <w:rPr>
          <w:spacing w:val="-3"/>
          <w:sz w:val="24"/>
        </w:rPr>
        <w:t> </w:t>
      </w:r>
      <w:r>
        <w:rPr>
          <w:rFonts w:ascii="Arial" w:hAnsi="Arial"/>
          <w:b/>
          <w:sz w:val="24"/>
        </w:rPr>
        <w:t>£1</w:t>
      </w:r>
      <w:r>
        <w:rPr>
          <w:rFonts w:ascii="Arial" w:hAnsi="Arial"/>
          <w:b/>
          <w:spacing w:val="-2"/>
          <w:sz w:val="24"/>
        </w:rPr>
        <w:t> million</w:t>
      </w:r>
    </w:p>
    <w:p>
      <w:pPr>
        <w:pStyle w:val="BodyText"/>
        <w:spacing w:before="1"/>
        <w:rPr>
          <w:rFonts w:ascii="Arial"/>
          <w:b/>
          <w:sz w:val="17"/>
        </w:rPr>
      </w:pPr>
    </w:p>
    <w:p>
      <w:pPr>
        <w:pStyle w:val="BodyText"/>
        <w:spacing w:after="0"/>
        <w:rPr>
          <w:rFonts w:ascii="Arial"/>
          <w:b/>
          <w:sz w:val="17"/>
        </w:rPr>
        <w:sectPr>
          <w:type w:val="continuous"/>
          <w:pgSz w:w="12240" w:h="15840"/>
          <w:pgMar w:header="0" w:footer="1051" w:top="1820" w:bottom="1240" w:left="1440" w:right="1080"/>
        </w:sectPr>
      </w:pPr>
    </w:p>
    <w:p>
      <w:pPr>
        <w:pStyle w:val="BodyText"/>
        <w:spacing w:before="241"/>
        <w:jc w:val="right"/>
        <w:rPr>
          <w:rFonts w:ascii="Cambria Math"/>
        </w:rPr>
      </w:pPr>
      <w:r>
        <w:rPr/>
        <w:t>ARR</w:t>
      </w:r>
      <w:r>
        <w:rPr>
          <w:spacing w:val="-4"/>
        </w:rPr>
        <w:t> </w:t>
      </w:r>
      <w:r>
        <w:rPr>
          <w:rFonts w:ascii="Cambria Math"/>
          <w:spacing w:val="-10"/>
        </w:rPr>
        <w:t>=</w:t>
      </w:r>
    </w:p>
    <w:p>
      <w:pPr>
        <w:spacing w:line="232" w:lineRule="exact" w:before="59"/>
        <w:ind w:left="93" w:right="0" w:firstLine="0"/>
        <w:jc w:val="left"/>
        <w:rPr>
          <w:rFonts w:ascii="Cambria Math"/>
          <w:sz w:val="24"/>
        </w:rPr>
      </w:pPr>
      <w:r>
        <w:rPr/>
        <w:br w:type="column"/>
      </w:r>
      <w:r>
        <w:rPr>
          <w:rFonts w:ascii="Cambria Math"/>
          <w:spacing w:val="-10"/>
          <w:sz w:val="24"/>
        </w:rPr>
        <w:t>1</w:t>
      </w:r>
    </w:p>
    <w:p>
      <w:pPr>
        <w:pStyle w:val="BodyText"/>
        <w:spacing w:line="187" w:lineRule="auto"/>
        <w:ind w:left="30"/>
        <w:rPr>
          <w:rFonts w:ascii="Cambria Math" w:hAnsi="Cambria Math"/>
        </w:rPr>
      </w:pPr>
      <w:r>
        <w:rPr>
          <w:rFonts w:ascii="Cambria Math" w:hAnsi="Cambria Math"/>
        </w:rPr>
        <mc:AlternateContent>
          <mc:Choice Requires="wps">
            <w:drawing>
              <wp:anchor distT="0" distB="0" distL="0" distR="0" allowOverlap="1" layoutInCell="1" locked="0" behindDoc="1" simplePos="0" relativeHeight="486794752">
                <wp:simplePos x="0" y="0"/>
                <wp:positionH relativeFrom="page">
                  <wp:posOffset>3640582</wp:posOffset>
                </wp:positionH>
                <wp:positionV relativeFrom="paragraph">
                  <wp:posOffset>64855</wp:posOffset>
                </wp:positionV>
                <wp:extent cx="168275" cy="9525"/>
                <wp:effectExtent l="0" t="0" r="0" b="0"/>
                <wp:wrapNone/>
                <wp:docPr id="44" name="Graphic 44"/>
                <wp:cNvGraphicFramePr>
                  <a:graphicFrameLocks/>
                </wp:cNvGraphicFramePr>
                <a:graphic>
                  <a:graphicData uri="http://schemas.microsoft.com/office/word/2010/wordprocessingShape">
                    <wps:wsp>
                      <wps:cNvPr id="44" name="Graphic 44"/>
                      <wps:cNvSpPr/>
                      <wps:spPr>
                        <a:xfrm>
                          <a:off x="0" y="0"/>
                          <a:ext cx="168275" cy="9525"/>
                        </a:xfrm>
                        <a:custGeom>
                          <a:avLst/>
                          <a:gdLst/>
                          <a:ahLst/>
                          <a:cxnLst/>
                          <a:rect l="l" t="t" r="r" b="b"/>
                          <a:pathLst>
                            <a:path w="168275" h="9525">
                              <a:moveTo>
                                <a:pt x="167944" y="0"/>
                              </a:moveTo>
                              <a:lnTo>
                                <a:pt x="0" y="0"/>
                              </a:lnTo>
                              <a:lnTo>
                                <a:pt x="0" y="9143"/>
                              </a:lnTo>
                              <a:lnTo>
                                <a:pt x="167944" y="9143"/>
                              </a:lnTo>
                              <a:lnTo>
                                <a:pt x="167944"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rect style="position:absolute;margin-left:286.660004pt;margin-top:5.106707pt;width:13.224pt;height:.71997pt;mso-position-horizontal-relative:page;mso-position-vertical-relative:paragraph;z-index:-16521728" id="docshape43" filled="true" fillcolor="#000000" stroked="false">
                <v:fill type="solid"/>
                <w10:wrap type="none"/>
              </v:rect>
            </w:pict>
          </mc:Fallback>
        </mc:AlternateContent>
      </w:r>
      <w:r>
        <w:rPr>
          <w:rFonts w:ascii="Cambria Math" w:hAnsi="Cambria Math"/>
          <w:position w:val="-15"/>
        </w:rPr>
        <w:t>25</w:t>
      </w:r>
      <w:r>
        <w:rPr>
          <w:rFonts w:ascii="Cambria Math" w:hAnsi="Cambria Math"/>
          <w:spacing w:val="-5"/>
          <w:position w:val="-15"/>
        </w:rPr>
        <w:t> </w:t>
      </w:r>
      <w:r>
        <w:rPr>
          <w:rFonts w:ascii="Cambria Math" w:hAnsi="Cambria Math"/>
        </w:rPr>
        <w:t>×</w:t>
      </w:r>
      <w:r>
        <w:rPr>
          <w:rFonts w:ascii="Cambria Math" w:hAnsi="Cambria Math"/>
          <w:spacing w:val="2"/>
        </w:rPr>
        <w:t> </w:t>
      </w:r>
      <w:r>
        <w:rPr>
          <w:rFonts w:ascii="Cambria Math" w:hAnsi="Cambria Math"/>
        </w:rPr>
        <w:t>100</w:t>
      </w:r>
      <w:r>
        <w:rPr>
          <w:rFonts w:ascii="Cambria Math" w:hAnsi="Cambria Math"/>
          <w:spacing w:val="12"/>
        </w:rPr>
        <w:t> </w:t>
      </w:r>
      <w:r>
        <w:rPr>
          <w:rFonts w:ascii="Cambria Math" w:hAnsi="Cambria Math"/>
        </w:rPr>
        <w:t>=</w:t>
      </w:r>
      <w:r>
        <w:rPr>
          <w:rFonts w:ascii="Cambria Math" w:hAnsi="Cambria Math"/>
          <w:spacing w:val="13"/>
        </w:rPr>
        <w:t> </w:t>
      </w:r>
      <w:r>
        <w:rPr>
          <w:rFonts w:ascii="Cambria Math" w:hAnsi="Cambria Math"/>
          <w:spacing w:val="-5"/>
        </w:rPr>
        <w:t>4%</w:t>
      </w:r>
    </w:p>
    <w:p>
      <w:pPr>
        <w:pStyle w:val="BodyText"/>
        <w:spacing w:after="0" w:line="187" w:lineRule="auto"/>
        <w:rPr>
          <w:rFonts w:ascii="Cambria Math" w:hAnsi="Cambria Math"/>
        </w:rPr>
        <w:sectPr>
          <w:type w:val="continuous"/>
          <w:pgSz w:w="12240" w:h="15840"/>
          <w:pgMar w:header="0" w:footer="1051" w:top="1820" w:bottom="1240" w:left="1440" w:right="1080"/>
          <w:cols w:num="2" w:equalWidth="0">
            <w:col w:w="4223" w:space="40"/>
            <w:col w:w="5457"/>
          </w:cols>
        </w:sectPr>
      </w:pPr>
    </w:p>
    <w:p>
      <w:pPr>
        <w:pStyle w:val="BodyText"/>
        <w:rPr>
          <w:rFonts w:ascii="Cambria Math"/>
        </w:rPr>
      </w:pPr>
    </w:p>
    <w:p>
      <w:pPr>
        <w:pStyle w:val="BodyText"/>
        <w:rPr>
          <w:rFonts w:ascii="Cambria Math"/>
        </w:rPr>
      </w:pPr>
    </w:p>
    <w:p>
      <w:pPr>
        <w:pStyle w:val="BodyText"/>
        <w:rPr>
          <w:rFonts w:ascii="Cambria Math"/>
        </w:rPr>
      </w:pPr>
    </w:p>
    <w:p>
      <w:pPr>
        <w:pStyle w:val="BodyText"/>
        <w:spacing w:before="119"/>
        <w:rPr>
          <w:rFonts w:ascii="Cambria Math"/>
        </w:rPr>
      </w:pPr>
    </w:p>
    <w:p>
      <w:pPr>
        <w:pStyle w:val="Heading2"/>
        <w:spacing w:line="501" w:lineRule="auto" w:before="1"/>
        <w:ind w:right="6870"/>
      </w:pPr>
      <w:r>
        <w:rPr/>
        <w:t>Project</w:t>
      </w:r>
      <w:r>
        <w:rPr>
          <w:spacing w:val="-17"/>
        </w:rPr>
        <w:t> </w:t>
      </w:r>
      <w:r>
        <w:rPr/>
        <w:t>C</w:t>
      </w:r>
      <w:r>
        <w:rPr>
          <w:spacing w:val="-17"/>
        </w:rPr>
        <w:t> </w:t>
      </w:r>
      <w:r>
        <w:rPr/>
        <w:t>Calculation Cash Inflows</w:t>
      </w:r>
    </w:p>
    <w:p>
      <w:pPr>
        <w:spacing w:line="501" w:lineRule="auto" w:before="0"/>
        <w:ind w:left="0" w:right="5306" w:firstLine="0"/>
        <w:jc w:val="left"/>
        <w:rPr>
          <w:rFonts w:ascii="Arial" w:hAnsi="Arial"/>
          <w:b/>
          <w:sz w:val="24"/>
        </w:rPr>
      </w:pPr>
      <w:r>
        <w:rPr>
          <w:sz w:val="24"/>
        </w:rPr>
        <w:t>5</w:t>
      </w:r>
      <w:r>
        <w:rPr>
          <w:spacing w:val="-3"/>
          <w:sz w:val="24"/>
        </w:rPr>
        <w:t> </w:t>
      </w:r>
      <w:r>
        <w:rPr>
          <w:sz w:val="24"/>
        </w:rPr>
        <w:t>+</w:t>
      </w:r>
      <w:r>
        <w:rPr>
          <w:spacing w:val="-3"/>
          <w:sz w:val="24"/>
        </w:rPr>
        <w:t> </w:t>
      </w:r>
      <w:r>
        <w:rPr>
          <w:sz w:val="24"/>
        </w:rPr>
        <w:t>10</w:t>
      </w:r>
      <w:r>
        <w:rPr>
          <w:spacing w:val="-3"/>
          <w:sz w:val="24"/>
        </w:rPr>
        <w:t> </w:t>
      </w:r>
      <w:r>
        <w:rPr>
          <w:sz w:val="24"/>
        </w:rPr>
        <w:t>+</w:t>
      </w:r>
      <w:r>
        <w:rPr>
          <w:spacing w:val="-3"/>
          <w:sz w:val="24"/>
        </w:rPr>
        <w:t> </w:t>
      </w:r>
      <w:r>
        <w:rPr>
          <w:sz w:val="24"/>
        </w:rPr>
        <w:t>20</w:t>
      </w:r>
      <w:r>
        <w:rPr>
          <w:spacing w:val="-3"/>
          <w:sz w:val="24"/>
        </w:rPr>
        <w:t> </w:t>
      </w:r>
      <w:r>
        <w:rPr>
          <w:sz w:val="24"/>
        </w:rPr>
        <w:t>+</w:t>
      </w:r>
      <w:r>
        <w:rPr>
          <w:spacing w:val="-3"/>
          <w:sz w:val="24"/>
        </w:rPr>
        <w:t> </w:t>
      </w:r>
      <w:r>
        <w:rPr>
          <w:sz w:val="24"/>
        </w:rPr>
        <w:t>25</w:t>
      </w:r>
      <w:r>
        <w:rPr>
          <w:spacing w:val="-7"/>
          <w:sz w:val="24"/>
        </w:rPr>
        <w:t> </w:t>
      </w:r>
      <w:r>
        <w:rPr>
          <w:sz w:val="24"/>
        </w:rPr>
        <w:t>+</w:t>
      </w:r>
      <w:r>
        <w:rPr>
          <w:spacing w:val="-3"/>
          <w:sz w:val="24"/>
        </w:rPr>
        <w:t> </w:t>
      </w:r>
      <w:r>
        <w:rPr>
          <w:sz w:val="24"/>
        </w:rPr>
        <w:t>5</w:t>
      </w:r>
      <w:r>
        <w:rPr>
          <w:spacing w:val="-3"/>
          <w:sz w:val="24"/>
        </w:rPr>
        <w:t> </w:t>
      </w:r>
      <w:r>
        <w:rPr>
          <w:sz w:val="24"/>
        </w:rPr>
        <w:t>=</w:t>
      </w:r>
      <w:r>
        <w:rPr>
          <w:spacing w:val="-1"/>
          <w:sz w:val="24"/>
        </w:rPr>
        <w:t> </w:t>
      </w:r>
      <w:r>
        <w:rPr>
          <w:rFonts w:ascii="Arial" w:hAnsi="Arial"/>
          <w:b/>
          <w:sz w:val="24"/>
        </w:rPr>
        <w:t>£65</w:t>
      </w:r>
      <w:r>
        <w:rPr>
          <w:rFonts w:ascii="Arial" w:hAnsi="Arial"/>
          <w:b/>
          <w:spacing w:val="-3"/>
          <w:sz w:val="24"/>
        </w:rPr>
        <w:t> </w:t>
      </w:r>
      <w:r>
        <w:rPr>
          <w:rFonts w:ascii="Arial" w:hAnsi="Arial"/>
          <w:b/>
          <w:sz w:val="24"/>
        </w:rPr>
        <w:t>million Average Annual Cash Inflow</w:t>
      </w:r>
    </w:p>
    <w:p>
      <w:pPr>
        <w:spacing w:after="0" w:line="501" w:lineRule="auto"/>
        <w:jc w:val="left"/>
        <w:rPr>
          <w:rFonts w:ascii="Arial" w:hAnsi="Arial"/>
          <w:b/>
          <w:sz w:val="24"/>
        </w:rPr>
        <w:sectPr>
          <w:type w:val="continuous"/>
          <w:pgSz w:w="12240" w:h="15840"/>
          <w:pgMar w:header="0" w:footer="1051" w:top="1820" w:bottom="1240" w:left="1440" w:right="1080"/>
        </w:sectPr>
      </w:pPr>
    </w:p>
    <w:p>
      <w:pPr>
        <w:spacing w:line="501" w:lineRule="auto" w:before="76"/>
        <w:ind w:left="0" w:right="7213" w:firstLine="0"/>
        <w:jc w:val="left"/>
        <w:rPr>
          <w:rFonts w:ascii="Arial" w:hAnsi="Arial"/>
          <w:b/>
          <w:sz w:val="24"/>
        </w:rPr>
      </w:pPr>
      <w:r>
        <w:rPr>
          <w:sz w:val="24"/>
        </w:rPr>
        <w:t>65 / 5 = </w:t>
      </w:r>
      <w:r>
        <w:rPr>
          <w:rFonts w:ascii="Arial" w:hAnsi="Arial"/>
          <w:b/>
          <w:sz w:val="24"/>
        </w:rPr>
        <w:t>£13 million Average</w:t>
      </w:r>
      <w:r>
        <w:rPr>
          <w:rFonts w:ascii="Arial" w:hAnsi="Arial"/>
          <w:b/>
          <w:spacing w:val="-17"/>
          <w:sz w:val="24"/>
        </w:rPr>
        <w:t> </w:t>
      </w:r>
      <w:r>
        <w:rPr>
          <w:rFonts w:ascii="Arial" w:hAnsi="Arial"/>
          <w:b/>
          <w:sz w:val="24"/>
        </w:rPr>
        <w:t>Annual</w:t>
      </w:r>
      <w:r>
        <w:rPr>
          <w:rFonts w:ascii="Arial" w:hAnsi="Arial"/>
          <w:b/>
          <w:spacing w:val="-17"/>
          <w:sz w:val="24"/>
        </w:rPr>
        <w:t> </w:t>
      </w:r>
      <w:r>
        <w:rPr>
          <w:rFonts w:ascii="Arial" w:hAnsi="Arial"/>
          <w:b/>
          <w:sz w:val="24"/>
        </w:rPr>
        <w:t>Profit</w:t>
      </w:r>
    </w:p>
    <w:p>
      <w:pPr>
        <w:spacing w:line="270" w:lineRule="exact" w:before="0"/>
        <w:ind w:left="0" w:right="0" w:firstLine="0"/>
        <w:jc w:val="left"/>
        <w:rPr>
          <w:rFonts w:ascii="Arial" w:hAnsi="Arial"/>
          <w:b/>
          <w:sz w:val="24"/>
        </w:rPr>
      </w:pPr>
      <w:r>
        <w:rPr>
          <w:sz w:val="24"/>
        </w:rPr>
        <w:t>=</w:t>
      </w:r>
      <w:r>
        <w:rPr>
          <w:spacing w:val="-2"/>
          <w:sz w:val="24"/>
        </w:rPr>
        <w:t> </w:t>
      </w:r>
      <w:r>
        <w:rPr>
          <w:sz w:val="24"/>
        </w:rPr>
        <w:t>13</w:t>
      </w:r>
      <w:r>
        <w:rPr>
          <w:spacing w:val="2"/>
          <w:sz w:val="24"/>
        </w:rPr>
        <w:t> </w:t>
      </w:r>
      <w:r>
        <w:rPr>
          <w:sz w:val="24"/>
        </w:rPr>
        <w:t>– 10 =</w:t>
      </w:r>
      <w:r>
        <w:rPr>
          <w:spacing w:val="-1"/>
          <w:sz w:val="24"/>
        </w:rPr>
        <w:t> </w:t>
      </w:r>
      <w:r>
        <w:rPr>
          <w:rFonts w:ascii="Arial" w:hAnsi="Arial"/>
          <w:b/>
          <w:sz w:val="24"/>
        </w:rPr>
        <w:t>£3</w:t>
      </w:r>
      <w:r>
        <w:rPr>
          <w:rFonts w:ascii="Arial" w:hAnsi="Arial"/>
          <w:b/>
          <w:spacing w:val="1"/>
          <w:sz w:val="24"/>
        </w:rPr>
        <w:t> </w:t>
      </w:r>
      <w:r>
        <w:rPr>
          <w:rFonts w:ascii="Arial" w:hAnsi="Arial"/>
          <w:b/>
          <w:spacing w:val="-2"/>
          <w:sz w:val="24"/>
        </w:rPr>
        <w:t>million</w:t>
      </w:r>
    </w:p>
    <w:p>
      <w:pPr>
        <w:pStyle w:val="BodyText"/>
        <w:spacing w:before="7"/>
        <w:rPr>
          <w:rFonts w:ascii="Arial"/>
          <w:b/>
          <w:sz w:val="18"/>
        </w:rPr>
      </w:pPr>
    </w:p>
    <w:p>
      <w:pPr>
        <w:pStyle w:val="BodyText"/>
        <w:spacing w:after="0"/>
        <w:rPr>
          <w:rFonts w:ascii="Arial"/>
          <w:b/>
          <w:sz w:val="18"/>
        </w:rPr>
        <w:sectPr>
          <w:pgSz w:w="12240" w:h="15840"/>
          <w:pgMar w:header="0" w:footer="1051" w:top="1360" w:bottom="1240" w:left="1440" w:right="1080"/>
        </w:sectPr>
      </w:pPr>
    </w:p>
    <w:p>
      <w:pPr>
        <w:pStyle w:val="BodyText"/>
        <w:spacing w:before="241"/>
        <w:jc w:val="right"/>
        <w:rPr>
          <w:rFonts w:ascii="Cambria Math"/>
        </w:rPr>
      </w:pPr>
      <w:r>
        <w:rPr/>
        <w:t>ARR</w:t>
      </w:r>
      <w:r>
        <w:rPr>
          <w:spacing w:val="-4"/>
        </w:rPr>
        <w:t> </w:t>
      </w:r>
      <w:r>
        <w:rPr>
          <w:rFonts w:ascii="Cambria Math"/>
          <w:spacing w:val="-10"/>
        </w:rPr>
        <w:t>=</w:t>
      </w:r>
    </w:p>
    <w:p>
      <w:pPr>
        <w:spacing w:line="232" w:lineRule="exact" w:before="59"/>
        <w:ind w:left="92" w:right="0" w:firstLine="0"/>
        <w:jc w:val="left"/>
        <w:rPr>
          <w:rFonts w:ascii="Cambria Math"/>
          <w:sz w:val="24"/>
        </w:rPr>
      </w:pPr>
      <w:r>
        <w:rPr/>
        <w:br w:type="column"/>
      </w:r>
      <w:r>
        <w:rPr>
          <w:rFonts w:ascii="Cambria Math"/>
          <w:spacing w:val="-10"/>
          <w:sz w:val="24"/>
        </w:rPr>
        <w:t>3</w:t>
      </w:r>
    </w:p>
    <w:p>
      <w:pPr>
        <w:pStyle w:val="BodyText"/>
        <w:spacing w:line="187" w:lineRule="auto"/>
        <w:ind w:left="30"/>
        <w:rPr>
          <w:rFonts w:ascii="Cambria Math" w:hAnsi="Cambria Math"/>
        </w:rPr>
      </w:pPr>
      <w:r>
        <w:rPr>
          <w:rFonts w:ascii="Cambria Math" w:hAnsi="Cambria Math"/>
        </w:rPr>
        <mc:AlternateContent>
          <mc:Choice Requires="wps">
            <w:drawing>
              <wp:anchor distT="0" distB="0" distL="0" distR="0" allowOverlap="1" layoutInCell="1" locked="0" behindDoc="1" simplePos="0" relativeHeight="486795264">
                <wp:simplePos x="0" y="0"/>
                <wp:positionH relativeFrom="page">
                  <wp:posOffset>3597909</wp:posOffset>
                </wp:positionH>
                <wp:positionV relativeFrom="paragraph">
                  <wp:posOffset>64742</wp:posOffset>
                </wp:positionV>
                <wp:extent cx="168275" cy="9525"/>
                <wp:effectExtent l="0" t="0" r="0" b="0"/>
                <wp:wrapNone/>
                <wp:docPr id="45" name="Graphic 45"/>
                <wp:cNvGraphicFramePr>
                  <a:graphicFrameLocks/>
                </wp:cNvGraphicFramePr>
                <a:graphic>
                  <a:graphicData uri="http://schemas.microsoft.com/office/word/2010/wordprocessingShape">
                    <wps:wsp>
                      <wps:cNvPr id="45" name="Graphic 45"/>
                      <wps:cNvSpPr/>
                      <wps:spPr>
                        <a:xfrm>
                          <a:off x="0" y="0"/>
                          <a:ext cx="168275" cy="9525"/>
                        </a:xfrm>
                        <a:custGeom>
                          <a:avLst/>
                          <a:gdLst/>
                          <a:ahLst/>
                          <a:cxnLst/>
                          <a:rect l="l" t="t" r="r" b="b"/>
                          <a:pathLst>
                            <a:path w="168275" h="9525">
                              <a:moveTo>
                                <a:pt x="167944" y="0"/>
                              </a:moveTo>
                              <a:lnTo>
                                <a:pt x="0" y="0"/>
                              </a:lnTo>
                              <a:lnTo>
                                <a:pt x="0" y="9144"/>
                              </a:lnTo>
                              <a:lnTo>
                                <a:pt x="167944" y="9144"/>
                              </a:lnTo>
                              <a:lnTo>
                                <a:pt x="167944"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rect style="position:absolute;margin-left:283.299988pt;margin-top:5.097859pt;width:13.224pt;height:.72pt;mso-position-horizontal-relative:page;mso-position-vertical-relative:paragraph;z-index:-16521216" id="docshape44" filled="true" fillcolor="#000000" stroked="false">
                <v:fill type="solid"/>
                <w10:wrap type="none"/>
              </v:rect>
            </w:pict>
          </mc:Fallback>
        </mc:AlternateContent>
      </w:r>
      <w:r>
        <w:rPr>
          <w:rFonts w:ascii="Cambria Math" w:hAnsi="Cambria Math"/>
          <w:position w:val="-15"/>
        </w:rPr>
        <w:t>25</w:t>
      </w:r>
      <w:r>
        <w:rPr>
          <w:rFonts w:ascii="Cambria Math" w:hAnsi="Cambria Math"/>
          <w:spacing w:val="-5"/>
          <w:position w:val="-15"/>
        </w:rPr>
        <w:t> </w:t>
      </w:r>
      <w:r>
        <w:rPr>
          <w:rFonts w:ascii="Cambria Math" w:hAnsi="Cambria Math"/>
        </w:rPr>
        <w:t>×</w:t>
      </w:r>
      <w:r>
        <w:rPr>
          <w:rFonts w:ascii="Cambria Math" w:hAnsi="Cambria Math"/>
          <w:spacing w:val="2"/>
        </w:rPr>
        <w:t> </w:t>
      </w:r>
      <w:r>
        <w:rPr>
          <w:rFonts w:ascii="Cambria Math" w:hAnsi="Cambria Math"/>
        </w:rPr>
        <w:t>100</w:t>
      </w:r>
      <w:r>
        <w:rPr>
          <w:rFonts w:ascii="Cambria Math" w:hAnsi="Cambria Math"/>
          <w:spacing w:val="12"/>
        </w:rPr>
        <w:t> </w:t>
      </w:r>
      <w:r>
        <w:rPr>
          <w:rFonts w:ascii="Cambria Math" w:hAnsi="Cambria Math"/>
        </w:rPr>
        <w:t>=</w:t>
      </w:r>
      <w:r>
        <w:rPr>
          <w:rFonts w:ascii="Cambria Math" w:hAnsi="Cambria Math"/>
          <w:spacing w:val="13"/>
        </w:rPr>
        <w:t> </w:t>
      </w:r>
      <w:r>
        <w:rPr>
          <w:rFonts w:ascii="Cambria Math" w:hAnsi="Cambria Math"/>
          <w:spacing w:val="-5"/>
        </w:rPr>
        <w:t>12%</w:t>
      </w:r>
    </w:p>
    <w:p>
      <w:pPr>
        <w:pStyle w:val="BodyText"/>
        <w:spacing w:after="0" w:line="187" w:lineRule="auto"/>
        <w:rPr>
          <w:rFonts w:ascii="Cambria Math" w:hAnsi="Cambria Math"/>
        </w:rPr>
        <w:sectPr>
          <w:type w:val="continuous"/>
          <w:pgSz w:w="12240" w:h="15840"/>
          <w:pgMar w:header="0" w:footer="1051" w:top="1820" w:bottom="1240" w:left="1440" w:right="1080"/>
          <w:cols w:num="2" w:equalWidth="0">
            <w:col w:w="4156" w:space="40"/>
            <w:col w:w="5524"/>
          </w:cols>
        </w:sectPr>
      </w:pPr>
    </w:p>
    <w:p>
      <w:pPr>
        <w:pStyle w:val="Heading2"/>
        <w:numPr>
          <w:ilvl w:val="1"/>
          <w:numId w:val="6"/>
        </w:numPr>
        <w:tabs>
          <w:tab w:pos="400" w:val="left" w:leader="none"/>
        </w:tabs>
        <w:spacing w:line="240" w:lineRule="auto" w:before="76" w:after="0"/>
        <w:ind w:left="400" w:right="0" w:hanging="400"/>
        <w:jc w:val="left"/>
      </w:pPr>
      <w:r>
        <w:rPr/>
        <w:t>Net</w:t>
      </w:r>
      <w:r>
        <w:rPr>
          <w:spacing w:val="-9"/>
        </w:rPr>
        <w:t> </w:t>
      </w:r>
      <w:r>
        <w:rPr/>
        <w:t>Present</w:t>
      </w:r>
      <w:r>
        <w:rPr>
          <w:spacing w:val="-8"/>
        </w:rPr>
        <w:t> </w:t>
      </w:r>
      <w:r>
        <w:rPr/>
        <w:t>Value</w:t>
      </w:r>
      <w:r>
        <w:rPr>
          <w:spacing w:val="-9"/>
        </w:rPr>
        <w:t> </w:t>
      </w:r>
      <w:r>
        <w:rPr>
          <w:spacing w:val="-4"/>
        </w:rPr>
        <w:t>(NPV)</w:t>
      </w:r>
    </w:p>
    <w:p>
      <w:pPr>
        <w:pStyle w:val="BodyText"/>
        <w:spacing w:before="24"/>
        <w:rPr>
          <w:rFonts w:ascii="Arial"/>
          <w:b/>
        </w:rPr>
      </w:pPr>
    </w:p>
    <w:p>
      <w:pPr>
        <w:pStyle w:val="BodyText"/>
        <w:spacing w:line="360" w:lineRule="auto"/>
        <w:ind w:right="360"/>
        <w:jc w:val="both"/>
      </w:pPr>
      <w:r>
        <w:rPr/>
        <w:t>Net</w:t>
      </w:r>
      <w:r>
        <w:rPr>
          <w:spacing w:val="-8"/>
        </w:rPr>
        <w:t> </w:t>
      </w:r>
      <w:r>
        <w:rPr/>
        <w:t>Present</w:t>
      </w:r>
      <w:r>
        <w:rPr>
          <w:spacing w:val="-8"/>
        </w:rPr>
        <w:t> </w:t>
      </w:r>
      <w:r>
        <w:rPr/>
        <w:t>Value</w:t>
      </w:r>
      <w:r>
        <w:rPr>
          <w:spacing w:val="-8"/>
        </w:rPr>
        <w:t> </w:t>
      </w:r>
      <w:r>
        <w:rPr/>
        <w:t>(NPV)</w:t>
      </w:r>
      <w:r>
        <w:rPr>
          <w:spacing w:val="-12"/>
        </w:rPr>
        <w:t> </w:t>
      </w:r>
      <w:r>
        <w:rPr/>
        <w:t>is</w:t>
      </w:r>
      <w:r>
        <w:rPr>
          <w:spacing w:val="-9"/>
        </w:rPr>
        <w:t> </w:t>
      </w:r>
      <w:r>
        <w:rPr/>
        <w:t>a</w:t>
      </w:r>
      <w:r>
        <w:rPr>
          <w:spacing w:val="-8"/>
        </w:rPr>
        <w:t> </w:t>
      </w:r>
      <w:r>
        <w:rPr/>
        <w:t>discounted</w:t>
      </w:r>
      <w:r>
        <w:rPr>
          <w:spacing w:val="-8"/>
        </w:rPr>
        <w:t> </w:t>
      </w:r>
      <w:r>
        <w:rPr/>
        <w:t>cash</w:t>
      </w:r>
      <w:r>
        <w:rPr>
          <w:spacing w:val="-13"/>
        </w:rPr>
        <w:t> </w:t>
      </w:r>
      <w:r>
        <w:rPr/>
        <w:t>flow</w:t>
      </w:r>
      <w:r>
        <w:rPr>
          <w:spacing w:val="-14"/>
        </w:rPr>
        <w:t> </w:t>
      </w:r>
      <w:r>
        <w:rPr/>
        <w:t>method</w:t>
      </w:r>
      <w:r>
        <w:rPr>
          <w:spacing w:val="-8"/>
        </w:rPr>
        <w:t> </w:t>
      </w:r>
      <w:r>
        <w:rPr/>
        <w:t>that</w:t>
      </w:r>
      <w:r>
        <w:rPr>
          <w:spacing w:val="-8"/>
        </w:rPr>
        <w:t> </w:t>
      </w:r>
      <w:r>
        <w:rPr/>
        <w:t>can</w:t>
      </w:r>
      <w:r>
        <w:rPr>
          <w:spacing w:val="-8"/>
        </w:rPr>
        <w:t> </w:t>
      </w:r>
      <w:r>
        <w:rPr/>
        <w:t>be</w:t>
      </w:r>
      <w:r>
        <w:rPr>
          <w:spacing w:val="-8"/>
        </w:rPr>
        <w:t> </w:t>
      </w:r>
      <w:r>
        <w:rPr/>
        <w:t>applied</w:t>
      </w:r>
      <w:r>
        <w:rPr>
          <w:spacing w:val="-8"/>
        </w:rPr>
        <w:t> </w:t>
      </w:r>
      <w:r>
        <w:rPr/>
        <w:t>to</w:t>
      </w:r>
      <w:r>
        <w:rPr>
          <w:spacing w:val="-8"/>
        </w:rPr>
        <w:t> </w:t>
      </w:r>
      <w:r>
        <w:rPr/>
        <w:t>assess the financial viability of an investment by comparing the present value of future cash inflows</w:t>
      </w:r>
      <w:r>
        <w:rPr>
          <w:spacing w:val="-7"/>
        </w:rPr>
        <w:t> </w:t>
      </w:r>
      <w:r>
        <w:rPr/>
        <w:t>to</w:t>
      </w:r>
      <w:r>
        <w:rPr>
          <w:spacing w:val="-6"/>
        </w:rPr>
        <w:t> </w:t>
      </w:r>
      <w:r>
        <w:rPr/>
        <w:t>the</w:t>
      </w:r>
      <w:r>
        <w:rPr>
          <w:spacing w:val="-11"/>
        </w:rPr>
        <w:t> </w:t>
      </w:r>
      <w:r>
        <w:rPr/>
        <w:t>initial</w:t>
      </w:r>
      <w:r>
        <w:rPr>
          <w:spacing w:val="-8"/>
        </w:rPr>
        <w:t> </w:t>
      </w:r>
      <w:r>
        <w:rPr/>
        <w:t>investment.</w:t>
      </w:r>
      <w:r>
        <w:rPr>
          <w:spacing w:val="-6"/>
        </w:rPr>
        <w:t> </w:t>
      </w:r>
      <w:r>
        <w:rPr/>
        <w:t>It</w:t>
      </w:r>
      <w:r>
        <w:rPr>
          <w:spacing w:val="-6"/>
        </w:rPr>
        <w:t> </w:t>
      </w:r>
      <w:r>
        <w:rPr/>
        <w:t>takes</w:t>
      </w:r>
      <w:r>
        <w:rPr>
          <w:spacing w:val="-12"/>
        </w:rPr>
        <w:t> </w:t>
      </w:r>
      <w:r>
        <w:rPr/>
        <w:t>into</w:t>
      </w:r>
      <w:r>
        <w:rPr>
          <w:spacing w:val="-6"/>
        </w:rPr>
        <w:t> </w:t>
      </w:r>
      <w:r>
        <w:rPr/>
        <w:t>consideration</w:t>
      </w:r>
      <w:r>
        <w:rPr>
          <w:spacing w:val="-6"/>
        </w:rPr>
        <w:t> </w:t>
      </w:r>
      <w:r>
        <w:rPr/>
        <w:t>the</w:t>
      </w:r>
      <w:r>
        <w:rPr>
          <w:spacing w:val="-6"/>
        </w:rPr>
        <w:t> </w:t>
      </w:r>
      <w:r>
        <w:rPr/>
        <w:t>time</w:t>
      </w:r>
      <w:r>
        <w:rPr>
          <w:spacing w:val="-6"/>
        </w:rPr>
        <w:t> </w:t>
      </w:r>
      <w:r>
        <w:rPr/>
        <w:t>value</w:t>
      </w:r>
      <w:r>
        <w:rPr>
          <w:spacing w:val="-6"/>
        </w:rPr>
        <w:t> </w:t>
      </w:r>
      <w:r>
        <w:rPr/>
        <w:t>of</w:t>
      </w:r>
      <w:r>
        <w:rPr>
          <w:spacing w:val="-6"/>
        </w:rPr>
        <w:t> </w:t>
      </w:r>
      <w:r>
        <w:rPr/>
        <w:t>money</w:t>
      </w:r>
      <w:r>
        <w:rPr>
          <w:spacing w:val="-7"/>
        </w:rPr>
        <w:t> </w:t>
      </w:r>
      <w:r>
        <w:rPr/>
        <w:t>and</w:t>
      </w:r>
      <w:r>
        <w:rPr>
          <w:spacing w:val="-6"/>
        </w:rPr>
        <w:t> </w:t>
      </w:r>
      <w:r>
        <w:rPr/>
        <w:t>is calculated as:</w:t>
      </w:r>
    </w:p>
    <w:p>
      <w:pPr>
        <w:spacing w:line="158" w:lineRule="exact" w:before="122"/>
        <w:ind w:left="767" w:right="1289" w:firstLine="0"/>
        <w:jc w:val="center"/>
        <w:rPr>
          <w:rFonts w:ascii="Cambria Math" w:eastAsia="Cambria Math"/>
          <w:sz w:val="17"/>
        </w:rPr>
      </w:pPr>
      <w:r>
        <w:rPr>
          <w:rFonts w:ascii="Cambria Math" w:eastAsia="Cambria Math"/>
          <w:spacing w:val="-10"/>
          <w:w w:val="110"/>
          <w:sz w:val="17"/>
        </w:rPr>
        <w:t>𝑛</w:t>
      </w:r>
    </w:p>
    <w:p>
      <w:pPr>
        <w:spacing w:line="190" w:lineRule="exact" w:before="0"/>
        <w:ind w:left="767" w:right="0" w:firstLine="0"/>
        <w:jc w:val="center"/>
        <w:rPr>
          <w:rFonts w:ascii="Cambria Math" w:eastAsia="Cambria Math"/>
          <w:sz w:val="24"/>
        </w:rPr>
      </w:pPr>
      <w:r>
        <w:rPr>
          <w:rFonts w:ascii="Cambria Math" w:eastAsia="Cambria Math"/>
          <w:spacing w:val="28"/>
          <w:w w:val="105"/>
          <w:sz w:val="24"/>
          <w:u w:val="single"/>
        </w:rPr>
        <w:t>  </w:t>
      </w:r>
      <w:r>
        <w:rPr>
          <w:rFonts w:ascii="Cambria Math" w:eastAsia="Cambria Math"/>
          <w:spacing w:val="-5"/>
          <w:w w:val="105"/>
          <w:sz w:val="24"/>
          <w:u w:val="single"/>
        </w:rPr>
        <w:t>𝐶𝐹</w:t>
      </w:r>
      <w:r>
        <w:rPr>
          <w:rFonts w:ascii="Cambria Math" w:eastAsia="Cambria Math"/>
          <w:spacing w:val="-5"/>
          <w:w w:val="105"/>
          <w:sz w:val="24"/>
          <w:u w:val="single"/>
          <w:vertAlign w:val="subscript"/>
        </w:rPr>
        <w:t>𝑡</w:t>
      </w:r>
      <w:r>
        <w:rPr>
          <w:rFonts w:ascii="Cambria Math" w:eastAsia="Cambria Math"/>
          <w:spacing w:val="40"/>
          <w:w w:val="105"/>
          <w:sz w:val="24"/>
          <w:u w:val="single"/>
          <w:vertAlign w:val="baseline"/>
        </w:rPr>
        <w:t> </w:t>
      </w:r>
    </w:p>
    <w:p>
      <w:pPr>
        <w:pStyle w:val="BodyText"/>
        <w:tabs>
          <w:tab w:pos="2419" w:val="left" w:leader="none"/>
        </w:tabs>
        <w:spacing w:line="96" w:lineRule="exact"/>
        <w:ind w:right="445"/>
        <w:jc w:val="center"/>
        <w:rPr>
          <w:rFonts w:ascii="Cambria Math" w:hAnsi="Cambria Math" w:eastAsia="Cambria Math"/>
        </w:rPr>
      </w:pPr>
      <w:r>
        <w:rPr>
          <w:w w:val="105"/>
        </w:rPr>
        <w:t>NPV</w:t>
      </w:r>
      <w:r>
        <w:rPr>
          <w:spacing w:val="-18"/>
          <w:w w:val="105"/>
        </w:rPr>
        <w:t> </w:t>
      </w:r>
      <w:r>
        <w:rPr>
          <w:rFonts w:ascii="Cambria Math" w:hAnsi="Cambria Math" w:eastAsia="Cambria Math"/>
          <w:w w:val="105"/>
        </w:rPr>
        <w:t>=</w:t>
      </w:r>
      <w:r>
        <w:rPr>
          <w:rFonts w:ascii="Cambria Math" w:hAnsi="Cambria Math" w:eastAsia="Cambria Math"/>
          <w:spacing w:val="-10"/>
          <w:w w:val="105"/>
        </w:rPr>
        <w:t> ∑</w:t>
      </w:r>
      <w:r>
        <w:rPr>
          <w:rFonts w:ascii="Cambria Math" w:hAnsi="Cambria Math" w:eastAsia="Cambria Math"/>
        </w:rPr>
        <w:tab/>
      </w:r>
      <w:r>
        <w:rPr>
          <w:rFonts w:ascii="Cambria Math" w:hAnsi="Cambria Math" w:eastAsia="Cambria Math"/>
          <w:w w:val="105"/>
        </w:rPr>
        <w:t>−</w:t>
      </w:r>
      <w:r>
        <w:rPr>
          <w:rFonts w:ascii="Cambria Math" w:hAnsi="Cambria Math" w:eastAsia="Cambria Math"/>
          <w:spacing w:val="-9"/>
          <w:w w:val="105"/>
        </w:rPr>
        <w:t> </w:t>
      </w:r>
      <w:r>
        <w:rPr>
          <w:rFonts w:ascii="Cambria Math" w:hAnsi="Cambria Math" w:eastAsia="Cambria Math"/>
          <w:spacing w:val="-10"/>
          <w:w w:val="110"/>
        </w:rPr>
        <w:t>𝐶</w:t>
      </w:r>
    </w:p>
    <w:p>
      <w:pPr>
        <w:pStyle w:val="BodyText"/>
        <w:spacing w:after="0" w:line="96" w:lineRule="exact"/>
        <w:jc w:val="center"/>
        <w:rPr>
          <w:rFonts w:ascii="Cambria Math" w:hAnsi="Cambria Math" w:eastAsia="Cambria Math"/>
        </w:rPr>
        <w:sectPr>
          <w:pgSz w:w="12240" w:h="15840"/>
          <w:pgMar w:header="0" w:footer="1051" w:top="1360" w:bottom="1240" w:left="1440" w:right="1080"/>
        </w:sectPr>
      </w:pPr>
    </w:p>
    <w:p>
      <w:pPr>
        <w:pStyle w:val="BodyText"/>
        <w:spacing w:before="33"/>
        <w:rPr>
          <w:rFonts w:ascii="Cambria Math"/>
          <w:sz w:val="17"/>
        </w:rPr>
      </w:pPr>
    </w:p>
    <w:p>
      <w:pPr>
        <w:spacing w:before="1"/>
        <w:ind w:left="0" w:right="0" w:firstLine="0"/>
        <w:jc w:val="right"/>
        <w:rPr>
          <w:rFonts w:ascii="Cambria Math" w:eastAsia="Cambria Math"/>
          <w:sz w:val="17"/>
        </w:rPr>
      </w:pPr>
      <w:r>
        <w:rPr>
          <w:rFonts w:ascii="Cambria Math" w:eastAsia="Cambria Math"/>
          <w:spacing w:val="-5"/>
          <w:w w:val="105"/>
          <w:sz w:val="17"/>
        </w:rPr>
        <w:t>𝑡=1</w:t>
      </w:r>
    </w:p>
    <w:p>
      <w:pPr>
        <w:pStyle w:val="BodyText"/>
        <w:tabs>
          <w:tab w:pos="1139" w:val="left" w:leader="none"/>
        </w:tabs>
        <w:spacing w:before="3"/>
        <w:ind w:left="1"/>
        <w:rPr>
          <w:rFonts w:ascii="Cambria Math" w:eastAsia="Cambria Math"/>
        </w:rPr>
      </w:pPr>
      <w:r>
        <w:rPr/>
        <w:br w:type="column"/>
      </w:r>
      <w:r>
        <w:rPr>
          <w:rFonts w:ascii="Cambria Math" w:eastAsia="Cambria Math"/>
          <w:spacing w:val="-2"/>
          <w:w w:val="105"/>
          <w:position w:val="1"/>
        </w:rPr>
        <w:t>(</w:t>
      </w:r>
      <w:r>
        <w:rPr>
          <w:rFonts w:ascii="Cambria Math" w:eastAsia="Cambria Math"/>
          <w:spacing w:val="-2"/>
          <w:w w:val="105"/>
        </w:rPr>
        <w:t>1+𝑟)</w:t>
      </w:r>
      <w:r>
        <w:rPr>
          <w:rFonts w:ascii="Cambria Math" w:eastAsia="Cambria Math"/>
          <w:spacing w:val="-2"/>
          <w:w w:val="105"/>
          <w:vertAlign w:val="superscript"/>
        </w:rPr>
        <w:t>𝑡</w:t>
      </w:r>
      <w:r>
        <w:rPr>
          <w:rFonts w:ascii="Cambria Math" w:eastAsia="Cambria Math"/>
          <w:vertAlign w:val="baseline"/>
        </w:rPr>
        <w:tab/>
      </w:r>
      <w:r>
        <w:rPr>
          <w:rFonts w:ascii="Cambria Math" w:eastAsia="Cambria Math"/>
          <w:spacing w:val="-10"/>
          <w:w w:val="105"/>
          <w:vertAlign w:val="superscript"/>
        </w:rPr>
        <w:t>0</w:t>
      </w:r>
    </w:p>
    <w:p>
      <w:pPr>
        <w:pStyle w:val="BodyText"/>
        <w:spacing w:after="0"/>
        <w:rPr>
          <w:rFonts w:ascii="Cambria Math" w:eastAsia="Cambria Math"/>
        </w:rPr>
        <w:sectPr>
          <w:type w:val="continuous"/>
          <w:pgSz w:w="12240" w:h="15840"/>
          <w:pgMar w:header="0" w:footer="1051" w:top="1820" w:bottom="1240" w:left="1440" w:right="1080"/>
          <w:cols w:num="2" w:equalWidth="0">
            <w:col w:w="4843" w:space="40"/>
            <w:col w:w="4837"/>
          </w:cols>
        </w:sectPr>
      </w:pPr>
    </w:p>
    <w:p>
      <w:pPr>
        <w:pStyle w:val="BodyText"/>
        <w:spacing w:line="357" w:lineRule="auto" w:before="267"/>
      </w:pPr>
      <w:r>
        <w:rPr/>
        <w:t>where</w:t>
      </w:r>
      <w:r>
        <w:rPr>
          <w:spacing w:val="40"/>
        </w:rPr>
        <w:t> </w:t>
      </w:r>
      <w:r>
        <w:rPr>
          <w:rFonts w:ascii="Cambria Math" w:hAnsi="Cambria Math" w:eastAsia="Cambria Math"/>
        </w:rPr>
        <w:t>𝐶𝐹</w:t>
      </w:r>
      <w:r>
        <w:rPr>
          <w:rFonts w:ascii="Cambria Math" w:hAnsi="Cambria Math" w:eastAsia="Cambria Math"/>
          <w:vertAlign w:val="subscript"/>
        </w:rPr>
        <w:t>𝑡</w:t>
      </w:r>
      <w:r>
        <w:rPr>
          <w:vertAlign w:val="baseline"/>
        </w:rPr>
        <w:t>represents</w:t>
      </w:r>
      <w:r>
        <w:rPr>
          <w:spacing w:val="40"/>
          <w:vertAlign w:val="baseline"/>
        </w:rPr>
        <w:t> </w:t>
      </w:r>
      <w:r>
        <w:rPr>
          <w:vertAlign w:val="baseline"/>
        </w:rPr>
        <w:t>cash</w:t>
      </w:r>
      <w:r>
        <w:rPr>
          <w:spacing w:val="40"/>
          <w:vertAlign w:val="baseline"/>
        </w:rPr>
        <w:t> </w:t>
      </w:r>
      <w:r>
        <w:rPr>
          <w:vertAlign w:val="baseline"/>
        </w:rPr>
        <w:t>inflows,</w:t>
      </w:r>
      <w:r>
        <w:rPr>
          <w:spacing w:val="71"/>
          <w:vertAlign w:val="baseline"/>
        </w:rPr>
        <w:t> </w:t>
      </w:r>
      <w:r>
        <w:rPr>
          <w:rFonts w:ascii="Cambria Math" w:hAnsi="Cambria Math" w:eastAsia="Cambria Math"/>
          <w:vertAlign w:val="baseline"/>
        </w:rPr>
        <w:t>𝑟</w:t>
      </w:r>
      <w:r>
        <w:rPr>
          <w:vertAlign w:val="baseline"/>
        </w:rPr>
        <w:t>is</w:t>
      </w:r>
      <w:r>
        <w:rPr>
          <w:spacing w:val="40"/>
          <w:vertAlign w:val="baseline"/>
        </w:rPr>
        <w:t> </w:t>
      </w:r>
      <w:r>
        <w:rPr>
          <w:vertAlign w:val="baseline"/>
        </w:rPr>
        <w:t>the</w:t>
      </w:r>
      <w:r>
        <w:rPr>
          <w:spacing w:val="40"/>
          <w:vertAlign w:val="baseline"/>
        </w:rPr>
        <w:t> </w:t>
      </w:r>
      <w:r>
        <w:rPr>
          <w:vertAlign w:val="baseline"/>
        </w:rPr>
        <w:t>discount</w:t>
      </w:r>
      <w:r>
        <w:rPr>
          <w:spacing w:val="40"/>
          <w:vertAlign w:val="baseline"/>
        </w:rPr>
        <w:t> </w:t>
      </w:r>
      <w:r>
        <w:rPr>
          <w:vertAlign w:val="baseline"/>
        </w:rPr>
        <w:t>rate</w:t>
      </w:r>
      <w:r>
        <w:rPr>
          <w:spacing w:val="40"/>
          <w:vertAlign w:val="baseline"/>
        </w:rPr>
        <w:t> </w:t>
      </w:r>
      <w:r>
        <w:rPr>
          <w:vertAlign w:val="baseline"/>
        </w:rPr>
        <w:t>(10%),</w:t>
      </w:r>
      <w:r>
        <w:rPr>
          <w:spacing w:val="40"/>
          <w:vertAlign w:val="baseline"/>
        </w:rPr>
        <w:t> </w:t>
      </w:r>
      <w:r>
        <w:rPr>
          <w:vertAlign w:val="baseline"/>
        </w:rPr>
        <w:t>and</w:t>
      </w:r>
      <w:r>
        <w:rPr>
          <w:spacing w:val="40"/>
          <w:vertAlign w:val="baseline"/>
        </w:rPr>
        <w:t> </w:t>
      </w:r>
      <w:r>
        <w:rPr>
          <w:rFonts w:ascii="Cambria Math" w:hAnsi="Cambria Math" w:eastAsia="Cambria Math"/>
          <w:vertAlign w:val="baseline"/>
        </w:rPr>
        <w:t>𝐶</w:t>
      </w:r>
      <w:r>
        <w:rPr>
          <w:rFonts w:ascii="Cambria Math" w:hAnsi="Cambria Math" w:eastAsia="Cambria Math"/>
          <w:vertAlign w:val="subscript"/>
        </w:rPr>
        <w:t>0</w:t>
      </w:r>
      <w:r>
        <w:rPr>
          <w:vertAlign w:val="baseline"/>
        </w:rPr>
        <w:t>is</w:t>
      </w:r>
      <w:r>
        <w:rPr>
          <w:spacing w:val="40"/>
          <w:vertAlign w:val="baseline"/>
        </w:rPr>
        <w:t> </w:t>
      </w:r>
      <w:r>
        <w:rPr>
          <w:vertAlign w:val="baseline"/>
        </w:rPr>
        <w:t>the</w:t>
      </w:r>
      <w:r>
        <w:rPr>
          <w:spacing w:val="40"/>
          <w:vertAlign w:val="baseline"/>
        </w:rPr>
        <w:t> </w:t>
      </w:r>
      <w:r>
        <w:rPr>
          <w:vertAlign w:val="baseline"/>
        </w:rPr>
        <w:t>initial</w:t>
      </w:r>
      <w:r>
        <w:rPr>
          <w:spacing w:val="40"/>
          <w:vertAlign w:val="baseline"/>
        </w:rPr>
        <w:t> </w:t>
      </w:r>
      <w:r>
        <w:rPr>
          <w:vertAlign w:val="baseline"/>
        </w:rPr>
        <w:t>investment (£50 million).</w:t>
      </w:r>
    </w:p>
    <w:p>
      <w:pPr>
        <w:pStyle w:val="BodyText"/>
      </w:pPr>
    </w:p>
    <w:p>
      <w:pPr>
        <w:pStyle w:val="BodyText"/>
        <w:spacing w:before="181"/>
      </w:pPr>
    </w:p>
    <w:p>
      <w:pPr>
        <w:spacing w:before="0"/>
        <w:ind w:left="0" w:right="0" w:firstLine="0"/>
        <w:jc w:val="left"/>
        <w:rPr>
          <w:rFonts w:ascii="Arial"/>
          <w:b/>
          <w:sz w:val="24"/>
        </w:rPr>
      </w:pPr>
      <w:r>
        <w:rPr>
          <w:rFonts w:ascii="Arial"/>
          <w:b/>
          <w:sz w:val="24"/>
        </w:rPr>
        <w:t>Step</w:t>
      </w:r>
      <w:r>
        <w:rPr>
          <w:rFonts w:ascii="Arial"/>
          <w:b/>
          <w:spacing w:val="-2"/>
          <w:sz w:val="24"/>
        </w:rPr>
        <w:t> </w:t>
      </w:r>
      <w:r>
        <w:rPr>
          <w:rFonts w:ascii="Arial"/>
          <w:b/>
          <w:sz w:val="24"/>
        </w:rPr>
        <w:t>1:</w:t>
      </w:r>
      <w:r>
        <w:rPr>
          <w:rFonts w:ascii="Arial"/>
          <w:b/>
          <w:spacing w:val="-2"/>
          <w:sz w:val="24"/>
        </w:rPr>
        <w:t> </w:t>
      </w:r>
      <w:r>
        <w:rPr>
          <w:rFonts w:ascii="Arial"/>
          <w:b/>
          <w:sz w:val="24"/>
        </w:rPr>
        <w:t>Discount</w:t>
      </w:r>
      <w:r>
        <w:rPr>
          <w:rFonts w:ascii="Arial"/>
          <w:b/>
          <w:spacing w:val="-2"/>
          <w:sz w:val="24"/>
        </w:rPr>
        <w:t> </w:t>
      </w:r>
      <w:r>
        <w:rPr>
          <w:rFonts w:ascii="Arial"/>
          <w:b/>
          <w:sz w:val="24"/>
        </w:rPr>
        <w:t>Factors</w:t>
      </w:r>
      <w:r>
        <w:rPr>
          <w:rFonts w:ascii="Arial"/>
          <w:b/>
          <w:spacing w:val="-7"/>
          <w:sz w:val="24"/>
        </w:rPr>
        <w:t> </w:t>
      </w:r>
      <w:r>
        <w:rPr>
          <w:rFonts w:ascii="Arial"/>
          <w:b/>
          <w:spacing w:val="-4"/>
          <w:sz w:val="24"/>
        </w:rPr>
        <w:t>(10%)</w:t>
      </w:r>
    </w:p>
    <w:p>
      <w:pPr>
        <w:pStyle w:val="BodyText"/>
        <w:spacing w:before="91"/>
        <w:rPr>
          <w:rFonts w:ascii="Arial"/>
          <w:b/>
          <w:sz w:val="20"/>
        </w:rPr>
      </w:pPr>
    </w:p>
    <w:tbl>
      <w:tblPr>
        <w:tblW w:w="0" w:type="auto"/>
        <w:jc w:val="left"/>
        <w:tblInd w:w="39" w:type="dxa"/>
        <w:tblBorders>
          <w:top w:val="double" w:sz="4" w:space="0" w:color="000000"/>
          <w:left w:val="double" w:sz="4" w:space="0" w:color="000000"/>
          <w:bottom w:val="double" w:sz="4" w:space="0" w:color="000000"/>
          <w:right w:val="double" w:sz="4" w:space="0" w:color="000000"/>
          <w:insideH w:val="double" w:sz="4" w:space="0" w:color="000000"/>
          <w:insideV w:val="double" w:sz="4" w:space="0" w:color="000000"/>
        </w:tblBorders>
        <w:tblLayout w:type="fixed"/>
        <w:tblCellMar>
          <w:top w:w="0" w:type="dxa"/>
          <w:left w:w="0" w:type="dxa"/>
          <w:bottom w:w="0" w:type="dxa"/>
          <w:right w:w="0" w:type="dxa"/>
        </w:tblCellMar>
        <w:tblLook w:val="01E0"/>
      </w:tblPr>
      <w:tblGrid>
        <w:gridCol w:w="584"/>
        <w:gridCol w:w="2612"/>
      </w:tblGrid>
      <w:tr>
        <w:trPr>
          <w:trHeight w:val="625" w:hRule="atLeast"/>
        </w:trPr>
        <w:tc>
          <w:tcPr>
            <w:tcW w:w="584" w:type="dxa"/>
            <w:shd w:val="clear" w:color="auto" w:fill="6FAC46"/>
          </w:tcPr>
          <w:p>
            <w:pPr>
              <w:pStyle w:val="TableParagraph"/>
              <w:spacing w:before="21"/>
              <w:ind w:left="8"/>
              <w:rPr>
                <w:rFonts w:ascii="Arial"/>
                <w:b/>
                <w:sz w:val="24"/>
              </w:rPr>
            </w:pPr>
            <w:r>
              <w:rPr>
                <w:rFonts w:ascii="Arial"/>
                <w:b/>
                <w:spacing w:val="-4"/>
                <w:sz w:val="24"/>
              </w:rPr>
              <w:t>Year</w:t>
            </w:r>
          </w:p>
        </w:tc>
        <w:tc>
          <w:tcPr>
            <w:tcW w:w="2612" w:type="dxa"/>
            <w:shd w:val="clear" w:color="auto" w:fill="6FAC46"/>
          </w:tcPr>
          <w:p>
            <w:pPr>
              <w:pStyle w:val="TableParagraph"/>
              <w:spacing w:before="21"/>
              <w:ind w:left="11" w:right="8"/>
              <w:rPr>
                <w:rFonts w:ascii="Arial"/>
                <w:b/>
                <w:sz w:val="24"/>
              </w:rPr>
            </w:pPr>
            <w:r>
              <w:rPr>
                <w:rFonts w:ascii="Arial"/>
                <w:b/>
                <w:sz w:val="24"/>
              </w:rPr>
              <w:t>Discount</w:t>
            </w:r>
            <w:r>
              <w:rPr>
                <w:rFonts w:ascii="Arial"/>
                <w:b/>
                <w:spacing w:val="-6"/>
                <w:sz w:val="24"/>
              </w:rPr>
              <w:t> </w:t>
            </w:r>
            <w:r>
              <w:rPr>
                <w:rFonts w:ascii="Arial"/>
                <w:b/>
                <w:sz w:val="24"/>
              </w:rPr>
              <w:t>Factor</w:t>
            </w:r>
            <w:r>
              <w:rPr>
                <w:rFonts w:ascii="Arial"/>
                <w:b/>
                <w:spacing w:val="-6"/>
                <w:sz w:val="24"/>
              </w:rPr>
              <w:t> </w:t>
            </w:r>
            <w:r>
              <w:rPr>
                <w:rFonts w:ascii="Arial"/>
                <w:b/>
                <w:spacing w:val="-2"/>
                <w:sz w:val="24"/>
              </w:rPr>
              <w:t>(10%)</w:t>
            </w:r>
          </w:p>
        </w:tc>
      </w:tr>
      <w:tr>
        <w:trPr>
          <w:trHeight w:val="622" w:hRule="atLeast"/>
        </w:trPr>
        <w:tc>
          <w:tcPr>
            <w:tcW w:w="584" w:type="dxa"/>
          </w:tcPr>
          <w:p>
            <w:pPr>
              <w:pStyle w:val="TableParagraph"/>
              <w:rPr>
                <w:sz w:val="24"/>
              </w:rPr>
            </w:pPr>
            <w:r>
              <w:rPr>
                <w:spacing w:val="-10"/>
                <w:sz w:val="24"/>
              </w:rPr>
              <w:t>1</w:t>
            </w:r>
          </w:p>
        </w:tc>
        <w:tc>
          <w:tcPr>
            <w:tcW w:w="2612" w:type="dxa"/>
          </w:tcPr>
          <w:p>
            <w:pPr>
              <w:pStyle w:val="TableParagraph"/>
              <w:ind w:left="11"/>
              <w:rPr>
                <w:sz w:val="24"/>
              </w:rPr>
            </w:pPr>
            <w:r>
              <w:rPr>
                <w:spacing w:val="-4"/>
                <w:sz w:val="24"/>
              </w:rPr>
              <w:t>0.909</w:t>
            </w:r>
          </w:p>
        </w:tc>
      </w:tr>
      <w:tr>
        <w:trPr>
          <w:trHeight w:val="622" w:hRule="atLeast"/>
        </w:trPr>
        <w:tc>
          <w:tcPr>
            <w:tcW w:w="584" w:type="dxa"/>
          </w:tcPr>
          <w:p>
            <w:pPr>
              <w:pStyle w:val="TableParagraph"/>
              <w:rPr>
                <w:sz w:val="24"/>
              </w:rPr>
            </w:pPr>
            <w:r>
              <w:rPr>
                <w:spacing w:val="-10"/>
                <w:sz w:val="24"/>
              </w:rPr>
              <w:t>2</w:t>
            </w:r>
          </w:p>
        </w:tc>
        <w:tc>
          <w:tcPr>
            <w:tcW w:w="2612" w:type="dxa"/>
          </w:tcPr>
          <w:p>
            <w:pPr>
              <w:pStyle w:val="TableParagraph"/>
              <w:ind w:left="11"/>
              <w:rPr>
                <w:sz w:val="24"/>
              </w:rPr>
            </w:pPr>
            <w:r>
              <w:rPr>
                <w:spacing w:val="-4"/>
                <w:sz w:val="24"/>
              </w:rPr>
              <w:t>0.826</w:t>
            </w:r>
          </w:p>
        </w:tc>
      </w:tr>
      <w:tr>
        <w:trPr>
          <w:trHeight w:val="628" w:hRule="atLeast"/>
        </w:trPr>
        <w:tc>
          <w:tcPr>
            <w:tcW w:w="584" w:type="dxa"/>
          </w:tcPr>
          <w:p>
            <w:pPr>
              <w:pStyle w:val="TableParagraph"/>
              <w:spacing w:before="29"/>
              <w:rPr>
                <w:sz w:val="24"/>
              </w:rPr>
            </w:pPr>
            <w:r>
              <w:rPr>
                <w:spacing w:val="-10"/>
                <w:sz w:val="24"/>
              </w:rPr>
              <w:t>3</w:t>
            </w:r>
          </w:p>
        </w:tc>
        <w:tc>
          <w:tcPr>
            <w:tcW w:w="2612" w:type="dxa"/>
          </w:tcPr>
          <w:p>
            <w:pPr>
              <w:pStyle w:val="TableParagraph"/>
              <w:spacing w:before="29"/>
              <w:ind w:left="11"/>
              <w:rPr>
                <w:sz w:val="24"/>
              </w:rPr>
            </w:pPr>
            <w:r>
              <w:rPr>
                <w:spacing w:val="-4"/>
                <w:sz w:val="24"/>
              </w:rPr>
              <w:t>0.751</w:t>
            </w:r>
          </w:p>
        </w:tc>
      </w:tr>
      <w:tr>
        <w:trPr>
          <w:trHeight w:val="622" w:hRule="atLeast"/>
        </w:trPr>
        <w:tc>
          <w:tcPr>
            <w:tcW w:w="584" w:type="dxa"/>
          </w:tcPr>
          <w:p>
            <w:pPr>
              <w:pStyle w:val="TableParagraph"/>
              <w:rPr>
                <w:sz w:val="24"/>
              </w:rPr>
            </w:pPr>
            <w:r>
              <w:rPr>
                <w:spacing w:val="-10"/>
                <w:sz w:val="24"/>
              </w:rPr>
              <w:t>4</w:t>
            </w:r>
          </w:p>
        </w:tc>
        <w:tc>
          <w:tcPr>
            <w:tcW w:w="2612" w:type="dxa"/>
          </w:tcPr>
          <w:p>
            <w:pPr>
              <w:pStyle w:val="TableParagraph"/>
              <w:ind w:left="11"/>
              <w:rPr>
                <w:sz w:val="24"/>
              </w:rPr>
            </w:pPr>
            <w:r>
              <w:rPr>
                <w:spacing w:val="-4"/>
                <w:sz w:val="24"/>
              </w:rPr>
              <w:t>0.683</w:t>
            </w:r>
          </w:p>
        </w:tc>
      </w:tr>
      <w:tr>
        <w:trPr>
          <w:trHeight w:val="621" w:hRule="atLeast"/>
        </w:trPr>
        <w:tc>
          <w:tcPr>
            <w:tcW w:w="584" w:type="dxa"/>
          </w:tcPr>
          <w:p>
            <w:pPr>
              <w:pStyle w:val="TableParagraph"/>
              <w:rPr>
                <w:sz w:val="24"/>
              </w:rPr>
            </w:pPr>
            <w:r>
              <w:rPr>
                <w:spacing w:val="-10"/>
                <w:sz w:val="24"/>
              </w:rPr>
              <w:t>5</w:t>
            </w:r>
          </w:p>
        </w:tc>
        <w:tc>
          <w:tcPr>
            <w:tcW w:w="2612" w:type="dxa"/>
          </w:tcPr>
          <w:p>
            <w:pPr>
              <w:pStyle w:val="TableParagraph"/>
              <w:ind w:left="11"/>
              <w:rPr>
                <w:sz w:val="24"/>
              </w:rPr>
            </w:pPr>
            <w:r>
              <w:rPr>
                <w:spacing w:val="-4"/>
                <w:sz w:val="24"/>
              </w:rPr>
              <w:t>0.621</w:t>
            </w:r>
          </w:p>
        </w:tc>
      </w:tr>
    </w:tbl>
    <w:p>
      <w:pPr>
        <w:pStyle w:val="TableParagraph"/>
        <w:spacing w:after="0"/>
        <w:rPr>
          <w:sz w:val="24"/>
        </w:rPr>
        <w:sectPr>
          <w:type w:val="continuous"/>
          <w:pgSz w:w="12240" w:h="15840"/>
          <w:pgMar w:header="0" w:footer="1051" w:top="1820" w:bottom="1240" w:left="1440" w:right="1080"/>
        </w:sectPr>
      </w:pPr>
    </w:p>
    <w:p>
      <w:pPr>
        <w:spacing w:before="76"/>
        <w:ind w:left="0" w:right="0" w:firstLine="0"/>
        <w:jc w:val="left"/>
        <w:rPr>
          <w:rFonts w:ascii="Arial"/>
          <w:b/>
          <w:sz w:val="24"/>
        </w:rPr>
      </w:pPr>
      <w:r>
        <w:rPr>
          <w:rFonts w:ascii="Arial"/>
          <w:b/>
          <w:sz w:val="24"/>
        </w:rPr>
        <w:t>Project</w:t>
      </w:r>
      <w:r>
        <w:rPr>
          <w:rFonts w:ascii="Arial"/>
          <w:b/>
          <w:spacing w:val="-11"/>
          <w:sz w:val="24"/>
        </w:rPr>
        <w:t> </w:t>
      </w:r>
      <w:r>
        <w:rPr>
          <w:rFonts w:ascii="Arial"/>
          <w:b/>
          <w:sz w:val="24"/>
        </w:rPr>
        <w:t>A</w:t>
      </w:r>
      <w:r>
        <w:rPr>
          <w:rFonts w:ascii="Arial"/>
          <w:b/>
          <w:spacing w:val="-16"/>
          <w:sz w:val="24"/>
        </w:rPr>
        <w:t> </w:t>
      </w:r>
      <w:r>
        <w:rPr>
          <w:rFonts w:ascii="Arial"/>
          <w:b/>
          <w:spacing w:val="-2"/>
          <w:sz w:val="24"/>
        </w:rPr>
        <w:t>Calculation</w:t>
      </w:r>
    </w:p>
    <w:p>
      <w:pPr>
        <w:pStyle w:val="BodyText"/>
        <w:spacing w:before="96"/>
        <w:rPr>
          <w:rFonts w:ascii="Arial"/>
          <w:b/>
          <w:sz w:val="20"/>
        </w:rPr>
      </w:pPr>
    </w:p>
    <w:tbl>
      <w:tblPr>
        <w:tblW w:w="0" w:type="auto"/>
        <w:jc w:val="left"/>
        <w:tblInd w:w="39" w:type="dxa"/>
        <w:tblBorders>
          <w:top w:val="double" w:sz="4" w:space="0" w:color="000000"/>
          <w:left w:val="double" w:sz="4" w:space="0" w:color="000000"/>
          <w:bottom w:val="double" w:sz="4" w:space="0" w:color="000000"/>
          <w:right w:val="double" w:sz="4" w:space="0" w:color="000000"/>
          <w:insideH w:val="double" w:sz="4" w:space="0" w:color="000000"/>
          <w:insideV w:val="double" w:sz="4" w:space="0" w:color="000000"/>
        </w:tblBorders>
        <w:tblLayout w:type="fixed"/>
        <w:tblCellMar>
          <w:top w:w="0" w:type="dxa"/>
          <w:left w:w="0" w:type="dxa"/>
          <w:bottom w:w="0" w:type="dxa"/>
          <w:right w:w="0" w:type="dxa"/>
        </w:tblCellMar>
        <w:tblLook w:val="01E0"/>
      </w:tblPr>
      <w:tblGrid>
        <w:gridCol w:w="584"/>
        <w:gridCol w:w="1856"/>
        <w:gridCol w:w="1909"/>
        <w:gridCol w:w="2226"/>
      </w:tblGrid>
      <w:tr>
        <w:trPr>
          <w:trHeight w:val="621" w:hRule="atLeast"/>
        </w:trPr>
        <w:tc>
          <w:tcPr>
            <w:tcW w:w="584" w:type="dxa"/>
            <w:shd w:val="clear" w:color="auto" w:fill="6FAC46"/>
          </w:tcPr>
          <w:p>
            <w:pPr>
              <w:pStyle w:val="TableParagraph"/>
              <w:spacing w:before="16"/>
              <w:ind w:left="8"/>
              <w:rPr>
                <w:rFonts w:ascii="Arial"/>
                <w:b/>
                <w:sz w:val="24"/>
              </w:rPr>
            </w:pPr>
            <w:r>
              <w:rPr>
                <w:rFonts w:ascii="Arial"/>
                <w:b/>
                <w:spacing w:val="-4"/>
                <w:sz w:val="24"/>
              </w:rPr>
              <w:t>Year</w:t>
            </w:r>
          </w:p>
        </w:tc>
        <w:tc>
          <w:tcPr>
            <w:tcW w:w="1856" w:type="dxa"/>
            <w:shd w:val="clear" w:color="auto" w:fill="6FAC46"/>
          </w:tcPr>
          <w:p>
            <w:pPr>
              <w:pStyle w:val="TableParagraph"/>
              <w:spacing w:before="16"/>
              <w:ind w:left="13" w:right="6"/>
              <w:rPr>
                <w:rFonts w:ascii="Arial" w:hAnsi="Arial"/>
                <w:b/>
                <w:sz w:val="24"/>
              </w:rPr>
            </w:pPr>
            <w:r>
              <w:rPr>
                <w:rFonts w:ascii="Arial" w:hAnsi="Arial"/>
                <w:b/>
                <w:sz w:val="24"/>
              </w:rPr>
              <w:t>Cash</w:t>
            </w:r>
            <w:r>
              <w:rPr>
                <w:rFonts w:ascii="Arial" w:hAnsi="Arial"/>
                <w:b/>
                <w:spacing w:val="-4"/>
                <w:sz w:val="24"/>
              </w:rPr>
              <w:t> </w:t>
            </w:r>
            <w:r>
              <w:rPr>
                <w:rFonts w:ascii="Arial" w:hAnsi="Arial"/>
                <w:b/>
                <w:sz w:val="24"/>
              </w:rPr>
              <w:t>Flow</w:t>
            </w:r>
            <w:r>
              <w:rPr>
                <w:rFonts w:ascii="Arial" w:hAnsi="Arial"/>
                <w:b/>
                <w:spacing w:val="2"/>
                <w:sz w:val="24"/>
              </w:rPr>
              <w:t> </w:t>
            </w:r>
            <w:r>
              <w:rPr>
                <w:rFonts w:ascii="Arial" w:hAnsi="Arial"/>
                <w:b/>
                <w:spacing w:val="-4"/>
                <w:sz w:val="24"/>
              </w:rPr>
              <w:t>(£m)</w:t>
            </w:r>
          </w:p>
        </w:tc>
        <w:tc>
          <w:tcPr>
            <w:tcW w:w="1909" w:type="dxa"/>
            <w:shd w:val="clear" w:color="auto" w:fill="6FAC46"/>
          </w:tcPr>
          <w:p>
            <w:pPr>
              <w:pStyle w:val="TableParagraph"/>
              <w:spacing w:before="16"/>
              <w:ind w:left="9" w:right="4"/>
              <w:rPr>
                <w:rFonts w:ascii="Arial"/>
                <w:b/>
                <w:sz w:val="24"/>
              </w:rPr>
            </w:pPr>
            <w:r>
              <w:rPr>
                <w:rFonts w:ascii="Arial"/>
                <w:b/>
                <w:sz w:val="24"/>
              </w:rPr>
              <w:t>Discount</w:t>
            </w:r>
            <w:r>
              <w:rPr>
                <w:rFonts w:ascii="Arial"/>
                <w:b/>
                <w:spacing w:val="-6"/>
                <w:sz w:val="24"/>
              </w:rPr>
              <w:t> </w:t>
            </w:r>
            <w:r>
              <w:rPr>
                <w:rFonts w:ascii="Arial"/>
                <w:b/>
                <w:spacing w:val="-2"/>
                <w:sz w:val="24"/>
              </w:rPr>
              <w:t>Factor</w:t>
            </w:r>
          </w:p>
        </w:tc>
        <w:tc>
          <w:tcPr>
            <w:tcW w:w="2226" w:type="dxa"/>
            <w:shd w:val="clear" w:color="auto" w:fill="6FAC46"/>
          </w:tcPr>
          <w:p>
            <w:pPr>
              <w:pStyle w:val="TableParagraph"/>
              <w:spacing w:before="16"/>
              <w:ind w:left="12" w:right="7"/>
              <w:rPr>
                <w:rFonts w:ascii="Arial" w:hAnsi="Arial"/>
                <w:b/>
                <w:sz w:val="24"/>
              </w:rPr>
            </w:pPr>
            <w:r>
              <w:rPr>
                <w:rFonts w:ascii="Arial" w:hAnsi="Arial"/>
                <w:b/>
                <w:sz w:val="24"/>
              </w:rPr>
              <w:t>Present</w:t>
            </w:r>
            <w:r>
              <w:rPr>
                <w:rFonts w:ascii="Arial" w:hAnsi="Arial"/>
                <w:b/>
                <w:spacing w:val="-15"/>
                <w:sz w:val="24"/>
              </w:rPr>
              <w:t> </w:t>
            </w:r>
            <w:r>
              <w:rPr>
                <w:rFonts w:ascii="Arial" w:hAnsi="Arial"/>
                <w:b/>
                <w:sz w:val="24"/>
              </w:rPr>
              <w:t>Value</w:t>
            </w:r>
            <w:r>
              <w:rPr>
                <w:rFonts w:ascii="Arial" w:hAnsi="Arial"/>
                <w:b/>
                <w:spacing w:val="-13"/>
                <w:sz w:val="24"/>
              </w:rPr>
              <w:t> </w:t>
            </w:r>
            <w:r>
              <w:rPr>
                <w:rFonts w:ascii="Arial" w:hAnsi="Arial"/>
                <w:b/>
                <w:spacing w:val="-4"/>
                <w:sz w:val="24"/>
              </w:rPr>
              <w:t>(£m)</w:t>
            </w:r>
          </w:p>
        </w:tc>
      </w:tr>
      <w:tr>
        <w:trPr>
          <w:trHeight w:val="622" w:hRule="atLeast"/>
        </w:trPr>
        <w:tc>
          <w:tcPr>
            <w:tcW w:w="584" w:type="dxa"/>
          </w:tcPr>
          <w:p>
            <w:pPr>
              <w:pStyle w:val="TableParagraph"/>
              <w:rPr>
                <w:sz w:val="24"/>
              </w:rPr>
            </w:pPr>
            <w:r>
              <w:rPr>
                <w:spacing w:val="-10"/>
                <w:sz w:val="24"/>
              </w:rPr>
              <w:t>1</w:t>
            </w:r>
          </w:p>
        </w:tc>
        <w:tc>
          <w:tcPr>
            <w:tcW w:w="1856" w:type="dxa"/>
          </w:tcPr>
          <w:p>
            <w:pPr>
              <w:pStyle w:val="TableParagraph"/>
              <w:ind w:left="16" w:right="6"/>
              <w:rPr>
                <w:sz w:val="24"/>
              </w:rPr>
            </w:pPr>
            <w:r>
              <w:rPr>
                <w:spacing w:val="-5"/>
                <w:sz w:val="24"/>
              </w:rPr>
              <w:t>10</w:t>
            </w:r>
          </w:p>
        </w:tc>
        <w:tc>
          <w:tcPr>
            <w:tcW w:w="1909" w:type="dxa"/>
          </w:tcPr>
          <w:p>
            <w:pPr>
              <w:pStyle w:val="TableParagraph"/>
              <w:ind w:left="9"/>
              <w:rPr>
                <w:sz w:val="24"/>
              </w:rPr>
            </w:pPr>
            <w:r>
              <w:rPr>
                <w:spacing w:val="-4"/>
                <w:sz w:val="24"/>
              </w:rPr>
              <w:t>0.909</w:t>
            </w:r>
          </w:p>
        </w:tc>
        <w:tc>
          <w:tcPr>
            <w:tcW w:w="2226" w:type="dxa"/>
          </w:tcPr>
          <w:p>
            <w:pPr>
              <w:pStyle w:val="TableParagraph"/>
              <w:ind w:left="12"/>
              <w:rPr>
                <w:sz w:val="24"/>
              </w:rPr>
            </w:pPr>
            <w:r>
              <w:rPr>
                <w:spacing w:val="-4"/>
                <w:sz w:val="24"/>
              </w:rPr>
              <w:t>9.09</w:t>
            </w:r>
          </w:p>
        </w:tc>
      </w:tr>
      <w:tr>
        <w:trPr>
          <w:trHeight w:val="627" w:hRule="atLeast"/>
        </w:trPr>
        <w:tc>
          <w:tcPr>
            <w:tcW w:w="584" w:type="dxa"/>
          </w:tcPr>
          <w:p>
            <w:pPr>
              <w:pStyle w:val="TableParagraph"/>
              <w:spacing w:before="28"/>
              <w:rPr>
                <w:sz w:val="24"/>
              </w:rPr>
            </w:pPr>
            <w:r>
              <w:rPr>
                <w:spacing w:val="-10"/>
                <w:sz w:val="24"/>
              </w:rPr>
              <w:t>2</w:t>
            </w:r>
          </w:p>
        </w:tc>
        <w:tc>
          <w:tcPr>
            <w:tcW w:w="1856" w:type="dxa"/>
          </w:tcPr>
          <w:p>
            <w:pPr>
              <w:pStyle w:val="TableParagraph"/>
              <w:spacing w:before="28"/>
              <w:ind w:left="16" w:right="6"/>
              <w:rPr>
                <w:sz w:val="24"/>
              </w:rPr>
            </w:pPr>
            <w:r>
              <w:rPr>
                <w:spacing w:val="-5"/>
                <w:sz w:val="24"/>
              </w:rPr>
              <w:t>12</w:t>
            </w:r>
          </w:p>
        </w:tc>
        <w:tc>
          <w:tcPr>
            <w:tcW w:w="1909" w:type="dxa"/>
          </w:tcPr>
          <w:p>
            <w:pPr>
              <w:pStyle w:val="TableParagraph"/>
              <w:spacing w:before="28"/>
              <w:ind w:left="9"/>
              <w:rPr>
                <w:sz w:val="24"/>
              </w:rPr>
            </w:pPr>
            <w:r>
              <w:rPr>
                <w:spacing w:val="-4"/>
                <w:sz w:val="24"/>
              </w:rPr>
              <w:t>0.826</w:t>
            </w:r>
          </w:p>
        </w:tc>
        <w:tc>
          <w:tcPr>
            <w:tcW w:w="2226" w:type="dxa"/>
          </w:tcPr>
          <w:p>
            <w:pPr>
              <w:pStyle w:val="TableParagraph"/>
              <w:spacing w:before="28"/>
              <w:ind w:left="12"/>
              <w:rPr>
                <w:sz w:val="24"/>
              </w:rPr>
            </w:pPr>
            <w:r>
              <w:rPr>
                <w:spacing w:val="-4"/>
                <w:sz w:val="24"/>
              </w:rPr>
              <w:t>9.91</w:t>
            </w:r>
          </w:p>
        </w:tc>
      </w:tr>
      <w:tr>
        <w:trPr>
          <w:trHeight w:val="623" w:hRule="atLeast"/>
        </w:trPr>
        <w:tc>
          <w:tcPr>
            <w:tcW w:w="584" w:type="dxa"/>
          </w:tcPr>
          <w:p>
            <w:pPr>
              <w:pStyle w:val="TableParagraph"/>
              <w:rPr>
                <w:sz w:val="24"/>
              </w:rPr>
            </w:pPr>
            <w:r>
              <w:rPr>
                <w:spacing w:val="-10"/>
                <w:sz w:val="24"/>
              </w:rPr>
              <w:t>3</w:t>
            </w:r>
          </w:p>
        </w:tc>
        <w:tc>
          <w:tcPr>
            <w:tcW w:w="1856" w:type="dxa"/>
          </w:tcPr>
          <w:p>
            <w:pPr>
              <w:pStyle w:val="TableParagraph"/>
              <w:ind w:left="16" w:right="6"/>
              <w:rPr>
                <w:sz w:val="24"/>
              </w:rPr>
            </w:pPr>
            <w:r>
              <w:rPr>
                <w:spacing w:val="-5"/>
                <w:sz w:val="24"/>
              </w:rPr>
              <w:t>14</w:t>
            </w:r>
          </w:p>
        </w:tc>
        <w:tc>
          <w:tcPr>
            <w:tcW w:w="1909" w:type="dxa"/>
          </w:tcPr>
          <w:p>
            <w:pPr>
              <w:pStyle w:val="TableParagraph"/>
              <w:ind w:left="9"/>
              <w:rPr>
                <w:sz w:val="24"/>
              </w:rPr>
            </w:pPr>
            <w:r>
              <w:rPr>
                <w:spacing w:val="-4"/>
                <w:sz w:val="24"/>
              </w:rPr>
              <w:t>0.751</w:t>
            </w:r>
          </w:p>
        </w:tc>
        <w:tc>
          <w:tcPr>
            <w:tcW w:w="2226" w:type="dxa"/>
          </w:tcPr>
          <w:p>
            <w:pPr>
              <w:pStyle w:val="TableParagraph"/>
              <w:ind w:left="12"/>
              <w:rPr>
                <w:sz w:val="24"/>
              </w:rPr>
            </w:pPr>
            <w:r>
              <w:rPr>
                <w:spacing w:val="-2"/>
                <w:sz w:val="24"/>
              </w:rPr>
              <w:t>10.51</w:t>
            </w:r>
          </w:p>
        </w:tc>
      </w:tr>
      <w:tr>
        <w:trPr>
          <w:trHeight w:val="622" w:hRule="atLeast"/>
        </w:trPr>
        <w:tc>
          <w:tcPr>
            <w:tcW w:w="584" w:type="dxa"/>
          </w:tcPr>
          <w:p>
            <w:pPr>
              <w:pStyle w:val="TableParagraph"/>
              <w:rPr>
                <w:sz w:val="24"/>
              </w:rPr>
            </w:pPr>
            <w:r>
              <w:rPr>
                <w:spacing w:val="-10"/>
                <w:sz w:val="24"/>
              </w:rPr>
              <w:t>4</w:t>
            </w:r>
          </w:p>
        </w:tc>
        <w:tc>
          <w:tcPr>
            <w:tcW w:w="1856" w:type="dxa"/>
          </w:tcPr>
          <w:p>
            <w:pPr>
              <w:pStyle w:val="TableParagraph"/>
              <w:ind w:left="16" w:right="6"/>
              <w:rPr>
                <w:sz w:val="24"/>
              </w:rPr>
            </w:pPr>
            <w:r>
              <w:rPr>
                <w:spacing w:val="-5"/>
                <w:sz w:val="24"/>
              </w:rPr>
              <w:t>10</w:t>
            </w:r>
          </w:p>
        </w:tc>
        <w:tc>
          <w:tcPr>
            <w:tcW w:w="1909" w:type="dxa"/>
          </w:tcPr>
          <w:p>
            <w:pPr>
              <w:pStyle w:val="TableParagraph"/>
              <w:ind w:left="9"/>
              <w:rPr>
                <w:sz w:val="24"/>
              </w:rPr>
            </w:pPr>
            <w:r>
              <w:rPr>
                <w:spacing w:val="-4"/>
                <w:sz w:val="24"/>
              </w:rPr>
              <w:t>0.683</w:t>
            </w:r>
          </w:p>
        </w:tc>
        <w:tc>
          <w:tcPr>
            <w:tcW w:w="2226" w:type="dxa"/>
          </w:tcPr>
          <w:p>
            <w:pPr>
              <w:pStyle w:val="TableParagraph"/>
              <w:ind w:left="12"/>
              <w:rPr>
                <w:sz w:val="24"/>
              </w:rPr>
            </w:pPr>
            <w:r>
              <w:rPr>
                <w:spacing w:val="-4"/>
                <w:sz w:val="24"/>
              </w:rPr>
              <w:t>6.83</w:t>
            </w:r>
          </w:p>
        </w:tc>
      </w:tr>
      <w:tr>
        <w:trPr>
          <w:trHeight w:val="620" w:hRule="atLeast"/>
        </w:trPr>
        <w:tc>
          <w:tcPr>
            <w:tcW w:w="584" w:type="dxa"/>
          </w:tcPr>
          <w:p>
            <w:pPr>
              <w:pStyle w:val="TableParagraph"/>
              <w:rPr>
                <w:sz w:val="24"/>
              </w:rPr>
            </w:pPr>
            <w:r>
              <w:rPr>
                <w:spacing w:val="-10"/>
                <w:sz w:val="24"/>
              </w:rPr>
              <w:t>5</w:t>
            </w:r>
          </w:p>
        </w:tc>
        <w:tc>
          <w:tcPr>
            <w:tcW w:w="1856" w:type="dxa"/>
          </w:tcPr>
          <w:p>
            <w:pPr>
              <w:pStyle w:val="TableParagraph"/>
              <w:ind w:left="15" w:right="6"/>
              <w:rPr>
                <w:sz w:val="24"/>
              </w:rPr>
            </w:pPr>
            <w:r>
              <w:rPr>
                <w:spacing w:val="-10"/>
                <w:sz w:val="24"/>
              </w:rPr>
              <w:t>8</w:t>
            </w:r>
          </w:p>
        </w:tc>
        <w:tc>
          <w:tcPr>
            <w:tcW w:w="1909" w:type="dxa"/>
          </w:tcPr>
          <w:p>
            <w:pPr>
              <w:pStyle w:val="TableParagraph"/>
              <w:ind w:left="9"/>
              <w:rPr>
                <w:sz w:val="24"/>
              </w:rPr>
            </w:pPr>
            <w:r>
              <w:rPr>
                <w:spacing w:val="-4"/>
                <w:sz w:val="24"/>
              </w:rPr>
              <w:t>0.621</w:t>
            </w:r>
          </w:p>
        </w:tc>
        <w:tc>
          <w:tcPr>
            <w:tcW w:w="2226" w:type="dxa"/>
          </w:tcPr>
          <w:p>
            <w:pPr>
              <w:pStyle w:val="TableParagraph"/>
              <w:ind w:left="12"/>
              <w:rPr>
                <w:sz w:val="24"/>
              </w:rPr>
            </w:pPr>
            <w:r>
              <w:rPr>
                <w:spacing w:val="-4"/>
                <w:sz w:val="24"/>
              </w:rPr>
              <w:t>4.97</w:t>
            </w:r>
          </w:p>
        </w:tc>
      </w:tr>
    </w:tbl>
    <w:p>
      <w:pPr>
        <w:spacing w:before="0"/>
        <w:ind w:left="0" w:right="0" w:firstLine="0"/>
        <w:jc w:val="left"/>
        <w:rPr>
          <w:rFonts w:ascii="Arial" w:hAnsi="Arial"/>
          <w:b/>
          <w:sz w:val="24"/>
        </w:rPr>
      </w:pPr>
      <w:r>
        <w:rPr>
          <w:rFonts w:ascii="Arial" w:hAnsi="Arial"/>
          <w:b/>
          <w:sz w:val="24"/>
        </w:rPr>
        <w:t>Total</w:t>
      </w:r>
      <w:r>
        <w:rPr>
          <w:rFonts w:ascii="Arial" w:hAnsi="Arial"/>
          <w:b/>
          <w:spacing w:val="-6"/>
          <w:sz w:val="24"/>
        </w:rPr>
        <w:t> </w:t>
      </w:r>
      <w:r>
        <w:rPr>
          <w:rFonts w:ascii="Arial" w:hAnsi="Arial"/>
          <w:b/>
          <w:sz w:val="24"/>
        </w:rPr>
        <w:t>PV</w:t>
      </w:r>
      <w:r>
        <w:rPr>
          <w:rFonts w:ascii="Arial" w:hAnsi="Arial"/>
          <w:b/>
          <w:spacing w:val="-8"/>
          <w:sz w:val="24"/>
        </w:rPr>
        <w:t> </w:t>
      </w:r>
      <w:r>
        <w:rPr>
          <w:rFonts w:ascii="Arial" w:hAnsi="Arial"/>
          <w:b/>
          <w:sz w:val="24"/>
        </w:rPr>
        <w:t>=</w:t>
      </w:r>
      <w:r>
        <w:rPr>
          <w:rFonts w:ascii="Arial" w:hAnsi="Arial"/>
          <w:b/>
          <w:spacing w:val="-5"/>
          <w:sz w:val="24"/>
        </w:rPr>
        <w:t> </w:t>
      </w:r>
      <w:r>
        <w:rPr>
          <w:rFonts w:ascii="Arial" w:hAnsi="Arial"/>
          <w:b/>
          <w:spacing w:val="-2"/>
          <w:sz w:val="24"/>
        </w:rPr>
        <w:t>£41.31m</w:t>
      </w:r>
    </w:p>
    <w:p>
      <w:pPr>
        <w:pStyle w:val="BodyText"/>
        <w:spacing w:before="31"/>
        <w:rPr>
          <w:rFonts w:ascii="Arial"/>
          <w:b/>
        </w:rPr>
      </w:pPr>
    </w:p>
    <w:p>
      <w:pPr>
        <w:pStyle w:val="BodyText"/>
        <w:ind w:right="353"/>
        <w:jc w:val="center"/>
        <w:rPr>
          <w:rFonts w:ascii="Cambria Math" w:hAnsi="Cambria Math" w:eastAsia="Cambria Math"/>
        </w:rPr>
      </w:pPr>
      <w:r>
        <w:rPr/>
        <w:t>NPV</w:t>
      </w:r>
      <w:r>
        <w:rPr>
          <w:spacing w:val="-3"/>
        </w:rPr>
        <w:t> </w:t>
      </w:r>
      <w:r>
        <w:rPr>
          <w:rFonts w:ascii="Cambria Math" w:hAnsi="Cambria Math" w:eastAsia="Cambria Math"/>
        </w:rPr>
        <w:t>=</w:t>
      </w:r>
      <w:r>
        <w:rPr>
          <w:rFonts w:ascii="Cambria Math" w:hAnsi="Cambria Math" w:eastAsia="Cambria Math"/>
          <w:spacing w:val="17"/>
        </w:rPr>
        <w:t> </w:t>
      </w:r>
      <w:r>
        <w:rPr>
          <w:rFonts w:ascii="Cambria Math" w:hAnsi="Cambria Math" w:eastAsia="Cambria Math"/>
        </w:rPr>
        <w:t>41.31</w:t>
      </w:r>
      <w:r>
        <w:rPr>
          <w:rFonts w:ascii="Cambria Math" w:hAnsi="Cambria Math" w:eastAsia="Cambria Math"/>
          <w:spacing w:val="-3"/>
        </w:rPr>
        <w:t> </w:t>
      </w:r>
      <w:r>
        <w:rPr>
          <w:rFonts w:ascii="Cambria Math" w:hAnsi="Cambria Math" w:eastAsia="Cambria Math"/>
        </w:rPr>
        <w:t>−</w:t>
      </w:r>
      <w:r>
        <w:rPr>
          <w:rFonts w:ascii="Cambria Math" w:hAnsi="Cambria Math" w:eastAsia="Cambria Math"/>
          <w:spacing w:val="-2"/>
        </w:rPr>
        <w:t> </w:t>
      </w:r>
      <w:r>
        <w:rPr>
          <w:rFonts w:ascii="Cambria Math" w:hAnsi="Cambria Math" w:eastAsia="Cambria Math"/>
        </w:rPr>
        <w:t>50</w:t>
      </w:r>
      <w:r>
        <w:rPr>
          <w:rFonts w:ascii="Cambria Math" w:hAnsi="Cambria Math" w:eastAsia="Cambria Math"/>
          <w:spacing w:val="11"/>
        </w:rPr>
        <w:t> </w:t>
      </w:r>
      <w:r>
        <w:rPr>
          <w:rFonts w:ascii="Cambria Math" w:hAnsi="Cambria Math" w:eastAsia="Cambria Math"/>
        </w:rPr>
        <w:t>=</w:t>
      </w:r>
      <w:r>
        <w:rPr>
          <w:rFonts w:ascii="Cambria Math" w:hAnsi="Cambria Math" w:eastAsia="Cambria Math"/>
          <w:spacing w:val="17"/>
        </w:rPr>
        <w:t> </w:t>
      </w:r>
      <w:r>
        <w:rPr>
          <w:rFonts w:ascii="Cambria Math" w:hAnsi="Cambria Math" w:eastAsia="Cambria Math"/>
          <w:spacing w:val="-2"/>
        </w:rPr>
        <w:t>−£8.69𝑚</w:t>
      </w:r>
    </w:p>
    <w:p>
      <w:pPr>
        <w:pStyle w:val="BodyText"/>
        <w:rPr>
          <w:rFonts w:ascii="Cambria Math"/>
        </w:rPr>
      </w:pPr>
    </w:p>
    <w:p>
      <w:pPr>
        <w:pStyle w:val="BodyText"/>
        <w:rPr>
          <w:rFonts w:ascii="Cambria Math"/>
        </w:rPr>
      </w:pPr>
    </w:p>
    <w:p>
      <w:pPr>
        <w:pStyle w:val="BodyText"/>
        <w:rPr>
          <w:rFonts w:ascii="Cambria Math"/>
        </w:rPr>
      </w:pPr>
    </w:p>
    <w:p>
      <w:pPr>
        <w:pStyle w:val="BodyText"/>
        <w:spacing w:before="156"/>
        <w:rPr>
          <w:rFonts w:ascii="Cambria Math"/>
        </w:rPr>
      </w:pPr>
    </w:p>
    <w:p>
      <w:pPr>
        <w:pStyle w:val="Heading2"/>
        <w:ind w:left="67"/>
      </w:pPr>
      <w:r>
        <w:rPr/>
        <w:t>Project</w:t>
      </w:r>
      <w:r>
        <w:rPr>
          <w:spacing w:val="-2"/>
        </w:rPr>
        <w:t> </w:t>
      </w:r>
      <w:r>
        <w:rPr/>
        <w:t>B</w:t>
      </w:r>
      <w:r>
        <w:rPr>
          <w:spacing w:val="-1"/>
        </w:rPr>
        <w:t> </w:t>
      </w:r>
      <w:r>
        <w:rPr>
          <w:spacing w:val="-2"/>
        </w:rPr>
        <w:t>Calculation</w:t>
      </w:r>
    </w:p>
    <w:p>
      <w:pPr>
        <w:pStyle w:val="BodyText"/>
        <w:spacing w:before="96"/>
        <w:rPr>
          <w:rFonts w:ascii="Arial"/>
          <w:b/>
          <w:sz w:val="20"/>
        </w:rPr>
      </w:pPr>
    </w:p>
    <w:tbl>
      <w:tblPr>
        <w:tblW w:w="0" w:type="auto"/>
        <w:jc w:val="left"/>
        <w:tblInd w:w="39" w:type="dxa"/>
        <w:tblBorders>
          <w:top w:val="double" w:sz="4" w:space="0" w:color="000000"/>
          <w:left w:val="double" w:sz="4" w:space="0" w:color="000000"/>
          <w:bottom w:val="double" w:sz="4" w:space="0" w:color="000000"/>
          <w:right w:val="double" w:sz="4" w:space="0" w:color="000000"/>
          <w:insideH w:val="double" w:sz="4" w:space="0" w:color="000000"/>
          <w:insideV w:val="double" w:sz="4" w:space="0" w:color="000000"/>
        </w:tblBorders>
        <w:tblLayout w:type="fixed"/>
        <w:tblCellMar>
          <w:top w:w="0" w:type="dxa"/>
          <w:left w:w="0" w:type="dxa"/>
          <w:bottom w:w="0" w:type="dxa"/>
          <w:right w:w="0" w:type="dxa"/>
        </w:tblCellMar>
        <w:tblLook w:val="01E0"/>
      </w:tblPr>
      <w:tblGrid>
        <w:gridCol w:w="584"/>
        <w:gridCol w:w="1856"/>
        <w:gridCol w:w="1909"/>
        <w:gridCol w:w="3064"/>
      </w:tblGrid>
      <w:tr>
        <w:trPr>
          <w:trHeight w:val="620" w:hRule="atLeast"/>
        </w:trPr>
        <w:tc>
          <w:tcPr>
            <w:tcW w:w="584" w:type="dxa"/>
            <w:shd w:val="clear" w:color="auto" w:fill="6FAC46"/>
          </w:tcPr>
          <w:p>
            <w:pPr>
              <w:pStyle w:val="TableParagraph"/>
              <w:spacing w:before="16"/>
              <w:ind w:left="8"/>
              <w:rPr>
                <w:rFonts w:ascii="Arial"/>
                <w:b/>
                <w:sz w:val="24"/>
              </w:rPr>
            </w:pPr>
            <w:r>
              <w:rPr>
                <w:rFonts w:ascii="Arial"/>
                <w:b/>
                <w:spacing w:val="-4"/>
                <w:sz w:val="24"/>
              </w:rPr>
              <w:t>Year</w:t>
            </w:r>
          </w:p>
        </w:tc>
        <w:tc>
          <w:tcPr>
            <w:tcW w:w="1856" w:type="dxa"/>
            <w:shd w:val="clear" w:color="auto" w:fill="6FAC46"/>
          </w:tcPr>
          <w:p>
            <w:pPr>
              <w:pStyle w:val="TableParagraph"/>
              <w:spacing w:before="16"/>
              <w:ind w:left="13" w:right="6"/>
              <w:rPr>
                <w:rFonts w:ascii="Arial" w:hAnsi="Arial"/>
                <w:b/>
                <w:sz w:val="24"/>
              </w:rPr>
            </w:pPr>
            <w:r>
              <w:rPr>
                <w:rFonts w:ascii="Arial" w:hAnsi="Arial"/>
                <w:b/>
                <w:sz w:val="24"/>
              </w:rPr>
              <w:t>Cash</w:t>
            </w:r>
            <w:r>
              <w:rPr>
                <w:rFonts w:ascii="Arial" w:hAnsi="Arial"/>
                <w:b/>
                <w:spacing w:val="-4"/>
                <w:sz w:val="24"/>
              </w:rPr>
              <w:t> </w:t>
            </w:r>
            <w:r>
              <w:rPr>
                <w:rFonts w:ascii="Arial" w:hAnsi="Arial"/>
                <w:b/>
                <w:sz w:val="24"/>
              </w:rPr>
              <w:t>Flow</w:t>
            </w:r>
            <w:r>
              <w:rPr>
                <w:rFonts w:ascii="Arial" w:hAnsi="Arial"/>
                <w:b/>
                <w:spacing w:val="2"/>
                <w:sz w:val="24"/>
              </w:rPr>
              <w:t> </w:t>
            </w:r>
            <w:r>
              <w:rPr>
                <w:rFonts w:ascii="Arial" w:hAnsi="Arial"/>
                <w:b/>
                <w:spacing w:val="-4"/>
                <w:sz w:val="24"/>
              </w:rPr>
              <w:t>(£m)</w:t>
            </w:r>
          </w:p>
        </w:tc>
        <w:tc>
          <w:tcPr>
            <w:tcW w:w="1909" w:type="dxa"/>
            <w:shd w:val="clear" w:color="auto" w:fill="6FAC46"/>
          </w:tcPr>
          <w:p>
            <w:pPr>
              <w:pStyle w:val="TableParagraph"/>
              <w:spacing w:before="16"/>
              <w:ind w:left="9" w:right="4"/>
              <w:rPr>
                <w:rFonts w:ascii="Arial"/>
                <w:b/>
                <w:sz w:val="24"/>
              </w:rPr>
            </w:pPr>
            <w:r>
              <w:rPr>
                <w:rFonts w:ascii="Arial"/>
                <w:b/>
                <w:sz w:val="24"/>
              </w:rPr>
              <w:t>Discount</w:t>
            </w:r>
            <w:r>
              <w:rPr>
                <w:rFonts w:ascii="Arial"/>
                <w:b/>
                <w:spacing w:val="-6"/>
                <w:sz w:val="24"/>
              </w:rPr>
              <w:t> </w:t>
            </w:r>
            <w:r>
              <w:rPr>
                <w:rFonts w:ascii="Arial"/>
                <w:b/>
                <w:spacing w:val="-2"/>
                <w:sz w:val="24"/>
              </w:rPr>
              <w:t>Factor</w:t>
            </w:r>
          </w:p>
        </w:tc>
        <w:tc>
          <w:tcPr>
            <w:tcW w:w="3064" w:type="dxa"/>
            <w:shd w:val="clear" w:color="auto" w:fill="6FAC46"/>
          </w:tcPr>
          <w:p>
            <w:pPr>
              <w:pStyle w:val="TableParagraph"/>
              <w:spacing w:before="16"/>
              <w:ind w:left="29"/>
              <w:jc w:val="left"/>
              <w:rPr>
                <w:rFonts w:ascii="Arial" w:hAnsi="Arial"/>
                <w:b/>
                <w:sz w:val="24"/>
              </w:rPr>
            </w:pPr>
            <w:r>
              <w:rPr>
                <w:rFonts w:ascii="Arial" w:hAnsi="Arial"/>
                <w:b/>
                <w:sz w:val="24"/>
              </w:rPr>
              <w:t>Present</w:t>
            </w:r>
            <w:r>
              <w:rPr>
                <w:rFonts w:ascii="Arial" w:hAnsi="Arial"/>
                <w:b/>
                <w:spacing w:val="-15"/>
                <w:sz w:val="24"/>
              </w:rPr>
              <w:t> </w:t>
            </w:r>
            <w:r>
              <w:rPr>
                <w:rFonts w:ascii="Arial" w:hAnsi="Arial"/>
                <w:b/>
                <w:sz w:val="24"/>
              </w:rPr>
              <w:t>Value</w:t>
            </w:r>
            <w:r>
              <w:rPr>
                <w:rFonts w:ascii="Arial" w:hAnsi="Arial"/>
                <w:b/>
                <w:spacing w:val="-13"/>
                <w:sz w:val="24"/>
              </w:rPr>
              <w:t> </w:t>
            </w:r>
            <w:r>
              <w:rPr>
                <w:rFonts w:ascii="Arial" w:hAnsi="Arial"/>
                <w:b/>
                <w:spacing w:val="-4"/>
                <w:sz w:val="24"/>
              </w:rPr>
              <w:t>(£m)</w:t>
            </w:r>
          </w:p>
        </w:tc>
      </w:tr>
      <w:tr>
        <w:trPr>
          <w:trHeight w:val="622" w:hRule="atLeast"/>
        </w:trPr>
        <w:tc>
          <w:tcPr>
            <w:tcW w:w="584" w:type="dxa"/>
          </w:tcPr>
          <w:p>
            <w:pPr>
              <w:pStyle w:val="TableParagraph"/>
              <w:rPr>
                <w:sz w:val="24"/>
              </w:rPr>
            </w:pPr>
            <w:r>
              <w:rPr>
                <w:spacing w:val="-10"/>
                <w:sz w:val="24"/>
              </w:rPr>
              <w:t>1</w:t>
            </w:r>
          </w:p>
        </w:tc>
        <w:tc>
          <w:tcPr>
            <w:tcW w:w="1856" w:type="dxa"/>
          </w:tcPr>
          <w:p>
            <w:pPr>
              <w:pStyle w:val="TableParagraph"/>
              <w:ind w:left="0" w:right="6"/>
              <w:rPr>
                <w:sz w:val="24"/>
              </w:rPr>
            </w:pPr>
            <w:r>
              <w:rPr>
                <w:spacing w:val="-5"/>
                <w:sz w:val="24"/>
              </w:rPr>
              <w:t>11</w:t>
            </w:r>
          </w:p>
        </w:tc>
        <w:tc>
          <w:tcPr>
            <w:tcW w:w="1909" w:type="dxa"/>
          </w:tcPr>
          <w:p>
            <w:pPr>
              <w:pStyle w:val="TableParagraph"/>
              <w:ind w:left="9"/>
              <w:rPr>
                <w:sz w:val="24"/>
              </w:rPr>
            </w:pPr>
            <w:r>
              <w:rPr>
                <w:spacing w:val="-4"/>
                <w:sz w:val="24"/>
              </w:rPr>
              <w:t>0.909</w:t>
            </w:r>
          </w:p>
        </w:tc>
        <w:tc>
          <w:tcPr>
            <w:tcW w:w="3064" w:type="dxa"/>
          </w:tcPr>
          <w:p>
            <w:pPr>
              <w:pStyle w:val="TableParagraph"/>
              <w:ind w:right="1"/>
              <w:rPr>
                <w:sz w:val="24"/>
              </w:rPr>
            </w:pPr>
            <w:r>
              <w:rPr>
                <w:spacing w:val="-2"/>
                <w:sz w:val="24"/>
              </w:rPr>
              <w:t>10.00</w:t>
            </w:r>
          </w:p>
        </w:tc>
      </w:tr>
      <w:tr>
        <w:trPr>
          <w:trHeight w:val="627" w:hRule="atLeast"/>
        </w:trPr>
        <w:tc>
          <w:tcPr>
            <w:tcW w:w="584" w:type="dxa"/>
          </w:tcPr>
          <w:p>
            <w:pPr>
              <w:pStyle w:val="TableParagraph"/>
              <w:spacing w:before="28"/>
              <w:rPr>
                <w:sz w:val="24"/>
              </w:rPr>
            </w:pPr>
            <w:r>
              <w:rPr>
                <w:spacing w:val="-10"/>
                <w:sz w:val="24"/>
              </w:rPr>
              <w:t>2</w:t>
            </w:r>
          </w:p>
        </w:tc>
        <w:tc>
          <w:tcPr>
            <w:tcW w:w="1856" w:type="dxa"/>
          </w:tcPr>
          <w:p>
            <w:pPr>
              <w:pStyle w:val="TableParagraph"/>
              <w:spacing w:before="28"/>
              <w:ind w:left="0" w:right="6"/>
              <w:rPr>
                <w:sz w:val="24"/>
              </w:rPr>
            </w:pPr>
            <w:r>
              <w:rPr>
                <w:spacing w:val="-5"/>
                <w:sz w:val="24"/>
              </w:rPr>
              <w:t>11</w:t>
            </w:r>
          </w:p>
        </w:tc>
        <w:tc>
          <w:tcPr>
            <w:tcW w:w="1909" w:type="dxa"/>
          </w:tcPr>
          <w:p>
            <w:pPr>
              <w:pStyle w:val="TableParagraph"/>
              <w:spacing w:before="28"/>
              <w:ind w:left="9"/>
              <w:rPr>
                <w:sz w:val="24"/>
              </w:rPr>
            </w:pPr>
            <w:r>
              <w:rPr>
                <w:spacing w:val="-4"/>
                <w:sz w:val="24"/>
              </w:rPr>
              <w:t>0.826</w:t>
            </w:r>
          </w:p>
        </w:tc>
        <w:tc>
          <w:tcPr>
            <w:tcW w:w="3064" w:type="dxa"/>
          </w:tcPr>
          <w:p>
            <w:pPr>
              <w:pStyle w:val="TableParagraph"/>
              <w:spacing w:before="28"/>
              <w:rPr>
                <w:sz w:val="24"/>
              </w:rPr>
            </w:pPr>
            <w:r>
              <w:rPr>
                <w:spacing w:val="-4"/>
                <w:sz w:val="24"/>
              </w:rPr>
              <w:t>9.09</w:t>
            </w:r>
          </w:p>
        </w:tc>
      </w:tr>
      <w:tr>
        <w:trPr>
          <w:trHeight w:val="623" w:hRule="atLeast"/>
        </w:trPr>
        <w:tc>
          <w:tcPr>
            <w:tcW w:w="584" w:type="dxa"/>
          </w:tcPr>
          <w:p>
            <w:pPr>
              <w:pStyle w:val="TableParagraph"/>
              <w:rPr>
                <w:sz w:val="24"/>
              </w:rPr>
            </w:pPr>
            <w:r>
              <w:rPr>
                <w:spacing w:val="-10"/>
                <w:sz w:val="24"/>
              </w:rPr>
              <w:t>3</w:t>
            </w:r>
          </w:p>
        </w:tc>
        <w:tc>
          <w:tcPr>
            <w:tcW w:w="1856" w:type="dxa"/>
          </w:tcPr>
          <w:p>
            <w:pPr>
              <w:pStyle w:val="TableParagraph"/>
              <w:ind w:left="0" w:right="6"/>
              <w:rPr>
                <w:sz w:val="24"/>
              </w:rPr>
            </w:pPr>
            <w:r>
              <w:rPr>
                <w:spacing w:val="-5"/>
                <w:sz w:val="24"/>
              </w:rPr>
              <w:t>11</w:t>
            </w:r>
          </w:p>
        </w:tc>
        <w:tc>
          <w:tcPr>
            <w:tcW w:w="1909" w:type="dxa"/>
          </w:tcPr>
          <w:p>
            <w:pPr>
              <w:pStyle w:val="TableParagraph"/>
              <w:ind w:left="9"/>
              <w:rPr>
                <w:sz w:val="24"/>
              </w:rPr>
            </w:pPr>
            <w:r>
              <w:rPr>
                <w:spacing w:val="-4"/>
                <w:sz w:val="24"/>
              </w:rPr>
              <w:t>0.751</w:t>
            </w:r>
          </w:p>
        </w:tc>
        <w:tc>
          <w:tcPr>
            <w:tcW w:w="3064" w:type="dxa"/>
          </w:tcPr>
          <w:p>
            <w:pPr>
              <w:pStyle w:val="TableParagraph"/>
              <w:rPr>
                <w:sz w:val="24"/>
              </w:rPr>
            </w:pPr>
            <w:r>
              <w:rPr>
                <w:spacing w:val="-4"/>
                <w:sz w:val="24"/>
              </w:rPr>
              <w:t>8.26</w:t>
            </w:r>
          </w:p>
        </w:tc>
      </w:tr>
      <w:tr>
        <w:trPr>
          <w:trHeight w:val="622" w:hRule="atLeast"/>
        </w:trPr>
        <w:tc>
          <w:tcPr>
            <w:tcW w:w="584" w:type="dxa"/>
          </w:tcPr>
          <w:p>
            <w:pPr>
              <w:pStyle w:val="TableParagraph"/>
              <w:rPr>
                <w:sz w:val="24"/>
              </w:rPr>
            </w:pPr>
            <w:r>
              <w:rPr>
                <w:spacing w:val="-10"/>
                <w:sz w:val="24"/>
              </w:rPr>
              <w:t>4</w:t>
            </w:r>
          </w:p>
        </w:tc>
        <w:tc>
          <w:tcPr>
            <w:tcW w:w="1856" w:type="dxa"/>
          </w:tcPr>
          <w:p>
            <w:pPr>
              <w:pStyle w:val="TableParagraph"/>
              <w:ind w:left="0" w:right="6"/>
              <w:rPr>
                <w:sz w:val="24"/>
              </w:rPr>
            </w:pPr>
            <w:r>
              <w:rPr>
                <w:spacing w:val="-5"/>
                <w:sz w:val="24"/>
              </w:rPr>
              <w:t>11</w:t>
            </w:r>
          </w:p>
        </w:tc>
        <w:tc>
          <w:tcPr>
            <w:tcW w:w="1909" w:type="dxa"/>
          </w:tcPr>
          <w:p>
            <w:pPr>
              <w:pStyle w:val="TableParagraph"/>
              <w:ind w:left="9"/>
              <w:rPr>
                <w:sz w:val="24"/>
              </w:rPr>
            </w:pPr>
            <w:r>
              <w:rPr>
                <w:spacing w:val="-4"/>
                <w:sz w:val="24"/>
              </w:rPr>
              <w:t>0.683</w:t>
            </w:r>
          </w:p>
        </w:tc>
        <w:tc>
          <w:tcPr>
            <w:tcW w:w="3064" w:type="dxa"/>
          </w:tcPr>
          <w:p>
            <w:pPr>
              <w:pStyle w:val="TableParagraph"/>
              <w:rPr>
                <w:sz w:val="24"/>
              </w:rPr>
            </w:pPr>
            <w:r>
              <w:rPr>
                <w:spacing w:val="-4"/>
                <w:sz w:val="24"/>
              </w:rPr>
              <w:t>7.51</w:t>
            </w:r>
          </w:p>
        </w:tc>
      </w:tr>
      <w:tr>
        <w:trPr>
          <w:trHeight w:val="625" w:hRule="atLeast"/>
        </w:trPr>
        <w:tc>
          <w:tcPr>
            <w:tcW w:w="584" w:type="dxa"/>
          </w:tcPr>
          <w:p>
            <w:pPr>
              <w:pStyle w:val="TableParagraph"/>
              <w:rPr>
                <w:sz w:val="24"/>
              </w:rPr>
            </w:pPr>
            <w:r>
              <w:rPr>
                <w:spacing w:val="-10"/>
                <w:sz w:val="24"/>
              </w:rPr>
              <w:t>5</w:t>
            </w:r>
          </w:p>
        </w:tc>
        <w:tc>
          <w:tcPr>
            <w:tcW w:w="1856" w:type="dxa"/>
          </w:tcPr>
          <w:p>
            <w:pPr>
              <w:pStyle w:val="TableParagraph"/>
              <w:ind w:left="0" w:right="6"/>
              <w:rPr>
                <w:sz w:val="24"/>
              </w:rPr>
            </w:pPr>
            <w:r>
              <w:rPr>
                <w:spacing w:val="-5"/>
                <w:sz w:val="24"/>
              </w:rPr>
              <w:t>11</w:t>
            </w:r>
          </w:p>
        </w:tc>
        <w:tc>
          <w:tcPr>
            <w:tcW w:w="1909" w:type="dxa"/>
          </w:tcPr>
          <w:p>
            <w:pPr>
              <w:pStyle w:val="TableParagraph"/>
              <w:ind w:left="9"/>
              <w:rPr>
                <w:sz w:val="24"/>
              </w:rPr>
            </w:pPr>
            <w:r>
              <w:rPr>
                <w:spacing w:val="-4"/>
                <w:sz w:val="24"/>
              </w:rPr>
              <w:t>0.621</w:t>
            </w:r>
          </w:p>
        </w:tc>
        <w:tc>
          <w:tcPr>
            <w:tcW w:w="3064" w:type="dxa"/>
          </w:tcPr>
          <w:p>
            <w:pPr>
              <w:pStyle w:val="TableParagraph"/>
              <w:rPr>
                <w:sz w:val="24"/>
              </w:rPr>
            </w:pPr>
            <w:r>
              <w:rPr>
                <w:spacing w:val="-4"/>
                <w:sz w:val="24"/>
              </w:rPr>
              <w:t>6.83</w:t>
            </w:r>
          </w:p>
        </w:tc>
      </w:tr>
    </w:tbl>
    <w:p>
      <w:pPr>
        <w:spacing w:before="1"/>
        <w:ind w:left="0" w:right="0" w:firstLine="0"/>
        <w:jc w:val="left"/>
        <w:rPr>
          <w:rFonts w:ascii="Arial" w:hAnsi="Arial"/>
          <w:b/>
          <w:sz w:val="24"/>
        </w:rPr>
      </w:pPr>
      <w:r>
        <w:rPr>
          <w:rFonts w:ascii="Arial" w:hAnsi="Arial"/>
          <w:b/>
          <w:sz w:val="24"/>
        </w:rPr>
        <w:t>Total</w:t>
      </w:r>
      <w:r>
        <w:rPr>
          <w:rFonts w:ascii="Arial" w:hAnsi="Arial"/>
          <w:b/>
          <w:spacing w:val="-6"/>
          <w:sz w:val="24"/>
        </w:rPr>
        <w:t> </w:t>
      </w:r>
      <w:r>
        <w:rPr>
          <w:rFonts w:ascii="Arial" w:hAnsi="Arial"/>
          <w:b/>
          <w:sz w:val="24"/>
        </w:rPr>
        <w:t>PV</w:t>
      </w:r>
      <w:r>
        <w:rPr>
          <w:rFonts w:ascii="Arial" w:hAnsi="Arial"/>
          <w:b/>
          <w:spacing w:val="-8"/>
          <w:sz w:val="24"/>
        </w:rPr>
        <w:t> </w:t>
      </w:r>
      <w:r>
        <w:rPr>
          <w:rFonts w:ascii="Arial" w:hAnsi="Arial"/>
          <w:b/>
          <w:sz w:val="24"/>
        </w:rPr>
        <w:t>=</w:t>
      </w:r>
      <w:r>
        <w:rPr>
          <w:rFonts w:ascii="Arial" w:hAnsi="Arial"/>
          <w:b/>
          <w:spacing w:val="-5"/>
          <w:sz w:val="24"/>
        </w:rPr>
        <w:t> </w:t>
      </w:r>
      <w:r>
        <w:rPr>
          <w:rFonts w:ascii="Arial" w:hAnsi="Arial"/>
          <w:b/>
          <w:spacing w:val="-2"/>
          <w:sz w:val="24"/>
        </w:rPr>
        <w:t>£41.69m</w:t>
      </w:r>
    </w:p>
    <w:p>
      <w:pPr>
        <w:pStyle w:val="BodyText"/>
        <w:spacing w:before="25"/>
        <w:rPr>
          <w:rFonts w:ascii="Arial"/>
          <w:b/>
        </w:rPr>
      </w:pPr>
    </w:p>
    <w:p>
      <w:pPr>
        <w:pStyle w:val="BodyText"/>
        <w:spacing w:before="1"/>
        <w:ind w:right="353"/>
        <w:jc w:val="center"/>
        <w:rPr>
          <w:rFonts w:ascii="Cambria Math" w:hAnsi="Cambria Math" w:eastAsia="Cambria Math"/>
        </w:rPr>
      </w:pPr>
      <w:r>
        <w:rPr/>
        <w:t>NPV</w:t>
      </w:r>
      <w:r>
        <w:rPr>
          <w:spacing w:val="-3"/>
        </w:rPr>
        <w:t> </w:t>
      </w:r>
      <w:r>
        <w:rPr>
          <w:rFonts w:ascii="Cambria Math" w:hAnsi="Cambria Math" w:eastAsia="Cambria Math"/>
        </w:rPr>
        <w:t>=</w:t>
      </w:r>
      <w:r>
        <w:rPr>
          <w:rFonts w:ascii="Cambria Math" w:hAnsi="Cambria Math" w:eastAsia="Cambria Math"/>
          <w:spacing w:val="17"/>
        </w:rPr>
        <w:t> </w:t>
      </w:r>
      <w:r>
        <w:rPr>
          <w:rFonts w:ascii="Cambria Math" w:hAnsi="Cambria Math" w:eastAsia="Cambria Math"/>
        </w:rPr>
        <w:t>41.69</w:t>
      </w:r>
      <w:r>
        <w:rPr>
          <w:rFonts w:ascii="Cambria Math" w:hAnsi="Cambria Math" w:eastAsia="Cambria Math"/>
          <w:spacing w:val="-3"/>
        </w:rPr>
        <w:t> </w:t>
      </w:r>
      <w:r>
        <w:rPr>
          <w:rFonts w:ascii="Cambria Math" w:hAnsi="Cambria Math" w:eastAsia="Cambria Math"/>
        </w:rPr>
        <w:t>−</w:t>
      </w:r>
      <w:r>
        <w:rPr>
          <w:rFonts w:ascii="Cambria Math" w:hAnsi="Cambria Math" w:eastAsia="Cambria Math"/>
          <w:spacing w:val="-2"/>
        </w:rPr>
        <w:t> </w:t>
      </w:r>
      <w:r>
        <w:rPr>
          <w:rFonts w:ascii="Cambria Math" w:hAnsi="Cambria Math" w:eastAsia="Cambria Math"/>
        </w:rPr>
        <w:t>50</w:t>
      </w:r>
      <w:r>
        <w:rPr>
          <w:rFonts w:ascii="Cambria Math" w:hAnsi="Cambria Math" w:eastAsia="Cambria Math"/>
          <w:spacing w:val="11"/>
        </w:rPr>
        <w:t> </w:t>
      </w:r>
      <w:r>
        <w:rPr>
          <w:rFonts w:ascii="Cambria Math" w:hAnsi="Cambria Math" w:eastAsia="Cambria Math"/>
        </w:rPr>
        <w:t>=</w:t>
      </w:r>
      <w:r>
        <w:rPr>
          <w:rFonts w:ascii="Cambria Math" w:hAnsi="Cambria Math" w:eastAsia="Cambria Math"/>
          <w:spacing w:val="17"/>
        </w:rPr>
        <w:t> </w:t>
      </w:r>
      <w:r>
        <w:rPr>
          <w:rFonts w:ascii="Cambria Math" w:hAnsi="Cambria Math" w:eastAsia="Cambria Math"/>
          <w:spacing w:val="-2"/>
        </w:rPr>
        <w:t>−£8.31𝑚</w:t>
      </w:r>
    </w:p>
    <w:p>
      <w:pPr>
        <w:pStyle w:val="BodyText"/>
        <w:spacing w:after="0"/>
        <w:jc w:val="center"/>
        <w:rPr>
          <w:rFonts w:ascii="Cambria Math" w:hAnsi="Cambria Math" w:eastAsia="Cambria Math"/>
        </w:rPr>
        <w:sectPr>
          <w:pgSz w:w="12240" w:h="15840"/>
          <w:pgMar w:header="0" w:footer="1051" w:top="1360" w:bottom="1240" w:left="1440" w:right="1080"/>
        </w:sectPr>
      </w:pPr>
    </w:p>
    <w:p>
      <w:pPr>
        <w:pStyle w:val="Heading2"/>
        <w:spacing w:before="192"/>
      </w:pPr>
      <w:r>
        <w:rPr/>
        <w:t>Project</w:t>
      </w:r>
      <w:r>
        <w:rPr>
          <w:spacing w:val="-2"/>
        </w:rPr>
        <w:t> </w:t>
      </w:r>
      <w:r>
        <w:rPr/>
        <w:t>C</w:t>
      </w:r>
      <w:r>
        <w:rPr>
          <w:spacing w:val="-1"/>
        </w:rPr>
        <w:t> </w:t>
      </w:r>
      <w:r>
        <w:rPr>
          <w:spacing w:val="-2"/>
        </w:rPr>
        <w:t>Calculation</w:t>
      </w:r>
    </w:p>
    <w:p>
      <w:pPr>
        <w:pStyle w:val="BodyText"/>
        <w:spacing w:before="91" w:after="1"/>
        <w:rPr>
          <w:rFonts w:ascii="Arial"/>
          <w:b/>
          <w:sz w:val="20"/>
        </w:rPr>
      </w:pPr>
    </w:p>
    <w:tbl>
      <w:tblPr>
        <w:tblW w:w="0" w:type="auto"/>
        <w:jc w:val="left"/>
        <w:tblInd w:w="39" w:type="dxa"/>
        <w:tblBorders>
          <w:top w:val="double" w:sz="4" w:space="0" w:color="000000"/>
          <w:left w:val="double" w:sz="4" w:space="0" w:color="000000"/>
          <w:bottom w:val="double" w:sz="4" w:space="0" w:color="000000"/>
          <w:right w:val="double" w:sz="4" w:space="0" w:color="000000"/>
          <w:insideH w:val="double" w:sz="4" w:space="0" w:color="000000"/>
          <w:insideV w:val="double" w:sz="4" w:space="0" w:color="000000"/>
        </w:tblBorders>
        <w:tblLayout w:type="fixed"/>
        <w:tblCellMar>
          <w:top w:w="0" w:type="dxa"/>
          <w:left w:w="0" w:type="dxa"/>
          <w:bottom w:w="0" w:type="dxa"/>
          <w:right w:w="0" w:type="dxa"/>
        </w:tblCellMar>
        <w:tblLook w:val="01E0"/>
      </w:tblPr>
      <w:tblGrid>
        <w:gridCol w:w="584"/>
        <w:gridCol w:w="1856"/>
        <w:gridCol w:w="1909"/>
        <w:gridCol w:w="2226"/>
      </w:tblGrid>
      <w:tr>
        <w:trPr>
          <w:trHeight w:val="625" w:hRule="atLeast"/>
        </w:trPr>
        <w:tc>
          <w:tcPr>
            <w:tcW w:w="584" w:type="dxa"/>
            <w:shd w:val="clear" w:color="auto" w:fill="6FAC46"/>
          </w:tcPr>
          <w:p>
            <w:pPr>
              <w:pStyle w:val="TableParagraph"/>
              <w:spacing w:before="21"/>
              <w:ind w:left="8"/>
              <w:rPr>
                <w:rFonts w:ascii="Arial"/>
                <w:b/>
                <w:sz w:val="24"/>
              </w:rPr>
            </w:pPr>
            <w:r>
              <w:rPr>
                <w:rFonts w:ascii="Arial"/>
                <w:b/>
                <w:spacing w:val="-4"/>
                <w:sz w:val="24"/>
              </w:rPr>
              <w:t>Year</w:t>
            </w:r>
          </w:p>
        </w:tc>
        <w:tc>
          <w:tcPr>
            <w:tcW w:w="1856" w:type="dxa"/>
            <w:shd w:val="clear" w:color="auto" w:fill="6FAC46"/>
          </w:tcPr>
          <w:p>
            <w:pPr>
              <w:pStyle w:val="TableParagraph"/>
              <w:spacing w:before="21"/>
              <w:ind w:left="13" w:right="6"/>
              <w:rPr>
                <w:rFonts w:ascii="Arial" w:hAnsi="Arial"/>
                <w:b/>
                <w:sz w:val="24"/>
              </w:rPr>
            </w:pPr>
            <w:r>
              <w:rPr>
                <w:rFonts w:ascii="Arial" w:hAnsi="Arial"/>
                <w:b/>
                <w:sz w:val="24"/>
              </w:rPr>
              <w:t>Cash</w:t>
            </w:r>
            <w:r>
              <w:rPr>
                <w:rFonts w:ascii="Arial" w:hAnsi="Arial"/>
                <w:b/>
                <w:spacing w:val="-4"/>
                <w:sz w:val="24"/>
              </w:rPr>
              <w:t> </w:t>
            </w:r>
            <w:r>
              <w:rPr>
                <w:rFonts w:ascii="Arial" w:hAnsi="Arial"/>
                <w:b/>
                <w:sz w:val="24"/>
              </w:rPr>
              <w:t>Flow</w:t>
            </w:r>
            <w:r>
              <w:rPr>
                <w:rFonts w:ascii="Arial" w:hAnsi="Arial"/>
                <w:b/>
                <w:spacing w:val="2"/>
                <w:sz w:val="24"/>
              </w:rPr>
              <w:t> </w:t>
            </w:r>
            <w:r>
              <w:rPr>
                <w:rFonts w:ascii="Arial" w:hAnsi="Arial"/>
                <w:b/>
                <w:spacing w:val="-4"/>
                <w:sz w:val="24"/>
              </w:rPr>
              <w:t>(£m)</w:t>
            </w:r>
          </w:p>
        </w:tc>
        <w:tc>
          <w:tcPr>
            <w:tcW w:w="1909" w:type="dxa"/>
            <w:shd w:val="clear" w:color="auto" w:fill="6FAC46"/>
          </w:tcPr>
          <w:p>
            <w:pPr>
              <w:pStyle w:val="TableParagraph"/>
              <w:spacing w:before="21"/>
              <w:ind w:left="9" w:right="4"/>
              <w:rPr>
                <w:rFonts w:ascii="Arial"/>
                <w:b/>
                <w:sz w:val="24"/>
              </w:rPr>
            </w:pPr>
            <w:r>
              <w:rPr>
                <w:rFonts w:ascii="Arial"/>
                <w:b/>
                <w:sz w:val="24"/>
              </w:rPr>
              <w:t>Discount</w:t>
            </w:r>
            <w:r>
              <w:rPr>
                <w:rFonts w:ascii="Arial"/>
                <w:b/>
                <w:spacing w:val="-6"/>
                <w:sz w:val="24"/>
              </w:rPr>
              <w:t> </w:t>
            </w:r>
            <w:r>
              <w:rPr>
                <w:rFonts w:ascii="Arial"/>
                <w:b/>
                <w:spacing w:val="-2"/>
                <w:sz w:val="24"/>
              </w:rPr>
              <w:t>Factor</w:t>
            </w:r>
          </w:p>
        </w:tc>
        <w:tc>
          <w:tcPr>
            <w:tcW w:w="2226" w:type="dxa"/>
            <w:shd w:val="clear" w:color="auto" w:fill="6FAC46"/>
          </w:tcPr>
          <w:p>
            <w:pPr>
              <w:pStyle w:val="TableParagraph"/>
              <w:spacing w:before="21"/>
              <w:ind w:left="12" w:right="7"/>
              <w:rPr>
                <w:rFonts w:ascii="Arial" w:hAnsi="Arial"/>
                <w:b/>
                <w:sz w:val="24"/>
              </w:rPr>
            </w:pPr>
            <w:r>
              <w:rPr>
                <w:rFonts w:ascii="Arial" w:hAnsi="Arial"/>
                <w:b/>
                <w:sz w:val="24"/>
              </w:rPr>
              <w:t>Present</w:t>
            </w:r>
            <w:r>
              <w:rPr>
                <w:rFonts w:ascii="Arial" w:hAnsi="Arial"/>
                <w:b/>
                <w:spacing w:val="-15"/>
                <w:sz w:val="24"/>
              </w:rPr>
              <w:t> </w:t>
            </w:r>
            <w:r>
              <w:rPr>
                <w:rFonts w:ascii="Arial" w:hAnsi="Arial"/>
                <w:b/>
                <w:sz w:val="24"/>
              </w:rPr>
              <w:t>Value</w:t>
            </w:r>
            <w:r>
              <w:rPr>
                <w:rFonts w:ascii="Arial" w:hAnsi="Arial"/>
                <w:b/>
                <w:spacing w:val="-13"/>
                <w:sz w:val="24"/>
              </w:rPr>
              <w:t> </w:t>
            </w:r>
            <w:r>
              <w:rPr>
                <w:rFonts w:ascii="Arial" w:hAnsi="Arial"/>
                <w:b/>
                <w:spacing w:val="-4"/>
                <w:sz w:val="24"/>
              </w:rPr>
              <w:t>(£m)</w:t>
            </w:r>
          </w:p>
        </w:tc>
      </w:tr>
      <w:tr>
        <w:trPr>
          <w:trHeight w:val="622" w:hRule="atLeast"/>
        </w:trPr>
        <w:tc>
          <w:tcPr>
            <w:tcW w:w="584" w:type="dxa"/>
          </w:tcPr>
          <w:p>
            <w:pPr>
              <w:pStyle w:val="TableParagraph"/>
              <w:rPr>
                <w:sz w:val="24"/>
              </w:rPr>
            </w:pPr>
            <w:r>
              <w:rPr>
                <w:spacing w:val="-10"/>
                <w:sz w:val="24"/>
              </w:rPr>
              <w:t>1</w:t>
            </w:r>
          </w:p>
        </w:tc>
        <w:tc>
          <w:tcPr>
            <w:tcW w:w="1856" w:type="dxa"/>
          </w:tcPr>
          <w:p>
            <w:pPr>
              <w:pStyle w:val="TableParagraph"/>
              <w:ind w:left="15" w:right="6"/>
              <w:rPr>
                <w:sz w:val="24"/>
              </w:rPr>
            </w:pPr>
            <w:r>
              <w:rPr>
                <w:spacing w:val="-10"/>
                <w:sz w:val="24"/>
              </w:rPr>
              <w:t>5</w:t>
            </w:r>
          </w:p>
        </w:tc>
        <w:tc>
          <w:tcPr>
            <w:tcW w:w="1909" w:type="dxa"/>
          </w:tcPr>
          <w:p>
            <w:pPr>
              <w:pStyle w:val="TableParagraph"/>
              <w:ind w:left="9"/>
              <w:rPr>
                <w:sz w:val="24"/>
              </w:rPr>
            </w:pPr>
            <w:r>
              <w:rPr>
                <w:spacing w:val="-4"/>
                <w:sz w:val="24"/>
              </w:rPr>
              <w:t>0.909</w:t>
            </w:r>
          </w:p>
        </w:tc>
        <w:tc>
          <w:tcPr>
            <w:tcW w:w="2226" w:type="dxa"/>
          </w:tcPr>
          <w:p>
            <w:pPr>
              <w:pStyle w:val="TableParagraph"/>
              <w:ind w:left="12"/>
              <w:rPr>
                <w:sz w:val="24"/>
              </w:rPr>
            </w:pPr>
            <w:r>
              <w:rPr>
                <w:spacing w:val="-4"/>
                <w:sz w:val="24"/>
              </w:rPr>
              <w:t>4.55</w:t>
            </w:r>
          </w:p>
        </w:tc>
      </w:tr>
      <w:tr>
        <w:trPr>
          <w:trHeight w:val="623" w:hRule="atLeast"/>
        </w:trPr>
        <w:tc>
          <w:tcPr>
            <w:tcW w:w="584" w:type="dxa"/>
          </w:tcPr>
          <w:p>
            <w:pPr>
              <w:pStyle w:val="TableParagraph"/>
              <w:rPr>
                <w:sz w:val="24"/>
              </w:rPr>
            </w:pPr>
            <w:r>
              <w:rPr>
                <w:spacing w:val="-10"/>
                <w:sz w:val="24"/>
              </w:rPr>
              <w:t>2</w:t>
            </w:r>
          </w:p>
        </w:tc>
        <w:tc>
          <w:tcPr>
            <w:tcW w:w="1856" w:type="dxa"/>
          </w:tcPr>
          <w:p>
            <w:pPr>
              <w:pStyle w:val="TableParagraph"/>
              <w:ind w:left="16" w:right="6"/>
              <w:rPr>
                <w:sz w:val="24"/>
              </w:rPr>
            </w:pPr>
            <w:r>
              <w:rPr>
                <w:spacing w:val="-5"/>
                <w:sz w:val="24"/>
              </w:rPr>
              <w:t>10</w:t>
            </w:r>
          </w:p>
        </w:tc>
        <w:tc>
          <w:tcPr>
            <w:tcW w:w="1909" w:type="dxa"/>
          </w:tcPr>
          <w:p>
            <w:pPr>
              <w:pStyle w:val="TableParagraph"/>
              <w:ind w:left="9"/>
              <w:rPr>
                <w:sz w:val="24"/>
              </w:rPr>
            </w:pPr>
            <w:r>
              <w:rPr>
                <w:spacing w:val="-4"/>
                <w:sz w:val="24"/>
              </w:rPr>
              <w:t>0.826</w:t>
            </w:r>
          </w:p>
        </w:tc>
        <w:tc>
          <w:tcPr>
            <w:tcW w:w="2226" w:type="dxa"/>
          </w:tcPr>
          <w:p>
            <w:pPr>
              <w:pStyle w:val="TableParagraph"/>
              <w:ind w:left="12"/>
              <w:rPr>
                <w:sz w:val="24"/>
              </w:rPr>
            </w:pPr>
            <w:r>
              <w:rPr>
                <w:spacing w:val="-4"/>
                <w:sz w:val="24"/>
              </w:rPr>
              <w:t>8.26</w:t>
            </w:r>
          </w:p>
        </w:tc>
      </w:tr>
      <w:tr>
        <w:trPr>
          <w:trHeight w:val="622" w:hRule="atLeast"/>
        </w:trPr>
        <w:tc>
          <w:tcPr>
            <w:tcW w:w="584" w:type="dxa"/>
          </w:tcPr>
          <w:p>
            <w:pPr>
              <w:pStyle w:val="TableParagraph"/>
              <w:rPr>
                <w:sz w:val="24"/>
              </w:rPr>
            </w:pPr>
            <w:r>
              <w:rPr>
                <w:spacing w:val="-10"/>
                <w:sz w:val="24"/>
              </w:rPr>
              <w:t>3</w:t>
            </w:r>
          </w:p>
        </w:tc>
        <w:tc>
          <w:tcPr>
            <w:tcW w:w="1856" w:type="dxa"/>
          </w:tcPr>
          <w:p>
            <w:pPr>
              <w:pStyle w:val="TableParagraph"/>
              <w:ind w:left="16" w:right="6"/>
              <w:rPr>
                <w:sz w:val="24"/>
              </w:rPr>
            </w:pPr>
            <w:r>
              <w:rPr>
                <w:spacing w:val="-5"/>
                <w:sz w:val="24"/>
              </w:rPr>
              <w:t>20</w:t>
            </w:r>
          </w:p>
        </w:tc>
        <w:tc>
          <w:tcPr>
            <w:tcW w:w="1909" w:type="dxa"/>
          </w:tcPr>
          <w:p>
            <w:pPr>
              <w:pStyle w:val="TableParagraph"/>
              <w:ind w:left="9"/>
              <w:rPr>
                <w:sz w:val="24"/>
              </w:rPr>
            </w:pPr>
            <w:r>
              <w:rPr>
                <w:spacing w:val="-4"/>
                <w:sz w:val="24"/>
              </w:rPr>
              <w:t>0.751</w:t>
            </w:r>
          </w:p>
        </w:tc>
        <w:tc>
          <w:tcPr>
            <w:tcW w:w="2226" w:type="dxa"/>
          </w:tcPr>
          <w:p>
            <w:pPr>
              <w:pStyle w:val="TableParagraph"/>
              <w:ind w:left="12"/>
              <w:rPr>
                <w:sz w:val="24"/>
              </w:rPr>
            </w:pPr>
            <w:r>
              <w:rPr>
                <w:spacing w:val="-2"/>
                <w:sz w:val="24"/>
              </w:rPr>
              <w:t>15.02</w:t>
            </w:r>
          </w:p>
        </w:tc>
      </w:tr>
      <w:tr>
        <w:trPr>
          <w:trHeight w:val="628" w:hRule="atLeast"/>
        </w:trPr>
        <w:tc>
          <w:tcPr>
            <w:tcW w:w="584" w:type="dxa"/>
          </w:tcPr>
          <w:p>
            <w:pPr>
              <w:pStyle w:val="TableParagraph"/>
              <w:spacing w:before="28"/>
              <w:rPr>
                <w:sz w:val="24"/>
              </w:rPr>
            </w:pPr>
            <w:r>
              <w:rPr>
                <w:spacing w:val="-10"/>
                <w:sz w:val="24"/>
              </w:rPr>
              <w:t>4</w:t>
            </w:r>
          </w:p>
        </w:tc>
        <w:tc>
          <w:tcPr>
            <w:tcW w:w="1856" w:type="dxa"/>
          </w:tcPr>
          <w:p>
            <w:pPr>
              <w:pStyle w:val="TableParagraph"/>
              <w:spacing w:before="28"/>
              <w:ind w:left="16" w:right="6"/>
              <w:rPr>
                <w:sz w:val="24"/>
              </w:rPr>
            </w:pPr>
            <w:r>
              <w:rPr>
                <w:spacing w:val="-5"/>
                <w:sz w:val="24"/>
              </w:rPr>
              <w:t>25</w:t>
            </w:r>
          </w:p>
        </w:tc>
        <w:tc>
          <w:tcPr>
            <w:tcW w:w="1909" w:type="dxa"/>
          </w:tcPr>
          <w:p>
            <w:pPr>
              <w:pStyle w:val="TableParagraph"/>
              <w:spacing w:before="28"/>
              <w:ind w:left="9"/>
              <w:rPr>
                <w:sz w:val="24"/>
              </w:rPr>
            </w:pPr>
            <w:r>
              <w:rPr>
                <w:spacing w:val="-4"/>
                <w:sz w:val="24"/>
              </w:rPr>
              <w:t>0.683</w:t>
            </w:r>
          </w:p>
        </w:tc>
        <w:tc>
          <w:tcPr>
            <w:tcW w:w="2226" w:type="dxa"/>
          </w:tcPr>
          <w:p>
            <w:pPr>
              <w:pStyle w:val="TableParagraph"/>
              <w:spacing w:before="28"/>
              <w:ind w:left="12"/>
              <w:rPr>
                <w:sz w:val="24"/>
              </w:rPr>
            </w:pPr>
            <w:r>
              <w:rPr>
                <w:spacing w:val="-2"/>
                <w:sz w:val="24"/>
              </w:rPr>
              <w:t>17.08</w:t>
            </w:r>
          </w:p>
        </w:tc>
      </w:tr>
      <w:tr>
        <w:trPr>
          <w:trHeight w:val="620" w:hRule="atLeast"/>
        </w:trPr>
        <w:tc>
          <w:tcPr>
            <w:tcW w:w="584" w:type="dxa"/>
          </w:tcPr>
          <w:p>
            <w:pPr>
              <w:pStyle w:val="TableParagraph"/>
              <w:rPr>
                <w:sz w:val="24"/>
              </w:rPr>
            </w:pPr>
            <w:r>
              <w:rPr>
                <w:spacing w:val="-10"/>
                <w:sz w:val="24"/>
              </w:rPr>
              <w:t>5</w:t>
            </w:r>
          </w:p>
        </w:tc>
        <w:tc>
          <w:tcPr>
            <w:tcW w:w="1856" w:type="dxa"/>
          </w:tcPr>
          <w:p>
            <w:pPr>
              <w:pStyle w:val="TableParagraph"/>
              <w:ind w:left="15" w:right="6"/>
              <w:rPr>
                <w:sz w:val="24"/>
              </w:rPr>
            </w:pPr>
            <w:r>
              <w:rPr>
                <w:spacing w:val="-10"/>
                <w:sz w:val="24"/>
              </w:rPr>
              <w:t>5</w:t>
            </w:r>
          </w:p>
        </w:tc>
        <w:tc>
          <w:tcPr>
            <w:tcW w:w="1909" w:type="dxa"/>
          </w:tcPr>
          <w:p>
            <w:pPr>
              <w:pStyle w:val="TableParagraph"/>
              <w:ind w:left="9"/>
              <w:rPr>
                <w:sz w:val="24"/>
              </w:rPr>
            </w:pPr>
            <w:r>
              <w:rPr>
                <w:spacing w:val="-4"/>
                <w:sz w:val="24"/>
              </w:rPr>
              <w:t>0.621</w:t>
            </w:r>
          </w:p>
        </w:tc>
        <w:tc>
          <w:tcPr>
            <w:tcW w:w="2226" w:type="dxa"/>
          </w:tcPr>
          <w:p>
            <w:pPr>
              <w:pStyle w:val="TableParagraph"/>
              <w:ind w:left="12"/>
              <w:rPr>
                <w:sz w:val="24"/>
              </w:rPr>
            </w:pPr>
            <w:r>
              <w:rPr>
                <w:spacing w:val="-4"/>
                <w:sz w:val="24"/>
              </w:rPr>
              <w:t>3.10</w:t>
            </w:r>
          </w:p>
        </w:tc>
      </w:tr>
    </w:tbl>
    <w:p>
      <w:pPr>
        <w:spacing w:before="0"/>
        <w:ind w:left="0" w:right="0" w:firstLine="0"/>
        <w:jc w:val="left"/>
        <w:rPr>
          <w:rFonts w:ascii="Arial" w:hAnsi="Arial"/>
          <w:b/>
          <w:sz w:val="24"/>
        </w:rPr>
      </w:pPr>
      <w:r>
        <w:rPr>
          <w:rFonts w:ascii="Arial" w:hAnsi="Arial"/>
          <w:b/>
          <w:sz w:val="24"/>
        </w:rPr>
        <w:t>Total</w:t>
      </w:r>
      <w:r>
        <w:rPr>
          <w:rFonts w:ascii="Arial" w:hAnsi="Arial"/>
          <w:b/>
          <w:spacing w:val="-6"/>
          <w:sz w:val="24"/>
        </w:rPr>
        <w:t> </w:t>
      </w:r>
      <w:r>
        <w:rPr>
          <w:rFonts w:ascii="Arial" w:hAnsi="Arial"/>
          <w:b/>
          <w:sz w:val="24"/>
        </w:rPr>
        <w:t>PV</w:t>
      </w:r>
      <w:r>
        <w:rPr>
          <w:rFonts w:ascii="Arial" w:hAnsi="Arial"/>
          <w:b/>
          <w:spacing w:val="-8"/>
          <w:sz w:val="24"/>
        </w:rPr>
        <w:t> </w:t>
      </w:r>
      <w:r>
        <w:rPr>
          <w:rFonts w:ascii="Arial" w:hAnsi="Arial"/>
          <w:b/>
          <w:sz w:val="24"/>
        </w:rPr>
        <w:t>=</w:t>
      </w:r>
      <w:r>
        <w:rPr>
          <w:rFonts w:ascii="Arial" w:hAnsi="Arial"/>
          <w:b/>
          <w:spacing w:val="-5"/>
          <w:sz w:val="24"/>
        </w:rPr>
        <w:t> </w:t>
      </w:r>
      <w:r>
        <w:rPr>
          <w:rFonts w:ascii="Arial" w:hAnsi="Arial"/>
          <w:b/>
          <w:spacing w:val="-2"/>
          <w:sz w:val="24"/>
        </w:rPr>
        <w:t>£48.01m</w:t>
      </w:r>
    </w:p>
    <w:p>
      <w:pPr>
        <w:pStyle w:val="BodyText"/>
        <w:spacing w:before="30"/>
        <w:rPr>
          <w:rFonts w:ascii="Arial"/>
          <w:b/>
        </w:rPr>
      </w:pPr>
    </w:p>
    <w:p>
      <w:pPr>
        <w:pStyle w:val="BodyText"/>
        <w:ind w:right="353"/>
        <w:jc w:val="center"/>
        <w:rPr>
          <w:rFonts w:ascii="Cambria Math" w:hAnsi="Cambria Math" w:eastAsia="Cambria Math"/>
        </w:rPr>
      </w:pPr>
      <w:r>
        <w:rPr/>
        <w:t>NPV</w:t>
      </w:r>
      <w:r>
        <w:rPr>
          <w:spacing w:val="-3"/>
        </w:rPr>
        <w:t> </w:t>
      </w:r>
      <w:r>
        <w:rPr>
          <w:rFonts w:ascii="Cambria Math" w:hAnsi="Cambria Math" w:eastAsia="Cambria Math"/>
        </w:rPr>
        <w:t>=</w:t>
      </w:r>
      <w:r>
        <w:rPr>
          <w:rFonts w:ascii="Cambria Math" w:hAnsi="Cambria Math" w:eastAsia="Cambria Math"/>
          <w:spacing w:val="17"/>
        </w:rPr>
        <w:t> </w:t>
      </w:r>
      <w:r>
        <w:rPr>
          <w:rFonts w:ascii="Cambria Math" w:hAnsi="Cambria Math" w:eastAsia="Cambria Math"/>
        </w:rPr>
        <w:t>48.01</w:t>
      </w:r>
      <w:r>
        <w:rPr>
          <w:rFonts w:ascii="Cambria Math" w:hAnsi="Cambria Math" w:eastAsia="Cambria Math"/>
          <w:spacing w:val="-3"/>
        </w:rPr>
        <w:t> </w:t>
      </w:r>
      <w:r>
        <w:rPr>
          <w:rFonts w:ascii="Cambria Math" w:hAnsi="Cambria Math" w:eastAsia="Cambria Math"/>
        </w:rPr>
        <w:t>−</w:t>
      </w:r>
      <w:r>
        <w:rPr>
          <w:rFonts w:ascii="Cambria Math" w:hAnsi="Cambria Math" w:eastAsia="Cambria Math"/>
          <w:spacing w:val="-2"/>
        </w:rPr>
        <w:t> </w:t>
      </w:r>
      <w:r>
        <w:rPr>
          <w:rFonts w:ascii="Cambria Math" w:hAnsi="Cambria Math" w:eastAsia="Cambria Math"/>
        </w:rPr>
        <w:t>50</w:t>
      </w:r>
      <w:r>
        <w:rPr>
          <w:rFonts w:ascii="Cambria Math" w:hAnsi="Cambria Math" w:eastAsia="Cambria Math"/>
          <w:spacing w:val="11"/>
        </w:rPr>
        <w:t> </w:t>
      </w:r>
      <w:r>
        <w:rPr>
          <w:rFonts w:ascii="Cambria Math" w:hAnsi="Cambria Math" w:eastAsia="Cambria Math"/>
        </w:rPr>
        <w:t>=</w:t>
      </w:r>
      <w:r>
        <w:rPr>
          <w:rFonts w:ascii="Cambria Math" w:hAnsi="Cambria Math" w:eastAsia="Cambria Math"/>
          <w:spacing w:val="17"/>
        </w:rPr>
        <w:t> </w:t>
      </w:r>
      <w:r>
        <w:rPr>
          <w:rFonts w:ascii="Cambria Math" w:hAnsi="Cambria Math" w:eastAsia="Cambria Math"/>
          <w:spacing w:val="-2"/>
        </w:rPr>
        <w:t>−£1.99𝑚</w:t>
      </w:r>
    </w:p>
    <w:p>
      <w:pPr>
        <w:pStyle w:val="BodyText"/>
        <w:spacing w:after="0"/>
        <w:jc w:val="center"/>
        <w:rPr>
          <w:rFonts w:ascii="Cambria Math" w:hAnsi="Cambria Math" w:eastAsia="Cambria Math"/>
        </w:rPr>
        <w:sectPr>
          <w:pgSz w:w="12240" w:h="15840"/>
          <w:pgMar w:header="0" w:footer="1051" w:top="1820" w:bottom="1240" w:left="1440" w:right="1080"/>
        </w:sectPr>
      </w:pPr>
    </w:p>
    <w:p>
      <w:pPr>
        <w:pStyle w:val="Heading2"/>
        <w:numPr>
          <w:ilvl w:val="1"/>
          <w:numId w:val="6"/>
        </w:numPr>
        <w:tabs>
          <w:tab w:pos="401" w:val="left" w:leader="none"/>
        </w:tabs>
        <w:spacing w:line="240" w:lineRule="auto" w:before="76" w:after="0"/>
        <w:ind w:left="401" w:right="0" w:hanging="401"/>
        <w:jc w:val="left"/>
      </w:pPr>
      <w:r>
        <w:rPr/>
        <w:t>Internal</w:t>
      </w:r>
      <w:r>
        <w:rPr>
          <w:spacing w:val="-5"/>
        </w:rPr>
        <w:t> </w:t>
      </w:r>
      <w:r>
        <w:rPr/>
        <w:t>Rate</w:t>
      </w:r>
      <w:r>
        <w:rPr>
          <w:spacing w:val="-4"/>
        </w:rPr>
        <w:t> </w:t>
      </w:r>
      <w:r>
        <w:rPr/>
        <w:t>of</w:t>
      </w:r>
      <w:r>
        <w:rPr>
          <w:spacing w:val="-3"/>
        </w:rPr>
        <w:t> </w:t>
      </w:r>
      <w:r>
        <w:rPr/>
        <w:t>Return</w:t>
      </w:r>
      <w:r>
        <w:rPr>
          <w:spacing w:val="-6"/>
        </w:rPr>
        <w:t> </w:t>
      </w:r>
      <w:r>
        <w:rPr>
          <w:spacing w:val="-4"/>
        </w:rPr>
        <w:t>(IRR)</w:t>
      </w:r>
    </w:p>
    <w:p>
      <w:pPr>
        <w:pStyle w:val="BodyText"/>
        <w:spacing w:before="24"/>
        <w:rPr>
          <w:rFonts w:ascii="Arial"/>
          <w:b/>
        </w:rPr>
      </w:pPr>
    </w:p>
    <w:p>
      <w:pPr>
        <w:pStyle w:val="BodyText"/>
        <w:spacing w:line="362" w:lineRule="auto"/>
        <w:ind w:right="368"/>
        <w:jc w:val="both"/>
      </w:pPr>
      <w:r>
        <w:rPr/>
        <w:t>The</w:t>
      </w:r>
      <w:r>
        <w:rPr>
          <w:spacing w:val="-17"/>
        </w:rPr>
        <w:t> </w:t>
      </w:r>
      <w:r>
        <w:rPr/>
        <w:t>internal</w:t>
      </w:r>
      <w:r>
        <w:rPr>
          <w:spacing w:val="-16"/>
        </w:rPr>
        <w:t> </w:t>
      </w:r>
      <w:r>
        <w:rPr/>
        <w:t>rate</w:t>
      </w:r>
      <w:r>
        <w:rPr>
          <w:spacing w:val="-17"/>
        </w:rPr>
        <w:t> </w:t>
      </w:r>
      <w:r>
        <w:rPr/>
        <w:t>of</w:t>
      </w:r>
      <w:r>
        <w:rPr>
          <w:spacing w:val="-17"/>
        </w:rPr>
        <w:t> </w:t>
      </w:r>
      <w:r>
        <w:rPr/>
        <w:t>return</w:t>
      </w:r>
      <w:r>
        <w:rPr>
          <w:spacing w:val="-12"/>
        </w:rPr>
        <w:t> </w:t>
      </w:r>
      <w:r>
        <w:rPr/>
        <w:t>(IRR)</w:t>
      </w:r>
      <w:r>
        <w:rPr>
          <w:spacing w:val="-17"/>
        </w:rPr>
        <w:t> </w:t>
      </w:r>
      <w:r>
        <w:rPr/>
        <w:t>is</w:t>
      </w:r>
      <w:r>
        <w:rPr>
          <w:spacing w:val="-14"/>
        </w:rPr>
        <w:t> </w:t>
      </w:r>
      <w:r>
        <w:rPr/>
        <w:t>the</w:t>
      </w:r>
      <w:r>
        <w:rPr>
          <w:spacing w:val="-13"/>
        </w:rPr>
        <w:t> </w:t>
      </w:r>
      <w:r>
        <w:rPr/>
        <w:t>discount</w:t>
      </w:r>
      <w:r>
        <w:rPr>
          <w:spacing w:val="-17"/>
        </w:rPr>
        <w:t> </w:t>
      </w:r>
      <w:r>
        <w:rPr/>
        <w:t>rate</w:t>
      </w:r>
      <w:r>
        <w:rPr>
          <w:spacing w:val="-17"/>
        </w:rPr>
        <w:t> </w:t>
      </w:r>
      <w:r>
        <w:rPr/>
        <w:t>whereby</w:t>
      </w:r>
      <w:r>
        <w:rPr>
          <w:spacing w:val="-13"/>
        </w:rPr>
        <w:t> </w:t>
      </w:r>
      <w:r>
        <w:rPr/>
        <w:t>the</w:t>
      </w:r>
      <w:r>
        <w:rPr>
          <w:spacing w:val="-17"/>
        </w:rPr>
        <w:t> </w:t>
      </w:r>
      <w:r>
        <w:rPr/>
        <w:t>Net</w:t>
      </w:r>
      <w:r>
        <w:rPr>
          <w:spacing w:val="-13"/>
        </w:rPr>
        <w:t> </w:t>
      </w:r>
      <w:r>
        <w:rPr/>
        <w:t>Present</w:t>
      </w:r>
      <w:r>
        <w:rPr>
          <w:spacing w:val="-13"/>
        </w:rPr>
        <w:t> </w:t>
      </w:r>
      <w:r>
        <w:rPr/>
        <w:t>Value</w:t>
      </w:r>
      <w:r>
        <w:rPr>
          <w:spacing w:val="-17"/>
        </w:rPr>
        <w:t> </w:t>
      </w:r>
      <w:r>
        <w:rPr/>
        <w:t>(NPV) of the</w:t>
      </w:r>
      <w:r>
        <w:rPr>
          <w:spacing w:val="-3"/>
        </w:rPr>
        <w:t> </w:t>
      </w:r>
      <w:r>
        <w:rPr/>
        <w:t>project is</w:t>
      </w:r>
      <w:r>
        <w:rPr>
          <w:spacing w:val="-3"/>
        </w:rPr>
        <w:t> </w:t>
      </w:r>
      <w:r>
        <w:rPr/>
        <w:t>zero, which</w:t>
      </w:r>
      <w:r>
        <w:rPr>
          <w:spacing w:val="-3"/>
        </w:rPr>
        <w:t> </w:t>
      </w:r>
      <w:r>
        <w:rPr/>
        <w:t>is the expected</w:t>
      </w:r>
      <w:r>
        <w:rPr>
          <w:spacing w:val="-3"/>
        </w:rPr>
        <w:t> </w:t>
      </w:r>
      <w:r>
        <w:rPr/>
        <w:t>annual rate of</w:t>
      </w:r>
      <w:r>
        <w:rPr>
          <w:spacing w:val="-3"/>
        </w:rPr>
        <w:t> </w:t>
      </w:r>
      <w:r>
        <w:rPr/>
        <w:t>return of the</w:t>
      </w:r>
      <w:r>
        <w:rPr>
          <w:spacing w:val="-2"/>
        </w:rPr>
        <w:t> </w:t>
      </w:r>
      <w:r>
        <w:rPr/>
        <w:t>investment.</w:t>
      </w:r>
      <w:r>
        <w:rPr>
          <w:spacing w:val="-3"/>
        </w:rPr>
        <w:t> </w:t>
      </w:r>
      <w:r>
        <w:rPr/>
        <w:t>This is calculated as:</w:t>
      </w:r>
    </w:p>
    <w:p>
      <w:pPr>
        <w:spacing w:line="158" w:lineRule="exact" w:before="115"/>
        <w:ind w:left="767" w:right="1933" w:firstLine="0"/>
        <w:jc w:val="center"/>
        <w:rPr>
          <w:rFonts w:ascii="Cambria Math" w:eastAsia="Cambria Math"/>
          <w:sz w:val="17"/>
        </w:rPr>
      </w:pPr>
      <w:r>
        <w:rPr>
          <w:rFonts w:ascii="Cambria Math" w:eastAsia="Cambria Math"/>
          <w:spacing w:val="-10"/>
          <w:w w:val="110"/>
          <w:sz w:val="17"/>
        </w:rPr>
        <w:t>𝑛</w:t>
      </w:r>
    </w:p>
    <w:p>
      <w:pPr>
        <w:tabs>
          <w:tab w:pos="724" w:val="left" w:leader="none"/>
          <w:tab w:pos="1411" w:val="left" w:leader="none"/>
        </w:tabs>
        <w:spacing w:line="190" w:lineRule="exact" w:before="0"/>
        <w:ind w:left="407" w:right="0" w:firstLine="0"/>
        <w:jc w:val="center"/>
        <w:rPr>
          <w:rFonts w:ascii="Cambria Math" w:eastAsia="Cambria Math"/>
          <w:sz w:val="24"/>
        </w:rPr>
      </w:pPr>
      <w:r>
        <w:rPr>
          <w:rFonts w:ascii="Cambria Math" w:eastAsia="Cambria Math"/>
          <w:sz w:val="24"/>
          <w:u w:val="single"/>
        </w:rPr>
        <w:tab/>
      </w:r>
      <w:r>
        <w:rPr>
          <w:rFonts w:ascii="Cambria Math" w:eastAsia="Cambria Math"/>
          <w:spacing w:val="-5"/>
          <w:w w:val="105"/>
          <w:sz w:val="24"/>
          <w:u w:val="single"/>
        </w:rPr>
        <w:t>𝐶𝐹</w:t>
      </w:r>
      <w:r>
        <w:rPr>
          <w:rFonts w:ascii="Cambria Math" w:eastAsia="Cambria Math"/>
          <w:spacing w:val="-5"/>
          <w:w w:val="105"/>
          <w:sz w:val="24"/>
          <w:u w:val="single"/>
          <w:vertAlign w:val="subscript"/>
        </w:rPr>
        <w:t>𝑡</w:t>
      </w:r>
      <w:r>
        <w:rPr>
          <w:rFonts w:ascii="Cambria Math" w:eastAsia="Cambria Math"/>
          <w:sz w:val="24"/>
          <w:u w:val="single"/>
          <w:vertAlign w:val="baseline"/>
        </w:rPr>
        <w:tab/>
      </w:r>
    </w:p>
    <w:p>
      <w:pPr>
        <w:pStyle w:val="BodyText"/>
        <w:tabs>
          <w:tab w:pos="2342" w:val="left" w:leader="none"/>
        </w:tabs>
        <w:spacing w:line="96" w:lineRule="exact"/>
        <w:ind w:right="445"/>
        <w:jc w:val="center"/>
        <w:rPr>
          <w:rFonts w:ascii="Cambria Math" w:hAnsi="Cambria Math" w:eastAsia="Cambria Math"/>
        </w:rPr>
      </w:pPr>
      <w:r>
        <w:rPr>
          <w:rFonts w:ascii="Cambria Math" w:hAnsi="Cambria Math" w:eastAsia="Cambria Math"/>
          <w:w w:val="110"/>
        </w:rPr>
        <w:t>0</w:t>
      </w:r>
      <w:r>
        <w:rPr>
          <w:rFonts w:ascii="Cambria Math" w:hAnsi="Cambria Math" w:eastAsia="Cambria Math"/>
          <w:spacing w:val="-10"/>
          <w:w w:val="110"/>
        </w:rPr>
        <w:t> </w:t>
      </w:r>
      <w:r>
        <w:rPr>
          <w:rFonts w:ascii="Cambria Math" w:hAnsi="Cambria Math" w:eastAsia="Cambria Math"/>
          <w:w w:val="110"/>
        </w:rPr>
        <w:t>=</w:t>
      </w:r>
      <w:r>
        <w:rPr>
          <w:rFonts w:ascii="Cambria Math" w:hAnsi="Cambria Math" w:eastAsia="Cambria Math"/>
          <w:spacing w:val="-4"/>
          <w:w w:val="110"/>
        </w:rPr>
        <w:t> </w:t>
      </w:r>
      <w:r>
        <w:rPr>
          <w:rFonts w:ascii="Cambria Math" w:hAnsi="Cambria Math" w:eastAsia="Cambria Math"/>
          <w:spacing w:val="-12"/>
          <w:w w:val="110"/>
        </w:rPr>
        <w:t>∑</w:t>
      </w:r>
      <w:r>
        <w:rPr>
          <w:rFonts w:ascii="Cambria Math" w:hAnsi="Cambria Math" w:eastAsia="Cambria Math"/>
        </w:rPr>
        <w:tab/>
      </w:r>
      <w:r>
        <w:rPr>
          <w:rFonts w:ascii="Cambria Math" w:hAnsi="Cambria Math" w:eastAsia="Cambria Math"/>
          <w:w w:val="105"/>
        </w:rPr>
        <w:t>−</w:t>
      </w:r>
      <w:r>
        <w:rPr>
          <w:rFonts w:ascii="Cambria Math" w:hAnsi="Cambria Math" w:eastAsia="Cambria Math"/>
          <w:spacing w:val="-9"/>
          <w:w w:val="105"/>
        </w:rPr>
        <w:t> </w:t>
      </w:r>
      <w:r>
        <w:rPr>
          <w:rFonts w:ascii="Cambria Math" w:hAnsi="Cambria Math" w:eastAsia="Cambria Math"/>
          <w:spacing w:val="-10"/>
          <w:w w:val="120"/>
        </w:rPr>
        <w:t>𝐶</w:t>
      </w:r>
    </w:p>
    <w:p>
      <w:pPr>
        <w:pStyle w:val="BodyText"/>
        <w:tabs>
          <w:tab w:pos="2344" w:val="left" w:leader="none"/>
        </w:tabs>
        <w:spacing w:line="261" w:lineRule="exact" w:before="3"/>
        <w:ind w:left="923"/>
        <w:jc w:val="center"/>
        <w:rPr>
          <w:rFonts w:ascii="Cambria Math" w:eastAsia="Cambria Math"/>
        </w:rPr>
      </w:pPr>
      <w:r>
        <w:rPr>
          <w:rFonts w:ascii="Cambria Math" w:eastAsia="Cambria Math"/>
          <w:spacing w:val="-2"/>
          <w:w w:val="105"/>
          <w:position w:val="1"/>
        </w:rPr>
        <w:t>(</w:t>
      </w:r>
      <w:r>
        <w:rPr>
          <w:rFonts w:ascii="Cambria Math" w:eastAsia="Cambria Math"/>
          <w:spacing w:val="-2"/>
          <w:w w:val="105"/>
        </w:rPr>
        <w:t>1+𝐼𝑅𝑅)</w:t>
      </w:r>
      <w:r>
        <w:rPr>
          <w:rFonts w:ascii="Cambria Math" w:eastAsia="Cambria Math"/>
          <w:spacing w:val="-2"/>
          <w:w w:val="105"/>
          <w:vertAlign w:val="superscript"/>
        </w:rPr>
        <w:t>𝑡</w:t>
      </w:r>
      <w:r>
        <w:rPr>
          <w:rFonts w:ascii="Cambria Math" w:eastAsia="Cambria Math"/>
          <w:vertAlign w:val="baseline"/>
        </w:rPr>
        <w:tab/>
      </w:r>
      <w:r>
        <w:rPr>
          <w:rFonts w:ascii="Cambria Math" w:eastAsia="Cambria Math"/>
          <w:spacing w:val="-10"/>
          <w:w w:val="105"/>
          <w:vertAlign w:val="superscript"/>
        </w:rPr>
        <w:t>0</w:t>
      </w:r>
    </w:p>
    <w:p>
      <w:pPr>
        <w:spacing w:line="169" w:lineRule="exact" w:before="0"/>
        <w:ind w:left="767" w:right="1743" w:firstLine="0"/>
        <w:jc w:val="center"/>
        <w:rPr>
          <w:rFonts w:ascii="Cambria Math" w:eastAsia="Cambria Math"/>
          <w:sz w:val="17"/>
        </w:rPr>
      </w:pPr>
      <w:r>
        <w:rPr>
          <w:rFonts w:ascii="Cambria Math" w:eastAsia="Cambria Math"/>
          <w:spacing w:val="-5"/>
          <w:w w:val="105"/>
          <w:sz w:val="17"/>
        </w:rPr>
        <w:t>𝑡=1</w:t>
      </w:r>
    </w:p>
    <w:p>
      <w:pPr>
        <w:pStyle w:val="BodyText"/>
        <w:spacing w:line="362" w:lineRule="auto" w:before="255"/>
        <w:ind w:right="362"/>
        <w:jc w:val="both"/>
      </w:pPr>
      <w:r>
        <w:rPr/>
        <w:t>The</w:t>
      </w:r>
      <w:r>
        <w:rPr>
          <w:spacing w:val="-2"/>
        </w:rPr>
        <w:t> </w:t>
      </w:r>
      <w:r>
        <w:rPr/>
        <w:t>project</w:t>
      </w:r>
      <w:r>
        <w:rPr>
          <w:spacing w:val="-2"/>
        </w:rPr>
        <w:t> </w:t>
      </w:r>
      <w:r>
        <w:rPr/>
        <w:t>with</w:t>
      </w:r>
      <w:r>
        <w:rPr>
          <w:spacing w:val="-1"/>
        </w:rPr>
        <w:t> </w:t>
      </w:r>
      <w:r>
        <w:rPr/>
        <w:t>a</w:t>
      </w:r>
      <w:r>
        <w:rPr>
          <w:spacing w:val="-6"/>
        </w:rPr>
        <w:t> </w:t>
      </w:r>
      <w:r>
        <w:rPr/>
        <w:t>high</w:t>
      </w:r>
      <w:r>
        <w:rPr>
          <w:spacing w:val="-1"/>
        </w:rPr>
        <w:t> </w:t>
      </w:r>
      <w:r>
        <w:rPr/>
        <w:t>IRR</w:t>
      </w:r>
      <w:r>
        <w:rPr>
          <w:spacing w:val="-8"/>
        </w:rPr>
        <w:t> </w:t>
      </w:r>
      <w:r>
        <w:rPr/>
        <w:t>is</w:t>
      </w:r>
      <w:r>
        <w:rPr>
          <w:spacing w:val="-7"/>
        </w:rPr>
        <w:t> </w:t>
      </w:r>
      <w:r>
        <w:rPr/>
        <w:t>acceptable</w:t>
      </w:r>
      <w:r>
        <w:rPr>
          <w:spacing w:val="-2"/>
        </w:rPr>
        <w:t> </w:t>
      </w:r>
      <w:r>
        <w:rPr/>
        <w:t>when</w:t>
      </w:r>
      <w:r>
        <w:rPr>
          <w:spacing w:val="-2"/>
        </w:rPr>
        <w:t> </w:t>
      </w:r>
      <w:r>
        <w:rPr/>
        <w:t>its</w:t>
      </w:r>
      <w:r>
        <w:rPr>
          <w:spacing w:val="-2"/>
        </w:rPr>
        <w:t> </w:t>
      </w:r>
      <w:r>
        <w:rPr/>
        <w:t>IRR</w:t>
      </w:r>
      <w:r>
        <w:rPr>
          <w:spacing w:val="-7"/>
        </w:rPr>
        <w:t> </w:t>
      </w:r>
      <w:r>
        <w:rPr/>
        <w:t>is</w:t>
      </w:r>
      <w:r>
        <w:rPr>
          <w:spacing w:val="-2"/>
        </w:rPr>
        <w:t> </w:t>
      </w:r>
      <w:r>
        <w:rPr/>
        <w:t>higher</w:t>
      </w:r>
      <w:r>
        <w:rPr>
          <w:spacing w:val="-6"/>
        </w:rPr>
        <w:t> </w:t>
      </w:r>
      <w:r>
        <w:rPr/>
        <w:t>than</w:t>
      </w:r>
      <w:r>
        <w:rPr>
          <w:spacing w:val="-6"/>
        </w:rPr>
        <w:t> </w:t>
      </w:r>
      <w:r>
        <w:rPr/>
        <w:t>it</w:t>
      </w:r>
      <w:r>
        <w:rPr>
          <w:spacing w:val="-2"/>
        </w:rPr>
        <w:t> </w:t>
      </w:r>
      <w:r>
        <w:rPr/>
        <w:t>has</w:t>
      </w:r>
      <w:r>
        <w:rPr>
          <w:spacing w:val="-7"/>
        </w:rPr>
        <w:t> </w:t>
      </w:r>
      <w:r>
        <w:rPr/>
        <w:t>to</w:t>
      </w:r>
      <w:r>
        <w:rPr>
          <w:spacing w:val="-2"/>
        </w:rPr>
        <w:t> </w:t>
      </w:r>
      <w:r>
        <w:rPr/>
        <w:t>be</w:t>
      </w:r>
      <w:r>
        <w:rPr>
          <w:spacing w:val="-2"/>
        </w:rPr>
        <w:t> </w:t>
      </w:r>
      <w:r>
        <w:rPr/>
        <w:t>(10%</w:t>
      </w:r>
      <w:r>
        <w:rPr>
          <w:spacing w:val="-5"/>
        </w:rPr>
        <w:t> </w:t>
      </w:r>
      <w:r>
        <w:rPr/>
        <w:t>). Since IRR cannot be calculated directly, it is estimated using interpolation between two discount rates.</w:t>
      </w:r>
    </w:p>
    <w:p>
      <w:pPr>
        <w:pStyle w:val="BodyText"/>
      </w:pPr>
    </w:p>
    <w:p>
      <w:pPr>
        <w:pStyle w:val="BodyText"/>
        <w:spacing w:before="176"/>
      </w:pPr>
    </w:p>
    <w:p>
      <w:pPr>
        <w:pStyle w:val="Heading2"/>
      </w:pPr>
      <w:r>
        <w:rPr/>
        <w:t>Project</w:t>
      </w:r>
      <w:r>
        <w:rPr>
          <w:spacing w:val="-11"/>
        </w:rPr>
        <w:t> </w:t>
      </w:r>
      <w:r>
        <w:rPr/>
        <w:t>A</w:t>
      </w:r>
      <w:r>
        <w:rPr>
          <w:spacing w:val="-16"/>
        </w:rPr>
        <w:t> </w:t>
      </w:r>
      <w:r>
        <w:rPr>
          <w:spacing w:val="-2"/>
        </w:rPr>
        <w:t>Calculation</w:t>
      </w:r>
    </w:p>
    <w:p>
      <w:pPr>
        <w:pStyle w:val="BodyText"/>
        <w:spacing w:before="19"/>
        <w:rPr>
          <w:rFonts w:ascii="Arial"/>
          <w:b/>
        </w:rPr>
      </w:pPr>
    </w:p>
    <w:p>
      <w:pPr>
        <w:spacing w:before="1"/>
        <w:ind w:left="0" w:right="0" w:firstLine="0"/>
        <w:jc w:val="left"/>
        <w:rPr>
          <w:sz w:val="24"/>
        </w:rPr>
      </w:pPr>
      <w:r>
        <w:rPr>
          <w:sz w:val="24"/>
        </w:rPr>
        <w:t>At</w:t>
      </w:r>
      <w:r>
        <w:rPr>
          <w:spacing w:val="1"/>
          <w:sz w:val="24"/>
        </w:rPr>
        <w:t> </w:t>
      </w:r>
      <w:r>
        <w:rPr>
          <w:rFonts w:ascii="Arial"/>
          <w:b/>
          <w:sz w:val="24"/>
        </w:rPr>
        <w:t>0%</w:t>
      </w:r>
      <w:r>
        <w:rPr>
          <w:rFonts w:ascii="Arial"/>
          <w:b/>
          <w:spacing w:val="-12"/>
          <w:sz w:val="24"/>
        </w:rPr>
        <w:t> </w:t>
      </w:r>
      <w:r>
        <w:rPr>
          <w:rFonts w:ascii="Arial"/>
          <w:b/>
          <w:sz w:val="24"/>
        </w:rPr>
        <w:t>discount</w:t>
      </w:r>
      <w:r>
        <w:rPr>
          <w:rFonts w:ascii="Arial"/>
          <w:b/>
          <w:spacing w:val="1"/>
          <w:sz w:val="24"/>
        </w:rPr>
        <w:t> </w:t>
      </w:r>
      <w:r>
        <w:rPr>
          <w:rFonts w:ascii="Arial"/>
          <w:b/>
          <w:spacing w:val="-4"/>
          <w:sz w:val="24"/>
        </w:rPr>
        <w:t>rate</w:t>
      </w:r>
      <w:r>
        <w:rPr>
          <w:spacing w:val="-4"/>
          <w:sz w:val="24"/>
        </w:rPr>
        <w:t>:</w:t>
      </w:r>
    </w:p>
    <w:p>
      <w:pPr>
        <w:pStyle w:val="BodyText"/>
        <w:spacing w:before="142"/>
        <w:jc w:val="both"/>
        <w:rPr>
          <w:rFonts w:ascii="Arial" w:hAnsi="Arial"/>
          <w:b/>
        </w:rPr>
      </w:pPr>
      <w:r>
        <w:rPr/>
        <w:t>NPV</w:t>
      </w:r>
      <w:r>
        <w:rPr>
          <w:spacing w:val="-3"/>
        </w:rPr>
        <w:t> </w:t>
      </w:r>
      <w:r>
        <w:rPr/>
        <w:t>=</w:t>
      </w:r>
      <w:r>
        <w:rPr>
          <w:spacing w:val="-1"/>
        </w:rPr>
        <w:t> </w:t>
      </w:r>
      <w:r>
        <w:rPr/>
        <w:t>(10</w:t>
      </w:r>
      <w:r>
        <w:rPr>
          <w:spacing w:val="-1"/>
        </w:rPr>
        <w:t> </w:t>
      </w:r>
      <w:r>
        <w:rPr/>
        <w:t>+</w:t>
      </w:r>
      <w:r>
        <w:rPr>
          <w:spacing w:val="1"/>
        </w:rPr>
        <w:t> </w:t>
      </w:r>
      <w:r>
        <w:rPr/>
        <w:t>12</w:t>
      </w:r>
      <w:r>
        <w:rPr>
          <w:spacing w:val="-1"/>
        </w:rPr>
        <w:t> </w:t>
      </w:r>
      <w:r>
        <w:rPr/>
        <w:t>+</w:t>
      </w:r>
      <w:r>
        <w:rPr>
          <w:spacing w:val="-1"/>
        </w:rPr>
        <w:t> </w:t>
      </w:r>
      <w:r>
        <w:rPr/>
        <w:t>14 +</w:t>
      </w:r>
      <w:r>
        <w:rPr>
          <w:spacing w:val="-1"/>
        </w:rPr>
        <w:t> </w:t>
      </w:r>
      <w:r>
        <w:rPr/>
        <w:t>10</w:t>
      </w:r>
      <w:r>
        <w:rPr>
          <w:spacing w:val="-1"/>
        </w:rPr>
        <w:t> </w:t>
      </w:r>
      <w:r>
        <w:rPr/>
        <w:t>+</w:t>
      </w:r>
      <w:r>
        <w:rPr>
          <w:spacing w:val="-1"/>
        </w:rPr>
        <w:t> </w:t>
      </w:r>
      <w:r>
        <w:rPr/>
        <w:t>8)</w:t>
      </w:r>
      <w:r>
        <w:rPr>
          <w:spacing w:val="4"/>
        </w:rPr>
        <w:t> </w:t>
      </w:r>
      <w:r>
        <w:rPr/>
        <w:t>– 50</w:t>
      </w:r>
      <w:r>
        <w:rPr>
          <w:spacing w:val="-1"/>
        </w:rPr>
        <w:t> </w:t>
      </w:r>
      <w:r>
        <w:rPr/>
        <w:t>= </w:t>
      </w:r>
      <w:r>
        <w:rPr>
          <w:rFonts w:ascii="Arial" w:hAnsi="Arial"/>
          <w:b/>
          <w:spacing w:val="-4"/>
        </w:rPr>
        <w:t>+£4m</w:t>
      </w:r>
    </w:p>
    <w:p>
      <w:pPr>
        <w:pStyle w:val="BodyText"/>
        <w:spacing w:before="14"/>
        <w:rPr>
          <w:rFonts w:ascii="Arial"/>
          <w:b/>
        </w:rPr>
      </w:pPr>
    </w:p>
    <w:p>
      <w:pPr>
        <w:spacing w:line="367" w:lineRule="auto" w:before="0"/>
        <w:ind w:left="0" w:right="6870" w:firstLine="0"/>
        <w:jc w:val="left"/>
        <w:rPr>
          <w:rFonts w:ascii="Arial" w:hAnsi="Arial"/>
          <w:b/>
          <w:sz w:val="24"/>
        </w:rPr>
      </w:pPr>
      <w:r>
        <w:rPr>
          <w:sz w:val="24"/>
        </w:rPr>
        <w:t>At</w:t>
      </w:r>
      <w:r>
        <w:rPr>
          <w:spacing w:val="-12"/>
          <w:sz w:val="24"/>
        </w:rPr>
        <w:t> </w:t>
      </w:r>
      <w:r>
        <w:rPr>
          <w:rFonts w:ascii="Arial" w:hAnsi="Arial"/>
          <w:b/>
          <w:sz w:val="24"/>
        </w:rPr>
        <w:t>10%</w:t>
      </w:r>
      <w:r>
        <w:rPr>
          <w:rFonts w:ascii="Arial" w:hAnsi="Arial"/>
          <w:b/>
          <w:spacing w:val="-17"/>
          <w:sz w:val="24"/>
        </w:rPr>
        <w:t> </w:t>
      </w:r>
      <w:r>
        <w:rPr>
          <w:rFonts w:ascii="Arial" w:hAnsi="Arial"/>
          <w:b/>
          <w:sz w:val="24"/>
        </w:rPr>
        <w:t>discount</w:t>
      </w:r>
      <w:r>
        <w:rPr>
          <w:rFonts w:ascii="Arial" w:hAnsi="Arial"/>
          <w:b/>
          <w:spacing w:val="-9"/>
          <w:sz w:val="24"/>
        </w:rPr>
        <w:t> </w:t>
      </w:r>
      <w:r>
        <w:rPr>
          <w:rFonts w:ascii="Arial" w:hAnsi="Arial"/>
          <w:b/>
          <w:sz w:val="24"/>
        </w:rPr>
        <w:t>rate</w:t>
      </w:r>
      <w:r>
        <w:rPr>
          <w:sz w:val="24"/>
        </w:rPr>
        <w:t>: NPV = </w:t>
      </w:r>
      <w:r>
        <w:rPr>
          <w:rFonts w:ascii="Arial" w:hAnsi="Arial"/>
          <w:b/>
          <w:sz w:val="24"/>
        </w:rPr>
        <w:t>–£8.69m</w:t>
      </w:r>
    </w:p>
    <w:p>
      <w:pPr>
        <w:spacing w:after="0" w:line="367" w:lineRule="auto"/>
        <w:jc w:val="left"/>
        <w:rPr>
          <w:rFonts w:ascii="Arial" w:hAnsi="Arial"/>
          <w:b/>
          <w:sz w:val="24"/>
        </w:rPr>
        <w:sectPr>
          <w:pgSz w:w="12240" w:h="15840"/>
          <w:pgMar w:header="0" w:footer="1051" w:top="1360" w:bottom="1240" w:left="1440" w:right="1080"/>
        </w:sectPr>
      </w:pPr>
    </w:p>
    <w:p>
      <w:pPr>
        <w:pStyle w:val="BodyText"/>
        <w:spacing w:before="29"/>
        <w:rPr>
          <w:rFonts w:ascii="Arial"/>
          <w:b/>
        </w:rPr>
      </w:pPr>
    </w:p>
    <w:p>
      <w:pPr>
        <w:pStyle w:val="BodyText"/>
        <w:jc w:val="right"/>
        <w:rPr>
          <w:rFonts w:ascii="Cambria Math" w:hAnsi="Cambria Math"/>
        </w:rPr>
      </w:pPr>
      <w:r>
        <w:rPr/>
        <w:t>IRR</w:t>
      </w:r>
      <w:r>
        <w:rPr>
          <w:spacing w:val="-3"/>
        </w:rPr>
        <w:t> </w:t>
      </w:r>
      <w:r>
        <w:rPr>
          <w:rFonts w:ascii="Cambria Math" w:hAnsi="Cambria Math"/>
        </w:rPr>
        <w:t>≈</w:t>
      </w:r>
      <w:r>
        <w:rPr>
          <w:rFonts w:ascii="Cambria Math" w:hAnsi="Cambria Math"/>
          <w:spacing w:val="9"/>
        </w:rPr>
        <w:t> </w:t>
      </w:r>
      <w:r>
        <w:rPr>
          <w:rFonts w:ascii="Cambria Math" w:hAnsi="Cambria Math"/>
        </w:rPr>
        <w:t>0</w:t>
      </w:r>
      <w:r>
        <w:rPr>
          <w:rFonts w:ascii="Cambria Math" w:hAnsi="Cambria Math"/>
          <w:spacing w:val="1"/>
        </w:rPr>
        <w:t> </w:t>
      </w:r>
      <w:r>
        <w:rPr>
          <w:rFonts w:ascii="Cambria Math" w:hAnsi="Cambria Math"/>
          <w:spacing w:val="-10"/>
        </w:rPr>
        <w:t>+</w:t>
      </w:r>
    </w:p>
    <w:p>
      <w:pPr>
        <w:spacing w:before="123"/>
        <w:ind w:left="9" w:right="0" w:firstLine="0"/>
        <w:jc w:val="center"/>
        <w:rPr>
          <w:rFonts w:ascii="Cambria Math"/>
          <w:sz w:val="24"/>
        </w:rPr>
      </w:pPr>
      <w:r>
        <w:rPr/>
        <w:br w:type="column"/>
      </w:r>
      <w:r>
        <w:rPr>
          <w:rFonts w:ascii="Cambria Math"/>
          <w:spacing w:val="-10"/>
          <w:sz w:val="24"/>
        </w:rPr>
        <w:t>4</w:t>
      </w:r>
    </w:p>
    <w:p>
      <w:pPr>
        <w:pStyle w:val="BodyText"/>
        <w:spacing w:before="5"/>
        <w:rPr>
          <w:rFonts w:ascii="Cambria Math"/>
          <w:sz w:val="4"/>
        </w:rPr>
      </w:pPr>
    </w:p>
    <w:p>
      <w:pPr>
        <w:pStyle w:val="BodyText"/>
        <w:spacing w:line="20" w:lineRule="exact"/>
        <w:ind w:left="15" w:right="-58"/>
        <w:rPr>
          <w:rFonts w:ascii="Cambria Math"/>
          <w:sz w:val="2"/>
        </w:rPr>
      </w:pPr>
      <w:r>
        <w:rPr>
          <w:rFonts w:ascii="Cambria Math"/>
          <w:sz w:val="2"/>
        </w:rPr>
        <mc:AlternateContent>
          <mc:Choice Requires="wps">
            <w:drawing>
              <wp:inline distT="0" distB="0" distL="0" distR="0">
                <wp:extent cx="552450" cy="9525"/>
                <wp:effectExtent l="0" t="0" r="0" b="0"/>
                <wp:docPr id="46" name="Group 46"/>
                <wp:cNvGraphicFramePr>
                  <a:graphicFrameLocks/>
                </wp:cNvGraphicFramePr>
                <a:graphic>
                  <a:graphicData uri="http://schemas.microsoft.com/office/word/2010/wordprocessingGroup">
                    <wpg:wgp>
                      <wpg:cNvPr id="46" name="Group 46"/>
                      <wpg:cNvGrpSpPr/>
                      <wpg:grpSpPr>
                        <a:xfrm>
                          <a:off x="0" y="0"/>
                          <a:ext cx="552450" cy="9525"/>
                          <a:chExt cx="552450" cy="9525"/>
                        </a:xfrm>
                      </wpg:grpSpPr>
                      <wps:wsp>
                        <wps:cNvPr id="47" name="Graphic 47"/>
                        <wps:cNvSpPr/>
                        <wps:spPr>
                          <a:xfrm>
                            <a:off x="0" y="0"/>
                            <a:ext cx="552450" cy="9525"/>
                          </a:xfrm>
                          <a:custGeom>
                            <a:avLst/>
                            <a:gdLst/>
                            <a:ahLst/>
                            <a:cxnLst/>
                            <a:rect l="l" t="t" r="r" b="b"/>
                            <a:pathLst>
                              <a:path w="552450" h="9525">
                                <a:moveTo>
                                  <a:pt x="551992" y="0"/>
                                </a:moveTo>
                                <a:lnTo>
                                  <a:pt x="0" y="0"/>
                                </a:lnTo>
                                <a:lnTo>
                                  <a:pt x="0" y="9144"/>
                                </a:lnTo>
                                <a:lnTo>
                                  <a:pt x="551992" y="9144"/>
                                </a:lnTo>
                                <a:lnTo>
                                  <a:pt x="551992"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style="width:43.5pt;height:.75pt;mso-position-horizontal-relative:char;mso-position-vertical-relative:line" id="docshapegroup45" coordorigin="0,0" coordsize="870,15">
                <v:rect style="position:absolute;left:0;top:0;width:870;height:15" id="docshape46" filled="true" fillcolor="#000000" stroked="false">
                  <v:fill type="solid"/>
                </v:rect>
              </v:group>
            </w:pict>
          </mc:Fallback>
        </mc:AlternateContent>
      </w:r>
      <w:r>
        <w:rPr>
          <w:rFonts w:ascii="Cambria Math"/>
          <w:sz w:val="2"/>
        </w:rPr>
      </w:r>
    </w:p>
    <w:p>
      <w:pPr>
        <w:pStyle w:val="BodyText"/>
        <w:ind w:left="15"/>
        <w:jc w:val="center"/>
        <w:rPr>
          <w:rFonts w:ascii="Cambria Math"/>
        </w:rPr>
      </w:pPr>
      <w:r>
        <w:rPr>
          <w:rFonts w:ascii="Cambria Math"/>
        </w:rPr>
        <w:t>4</w:t>
      </w:r>
      <w:r>
        <w:rPr>
          <w:rFonts w:ascii="Cambria Math"/>
          <w:spacing w:val="-6"/>
        </w:rPr>
        <w:t> </w:t>
      </w:r>
      <w:r>
        <w:rPr>
          <w:rFonts w:ascii="Cambria Math"/>
        </w:rPr>
        <w:t>+</w:t>
      </w:r>
      <w:r>
        <w:rPr>
          <w:rFonts w:ascii="Cambria Math"/>
          <w:spacing w:val="3"/>
        </w:rPr>
        <w:t> </w:t>
      </w:r>
      <w:r>
        <w:rPr>
          <w:rFonts w:ascii="Cambria Math"/>
          <w:spacing w:val="-4"/>
        </w:rPr>
        <w:t>8.69</w:t>
      </w:r>
    </w:p>
    <w:p>
      <w:pPr>
        <w:spacing w:line="240" w:lineRule="auto" w:before="23"/>
        <w:rPr>
          <w:rFonts w:ascii="Cambria Math"/>
          <w:sz w:val="24"/>
        </w:rPr>
      </w:pPr>
      <w:r>
        <w:rPr/>
        <w:br w:type="column"/>
      </w:r>
      <w:r>
        <w:rPr>
          <w:rFonts w:ascii="Cambria Math"/>
          <w:sz w:val="24"/>
        </w:rPr>
      </w:r>
    </w:p>
    <w:p>
      <w:pPr>
        <w:pStyle w:val="BodyText"/>
        <w:spacing w:before="1"/>
        <w:ind w:left="7"/>
        <w:rPr>
          <w:rFonts w:ascii="Cambria Math" w:hAnsi="Cambria Math"/>
        </w:rPr>
      </w:pPr>
      <w:r>
        <w:rPr>
          <w:rFonts w:ascii="Cambria Math" w:hAnsi="Cambria Math"/>
        </w:rPr>
        <w:t>×</w:t>
      </w:r>
      <w:r>
        <w:rPr>
          <w:rFonts w:ascii="Cambria Math" w:hAnsi="Cambria Math"/>
          <w:spacing w:val="1"/>
        </w:rPr>
        <w:t> </w:t>
      </w:r>
      <w:r>
        <w:rPr>
          <w:rFonts w:ascii="Cambria Math" w:hAnsi="Cambria Math"/>
        </w:rPr>
        <w:t>10</w:t>
      </w:r>
      <w:r>
        <w:rPr>
          <w:rFonts w:ascii="Cambria Math" w:hAnsi="Cambria Math"/>
          <w:spacing w:val="11"/>
        </w:rPr>
        <w:t> </w:t>
      </w:r>
      <w:r>
        <w:rPr>
          <w:rFonts w:ascii="Cambria Math" w:hAnsi="Cambria Math"/>
        </w:rPr>
        <w:t>=</w:t>
      </w:r>
      <w:r>
        <w:rPr>
          <w:rFonts w:ascii="Cambria Math" w:hAnsi="Cambria Math"/>
          <w:spacing w:val="18"/>
        </w:rPr>
        <w:t> </w:t>
      </w:r>
      <w:r>
        <w:rPr>
          <w:rFonts w:ascii="Cambria Math" w:hAnsi="Cambria Math"/>
          <w:spacing w:val="-2"/>
        </w:rPr>
        <w:t>3.15%</w:t>
      </w:r>
    </w:p>
    <w:p>
      <w:pPr>
        <w:pStyle w:val="BodyText"/>
        <w:spacing w:after="0"/>
        <w:rPr>
          <w:rFonts w:ascii="Cambria Math" w:hAnsi="Cambria Math"/>
        </w:rPr>
        <w:sectPr>
          <w:type w:val="continuous"/>
          <w:pgSz w:w="12240" w:h="15840"/>
          <w:pgMar w:header="0" w:footer="1051" w:top="1820" w:bottom="1240" w:left="1440" w:right="1080"/>
          <w:cols w:num="3" w:equalWidth="0">
            <w:col w:w="4007" w:space="40"/>
            <w:col w:w="886" w:space="39"/>
            <w:col w:w="4748"/>
          </w:cols>
        </w:sectPr>
      </w:pPr>
    </w:p>
    <w:p>
      <w:pPr>
        <w:pStyle w:val="BodyText"/>
        <w:rPr>
          <w:rFonts w:ascii="Cambria Math"/>
        </w:rPr>
      </w:pPr>
    </w:p>
    <w:p>
      <w:pPr>
        <w:pStyle w:val="BodyText"/>
        <w:spacing w:before="91"/>
        <w:rPr>
          <w:rFonts w:ascii="Cambria Math"/>
        </w:rPr>
      </w:pPr>
    </w:p>
    <w:p>
      <w:pPr>
        <w:pStyle w:val="Heading2"/>
        <w:spacing w:before="1"/>
      </w:pPr>
      <w:r>
        <w:rPr/>
        <w:t>Project</w:t>
      </w:r>
      <w:r>
        <w:rPr>
          <w:spacing w:val="-2"/>
        </w:rPr>
        <w:t> </w:t>
      </w:r>
      <w:r>
        <w:rPr/>
        <w:t>B</w:t>
      </w:r>
      <w:r>
        <w:rPr>
          <w:spacing w:val="-1"/>
        </w:rPr>
        <w:t> </w:t>
      </w:r>
      <w:r>
        <w:rPr>
          <w:spacing w:val="-2"/>
        </w:rPr>
        <w:t>Calculation</w:t>
      </w:r>
    </w:p>
    <w:p>
      <w:pPr>
        <w:pStyle w:val="BodyText"/>
        <w:spacing w:before="14"/>
        <w:rPr>
          <w:rFonts w:ascii="Arial"/>
          <w:b/>
        </w:rPr>
      </w:pPr>
    </w:p>
    <w:p>
      <w:pPr>
        <w:spacing w:line="362" w:lineRule="auto" w:before="1"/>
        <w:ind w:left="0" w:right="7213" w:firstLine="0"/>
        <w:jc w:val="left"/>
        <w:rPr>
          <w:rFonts w:ascii="Arial" w:hAnsi="Arial"/>
          <w:b/>
          <w:sz w:val="24"/>
        </w:rPr>
      </w:pPr>
      <w:r>
        <w:rPr>
          <w:sz w:val="24"/>
        </w:rPr>
        <w:t>At </w:t>
      </w:r>
      <w:r>
        <w:rPr>
          <w:rFonts w:ascii="Arial" w:hAnsi="Arial"/>
          <w:b/>
          <w:sz w:val="24"/>
        </w:rPr>
        <w:t>0% discount rate</w:t>
      </w:r>
      <w:r>
        <w:rPr>
          <w:sz w:val="24"/>
        </w:rPr>
        <w:t>: NPV</w:t>
      </w:r>
      <w:r>
        <w:rPr>
          <w:spacing w:val="-5"/>
          <w:sz w:val="24"/>
        </w:rPr>
        <w:t> </w:t>
      </w:r>
      <w:r>
        <w:rPr>
          <w:sz w:val="24"/>
        </w:rPr>
        <w:t>= 55</w:t>
      </w:r>
      <w:r>
        <w:rPr>
          <w:spacing w:val="1"/>
          <w:sz w:val="24"/>
        </w:rPr>
        <w:t> </w:t>
      </w:r>
      <w:r>
        <w:rPr>
          <w:sz w:val="24"/>
        </w:rPr>
        <w:t>–</w:t>
      </w:r>
      <w:r>
        <w:rPr>
          <w:spacing w:val="1"/>
          <w:sz w:val="24"/>
        </w:rPr>
        <w:t> </w:t>
      </w:r>
      <w:r>
        <w:rPr>
          <w:sz w:val="24"/>
        </w:rPr>
        <w:t>50</w:t>
      </w:r>
      <w:r>
        <w:rPr>
          <w:spacing w:val="-1"/>
          <w:sz w:val="24"/>
        </w:rPr>
        <w:t> </w:t>
      </w:r>
      <w:r>
        <w:rPr>
          <w:sz w:val="24"/>
        </w:rPr>
        <w:t>= </w:t>
      </w:r>
      <w:r>
        <w:rPr>
          <w:rFonts w:ascii="Arial" w:hAnsi="Arial"/>
          <w:b/>
          <w:spacing w:val="-4"/>
          <w:sz w:val="24"/>
        </w:rPr>
        <w:t>+£5m</w:t>
      </w:r>
    </w:p>
    <w:p>
      <w:pPr>
        <w:spacing w:line="362" w:lineRule="auto" w:before="155"/>
        <w:ind w:left="0" w:right="6870" w:firstLine="0"/>
        <w:jc w:val="left"/>
        <w:rPr>
          <w:rFonts w:ascii="Arial" w:hAnsi="Arial"/>
          <w:b/>
          <w:sz w:val="24"/>
        </w:rPr>
      </w:pPr>
      <w:r>
        <w:rPr>
          <w:sz w:val="24"/>
        </w:rPr>
        <w:t>At</w:t>
      </w:r>
      <w:r>
        <w:rPr>
          <w:spacing w:val="-12"/>
          <w:sz w:val="24"/>
        </w:rPr>
        <w:t> </w:t>
      </w:r>
      <w:r>
        <w:rPr>
          <w:rFonts w:ascii="Arial" w:hAnsi="Arial"/>
          <w:b/>
          <w:sz w:val="24"/>
        </w:rPr>
        <w:t>10%</w:t>
      </w:r>
      <w:r>
        <w:rPr>
          <w:rFonts w:ascii="Arial" w:hAnsi="Arial"/>
          <w:b/>
          <w:spacing w:val="-17"/>
          <w:sz w:val="24"/>
        </w:rPr>
        <w:t> </w:t>
      </w:r>
      <w:r>
        <w:rPr>
          <w:rFonts w:ascii="Arial" w:hAnsi="Arial"/>
          <w:b/>
          <w:sz w:val="24"/>
        </w:rPr>
        <w:t>discount</w:t>
      </w:r>
      <w:r>
        <w:rPr>
          <w:rFonts w:ascii="Arial" w:hAnsi="Arial"/>
          <w:b/>
          <w:spacing w:val="-9"/>
          <w:sz w:val="24"/>
        </w:rPr>
        <w:t> </w:t>
      </w:r>
      <w:r>
        <w:rPr>
          <w:rFonts w:ascii="Arial" w:hAnsi="Arial"/>
          <w:b/>
          <w:sz w:val="24"/>
        </w:rPr>
        <w:t>rate</w:t>
      </w:r>
      <w:r>
        <w:rPr>
          <w:sz w:val="24"/>
        </w:rPr>
        <w:t>: NPV = </w:t>
      </w:r>
      <w:r>
        <w:rPr>
          <w:rFonts w:ascii="Arial" w:hAnsi="Arial"/>
          <w:b/>
          <w:sz w:val="24"/>
        </w:rPr>
        <w:t>–£8.31m</w:t>
      </w:r>
    </w:p>
    <w:p>
      <w:pPr>
        <w:spacing w:after="0" w:line="362" w:lineRule="auto"/>
        <w:jc w:val="left"/>
        <w:rPr>
          <w:rFonts w:ascii="Arial" w:hAnsi="Arial"/>
          <w:b/>
          <w:sz w:val="24"/>
        </w:rPr>
        <w:sectPr>
          <w:type w:val="continuous"/>
          <w:pgSz w:w="12240" w:h="15840"/>
          <w:pgMar w:header="0" w:footer="1051" w:top="1820" w:bottom="1240" w:left="1440" w:right="1080"/>
        </w:sectPr>
      </w:pPr>
    </w:p>
    <w:p>
      <w:pPr>
        <w:pStyle w:val="BodyText"/>
        <w:spacing w:before="45"/>
        <w:rPr>
          <w:rFonts w:ascii="Arial"/>
          <w:b/>
        </w:rPr>
      </w:pPr>
    </w:p>
    <w:p>
      <w:pPr>
        <w:pStyle w:val="BodyText"/>
        <w:jc w:val="right"/>
        <w:rPr>
          <w:rFonts w:ascii="Cambria Math" w:hAnsi="Cambria Math"/>
        </w:rPr>
      </w:pPr>
      <w:r>
        <w:rPr/>
        <w:t>IRR</w:t>
      </w:r>
      <w:r>
        <w:rPr>
          <w:spacing w:val="-3"/>
        </w:rPr>
        <w:t> </w:t>
      </w:r>
      <w:r>
        <w:rPr>
          <w:rFonts w:ascii="Cambria Math" w:hAnsi="Cambria Math"/>
        </w:rPr>
        <w:t>≈</w:t>
      </w:r>
      <w:r>
        <w:rPr>
          <w:rFonts w:ascii="Cambria Math" w:hAnsi="Cambria Math"/>
          <w:spacing w:val="9"/>
        </w:rPr>
        <w:t> </w:t>
      </w:r>
      <w:r>
        <w:rPr>
          <w:rFonts w:ascii="Cambria Math" w:hAnsi="Cambria Math"/>
        </w:rPr>
        <w:t>0</w:t>
      </w:r>
      <w:r>
        <w:rPr>
          <w:rFonts w:ascii="Cambria Math" w:hAnsi="Cambria Math"/>
          <w:spacing w:val="1"/>
        </w:rPr>
        <w:t> </w:t>
      </w:r>
      <w:r>
        <w:rPr>
          <w:rFonts w:ascii="Cambria Math" w:hAnsi="Cambria Math"/>
          <w:spacing w:val="-10"/>
        </w:rPr>
        <w:t>+</w:t>
      </w:r>
    </w:p>
    <w:p>
      <w:pPr>
        <w:spacing w:before="138"/>
        <w:ind w:left="9" w:right="0" w:firstLine="0"/>
        <w:jc w:val="center"/>
        <w:rPr>
          <w:rFonts w:ascii="Cambria Math"/>
          <w:sz w:val="24"/>
        </w:rPr>
      </w:pPr>
      <w:r>
        <w:rPr/>
        <w:br w:type="column"/>
      </w:r>
      <w:r>
        <w:rPr>
          <w:rFonts w:ascii="Cambria Math"/>
          <w:spacing w:val="-10"/>
          <w:sz w:val="24"/>
        </w:rPr>
        <w:t>5</w:t>
      </w:r>
    </w:p>
    <w:p>
      <w:pPr>
        <w:pStyle w:val="BodyText"/>
        <w:spacing w:before="6"/>
        <w:rPr>
          <w:rFonts w:ascii="Cambria Math"/>
          <w:sz w:val="4"/>
        </w:rPr>
      </w:pPr>
    </w:p>
    <w:p>
      <w:pPr>
        <w:pStyle w:val="BodyText"/>
        <w:spacing w:line="20" w:lineRule="exact"/>
        <w:ind w:left="15" w:right="-58"/>
        <w:rPr>
          <w:rFonts w:ascii="Cambria Math"/>
          <w:sz w:val="2"/>
        </w:rPr>
      </w:pPr>
      <w:r>
        <w:rPr>
          <w:rFonts w:ascii="Cambria Math"/>
          <w:sz w:val="2"/>
        </w:rPr>
        <mc:AlternateContent>
          <mc:Choice Requires="wps">
            <w:drawing>
              <wp:inline distT="0" distB="0" distL="0" distR="0">
                <wp:extent cx="552450" cy="9525"/>
                <wp:effectExtent l="0" t="0" r="0" b="0"/>
                <wp:docPr id="48" name="Group 48"/>
                <wp:cNvGraphicFramePr>
                  <a:graphicFrameLocks/>
                </wp:cNvGraphicFramePr>
                <a:graphic>
                  <a:graphicData uri="http://schemas.microsoft.com/office/word/2010/wordprocessingGroup">
                    <wpg:wgp>
                      <wpg:cNvPr id="48" name="Group 48"/>
                      <wpg:cNvGrpSpPr/>
                      <wpg:grpSpPr>
                        <a:xfrm>
                          <a:off x="0" y="0"/>
                          <a:ext cx="552450" cy="9525"/>
                          <a:chExt cx="552450" cy="9525"/>
                        </a:xfrm>
                      </wpg:grpSpPr>
                      <wps:wsp>
                        <wps:cNvPr id="49" name="Graphic 49"/>
                        <wps:cNvSpPr/>
                        <wps:spPr>
                          <a:xfrm>
                            <a:off x="0" y="0"/>
                            <a:ext cx="552450" cy="9525"/>
                          </a:xfrm>
                          <a:custGeom>
                            <a:avLst/>
                            <a:gdLst/>
                            <a:ahLst/>
                            <a:cxnLst/>
                            <a:rect l="l" t="t" r="r" b="b"/>
                            <a:pathLst>
                              <a:path w="552450" h="9525">
                                <a:moveTo>
                                  <a:pt x="551992" y="0"/>
                                </a:moveTo>
                                <a:lnTo>
                                  <a:pt x="0" y="0"/>
                                </a:lnTo>
                                <a:lnTo>
                                  <a:pt x="0" y="9144"/>
                                </a:lnTo>
                                <a:lnTo>
                                  <a:pt x="551992" y="9144"/>
                                </a:lnTo>
                                <a:lnTo>
                                  <a:pt x="551992"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style="width:43.5pt;height:.75pt;mso-position-horizontal-relative:char;mso-position-vertical-relative:line" id="docshapegroup47" coordorigin="0,0" coordsize="870,15">
                <v:rect style="position:absolute;left:0;top:0;width:870;height:15" id="docshape48" filled="true" fillcolor="#000000" stroked="false">
                  <v:fill type="solid"/>
                </v:rect>
              </v:group>
            </w:pict>
          </mc:Fallback>
        </mc:AlternateContent>
      </w:r>
      <w:r>
        <w:rPr>
          <w:rFonts w:ascii="Cambria Math"/>
          <w:sz w:val="2"/>
        </w:rPr>
      </w:r>
    </w:p>
    <w:p>
      <w:pPr>
        <w:pStyle w:val="BodyText"/>
        <w:ind w:left="15"/>
        <w:jc w:val="center"/>
        <w:rPr>
          <w:rFonts w:ascii="Cambria Math"/>
        </w:rPr>
      </w:pPr>
      <w:r>
        <w:rPr>
          <w:rFonts w:ascii="Cambria Math"/>
        </w:rPr>
        <w:t>5</w:t>
      </w:r>
      <w:r>
        <w:rPr>
          <w:rFonts w:ascii="Cambria Math"/>
          <w:spacing w:val="-6"/>
        </w:rPr>
        <w:t> </w:t>
      </w:r>
      <w:r>
        <w:rPr>
          <w:rFonts w:ascii="Cambria Math"/>
        </w:rPr>
        <w:t>+</w:t>
      </w:r>
      <w:r>
        <w:rPr>
          <w:rFonts w:ascii="Cambria Math"/>
          <w:spacing w:val="3"/>
        </w:rPr>
        <w:t> </w:t>
      </w:r>
      <w:r>
        <w:rPr>
          <w:rFonts w:ascii="Cambria Math"/>
          <w:spacing w:val="-4"/>
        </w:rPr>
        <w:t>8.31</w:t>
      </w:r>
    </w:p>
    <w:p>
      <w:pPr>
        <w:spacing w:line="240" w:lineRule="auto" w:before="39"/>
        <w:rPr>
          <w:rFonts w:ascii="Cambria Math"/>
          <w:sz w:val="24"/>
        </w:rPr>
      </w:pPr>
      <w:r>
        <w:rPr/>
        <w:br w:type="column"/>
      </w:r>
      <w:r>
        <w:rPr>
          <w:rFonts w:ascii="Cambria Math"/>
          <w:sz w:val="24"/>
        </w:rPr>
      </w:r>
    </w:p>
    <w:p>
      <w:pPr>
        <w:pStyle w:val="BodyText"/>
        <w:ind w:left="7"/>
        <w:rPr>
          <w:rFonts w:ascii="Cambria Math" w:hAnsi="Cambria Math"/>
        </w:rPr>
      </w:pPr>
      <w:r>
        <w:rPr>
          <w:rFonts w:ascii="Cambria Math" w:hAnsi="Cambria Math"/>
        </w:rPr>
        <w:t>×</w:t>
      </w:r>
      <w:r>
        <w:rPr>
          <w:rFonts w:ascii="Cambria Math" w:hAnsi="Cambria Math"/>
          <w:spacing w:val="1"/>
        </w:rPr>
        <w:t> </w:t>
      </w:r>
      <w:r>
        <w:rPr>
          <w:rFonts w:ascii="Cambria Math" w:hAnsi="Cambria Math"/>
        </w:rPr>
        <w:t>10</w:t>
      </w:r>
      <w:r>
        <w:rPr>
          <w:rFonts w:ascii="Cambria Math" w:hAnsi="Cambria Math"/>
          <w:spacing w:val="11"/>
        </w:rPr>
        <w:t> </w:t>
      </w:r>
      <w:r>
        <w:rPr>
          <w:rFonts w:ascii="Cambria Math" w:hAnsi="Cambria Math"/>
        </w:rPr>
        <w:t>=</w:t>
      </w:r>
      <w:r>
        <w:rPr>
          <w:rFonts w:ascii="Cambria Math" w:hAnsi="Cambria Math"/>
          <w:spacing w:val="18"/>
        </w:rPr>
        <w:t> </w:t>
      </w:r>
      <w:r>
        <w:rPr>
          <w:rFonts w:ascii="Cambria Math" w:hAnsi="Cambria Math"/>
          <w:spacing w:val="-2"/>
        </w:rPr>
        <w:t>3.76%</w:t>
      </w:r>
    </w:p>
    <w:p>
      <w:pPr>
        <w:pStyle w:val="BodyText"/>
        <w:spacing w:after="0"/>
        <w:rPr>
          <w:rFonts w:ascii="Cambria Math" w:hAnsi="Cambria Math"/>
        </w:rPr>
        <w:sectPr>
          <w:type w:val="continuous"/>
          <w:pgSz w:w="12240" w:h="15840"/>
          <w:pgMar w:header="0" w:footer="1051" w:top="1820" w:bottom="1240" w:left="1440" w:right="1080"/>
          <w:cols w:num="3" w:equalWidth="0">
            <w:col w:w="4007" w:space="40"/>
            <w:col w:w="886" w:space="39"/>
            <w:col w:w="4748"/>
          </w:cols>
        </w:sectPr>
      </w:pPr>
    </w:p>
    <w:p>
      <w:pPr>
        <w:pStyle w:val="BodyText"/>
        <w:rPr>
          <w:rFonts w:ascii="Cambria Math"/>
        </w:rPr>
      </w:pPr>
    </w:p>
    <w:p>
      <w:pPr>
        <w:pStyle w:val="BodyText"/>
        <w:spacing w:before="92"/>
        <w:rPr>
          <w:rFonts w:ascii="Cambria Math"/>
        </w:rPr>
      </w:pPr>
    </w:p>
    <w:p>
      <w:pPr>
        <w:pStyle w:val="Heading2"/>
        <w:ind w:left="67"/>
      </w:pPr>
      <w:r>
        <w:rPr/>
        <w:t>Project</w:t>
      </w:r>
      <w:r>
        <w:rPr>
          <w:spacing w:val="-2"/>
        </w:rPr>
        <w:t> </w:t>
      </w:r>
      <w:r>
        <w:rPr/>
        <w:t>C</w:t>
      </w:r>
      <w:r>
        <w:rPr>
          <w:spacing w:val="-1"/>
        </w:rPr>
        <w:t> </w:t>
      </w:r>
      <w:r>
        <w:rPr>
          <w:spacing w:val="-2"/>
        </w:rPr>
        <w:t>Calculation</w:t>
      </w:r>
    </w:p>
    <w:p>
      <w:pPr>
        <w:pStyle w:val="Heading2"/>
        <w:spacing w:after="0"/>
        <w:sectPr>
          <w:type w:val="continuous"/>
          <w:pgSz w:w="12240" w:h="15840"/>
          <w:pgMar w:header="0" w:footer="1051" w:top="1820" w:bottom="1240" w:left="1440" w:right="1080"/>
        </w:sectPr>
      </w:pPr>
    </w:p>
    <w:p>
      <w:pPr>
        <w:spacing w:line="362" w:lineRule="auto" w:before="71"/>
        <w:ind w:left="0" w:right="6965" w:firstLine="0"/>
        <w:jc w:val="left"/>
        <w:rPr>
          <w:rFonts w:ascii="Arial" w:hAnsi="Arial"/>
          <w:b/>
          <w:sz w:val="24"/>
        </w:rPr>
      </w:pPr>
      <w:r>
        <w:rPr>
          <w:sz w:val="24"/>
        </w:rPr>
        <w:t>At </w:t>
      </w:r>
      <w:r>
        <w:rPr>
          <w:rFonts w:ascii="Arial" w:hAnsi="Arial"/>
          <w:b/>
          <w:sz w:val="24"/>
        </w:rPr>
        <w:t>0% discount rate</w:t>
      </w:r>
      <w:r>
        <w:rPr>
          <w:sz w:val="24"/>
        </w:rPr>
        <w:t>: NPV</w:t>
      </w:r>
      <w:r>
        <w:rPr>
          <w:spacing w:val="-8"/>
          <w:sz w:val="24"/>
        </w:rPr>
        <w:t> </w:t>
      </w:r>
      <w:r>
        <w:rPr>
          <w:sz w:val="24"/>
        </w:rPr>
        <w:t>=</w:t>
      </w:r>
      <w:r>
        <w:rPr>
          <w:spacing w:val="-6"/>
          <w:sz w:val="24"/>
        </w:rPr>
        <w:t> </w:t>
      </w:r>
      <w:r>
        <w:rPr>
          <w:sz w:val="24"/>
        </w:rPr>
        <w:t>65</w:t>
      </w:r>
      <w:r>
        <w:rPr>
          <w:spacing w:val="-4"/>
          <w:sz w:val="24"/>
        </w:rPr>
        <w:t> </w:t>
      </w:r>
      <w:r>
        <w:rPr>
          <w:sz w:val="24"/>
        </w:rPr>
        <w:t>–</w:t>
      </w:r>
      <w:r>
        <w:rPr>
          <w:spacing w:val="-5"/>
          <w:sz w:val="24"/>
        </w:rPr>
        <w:t> </w:t>
      </w:r>
      <w:r>
        <w:rPr>
          <w:sz w:val="24"/>
        </w:rPr>
        <w:t>50</w:t>
      </w:r>
      <w:r>
        <w:rPr>
          <w:spacing w:val="-6"/>
          <w:sz w:val="24"/>
        </w:rPr>
        <w:t> </w:t>
      </w:r>
      <w:r>
        <w:rPr>
          <w:sz w:val="24"/>
        </w:rPr>
        <w:t>=</w:t>
      </w:r>
      <w:r>
        <w:rPr>
          <w:spacing w:val="-6"/>
          <w:sz w:val="24"/>
        </w:rPr>
        <w:t> </w:t>
      </w:r>
      <w:r>
        <w:rPr>
          <w:rFonts w:ascii="Arial" w:hAnsi="Arial"/>
          <w:b/>
          <w:sz w:val="24"/>
        </w:rPr>
        <w:t>+£15m</w:t>
      </w:r>
    </w:p>
    <w:p>
      <w:pPr>
        <w:spacing w:line="362" w:lineRule="auto" w:before="156"/>
        <w:ind w:left="0" w:right="6870" w:firstLine="0"/>
        <w:jc w:val="left"/>
        <w:rPr>
          <w:rFonts w:ascii="Arial" w:hAnsi="Arial"/>
          <w:b/>
          <w:sz w:val="24"/>
        </w:rPr>
      </w:pPr>
      <w:r>
        <w:rPr>
          <w:sz w:val="24"/>
        </w:rPr>
        <w:t>At</w:t>
      </w:r>
      <w:r>
        <w:rPr>
          <w:spacing w:val="-12"/>
          <w:sz w:val="24"/>
        </w:rPr>
        <w:t> </w:t>
      </w:r>
      <w:r>
        <w:rPr>
          <w:rFonts w:ascii="Arial" w:hAnsi="Arial"/>
          <w:b/>
          <w:sz w:val="24"/>
        </w:rPr>
        <w:t>10%</w:t>
      </w:r>
      <w:r>
        <w:rPr>
          <w:rFonts w:ascii="Arial" w:hAnsi="Arial"/>
          <w:b/>
          <w:spacing w:val="-17"/>
          <w:sz w:val="24"/>
        </w:rPr>
        <w:t> </w:t>
      </w:r>
      <w:r>
        <w:rPr>
          <w:rFonts w:ascii="Arial" w:hAnsi="Arial"/>
          <w:b/>
          <w:sz w:val="24"/>
        </w:rPr>
        <w:t>discount</w:t>
      </w:r>
      <w:r>
        <w:rPr>
          <w:rFonts w:ascii="Arial" w:hAnsi="Arial"/>
          <w:b/>
          <w:spacing w:val="-9"/>
          <w:sz w:val="24"/>
        </w:rPr>
        <w:t> </w:t>
      </w:r>
      <w:r>
        <w:rPr>
          <w:rFonts w:ascii="Arial" w:hAnsi="Arial"/>
          <w:b/>
          <w:sz w:val="24"/>
        </w:rPr>
        <w:t>rate</w:t>
      </w:r>
      <w:r>
        <w:rPr>
          <w:sz w:val="24"/>
        </w:rPr>
        <w:t>: NPV = </w:t>
      </w:r>
      <w:r>
        <w:rPr>
          <w:rFonts w:ascii="Arial" w:hAnsi="Arial"/>
          <w:b/>
          <w:sz w:val="24"/>
        </w:rPr>
        <w:t>–£1.99m</w:t>
      </w:r>
    </w:p>
    <w:p>
      <w:pPr>
        <w:spacing w:after="0" w:line="362" w:lineRule="auto"/>
        <w:jc w:val="left"/>
        <w:rPr>
          <w:rFonts w:ascii="Arial" w:hAnsi="Arial"/>
          <w:b/>
          <w:sz w:val="24"/>
        </w:rPr>
        <w:sectPr>
          <w:pgSz w:w="12240" w:h="15840"/>
          <w:pgMar w:header="0" w:footer="1051" w:top="1360" w:bottom="1240" w:left="1440" w:right="1080"/>
        </w:sectPr>
      </w:pPr>
    </w:p>
    <w:p>
      <w:pPr>
        <w:pStyle w:val="BodyText"/>
        <w:spacing w:before="44"/>
        <w:rPr>
          <w:rFonts w:ascii="Arial"/>
          <w:b/>
        </w:rPr>
      </w:pPr>
    </w:p>
    <w:p>
      <w:pPr>
        <w:pStyle w:val="BodyText"/>
        <w:jc w:val="right"/>
        <w:rPr>
          <w:rFonts w:ascii="Cambria Math" w:hAnsi="Cambria Math"/>
        </w:rPr>
      </w:pPr>
      <w:r>
        <w:rPr/>
        <w:t>IRR</w:t>
      </w:r>
      <w:r>
        <w:rPr>
          <w:spacing w:val="-3"/>
        </w:rPr>
        <w:t> </w:t>
      </w:r>
      <w:r>
        <w:rPr>
          <w:rFonts w:ascii="Cambria Math" w:hAnsi="Cambria Math"/>
        </w:rPr>
        <w:t>≈</w:t>
      </w:r>
      <w:r>
        <w:rPr>
          <w:rFonts w:ascii="Cambria Math" w:hAnsi="Cambria Math"/>
          <w:spacing w:val="9"/>
        </w:rPr>
        <w:t> </w:t>
      </w:r>
      <w:r>
        <w:rPr>
          <w:rFonts w:ascii="Cambria Math" w:hAnsi="Cambria Math"/>
        </w:rPr>
        <w:t>0</w:t>
      </w:r>
      <w:r>
        <w:rPr>
          <w:rFonts w:ascii="Cambria Math" w:hAnsi="Cambria Math"/>
          <w:spacing w:val="1"/>
        </w:rPr>
        <w:t> </w:t>
      </w:r>
      <w:r>
        <w:rPr>
          <w:rFonts w:ascii="Cambria Math" w:hAnsi="Cambria Math"/>
          <w:spacing w:val="-10"/>
        </w:rPr>
        <w:t>+</w:t>
      </w:r>
    </w:p>
    <w:p>
      <w:pPr>
        <w:spacing w:before="138"/>
        <w:ind w:left="11" w:right="0" w:firstLine="0"/>
        <w:jc w:val="center"/>
        <w:rPr>
          <w:rFonts w:ascii="Cambria Math"/>
          <w:sz w:val="24"/>
        </w:rPr>
      </w:pPr>
      <w:r>
        <w:rPr/>
        <w:br w:type="column"/>
      </w:r>
      <w:r>
        <w:rPr>
          <w:rFonts w:ascii="Cambria Math"/>
          <w:spacing w:val="-5"/>
          <w:sz w:val="24"/>
        </w:rPr>
        <w:t>15</w:t>
      </w:r>
    </w:p>
    <w:p>
      <w:pPr>
        <w:pStyle w:val="BodyText"/>
        <w:spacing w:before="5"/>
        <w:rPr>
          <w:rFonts w:ascii="Cambria Math"/>
          <w:sz w:val="4"/>
        </w:rPr>
      </w:pPr>
    </w:p>
    <w:p>
      <w:pPr>
        <w:pStyle w:val="BodyText"/>
        <w:spacing w:line="20" w:lineRule="exact"/>
        <w:ind w:left="15" w:right="-58"/>
        <w:rPr>
          <w:rFonts w:ascii="Cambria Math"/>
          <w:sz w:val="2"/>
        </w:rPr>
      </w:pPr>
      <w:r>
        <w:rPr>
          <w:rFonts w:ascii="Cambria Math"/>
          <w:sz w:val="2"/>
        </w:rPr>
        <mc:AlternateContent>
          <mc:Choice Requires="wps">
            <w:drawing>
              <wp:inline distT="0" distB="0" distL="0" distR="0">
                <wp:extent cx="634365" cy="9525"/>
                <wp:effectExtent l="0" t="0" r="0" b="0"/>
                <wp:docPr id="50" name="Group 50"/>
                <wp:cNvGraphicFramePr>
                  <a:graphicFrameLocks/>
                </wp:cNvGraphicFramePr>
                <a:graphic>
                  <a:graphicData uri="http://schemas.microsoft.com/office/word/2010/wordprocessingGroup">
                    <wpg:wgp>
                      <wpg:cNvPr id="50" name="Group 50"/>
                      <wpg:cNvGrpSpPr/>
                      <wpg:grpSpPr>
                        <a:xfrm>
                          <a:off x="0" y="0"/>
                          <a:ext cx="634365" cy="9525"/>
                          <a:chExt cx="634365" cy="9525"/>
                        </a:xfrm>
                      </wpg:grpSpPr>
                      <wps:wsp>
                        <wps:cNvPr id="51" name="Graphic 51"/>
                        <wps:cNvSpPr/>
                        <wps:spPr>
                          <a:xfrm>
                            <a:off x="0" y="0"/>
                            <a:ext cx="634365" cy="9525"/>
                          </a:xfrm>
                          <a:custGeom>
                            <a:avLst/>
                            <a:gdLst/>
                            <a:ahLst/>
                            <a:cxnLst/>
                            <a:rect l="l" t="t" r="r" b="b"/>
                            <a:pathLst>
                              <a:path w="634365" h="9525">
                                <a:moveTo>
                                  <a:pt x="634288" y="0"/>
                                </a:moveTo>
                                <a:lnTo>
                                  <a:pt x="0" y="0"/>
                                </a:lnTo>
                                <a:lnTo>
                                  <a:pt x="0" y="9144"/>
                                </a:lnTo>
                                <a:lnTo>
                                  <a:pt x="634288" y="9144"/>
                                </a:lnTo>
                                <a:lnTo>
                                  <a:pt x="634288"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style="width:49.95pt;height:.75pt;mso-position-horizontal-relative:char;mso-position-vertical-relative:line" id="docshapegroup49" coordorigin="0,0" coordsize="999,15">
                <v:rect style="position:absolute;left:0;top:0;width:999;height:15" id="docshape50" filled="true" fillcolor="#000000" stroked="false">
                  <v:fill type="solid"/>
                </v:rect>
              </v:group>
            </w:pict>
          </mc:Fallback>
        </mc:AlternateContent>
      </w:r>
      <w:r>
        <w:rPr>
          <w:rFonts w:ascii="Cambria Math"/>
          <w:sz w:val="2"/>
        </w:rPr>
      </w:r>
    </w:p>
    <w:p>
      <w:pPr>
        <w:pStyle w:val="BodyText"/>
        <w:ind w:left="15"/>
        <w:jc w:val="center"/>
        <w:rPr>
          <w:rFonts w:ascii="Cambria Math"/>
        </w:rPr>
      </w:pPr>
      <w:r>
        <w:rPr>
          <w:rFonts w:ascii="Cambria Math"/>
        </w:rPr>
        <w:t>15</w:t>
      </w:r>
      <w:r>
        <w:rPr>
          <w:rFonts w:ascii="Cambria Math"/>
          <w:spacing w:val="-6"/>
        </w:rPr>
        <w:t> </w:t>
      </w:r>
      <w:r>
        <w:rPr>
          <w:rFonts w:ascii="Cambria Math"/>
        </w:rPr>
        <w:t>+</w:t>
      </w:r>
      <w:r>
        <w:rPr>
          <w:rFonts w:ascii="Cambria Math"/>
          <w:spacing w:val="4"/>
        </w:rPr>
        <w:t> </w:t>
      </w:r>
      <w:r>
        <w:rPr>
          <w:rFonts w:ascii="Cambria Math"/>
          <w:spacing w:val="-4"/>
        </w:rPr>
        <w:t>1.99</w:t>
      </w:r>
    </w:p>
    <w:p>
      <w:pPr>
        <w:spacing w:line="240" w:lineRule="auto" w:before="39"/>
        <w:rPr>
          <w:rFonts w:ascii="Cambria Math"/>
          <w:sz w:val="24"/>
        </w:rPr>
      </w:pPr>
      <w:r>
        <w:rPr/>
        <w:br w:type="column"/>
      </w:r>
      <w:r>
        <w:rPr>
          <w:rFonts w:ascii="Cambria Math"/>
          <w:sz w:val="24"/>
        </w:rPr>
      </w:r>
    </w:p>
    <w:p>
      <w:pPr>
        <w:pStyle w:val="BodyText"/>
        <w:ind w:left="7"/>
        <w:rPr>
          <w:rFonts w:ascii="Cambria Math" w:hAnsi="Cambria Math"/>
        </w:rPr>
      </w:pPr>
      <w:r>
        <w:rPr>
          <w:rFonts w:ascii="Cambria Math" w:hAnsi="Cambria Math"/>
        </w:rPr>
        <w:t>×</w:t>
      </w:r>
      <w:r>
        <w:rPr>
          <w:rFonts w:ascii="Cambria Math" w:hAnsi="Cambria Math"/>
          <w:spacing w:val="1"/>
        </w:rPr>
        <w:t> </w:t>
      </w:r>
      <w:r>
        <w:rPr>
          <w:rFonts w:ascii="Cambria Math" w:hAnsi="Cambria Math"/>
        </w:rPr>
        <w:t>10</w:t>
      </w:r>
      <w:r>
        <w:rPr>
          <w:rFonts w:ascii="Cambria Math" w:hAnsi="Cambria Math"/>
          <w:spacing w:val="11"/>
        </w:rPr>
        <w:t> </w:t>
      </w:r>
      <w:r>
        <w:rPr>
          <w:rFonts w:ascii="Cambria Math" w:hAnsi="Cambria Math"/>
        </w:rPr>
        <w:t>=</w:t>
      </w:r>
      <w:r>
        <w:rPr>
          <w:rFonts w:ascii="Cambria Math" w:hAnsi="Cambria Math"/>
          <w:spacing w:val="14"/>
        </w:rPr>
        <w:t> </w:t>
      </w:r>
      <w:r>
        <w:rPr>
          <w:rFonts w:ascii="Cambria Math" w:hAnsi="Cambria Math"/>
          <w:spacing w:val="-2"/>
        </w:rPr>
        <w:t>8.83%</w:t>
      </w:r>
    </w:p>
    <w:p>
      <w:pPr>
        <w:pStyle w:val="BodyText"/>
        <w:spacing w:after="0"/>
        <w:rPr>
          <w:rFonts w:ascii="Cambria Math" w:hAnsi="Cambria Math"/>
        </w:rPr>
        <w:sectPr>
          <w:type w:val="continuous"/>
          <w:pgSz w:w="12240" w:h="15840"/>
          <w:pgMar w:header="0" w:footer="1051" w:top="1820" w:bottom="1240" w:left="1440" w:right="1080"/>
          <w:cols w:num="3" w:equalWidth="0">
            <w:col w:w="3940" w:space="40"/>
            <w:col w:w="1020" w:space="39"/>
            <w:col w:w="4681"/>
          </w:cols>
        </w:sectPr>
      </w:pPr>
    </w:p>
    <w:p>
      <w:pPr>
        <w:pStyle w:val="BodyText"/>
        <w:rPr>
          <w:rFonts w:ascii="Cambria Math"/>
        </w:rPr>
      </w:pPr>
    </w:p>
    <w:p>
      <w:pPr>
        <w:pStyle w:val="BodyText"/>
        <w:spacing w:before="87"/>
        <w:rPr>
          <w:rFonts w:ascii="Cambria Math"/>
        </w:rPr>
      </w:pPr>
    </w:p>
    <w:p>
      <w:pPr>
        <w:pStyle w:val="Heading2"/>
        <w:numPr>
          <w:ilvl w:val="1"/>
          <w:numId w:val="6"/>
        </w:numPr>
        <w:tabs>
          <w:tab w:pos="400" w:val="left" w:leader="none"/>
        </w:tabs>
        <w:spacing w:line="240" w:lineRule="auto" w:before="1" w:after="0"/>
        <w:ind w:left="400" w:right="0" w:hanging="400"/>
        <w:jc w:val="left"/>
      </w:pPr>
      <w:r>
        <w:rPr/>
        <w:t>Profitability</w:t>
      </w:r>
      <w:r>
        <w:rPr>
          <w:spacing w:val="-11"/>
        </w:rPr>
        <w:t> </w:t>
      </w:r>
      <w:r>
        <w:rPr/>
        <w:t>Index</w:t>
      </w:r>
      <w:r>
        <w:rPr>
          <w:spacing w:val="-5"/>
        </w:rPr>
        <w:t> </w:t>
      </w:r>
      <w:r>
        <w:rPr>
          <w:spacing w:val="-4"/>
        </w:rPr>
        <w:t>(PI)</w:t>
      </w:r>
    </w:p>
    <w:p>
      <w:pPr>
        <w:pStyle w:val="BodyText"/>
        <w:rPr>
          <w:rFonts w:ascii="Arial"/>
          <w:b/>
        </w:rPr>
      </w:pPr>
    </w:p>
    <w:p>
      <w:pPr>
        <w:pStyle w:val="BodyText"/>
        <w:rPr>
          <w:rFonts w:ascii="Arial"/>
          <w:b/>
        </w:rPr>
      </w:pPr>
    </w:p>
    <w:p>
      <w:pPr>
        <w:pStyle w:val="BodyText"/>
        <w:spacing w:before="48"/>
        <w:rPr>
          <w:rFonts w:ascii="Arial"/>
          <w:b/>
        </w:rPr>
      </w:pPr>
    </w:p>
    <w:p>
      <w:pPr>
        <w:pStyle w:val="BodyText"/>
        <w:spacing w:line="362" w:lineRule="auto"/>
      </w:pPr>
      <w:r>
        <w:rPr/>
        <w:t>Profitability</w:t>
      </w:r>
      <w:r>
        <w:rPr>
          <w:spacing w:val="-3"/>
        </w:rPr>
        <w:t> </w:t>
      </w:r>
      <w:r>
        <w:rPr/>
        <w:t>Index</w:t>
      </w:r>
      <w:r>
        <w:rPr>
          <w:spacing w:val="-8"/>
        </w:rPr>
        <w:t> </w:t>
      </w:r>
      <w:r>
        <w:rPr/>
        <w:t>(PI)</w:t>
      </w:r>
      <w:r>
        <w:rPr>
          <w:spacing w:val="-6"/>
        </w:rPr>
        <w:t> </w:t>
      </w:r>
      <w:r>
        <w:rPr/>
        <w:t>is</w:t>
      </w:r>
      <w:r>
        <w:rPr>
          <w:spacing w:val="-8"/>
        </w:rPr>
        <w:t> </w:t>
      </w:r>
      <w:r>
        <w:rPr/>
        <w:t>a</w:t>
      </w:r>
      <w:r>
        <w:rPr>
          <w:spacing w:val="-3"/>
        </w:rPr>
        <w:t> </w:t>
      </w:r>
      <w:r>
        <w:rPr/>
        <w:t>relative</w:t>
      </w:r>
      <w:r>
        <w:rPr>
          <w:spacing w:val="-3"/>
        </w:rPr>
        <w:t> </w:t>
      </w:r>
      <w:r>
        <w:rPr/>
        <w:t>measure</w:t>
      </w:r>
      <w:r>
        <w:rPr>
          <w:spacing w:val="-3"/>
        </w:rPr>
        <w:t> </w:t>
      </w:r>
      <w:r>
        <w:rPr/>
        <w:t>of</w:t>
      </w:r>
      <w:r>
        <w:rPr>
          <w:spacing w:val="-7"/>
        </w:rPr>
        <w:t> </w:t>
      </w:r>
      <w:r>
        <w:rPr/>
        <w:t>investment</w:t>
      </w:r>
      <w:r>
        <w:rPr>
          <w:spacing w:val="-3"/>
        </w:rPr>
        <w:t> </w:t>
      </w:r>
      <w:r>
        <w:rPr/>
        <w:t>appraisal,</w:t>
      </w:r>
      <w:r>
        <w:rPr>
          <w:spacing w:val="-3"/>
        </w:rPr>
        <w:t> </w:t>
      </w:r>
      <w:r>
        <w:rPr/>
        <w:t>which</w:t>
      </w:r>
      <w:r>
        <w:rPr>
          <w:spacing w:val="-3"/>
        </w:rPr>
        <w:t> </w:t>
      </w:r>
      <w:r>
        <w:rPr/>
        <w:t>measures</w:t>
      </w:r>
      <w:r>
        <w:rPr>
          <w:spacing w:val="-3"/>
        </w:rPr>
        <w:t> </w:t>
      </w:r>
      <w:r>
        <w:rPr/>
        <w:t>the value created as a result of each unit of investment. It is estimated to be:</w:t>
      </w:r>
    </w:p>
    <w:p>
      <w:pPr>
        <w:pStyle w:val="BodyText"/>
        <w:spacing w:after="0" w:line="362" w:lineRule="auto"/>
        <w:sectPr>
          <w:type w:val="continuous"/>
          <w:pgSz w:w="12240" w:h="15840"/>
          <w:pgMar w:header="0" w:footer="1051" w:top="1820" w:bottom="1240" w:left="1440" w:right="1080"/>
        </w:sectPr>
      </w:pPr>
    </w:p>
    <w:p>
      <w:pPr>
        <w:pStyle w:val="BodyText"/>
        <w:spacing w:before="40"/>
      </w:pPr>
    </w:p>
    <w:p>
      <w:pPr>
        <w:pStyle w:val="BodyText"/>
        <w:jc w:val="right"/>
        <w:rPr>
          <w:rFonts w:ascii="Cambria Math"/>
        </w:rPr>
      </w:pPr>
      <w:r>
        <w:rPr>
          <w:rFonts w:ascii="Cambria Math"/>
        </w:rPr>
        <mc:AlternateContent>
          <mc:Choice Requires="wps">
            <w:drawing>
              <wp:anchor distT="0" distB="0" distL="0" distR="0" allowOverlap="1" layoutInCell="1" locked="0" behindDoc="1" simplePos="0" relativeHeight="486797824">
                <wp:simplePos x="0" y="0"/>
                <wp:positionH relativeFrom="page">
                  <wp:posOffset>2838576</wp:posOffset>
                </wp:positionH>
                <wp:positionV relativeFrom="paragraph">
                  <wp:posOffset>96142</wp:posOffset>
                </wp:positionV>
                <wp:extent cx="2436495" cy="9525"/>
                <wp:effectExtent l="0" t="0" r="0" b="0"/>
                <wp:wrapNone/>
                <wp:docPr id="52" name="Graphic 52"/>
                <wp:cNvGraphicFramePr>
                  <a:graphicFrameLocks/>
                </wp:cNvGraphicFramePr>
                <a:graphic>
                  <a:graphicData uri="http://schemas.microsoft.com/office/word/2010/wordprocessingShape">
                    <wps:wsp>
                      <wps:cNvPr id="52" name="Graphic 52"/>
                      <wps:cNvSpPr/>
                      <wps:spPr>
                        <a:xfrm>
                          <a:off x="0" y="0"/>
                          <a:ext cx="2436495" cy="9525"/>
                        </a:xfrm>
                        <a:custGeom>
                          <a:avLst/>
                          <a:gdLst/>
                          <a:ahLst/>
                          <a:cxnLst/>
                          <a:rect l="l" t="t" r="r" b="b"/>
                          <a:pathLst>
                            <a:path w="2436495" h="9525">
                              <a:moveTo>
                                <a:pt x="2436241" y="0"/>
                              </a:moveTo>
                              <a:lnTo>
                                <a:pt x="0" y="0"/>
                              </a:lnTo>
                              <a:lnTo>
                                <a:pt x="0" y="9144"/>
                              </a:lnTo>
                              <a:lnTo>
                                <a:pt x="2436241" y="9144"/>
                              </a:lnTo>
                              <a:lnTo>
                                <a:pt x="2436241"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rect style="position:absolute;margin-left:223.509995pt;margin-top:7.570313pt;width:191.83pt;height:.72pt;mso-position-horizontal-relative:page;mso-position-vertical-relative:paragraph;z-index:-16518656" id="docshape51" filled="true" fillcolor="#000000" stroked="false">
                <v:fill type="solid"/>
                <w10:wrap type="none"/>
              </v:rect>
            </w:pict>
          </mc:Fallback>
        </mc:AlternateContent>
      </w:r>
      <w:r>
        <w:rPr/>
        <w:t>PI</w:t>
      </w:r>
      <w:r>
        <w:rPr>
          <w:spacing w:val="-1"/>
        </w:rPr>
        <w:t> </w:t>
      </w:r>
      <w:r>
        <w:rPr>
          <w:rFonts w:ascii="Cambria Math"/>
          <w:spacing w:val="-10"/>
        </w:rPr>
        <w:t>=</w:t>
      </w:r>
    </w:p>
    <w:p>
      <w:pPr>
        <w:pStyle w:val="BodyText"/>
        <w:spacing w:line="295" w:lineRule="auto" w:before="136"/>
        <w:ind w:left="1043" w:right="2851" w:hanging="1019"/>
      </w:pPr>
      <w:r>
        <w:rPr/>
        <w:br w:type="column"/>
      </w:r>
      <w:r>
        <w:rPr/>
        <w:t>Present</w:t>
      </w:r>
      <w:r>
        <w:rPr>
          <w:spacing w:val="-10"/>
        </w:rPr>
        <w:t> </w:t>
      </w:r>
      <w:r>
        <w:rPr/>
        <w:t>Value</w:t>
      </w:r>
      <w:r>
        <w:rPr>
          <w:spacing w:val="-10"/>
        </w:rPr>
        <w:t> </w:t>
      </w:r>
      <w:r>
        <w:rPr/>
        <w:t>of</w:t>
      </w:r>
      <w:r>
        <w:rPr>
          <w:spacing w:val="-14"/>
        </w:rPr>
        <w:t> </w:t>
      </w:r>
      <w:r>
        <w:rPr/>
        <w:t>Future</w:t>
      </w:r>
      <w:r>
        <w:rPr>
          <w:spacing w:val="-10"/>
        </w:rPr>
        <w:t> </w:t>
      </w:r>
      <w:r>
        <w:rPr/>
        <w:t>Cash</w:t>
      </w:r>
      <w:r>
        <w:rPr>
          <w:spacing w:val="-13"/>
        </w:rPr>
        <w:t> </w:t>
      </w:r>
      <w:r>
        <w:rPr/>
        <w:t>Flows Initial Investment</w:t>
      </w:r>
    </w:p>
    <w:p>
      <w:pPr>
        <w:pStyle w:val="BodyText"/>
        <w:spacing w:after="0" w:line="295" w:lineRule="auto"/>
        <w:sectPr>
          <w:type w:val="continuous"/>
          <w:pgSz w:w="12240" w:h="15840"/>
          <w:pgMar w:header="0" w:footer="1051" w:top="1820" w:bottom="1240" w:left="1440" w:right="1080"/>
          <w:cols w:num="2" w:equalWidth="0">
            <w:col w:w="2965" w:space="40"/>
            <w:col w:w="6715"/>
          </w:cols>
        </w:sectPr>
      </w:pPr>
    </w:p>
    <w:p>
      <w:pPr>
        <w:pStyle w:val="BodyText"/>
      </w:pPr>
    </w:p>
    <w:p>
      <w:pPr>
        <w:pStyle w:val="BodyText"/>
      </w:pPr>
    </w:p>
    <w:p>
      <w:pPr>
        <w:pStyle w:val="BodyText"/>
      </w:pPr>
    </w:p>
    <w:p>
      <w:pPr>
        <w:pStyle w:val="BodyText"/>
        <w:spacing w:before="239"/>
      </w:pPr>
    </w:p>
    <w:p>
      <w:pPr>
        <w:pStyle w:val="BodyText"/>
        <w:spacing w:line="362" w:lineRule="auto"/>
        <w:ind w:right="351"/>
      </w:pPr>
      <w:r>
        <w:rPr/>
        <w:t>The</w:t>
      </w:r>
      <w:r>
        <w:rPr>
          <w:spacing w:val="-13"/>
        </w:rPr>
        <w:t> </w:t>
      </w:r>
      <w:r>
        <w:rPr/>
        <w:t>project</w:t>
      </w:r>
      <w:r>
        <w:rPr>
          <w:spacing w:val="-8"/>
        </w:rPr>
        <w:t> </w:t>
      </w:r>
      <w:r>
        <w:rPr/>
        <w:t>will</w:t>
      </w:r>
      <w:r>
        <w:rPr>
          <w:spacing w:val="-5"/>
        </w:rPr>
        <w:t> </w:t>
      </w:r>
      <w:r>
        <w:rPr/>
        <w:t>be</w:t>
      </w:r>
      <w:r>
        <w:rPr>
          <w:spacing w:val="-13"/>
        </w:rPr>
        <w:t> </w:t>
      </w:r>
      <w:r>
        <w:rPr/>
        <w:t>financially</w:t>
      </w:r>
      <w:r>
        <w:rPr>
          <w:spacing w:val="-9"/>
        </w:rPr>
        <w:t> </w:t>
      </w:r>
      <w:r>
        <w:rPr/>
        <w:t>acceptable</w:t>
      </w:r>
      <w:r>
        <w:rPr>
          <w:spacing w:val="-13"/>
        </w:rPr>
        <w:t> </w:t>
      </w:r>
      <w:r>
        <w:rPr/>
        <w:t>when</w:t>
      </w:r>
      <w:r>
        <w:rPr>
          <w:spacing w:val="-8"/>
        </w:rPr>
        <w:t> </w:t>
      </w:r>
      <w:r>
        <w:rPr/>
        <w:t>PI</w:t>
      </w:r>
      <w:r>
        <w:rPr>
          <w:spacing w:val="-8"/>
        </w:rPr>
        <w:t> </w:t>
      </w:r>
      <w:r>
        <w:rPr/>
        <w:t>&gt;</w:t>
      </w:r>
      <w:r>
        <w:rPr>
          <w:spacing w:val="-10"/>
        </w:rPr>
        <w:t> </w:t>
      </w:r>
      <w:r>
        <w:rPr/>
        <w:t>1</w:t>
      </w:r>
      <w:r>
        <w:rPr>
          <w:spacing w:val="-13"/>
        </w:rPr>
        <w:t> </w:t>
      </w:r>
      <w:r>
        <w:rPr/>
        <w:t>which</w:t>
      </w:r>
      <w:r>
        <w:rPr>
          <w:spacing w:val="-13"/>
        </w:rPr>
        <w:t> </w:t>
      </w:r>
      <w:r>
        <w:rPr/>
        <w:t>means</w:t>
      </w:r>
      <w:r>
        <w:rPr>
          <w:spacing w:val="-9"/>
        </w:rPr>
        <w:t> </w:t>
      </w:r>
      <w:r>
        <w:rPr/>
        <w:t>that</w:t>
      </w:r>
      <w:r>
        <w:rPr>
          <w:spacing w:val="-13"/>
        </w:rPr>
        <w:t> </w:t>
      </w:r>
      <w:r>
        <w:rPr/>
        <w:t>the</w:t>
      </w:r>
      <w:r>
        <w:rPr>
          <w:spacing w:val="-13"/>
        </w:rPr>
        <w:t> </w:t>
      </w:r>
      <w:r>
        <w:rPr/>
        <w:t>present</w:t>
      </w:r>
      <w:r>
        <w:rPr>
          <w:spacing w:val="-8"/>
        </w:rPr>
        <w:t> </w:t>
      </w:r>
      <w:r>
        <w:rPr/>
        <w:t>value of inflows is greater than the initial cost.</w:t>
      </w:r>
    </w:p>
    <w:p>
      <w:pPr>
        <w:pStyle w:val="BodyText"/>
      </w:pPr>
    </w:p>
    <w:p>
      <w:pPr>
        <w:pStyle w:val="BodyText"/>
      </w:pPr>
    </w:p>
    <w:p>
      <w:pPr>
        <w:pStyle w:val="BodyText"/>
      </w:pPr>
    </w:p>
    <w:p>
      <w:pPr>
        <w:pStyle w:val="BodyText"/>
        <w:spacing w:before="199"/>
      </w:pPr>
    </w:p>
    <w:p>
      <w:pPr>
        <w:pStyle w:val="Heading2"/>
      </w:pPr>
      <w:r>
        <w:rPr>
          <w:spacing w:val="-2"/>
        </w:rPr>
        <w:t>Calculation</w:t>
      </w:r>
    </w:p>
    <w:p>
      <w:pPr>
        <w:pStyle w:val="BodyText"/>
        <w:spacing w:before="24"/>
        <w:rPr>
          <w:rFonts w:ascii="Arial"/>
          <w:b/>
        </w:rPr>
      </w:pPr>
    </w:p>
    <w:p>
      <w:pPr>
        <w:pStyle w:val="BodyText"/>
      </w:pPr>
      <w:r>
        <w:rPr/>
        <w:t>Using</w:t>
      </w:r>
      <w:r>
        <w:rPr>
          <w:spacing w:val="-3"/>
        </w:rPr>
        <w:t> </w:t>
      </w:r>
      <w:r>
        <w:rPr/>
        <w:t>the</w:t>
      </w:r>
      <w:r>
        <w:rPr>
          <w:spacing w:val="-3"/>
        </w:rPr>
        <w:t> </w:t>
      </w:r>
      <w:r>
        <w:rPr/>
        <w:t>present</w:t>
      </w:r>
      <w:r>
        <w:rPr>
          <w:spacing w:val="1"/>
        </w:rPr>
        <w:t> </w:t>
      </w:r>
      <w:r>
        <w:rPr/>
        <w:t>values</w:t>
      </w:r>
      <w:r>
        <w:rPr>
          <w:spacing w:val="-3"/>
        </w:rPr>
        <w:t> </w:t>
      </w:r>
      <w:r>
        <w:rPr/>
        <w:t>calculated</w:t>
      </w:r>
      <w:r>
        <w:rPr>
          <w:spacing w:val="-6"/>
        </w:rPr>
        <w:t> </w:t>
      </w:r>
      <w:r>
        <w:rPr/>
        <w:t>in</w:t>
      </w:r>
      <w:r>
        <w:rPr>
          <w:spacing w:val="-3"/>
        </w:rPr>
        <w:t> </w:t>
      </w:r>
      <w:r>
        <w:rPr/>
        <w:t>Section</w:t>
      </w:r>
      <w:r>
        <w:rPr>
          <w:spacing w:val="-6"/>
        </w:rPr>
        <w:t> </w:t>
      </w:r>
      <w:r>
        <w:rPr>
          <w:spacing w:val="-4"/>
        </w:rPr>
        <w:t>5.4:</w:t>
      </w:r>
    </w:p>
    <w:p>
      <w:pPr>
        <w:pStyle w:val="BodyText"/>
        <w:spacing w:before="20"/>
      </w:pPr>
    </w:p>
    <w:p>
      <w:pPr>
        <w:pStyle w:val="Heading2"/>
        <w:numPr>
          <w:ilvl w:val="0"/>
          <w:numId w:val="8"/>
        </w:numPr>
        <w:tabs>
          <w:tab w:pos="720" w:val="left" w:leader="none"/>
        </w:tabs>
        <w:spacing w:line="240" w:lineRule="auto" w:before="0" w:after="0"/>
        <w:ind w:left="720" w:right="0" w:hanging="360"/>
        <w:jc w:val="left"/>
      </w:pPr>
      <w:r>
        <w:rPr/>
        <w:t>Project</w:t>
      </w:r>
      <w:r>
        <w:rPr>
          <w:spacing w:val="-12"/>
        </w:rPr>
        <w:t> </w:t>
      </w:r>
      <w:r>
        <w:rPr>
          <w:spacing w:val="-5"/>
        </w:rPr>
        <w:t>A:</w:t>
      </w:r>
    </w:p>
    <w:p>
      <w:pPr>
        <w:pStyle w:val="BodyText"/>
        <w:spacing w:before="7"/>
        <w:rPr>
          <w:rFonts w:ascii="Arial"/>
          <w:b/>
          <w:sz w:val="18"/>
        </w:rPr>
      </w:pPr>
    </w:p>
    <w:p>
      <w:pPr>
        <w:pStyle w:val="BodyText"/>
        <w:spacing w:after="0"/>
        <w:rPr>
          <w:rFonts w:ascii="Arial"/>
          <w:b/>
          <w:sz w:val="18"/>
        </w:rPr>
        <w:sectPr>
          <w:type w:val="continuous"/>
          <w:pgSz w:w="12240" w:h="15840"/>
          <w:pgMar w:header="0" w:footer="1051" w:top="1820" w:bottom="1240" w:left="1440" w:right="1080"/>
        </w:sectPr>
      </w:pPr>
    </w:p>
    <w:p>
      <w:pPr>
        <w:pStyle w:val="BodyText"/>
        <w:spacing w:before="242"/>
        <w:jc w:val="right"/>
        <w:rPr>
          <w:rFonts w:ascii="Cambria Math"/>
        </w:rPr>
      </w:pPr>
      <w:r>
        <w:rPr/>
        <w:t>PI</w:t>
      </w:r>
      <w:r>
        <w:rPr>
          <w:spacing w:val="-1"/>
        </w:rPr>
        <w:t> </w:t>
      </w:r>
      <w:r>
        <w:rPr>
          <w:rFonts w:ascii="Cambria Math"/>
          <w:spacing w:val="-10"/>
        </w:rPr>
        <w:t>=</w:t>
      </w:r>
    </w:p>
    <w:p>
      <w:pPr>
        <w:pStyle w:val="BodyText"/>
        <w:spacing w:before="59"/>
        <w:ind w:left="25"/>
        <w:jc w:val="center"/>
        <w:rPr>
          <w:rFonts w:ascii="Cambria Math"/>
        </w:rPr>
      </w:pPr>
      <w:r>
        <w:rPr/>
        <w:br w:type="column"/>
      </w:r>
      <w:r>
        <w:rPr>
          <w:rFonts w:ascii="Cambria Math"/>
          <w:spacing w:val="-2"/>
        </w:rPr>
        <w:t>41.31</w:t>
      </w:r>
    </w:p>
    <w:p>
      <w:pPr>
        <w:pStyle w:val="BodyText"/>
        <w:spacing w:before="5"/>
        <w:rPr>
          <w:rFonts w:ascii="Cambria Math"/>
          <w:sz w:val="4"/>
        </w:rPr>
      </w:pPr>
    </w:p>
    <w:p>
      <w:pPr>
        <w:pStyle w:val="BodyText"/>
        <w:spacing w:line="20" w:lineRule="exact"/>
        <w:ind w:left="25" w:right="-58"/>
        <w:rPr>
          <w:rFonts w:ascii="Cambria Math"/>
          <w:sz w:val="2"/>
        </w:rPr>
      </w:pPr>
      <w:r>
        <w:rPr>
          <w:rFonts w:ascii="Cambria Math"/>
          <w:sz w:val="2"/>
        </w:rPr>
        <mc:AlternateContent>
          <mc:Choice Requires="wps">
            <w:drawing>
              <wp:inline distT="0" distB="0" distL="0" distR="0">
                <wp:extent cx="369570" cy="9525"/>
                <wp:effectExtent l="0" t="0" r="0" b="0"/>
                <wp:docPr id="53" name="Group 53"/>
                <wp:cNvGraphicFramePr>
                  <a:graphicFrameLocks/>
                </wp:cNvGraphicFramePr>
                <a:graphic>
                  <a:graphicData uri="http://schemas.microsoft.com/office/word/2010/wordprocessingGroup">
                    <wpg:wgp>
                      <wpg:cNvPr id="53" name="Group 53"/>
                      <wpg:cNvGrpSpPr/>
                      <wpg:grpSpPr>
                        <a:xfrm>
                          <a:off x="0" y="0"/>
                          <a:ext cx="369570" cy="9525"/>
                          <a:chExt cx="369570" cy="9525"/>
                        </a:xfrm>
                      </wpg:grpSpPr>
                      <wps:wsp>
                        <wps:cNvPr id="54" name="Graphic 54"/>
                        <wps:cNvSpPr/>
                        <wps:spPr>
                          <a:xfrm>
                            <a:off x="0" y="0"/>
                            <a:ext cx="369570" cy="9525"/>
                          </a:xfrm>
                          <a:custGeom>
                            <a:avLst/>
                            <a:gdLst/>
                            <a:ahLst/>
                            <a:cxnLst/>
                            <a:rect l="l" t="t" r="r" b="b"/>
                            <a:pathLst>
                              <a:path w="369570" h="9525">
                                <a:moveTo>
                                  <a:pt x="369112" y="0"/>
                                </a:moveTo>
                                <a:lnTo>
                                  <a:pt x="0" y="0"/>
                                </a:lnTo>
                                <a:lnTo>
                                  <a:pt x="0" y="9143"/>
                                </a:lnTo>
                                <a:lnTo>
                                  <a:pt x="369112" y="9143"/>
                                </a:lnTo>
                                <a:lnTo>
                                  <a:pt x="369112"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style="width:29.1pt;height:.75pt;mso-position-horizontal-relative:char;mso-position-vertical-relative:line" id="docshapegroup52" coordorigin="0,0" coordsize="582,15">
                <v:rect style="position:absolute;left:0;top:0;width:582;height:15" id="docshape53" filled="true" fillcolor="#000000" stroked="false">
                  <v:fill type="solid"/>
                </v:rect>
              </v:group>
            </w:pict>
          </mc:Fallback>
        </mc:AlternateContent>
      </w:r>
      <w:r>
        <w:rPr>
          <w:rFonts w:ascii="Cambria Math"/>
          <w:sz w:val="2"/>
        </w:rPr>
      </w:r>
    </w:p>
    <w:p>
      <w:pPr>
        <w:pStyle w:val="BodyText"/>
        <w:ind w:left="25"/>
        <w:jc w:val="center"/>
        <w:rPr>
          <w:rFonts w:ascii="Cambria Math"/>
        </w:rPr>
      </w:pPr>
      <w:r>
        <w:rPr>
          <w:rFonts w:ascii="Cambria Math"/>
          <w:spacing w:val="-5"/>
        </w:rPr>
        <w:t>50</w:t>
      </w:r>
    </w:p>
    <w:p>
      <w:pPr>
        <w:pStyle w:val="BodyText"/>
        <w:spacing w:before="242"/>
        <w:ind w:left="22"/>
        <w:rPr>
          <w:rFonts w:ascii="Cambria Math"/>
        </w:rPr>
      </w:pPr>
      <w:r>
        <w:rPr/>
        <w:br w:type="column"/>
      </w:r>
      <w:r>
        <w:rPr>
          <w:rFonts w:ascii="Cambria Math"/>
        </w:rPr>
        <w:t>=</w:t>
      </w:r>
      <w:r>
        <w:rPr>
          <w:rFonts w:ascii="Cambria Math"/>
          <w:spacing w:val="17"/>
        </w:rPr>
        <w:t> </w:t>
      </w:r>
      <w:r>
        <w:rPr>
          <w:rFonts w:ascii="Cambria Math"/>
          <w:spacing w:val="-4"/>
        </w:rPr>
        <w:t>0.83</w:t>
      </w:r>
    </w:p>
    <w:p>
      <w:pPr>
        <w:pStyle w:val="BodyText"/>
        <w:spacing w:after="0"/>
        <w:rPr>
          <w:rFonts w:ascii="Cambria Math"/>
        </w:rPr>
        <w:sectPr>
          <w:type w:val="continuous"/>
          <w:pgSz w:w="12240" w:h="15840"/>
          <w:pgMar w:header="0" w:footer="1051" w:top="1820" w:bottom="1240" w:left="1440" w:right="1080"/>
          <w:cols w:num="3" w:equalWidth="0">
            <w:col w:w="4214" w:space="40"/>
            <w:col w:w="612" w:space="39"/>
            <w:col w:w="4815"/>
          </w:cols>
        </w:sectPr>
      </w:pPr>
    </w:p>
    <w:p>
      <w:pPr>
        <w:pStyle w:val="Heading2"/>
        <w:numPr>
          <w:ilvl w:val="0"/>
          <w:numId w:val="8"/>
        </w:numPr>
        <w:tabs>
          <w:tab w:pos="720" w:val="left" w:leader="none"/>
        </w:tabs>
        <w:spacing w:line="240" w:lineRule="auto" w:before="76" w:after="0"/>
        <w:ind w:left="720" w:right="0" w:hanging="360"/>
        <w:jc w:val="left"/>
      </w:pPr>
      <w:r>
        <w:rPr/>
        <w:t>Project</w:t>
      </w:r>
      <w:r>
        <w:rPr>
          <w:spacing w:val="-5"/>
        </w:rPr>
        <w:t> B:</w:t>
      </w:r>
    </w:p>
    <w:p>
      <w:pPr>
        <w:pStyle w:val="BodyText"/>
        <w:spacing w:before="7"/>
        <w:rPr>
          <w:rFonts w:ascii="Arial"/>
          <w:b/>
          <w:sz w:val="18"/>
        </w:rPr>
      </w:pPr>
    </w:p>
    <w:p>
      <w:pPr>
        <w:pStyle w:val="BodyText"/>
        <w:spacing w:after="0"/>
        <w:rPr>
          <w:rFonts w:ascii="Arial"/>
          <w:b/>
          <w:sz w:val="18"/>
        </w:rPr>
        <w:sectPr>
          <w:pgSz w:w="12240" w:h="15840"/>
          <w:pgMar w:header="0" w:footer="1051" w:top="1360" w:bottom="1240" w:left="1440" w:right="1080"/>
        </w:sectPr>
      </w:pPr>
    </w:p>
    <w:p>
      <w:pPr>
        <w:pStyle w:val="BodyText"/>
        <w:spacing w:before="241"/>
        <w:jc w:val="right"/>
        <w:rPr>
          <w:rFonts w:ascii="Cambria Math"/>
        </w:rPr>
      </w:pPr>
      <w:r>
        <w:rPr/>
        <w:t>PI</w:t>
      </w:r>
      <w:r>
        <w:rPr>
          <w:spacing w:val="-1"/>
        </w:rPr>
        <w:t> </w:t>
      </w:r>
      <w:r>
        <w:rPr>
          <w:rFonts w:ascii="Cambria Math"/>
          <w:spacing w:val="-10"/>
        </w:rPr>
        <w:t>=</w:t>
      </w:r>
    </w:p>
    <w:p>
      <w:pPr>
        <w:pStyle w:val="BodyText"/>
        <w:spacing w:before="59"/>
        <w:ind w:left="25"/>
        <w:jc w:val="center"/>
        <w:rPr>
          <w:rFonts w:ascii="Cambria Math"/>
        </w:rPr>
      </w:pPr>
      <w:r>
        <w:rPr/>
        <w:br w:type="column"/>
      </w:r>
      <w:r>
        <w:rPr>
          <w:rFonts w:ascii="Cambria Math"/>
          <w:spacing w:val="-2"/>
        </w:rPr>
        <w:t>41.69</w:t>
      </w:r>
    </w:p>
    <w:p>
      <w:pPr>
        <w:pStyle w:val="BodyText"/>
        <w:spacing w:before="5"/>
        <w:rPr>
          <w:rFonts w:ascii="Cambria Math"/>
          <w:sz w:val="4"/>
        </w:rPr>
      </w:pPr>
    </w:p>
    <w:p>
      <w:pPr>
        <w:pStyle w:val="BodyText"/>
        <w:spacing w:line="20" w:lineRule="exact"/>
        <w:ind w:left="25" w:right="-58"/>
        <w:rPr>
          <w:rFonts w:ascii="Cambria Math"/>
          <w:sz w:val="2"/>
        </w:rPr>
      </w:pPr>
      <w:r>
        <w:rPr>
          <w:rFonts w:ascii="Cambria Math"/>
          <w:sz w:val="2"/>
        </w:rPr>
        <mc:AlternateContent>
          <mc:Choice Requires="wps">
            <w:drawing>
              <wp:inline distT="0" distB="0" distL="0" distR="0">
                <wp:extent cx="369570" cy="9525"/>
                <wp:effectExtent l="0" t="0" r="0" b="0"/>
                <wp:docPr id="55" name="Group 55"/>
                <wp:cNvGraphicFramePr>
                  <a:graphicFrameLocks/>
                </wp:cNvGraphicFramePr>
                <a:graphic>
                  <a:graphicData uri="http://schemas.microsoft.com/office/word/2010/wordprocessingGroup">
                    <wpg:wgp>
                      <wpg:cNvPr id="55" name="Group 55"/>
                      <wpg:cNvGrpSpPr/>
                      <wpg:grpSpPr>
                        <a:xfrm>
                          <a:off x="0" y="0"/>
                          <a:ext cx="369570" cy="9525"/>
                          <a:chExt cx="369570" cy="9525"/>
                        </a:xfrm>
                      </wpg:grpSpPr>
                      <wps:wsp>
                        <wps:cNvPr id="56" name="Graphic 56"/>
                        <wps:cNvSpPr/>
                        <wps:spPr>
                          <a:xfrm>
                            <a:off x="0" y="0"/>
                            <a:ext cx="369570" cy="9525"/>
                          </a:xfrm>
                          <a:custGeom>
                            <a:avLst/>
                            <a:gdLst/>
                            <a:ahLst/>
                            <a:cxnLst/>
                            <a:rect l="l" t="t" r="r" b="b"/>
                            <a:pathLst>
                              <a:path w="369570" h="9525">
                                <a:moveTo>
                                  <a:pt x="369112" y="0"/>
                                </a:moveTo>
                                <a:lnTo>
                                  <a:pt x="0" y="0"/>
                                </a:lnTo>
                                <a:lnTo>
                                  <a:pt x="0" y="9144"/>
                                </a:lnTo>
                                <a:lnTo>
                                  <a:pt x="369112" y="9144"/>
                                </a:lnTo>
                                <a:lnTo>
                                  <a:pt x="369112"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style="width:29.1pt;height:.75pt;mso-position-horizontal-relative:char;mso-position-vertical-relative:line" id="docshapegroup54" coordorigin="0,0" coordsize="582,15">
                <v:rect style="position:absolute;left:0;top:0;width:582;height:15" id="docshape55" filled="true" fillcolor="#000000" stroked="false">
                  <v:fill type="solid"/>
                </v:rect>
              </v:group>
            </w:pict>
          </mc:Fallback>
        </mc:AlternateContent>
      </w:r>
      <w:r>
        <w:rPr>
          <w:rFonts w:ascii="Cambria Math"/>
          <w:sz w:val="2"/>
        </w:rPr>
      </w:r>
    </w:p>
    <w:p>
      <w:pPr>
        <w:pStyle w:val="BodyText"/>
        <w:ind w:left="25"/>
        <w:jc w:val="center"/>
        <w:rPr>
          <w:rFonts w:ascii="Cambria Math"/>
        </w:rPr>
      </w:pPr>
      <w:r>
        <w:rPr>
          <w:rFonts w:ascii="Cambria Math"/>
          <w:spacing w:val="-5"/>
        </w:rPr>
        <w:t>50</w:t>
      </w:r>
    </w:p>
    <w:p>
      <w:pPr>
        <w:pStyle w:val="BodyText"/>
        <w:spacing w:before="241"/>
        <w:ind w:left="22"/>
        <w:rPr>
          <w:rFonts w:ascii="Cambria Math"/>
        </w:rPr>
      </w:pPr>
      <w:r>
        <w:rPr/>
        <w:br w:type="column"/>
      </w:r>
      <w:r>
        <w:rPr>
          <w:rFonts w:ascii="Cambria Math"/>
        </w:rPr>
        <w:t>=</w:t>
      </w:r>
      <w:r>
        <w:rPr>
          <w:rFonts w:ascii="Cambria Math"/>
          <w:spacing w:val="17"/>
        </w:rPr>
        <w:t> </w:t>
      </w:r>
      <w:r>
        <w:rPr>
          <w:rFonts w:ascii="Cambria Math"/>
          <w:spacing w:val="-4"/>
        </w:rPr>
        <w:t>0.83</w:t>
      </w:r>
    </w:p>
    <w:p>
      <w:pPr>
        <w:pStyle w:val="BodyText"/>
        <w:spacing w:after="0"/>
        <w:rPr>
          <w:rFonts w:ascii="Cambria Math"/>
        </w:rPr>
        <w:sectPr>
          <w:type w:val="continuous"/>
          <w:pgSz w:w="12240" w:h="15840"/>
          <w:pgMar w:header="0" w:footer="1051" w:top="1820" w:bottom="1240" w:left="1440" w:right="1080"/>
          <w:cols w:num="3" w:equalWidth="0">
            <w:col w:w="4214" w:space="40"/>
            <w:col w:w="612" w:space="39"/>
            <w:col w:w="4815"/>
          </w:cols>
        </w:sectPr>
      </w:pPr>
    </w:p>
    <w:p>
      <w:pPr>
        <w:pStyle w:val="BodyText"/>
        <w:rPr>
          <w:rFonts w:ascii="Cambria Math"/>
        </w:rPr>
      </w:pPr>
    </w:p>
    <w:p>
      <w:pPr>
        <w:pStyle w:val="BodyText"/>
        <w:spacing w:before="83"/>
        <w:rPr>
          <w:rFonts w:ascii="Cambria Math"/>
        </w:rPr>
      </w:pPr>
    </w:p>
    <w:p>
      <w:pPr>
        <w:pStyle w:val="Heading2"/>
        <w:numPr>
          <w:ilvl w:val="0"/>
          <w:numId w:val="8"/>
        </w:numPr>
        <w:tabs>
          <w:tab w:pos="720" w:val="left" w:leader="none"/>
        </w:tabs>
        <w:spacing w:line="240" w:lineRule="auto" w:before="0" w:after="0"/>
        <w:ind w:left="720" w:right="0" w:hanging="360"/>
        <w:jc w:val="left"/>
      </w:pPr>
      <w:r>
        <w:rPr/>
        <w:t>Project</w:t>
      </w:r>
      <w:r>
        <w:rPr>
          <w:spacing w:val="-5"/>
        </w:rPr>
        <w:t> C:</w:t>
      </w:r>
    </w:p>
    <w:p>
      <w:pPr>
        <w:pStyle w:val="BodyText"/>
        <w:spacing w:before="7"/>
        <w:rPr>
          <w:rFonts w:ascii="Arial"/>
          <w:b/>
          <w:sz w:val="18"/>
        </w:rPr>
      </w:pPr>
    </w:p>
    <w:p>
      <w:pPr>
        <w:pStyle w:val="BodyText"/>
        <w:spacing w:after="0"/>
        <w:rPr>
          <w:rFonts w:ascii="Arial"/>
          <w:b/>
          <w:sz w:val="18"/>
        </w:rPr>
        <w:sectPr>
          <w:type w:val="continuous"/>
          <w:pgSz w:w="12240" w:h="15840"/>
          <w:pgMar w:header="0" w:footer="1051" w:top="1820" w:bottom="1240" w:left="1440" w:right="1080"/>
        </w:sectPr>
      </w:pPr>
    </w:p>
    <w:p>
      <w:pPr>
        <w:pStyle w:val="BodyText"/>
        <w:spacing w:before="242"/>
        <w:jc w:val="right"/>
        <w:rPr>
          <w:rFonts w:ascii="Cambria Math"/>
        </w:rPr>
      </w:pPr>
      <w:r>
        <w:rPr/>
        <w:t>PI</w:t>
      </w:r>
      <w:r>
        <w:rPr>
          <w:spacing w:val="-1"/>
        </w:rPr>
        <w:t> </w:t>
      </w:r>
      <w:r>
        <w:rPr>
          <w:rFonts w:ascii="Cambria Math"/>
          <w:spacing w:val="-10"/>
        </w:rPr>
        <w:t>=</w:t>
      </w:r>
    </w:p>
    <w:p>
      <w:pPr>
        <w:pStyle w:val="BodyText"/>
        <w:spacing w:before="59"/>
        <w:ind w:left="25"/>
        <w:jc w:val="center"/>
        <w:rPr>
          <w:rFonts w:ascii="Cambria Math"/>
        </w:rPr>
      </w:pPr>
      <w:r>
        <w:rPr/>
        <w:br w:type="column"/>
      </w:r>
      <w:r>
        <w:rPr>
          <w:rFonts w:ascii="Cambria Math"/>
          <w:spacing w:val="-2"/>
        </w:rPr>
        <w:t>48.01</w:t>
      </w:r>
    </w:p>
    <w:p>
      <w:pPr>
        <w:pStyle w:val="BodyText"/>
        <w:spacing w:before="6"/>
        <w:rPr>
          <w:rFonts w:ascii="Cambria Math"/>
          <w:sz w:val="4"/>
        </w:rPr>
      </w:pPr>
    </w:p>
    <w:p>
      <w:pPr>
        <w:pStyle w:val="BodyText"/>
        <w:spacing w:line="20" w:lineRule="exact"/>
        <w:ind w:left="25" w:right="-58"/>
        <w:rPr>
          <w:rFonts w:ascii="Cambria Math"/>
          <w:sz w:val="2"/>
        </w:rPr>
      </w:pPr>
      <w:r>
        <w:rPr>
          <w:rFonts w:ascii="Cambria Math"/>
          <w:sz w:val="2"/>
        </w:rPr>
        <mc:AlternateContent>
          <mc:Choice Requires="wps">
            <w:drawing>
              <wp:inline distT="0" distB="0" distL="0" distR="0">
                <wp:extent cx="369570" cy="9525"/>
                <wp:effectExtent l="0" t="0" r="0" b="0"/>
                <wp:docPr id="57" name="Group 57"/>
                <wp:cNvGraphicFramePr>
                  <a:graphicFrameLocks/>
                </wp:cNvGraphicFramePr>
                <a:graphic>
                  <a:graphicData uri="http://schemas.microsoft.com/office/word/2010/wordprocessingGroup">
                    <wpg:wgp>
                      <wpg:cNvPr id="57" name="Group 57"/>
                      <wpg:cNvGrpSpPr/>
                      <wpg:grpSpPr>
                        <a:xfrm>
                          <a:off x="0" y="0"/>
                          <a:ext cx="369570" cy="9525"/>
                          <a:chExt cx="369570" cy="9525"/>
                        </a:xfrm>
                      </wpg:grpSpPr>
                      <wps:wsp>
                        <wps:cNvPr id="58" name="Graphic 58"/>
                        <wps:cNvSpPr/>
                        <wps:spPr>
                          <a:xfrm>
                            <a:off x="0" y="0"/>
                            <a:ext cx="369570" cy="9525"/>
                          </a:xfrm>
                          <a:custGeom>
                            <a:avLst/>
                            <a:gdLst/>
                            <a:ahLst/>
                            <a:cxnLst/>
                            <a:rect l="l" t="t" r="r" b="b"/>
                            <a:pathLst>
                              <a:path w="369570" h="9525">
                                <a:moveTo>
                                  <a:pt x="369112" y="0"/>
                                </a:moveTo>
                                <a:lnTo>
                                  <a:pt x="0" y="0"/>
                                </a:lnTo>
                                <a:lnTo>
                                  <a:pt x="0" y="9144"/>
                                </a:lnTo>
                                <a:lnTo>
                                  <a:pt x="369112" y="9144"/>
                                </a:lnTo>
                                <a:lnTo>
                                  <a:pt x="369112"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style="width:29.1pt;height:.75pt;mso-position-horizontal-relative:char;mso-position-vertical-relative:line" id="docshapegroup56" coordorigin="0,0" coordsize="582,15">
                <v:rect style="position:absolute;left:0;top:0;width:582;height:15" id="docshape57" filled="true" fillcolor="#000000" stroked="false">
                  <v:fill type="solid"/>
                </v:rect>
              </v:group>
            </w:pict>
          </mc:Fallback>
        </mc:AlternateContent>
      </w:r>
      <w:r>
        <w:rPr>
          <w:rFonts w:ascii="Cambria Math"/>
          <w:sz w:val="2"/>
        </w:rPr>
      </w:r>
    </w:p>
    <w:p>
      <w:pPr>
        <w:pStyle w:val="BodyText"/>
        <w:ind w:left="25"/>
        <w:jc w:val="center"/>
        <w:rPr>
          <w:rFonts w:ascii="Cambria Math"/>
        </w:rPr>
      </w:pPr>
      <w:r>
        <w:rPr>
          <w:rFonts w:ascii="Cambria Math"/>
          <w:spacing w:val="-5"/>
        </w:rPr>
        <w:t>50</w:t>
      </w:r>
    </w:p>
    <w:p>
      <w:pPr>
        <w:pStyle w:val="BodyText"/>
        <w:spacing w:before="242"/>
        <w:ind w:left="22"/>
        <w:rPr>
          <w:rFonts w:ascii="Cambria Math"/>
        </w:rPr>
      </w:pPr>
      <w:r>
        <w:rPr/>
        <w:br w:type="column"/>
      </w:r>
      <w:r>
        <w:rPr>
          <w:rFonts w:ascii="Cambria Math"/>
        </w:rPr>
        <w:t>=</w:t>
      </w:r>
      <w:r>
        <w:rPr>
          <w:rFonts w:ascii="Cambria Math"/>
          <w:spacing w:val="17"/>
        </w:rPr>
        <w:t> </w:t>
      </w:r>
      <w:r>
        <w:rPr>
          <w:rFonts w:ascii="Cambria Math"/>
          <w:spacing w:val="-4"/>
        </w:rPr>
        <w:t>0.96</w:t>
      </w:r>
    </w:p>
    <w:sectPr>
      <w:type w:val="continuous"/>
      <w:pgSz w:w="12240" w:h="15840"/>
      <w:pgMar w:header="0" w:footer="1051" w:top="1820" w:bottom="1240" w:left="1440" w:right="1080"/>
      <w:cols w:num="3" w:equalWidth="0">
        <w:col w:w="4214" w:space="40"/>
        <w:col w:w="612" w:space="39"/>
        <w:col w:w="4815"/>
      </w:cols>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1"/>
    <w:family w:val="roman"/>
    <w:pitch w:val="variable"/>
  </w:font>
  <w:font w:name="Arial MT">
    <w:altName w:val="Arial MT"/>
    <w:charset w:val="1"/>
    <w:family w:val="swiss"/>
    <w:pitch w:val="variable"/>
  </w:font>
  <w:font w:name="Arial">
    <w:altName w:val="Arial"/>
    <w:charset w:val="1"/>
    <w:family w:val="swiss"/>
    <w:pitch w:val="variable"/>
  </w:font>
  <w:font w:name="Calibri">
    <w:altName w:val="Calibri"/>
    <w:charset w:val="1"/>
    <w:family w:val="roman"/>
    <w:pitch w:val="variable"/>
  </w:font>
  <w:font w:name="Cambria Math">
    <w:altName w:val="Cambria Math"/>
    <w:charset w:val="1"/>
    <w:family w:val="roman"/>
    <w:pitch w:val="variable"/>
  </w:font>
  <w:font w:name="Symbol">
    <w:altName w:val="Symbol"/>
    <w:charset w:val="2"/>
    <w:family w:val="decorative"/>
    <w:pitch w:val="variable"/>
  </w:font>
</w:fonts>
</file>

<file path=word/footer1.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0"/>
      </w:rPr>
    </w:pPr>
    <w:r>
      <w:rPr>
        <w:sz w:val="20"/>
      </w:rPr>
      <mc:AlternateContent>
        <mc:Choice Requires="wps">
          <w:drawing>
            <wp:anchor distT="0" distB="0" distL="0" distR="0" allowOverlap="1" layoutInCell="1" locked="0" behindDoc="1" simplePos="0" relativeHeight="486779904">
              <wp:simplePos x="0" y="0"/>
              <wp:positionH relativeFrom="page">
                <wp:posOffset>6692265</wp:posOffset>
              </wp:positionH>
              <wp:positionV relativeFrom="page">
                <wp:posOffset>9251391</wp:posOffset>
              </wp:positionV>
              <wp:extent cx="215900" cy="177800"/>
              <wp:effectExtent l="0" t="0" r="0" b="0"/>
              <wp:wrapNone/>
              <wp:docPr id="1" name="Textbox 1"/>
              <wp:cNvGraphicFramePr>
                <a:graphicFrameLocks/>
              </wp:cNvGraphicFramePr>
              <a:graphic>
                <a:graphicData uri="http://schemas.microsoft.com/office/word/2010/wordprocessingShape">
                  <wps:wsp>
                    <wps:cNvPr id="1" name="Textbox 1"/>
                    <wps:cNvSpPr txBox="1"/>
                    <wps:spPr>
                      <a:xfrm>
                        <a:off x="0" y="0"/>
                        <a:ext cx="215900" cy="177800"/>
                      </a:xfrm>
                      <a:prstGeom prst="rect">
                        <a:avLst/>
                      </a:prstGeom>
                    </wps:spPr>
                    <wps:txbx>
                      <w:txbxContent>
                        <w:p>
                          <w:pPr>
                            <w:pStyle w:val="BodyText"/>
                            <w:spacing w:line="264" w:lineRule="exact"/>
                            <w:ind w:left="20"/>
                            <w:rPr>
                              <w:rFonts w:ascii="Calibri"/>
                            </w:rPr>
                          </w:pPr>
                          <w:r>
                            <w:rPr>
                              <w:rFonts w:ascii="Calibri"/>
                              <w:spacing w:val="-5"/>
                            </w:rPr>
                            <w:fldChar w:fldCharType="begin"/>
                          </w:r>
                          <w:r>
                            <w:rPr>
                              <w:rFonts w:ascii="Calibri"/>
                              <w:spacing w:val="-5"/>
                            </w:rPr>
                            <w:instrText> PAGE </w:instrText>
                          </w:r>
                          <w:r>
                            <w:rPr>
                              <w:rFonts w:ascii="Calibri"/>
                              <w:spacing w:val="-5"/>
                            </w:rPr>
                            <w:fldChar w:fldCharType="separate"/>
                          </w:r>
                          <w:r>
                            <w:rPr>
                              <w:rFonts w:ascii="Calibri"/>
                              <w:spacing w:val="-5"/>
                            </w:rPr>
                            <w:t>10</w:t>
                          </w:r>
                          <w:r>
                            <w:rPr>
                              <w:rFonts w:ascii="Calibri"/>
                              <w:spacing w:val="-5"/>
                            </w:rPr>
                            <w:fldChar w:fldCharType="end"/>
                          </w:r>
                        </w:p>
                      </w:txbxContent>
                    </wps:txbx>
                    <wps:bodyPr wrap="square" lIns="0" tIns="0" rIns="0" bIns="0" rtlCol="0">
                      <a:noAutofit/>
                    </wps:bodyPr>
                  </wps:wsp>
                </a:graphicData>
              </a:graphic>
            </wp:anchor>
          </w:drawing>
        </mc:Choice>
        <mc:Fallback>
          <w:pict>
            <v:shapetype id="_x0000_t202" o:spt="202" coordsize="21600,21600" path="m,l,21600r21600,l21600,xe">
              <v:stroke joinstyle="miter"/>
              <v:path gradientshapeok="t" o:connecttype="rect"/>
            </v:shapetype>
            <v:shape style="position:absolute;margin-left:526.950012pt;margin-top:728.455994pt;width:17pt;height:14pt;mso-position-horizontal-relative:page;mso-position-vertical-relative:page;z-index:-16536576" type="#_x0000_t202" id="docshape1" filled="false" stroked="false">
              <v:textbox inset="0,0,0,0">
                <w:txbxContent>
                  <w:p>
                    <w:pPr>
                      <w:pStyle w:val="BodyText"/>
                      <w:spacing w:line="264" w:lineRule="exact"/>
                      <w:ind w:left="20"/>
                      <w:rPr>
                        <w:rFonts w:ascii="Calibri"/>
                      </w:rPr>
                    </w:pPr>
                    <w:r>
                      <w:rPr>
                        <w:rFonts w:ascii="Calibri"/>
                        <w:spacing w:val="-5"/>
                      </w:rPr>
                      <w:fldChar w:fldCharType="begin"/>
                    </w:r>
                    <w:r>
                      <w:rPr>
                        <w:rFonts w:ascii="Calibri"/>
                        <w:spacing w:val="-5"/>
                      </w:rPr>
                      <w:instrText> PAGE </w:instrText>
                    </w:r>
                    <w:r>
                      <w:rPr>
                        <w:rFonts w:ascii="Calibri"/>
                        <w:spacing w:val="-5"/>
                      </w:rPr>
                      <w:fldChar w:fldCharType="separate"/>
                    </w:r>
                    <w:r>
                      <w:rPr>
                        <w:rFonts w:ascii="Calibri"/>
                        <w:spacing w:val="-5"/>
                      </w:rPr>
                      <w:t>10</w:t>
                    </w:r>
                    <w:r>
                      <w:rPr>
                        <w:rFonts w:ascii="Calibri"/>
                        <w:spacing w:val="-5"/>
                      </w:rPr>
                      <w:fldChar w:fldCharType="end"/>
                    </w:r>
                  </w:p>
                </w:txbxContent>
              </v:textbox>
              <w10:wrap type="none"/>
            </v:shape>
          </w:pict>
        </mc:Fallback>
      </mc:AlternateContent>
    </w: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7">
    <w:multiLevelType w:val="hybridMultilevel"/>
    <w:lvl w:ilvl="0">
      <w:start w:val="0"/>
      <w:numFmt w:val="bullet"/>
      <w:lvlText w:val=""/>
      <w:lvlJc w:val="left"/>
      <w:pPr>
        <w:ind w:left="721" w:hanging="361"/>
      </w:pPr>
      <w:rPr>
        <w:rFonts w:hint="default" w:ascii="Symbol" w:hAnsi="Symbol" w:eastAsia="Symbol" w:cs="Symbol"/>
        <w:b w:val="0"/>
        <w:bCs w:val="0"/>
        <w:i w:val="0"/>
        <w:iCs w:val="0"/>
        <w:spacing w:val="0"/>
        <w:w w:val="100"/>
        <w:sz w:val="20"/>
        <w:szCs w:val="20"/>
        <w:lang w:val="en-US" w:eastAsia="en-US" w:bidi="ar-SA"/>
      </w:rPr>
    </w:lvl>
    <w:lvl w:ilvl="1">
      <w:start w:val="0"/>
      <w:numFmt w:val="bullet"/>
      <w:lvlText w:val="•"/>
      <w:lvlJc w:val="left"/>
      <w:pPr>
        <w:ind w:left="1620" w:hanging="361"/>
      </w:pPr>
      <w:rPr>
        <w:rFonts w:hint="default"/>
        <w:lang w:val="en-US" w:eastAsia="en-US" w:bidi="ar-SA"/>
      </w:rPr>
    </w:lvl>
    <w:lvl w:ilvl="2">
      <w:start w:val="0"/>
      <w:numFmt w:val="bullet"/>
      <w:lvlText w:val="•"/>
      <w:lvlJc w:val="left"/>
      <w:pPr>
        <w:ind w:left="2520" w:hanging="361"/>
      </w:pPr>
      <w:rPr>
        <w:rFonts w:hint="default"/>
        <w:lang w:val="en-US" w:eastAsia="en-US" w:bidi="ar-SA"/>
      </w:rPr>
    </w:lvl>
    <w:lvl w:ilvl="3">
      <w:start w:val="0"/>
      <w:numFmt w:val="bullet"/>
      <w:lvlText w:val="•"/>
      <w:lvlJc w:val="left"/>
      <w:pPr>
        <w:ind w:left="3420" w:hanging="361"/>
      </w:pPr>
      <w:rPr>
        <w:rFonts w:hint="default"/>
        <w:lang w:val="en-US" w:eastAsia="en-US" w:bidi="ar-SA"/>
      </w:rPr>
    </w:lvl>
    <w:lvl w:ilvl="4">
      <w:start w:val="0"/>
      <w:numFmt w:val="bullet"/>
      <w:lvlText w:val="•"/>
      <w:lvlJc w:val="left"/>
      <w:pPr>
        <w:ind w:left="4320" w:hanging="361"/>
      </w:pPr>
      <w:rPr>
        <w:rFonts w:hint="default"/>
        <w:lang w:val="en-US" w:eastAsia="en-US" w:bidi="ar-SA"/>
      </w:rPr>
    </w:lvl>
    <w:lvl w:ilvl="5">
      <w:start w:val="0"/>
      <w:numFmt w:val="bullet"/>
      <w:lvlText w:val="•"/>
      <w:lvlJc w:val="left"/>
      <w:pPr>
        <w:ind w:left="5220" w:hanging="361"/>
      </w:pPr>
      <w:rPr>
        <w:rFonts w:hint="default"/>
        <w:lang w:val="en-US" w:eastAsia="en-US" w:bidi="ar-SA"/>
      </w:rPr>
    </w:lvl>
    <w:lvl w:ilvl="6">
      <w:start w:val="0"/>
      <w:numFmt w:val="bullet"/>
      <w:lvlText w:val="•"/>
      <w:lvlJc w:val="left"/>
      <w:pPr>
        <w:ind w:left="6120" w:hanging="361"/>
      </w:pPr>
      <w:rPr>
        <w:rFonts w:hint="default"/>
        <w:lang w:val="en-US" w:eastAsia="en-US" w:bidi="ar-SA"/>
      </w:rPr>
    </w:lvl>
    <w:lvl w:ilvl="7">
      <w:start w:val="0"/>
      <w:numFmt w:val="bullet"/>
      <w:lvlText w:val="•"/>
      <w:lvlJc w:val="left"/>
      <w:pPr>
        <w:ind w:left="7020" w:hanging="361"/>
      </w:pPr>
      <w:rPr>
        <w:rFonts w:hint="default"/>
        <w:lang w:val="en-US" w:eastAsia="en-US" w:bidi="ar-SA"/>
      </w:rPr>
    </w:lvl>
    <w:lvl w:ilvl="8">
      <w:start w:val="0"/>
      <w:numFmt w:val="bullet"/>
      <w:lvlText w:val="•"/>
      <w:lvlJc w:val="left"/>
      <w:pPr>
        <w:ind w:left="7920" w:hanging="361"/>
      </w:pPr>
      <w:rPr>
        <w:rFonts w:hint="default"/>
        <w:lang w:val="en-US" w:eastAsia="en-US" w:bidi="ar-SA"/>
      </w:rPr>
    </w:lvl>
  </w:abstractNum>
  <w:abstractNum w:abstractNumId="6">
    <w:multiLevelType w:val="hybridMultilevel"/>
    <w:lvl w:ilvl="0">
      <w:start w:val="0"/>
      <w:numFmt w:val="bullet"/>
      <w:lvlText w:val=""/>
      <w:lvlJc w:val="left"/>
      <w:pPr>
        <w:ind w:left="721" w:hanging="361"/>
      </w:pPr>
      <w:rPr>
        <w:rFonts w:hint="default" w:ascii="Symbol" w:hAnsi="Symbol" w:eastAsia="Symbol" w:cs="Symbol"/>
        <w:b w:val="0"/>
        <w:bCs w:val="0"/>
        <w:i w:val="0"/>
        <w:iCs w:val="0"/>
        <w:spacing w:val="0"/>
        <w:w w:val="100"/>
        <w:sz w:val="20"/>
        <w:szCs w:val="20"/>
        <w:lang w:val="en-US" w:eastAsia="en-US" w:bidi="ar-SA"/>
      </w:rPr>
    </w:lvl>
    <w:lvl w:ilvl="1">
      <w:start w:val="0"/>
      <w:numFmt w:val="bullet"/>
      <w:lvlText w:val="•"/>
      <w:lvlJc w:val="left"/>
      <w:pPr>
        <w:ind w:left="1620" w:hanging="361"/>
      </w:pPr>
      <w:rPr>
        <w:rFonts w:hint="default"/>
        <w:lang w:val="en-US" w:eastAsia="en-US" w:bidi="ar-SA"/>
      </w:rPr>
    </w:lvl>
    <w:lvl w:ilvl="2">
      <w:start w:val="0"/>
      <w:numFmt w:val="bullet"/>
      <w:lvlText w:val="•"/>
      <w:lvlJc w:val="left"/>
      <w:pPr>
        <w:ind w:left="2520" w:hanging="361"/>
      </w:pPr>
      <w:rPr>
        <w:rFonts w:hint="default"/>
        <w:lang w:val="en-US" w:eastAsia="en-US" w:bidi="ar-SA"/>
      </w:rPr>
    </w:lvl>
    <w:lvl w:ilvl="3">
      <w:start w:val="0"/>
      <w:numFmt w:val="bullet"/>
      <w:lvlText w:val="•"/>
      <w:lvlJc w:val="left"/>
      <w:pPr>
        <w:ind w:left="3420" w:hanging="361"/>
      </w:pPr>
      <w:rPr>
        <w:rFonts w:hint="default"/>
        <w:lang w:val="en-US" w:eastAsia="en-US" w:bidi="ar-SA"/>
      </w:rPr>
    </w:lvl>
    <w:lvl w:ilvl="4">
      <w:start w:val="0"/>
      <w:numFmt w:val="bullet"/>
      <w:lvlText w:val="•"/>
      <w:lvlJc w:val="left"/>
      <w:pPr>
        <w:ind w:left="4320" w:hanging="361"/>
      </w:pPr>
      <w:rPr>
        <w:rFonts w:hint="default"/>
        <w:lang w:val="en-US" w:eastAsia="en-US" w:bidi="ar-SA"/>
      </w:rPr>
    </w:lvl>
    <w:lvl w:ilvl="5">
      <w:start w:val="0"/>
      <w:numFmt w:val="bullet"/>
      <w:lvlText w:val="•"/>
      <w:lvlJc w:val="left"/>
      <w:pPr>
        <w:ind w:left="5220" w:hanging="361"/>
      </w:pPr>
      <w:rPr>
        <w:rFonts w:hint="default"/>
        <w:lang w:val="en-US" w:eastAsia="en-US" w:bidi="ar-SA"/>
      </w:rPr>
    </w:lvl>
    <w:lvl w:ilvl="6">
      <w:start w:val="0"/>
      <w:numFmt w:val="bullet"/>
      <w:lvlText w:val="•"/>
      <w:lvlJc w:val="left"/>
      <w:pPr>
        <w:ind w:left="6120" w:hanging="361"/>
      </w:pPr>
      <w:rPr>
        <w:rFonts w:hint="default"/>
        <w:lang w:val="en-US" w:eastAsia="en-US" w:bidi="ar-SA"/>
      </w:rPr>
    </w:lvl>
    <w:lvl w:ilvl="7">
      <w:start w:val="0"/>
      <w:numFmt w:val="bullet"/>
      <w:lvlText w:val="•"/>
      <w:lvlJc w:val="left"/>
      <w:pPr>
        <w:ind w:left="7020" w:hanging="361"/>
      </w:pPr>
      <w:rPr>
        <w:rFonts w:hint="default"/>
        <w:lang w:val="en-US" w:eastAsia="en-US" w:bidi="ar-SA"/>
      </w:rPr>
    </w:lvl>
    <w:lvl w:ilvl="8">
      <w:start w:val="0"/>
      <w:numFmt w:val="bullet"/>
      <w:lvlText w:val="•"/>
      <w:lvlJc w:val="left"/>
      <w:pPr>
        <w:ind w:left="7920" w:hanging="361"/>
      </w:pPr>
      <w:rPr>
        <w:rFonts w:hint="default"/>
        <w:lang w:val="en-US" w:eastAsia="en-US" w:bidi="ar-SA"/>
      </w:rPr>
    </w:lvl>
  </w:abstractNum>
  <w:abstractNum w:abstractNumId="5">
    <w:multiLevelType w:val="hybridMultilevel"/>
    <w:lvl w:ilvl="0">
      <w:start w:val="5"/>
      <w:numFmt w:val="decimal"/>
      <w:lvlText w:val="%1"/>
      <w:lvlJc w:val="left"/>
      <w:pPr>
        <w:ind w:left="402" w:hanging="403"/>
        <w:jc w:val="left"/>
      </w:pPr>
      <w:rPr>
        <w:rFonts w:hint="default"/>
        <w:lang w:val="en-US" w:eastAsia="en-US" w:bidi="ar-SA"/>
      </w:rPr>
    </w:lvl>
    <w:lvl w:ilvl="1">
      <w:start w:val="2"/>
      <w:numFmt w:val="decimal"/>
      <w:lvlText w:val="%1.%2"/>
      <w:lvlJc w:val="left"/>
      <w:pPr>
        <w:ind w:left="402" w:hanging="403"/>
        <w:jc w:val="left"/>
      </w:pPr>
      <w:rPr>
        <w:rFonts w:hint="default" w:ascii="Arial" w:hAnsi="Arial" w:eastAsia="Arial" w:cs="Arial"/>
        <w:b/>
        <w:bCs/>
        <w:i w:val="0"/>
        <w:iCs w:val="0"/>
        <w:spacing w:val="-1"/>
        <w:w w:val="100"/>
        <w:sz w:val="24"/>
        <w:szCs w:val="24"/>
        <w:lang w:val="en-US" w:eastAsia="en-US" w:bidi="ar-SA"/>
      </w:rPr>
    </w:lvl>
    <w:lvl w:ilvl="2">
      <w:start w:val="0"/>
      <w:numFmt w:val="bullet"/>
      <w:lvlText w:val="•"/>
      <w:lvlJc w:val="left"/>
      <w:pPr>
        <w:ind w:left="2264" w:hanging="403"/>
      </w:pPr>
      <w:rPr>
        <w:rFonts w:hint="default"/>
        <w:lang w:val="en-US" w:eastAsia="en-US" w:bidi="ar-SA"/>
      </w:rPr>
    </w:lvl>
    <w:lvl w:ilvl="3">
      <w:start w:val="0"/>
      <w:numFmt w:val="bullet"/>
      <w:lvlText w:val="•"/>
      <w:lvlJc w:val="left"/>
      <w:pPr>
        <w:ind w:left="3196" w:hanging="403"/>
      </w:pPr>
      <w:rPr>
        <w:rFonts w:hint="default"/>
        <w:lang w:val="en-US" w:eastAsia="en-US" w:bidi="ar-SA"/>
      </w:rPr>
    </w:lvl>
    <w:lvl w:ilvl="4">
      <w:start w:val="0"/>
      <w:numFmt w:val="bullet"/>
      <w:lvlText w:val="•"/>
      <w:lvlJc w:val="left"/>
      <w:pPr>
        <w:ind w:left="4128" w:hanging="403"/>
      </w:pPr>
      <w:rPr>
        <w:rFonts w:hint="default"/>
        <w:lang w:val="en-US" w:eastAsia="en-US" w:bidi="ar-SA"/>
      </w:rPr>
    </w:lvl>
    <w:lvl w:ilvl="5">
      <w:start w:val="0"/>
      <w:numFmt w:val="bullet"/>
      <w:lvlText w:val="•"/>
      <w:lvlJc w:val="left"/>
      <w:pPr>
        <w:ind w:left="5060" w:hanging="403"/>
      </w:pPr>
      <w:rPr>
        <w:rFonts w:hint="default"/>
        <w:lang w:val="en-US" w:eastAsia="en-US" w:bidi="ar-SA"/>
      </w:rPr>
    </w:lvl>
    <w:lvl w:ilvl="6">
      <w:start w:val="0"/>
      <w:numFmt w:val="bullet"/>
      <w:lvlText w:val="•"/>
      <w:lvlJc w:val="left"/>
      <w:pPr>
        <w:ind w:left="5992" w:hanging="403"/>
      </w:pPr>
      <w:rPr>
        <w:rFonts w:hint="default"/>
        <w:lang w:val="en-US" w:eastAsia="en-US" w:bidi="ar-SA"/>
      </w:rPr>
    </w:lvl>
    <w:lvl w:ilvl="7">
      <w:start w:val="0"/>
      <w:numFmt w:val="bullet"/>
      <w:lvlText w:val="•"/>
      <w:lvlJc w:val="left"/>
      <w:pPr>
        <w:ind w:left="6924" w:hanging="403"/>
      </w:pPr>
      <w:rPr>
        <w:rFonts w:hint="default"/>
        <w:lang w:val="en-US" w:eastAsia="en-US" w:bidi="ar-SA"/>
      </w:rPr>
    </w:lvl>
    <w:lvl w:ilvl="8">
      <w:start w:val="0"/>
      <w:numFmt w:val="bullet"/>
      <w:lvlText w:val="•"/>
      <w:lvlJc w:val="left"/>
      <w:pPr>
        <w:ind w:left="7856" w:hanging="403"/>
      </w:pPr>
      <w:rPr>
        <w:rFonts w:hint="default"/>
        <w:lang w:val="en-US" w:eastAsia="en-US" w:bidi="ar-SA"/>
      </w:rPr>
    </w:lvl>
  </w:abstractNum>
  <w:abstractNum w:abstractNumId="3">
    <w:multiLevelType w:val="hybridMultilevel"/>
    <w:lvl w:ilvl="0">
      <w:start w:val="0"/>
      <w:numFmt w:val="bullet"/>
      <w:lvlText w:val=""/>
      <w:lvlJc w:val="left"/>
      <w:pPr>
        <w:ind w:left="721" w:hanging="361"/>
      </w:pPr>
      <w:rPr>
        <w:rFonts w:hint="default" w:ascii="Symbol" w:hAnsi="Symbol" w:eastAsia="Symbol" w:cs="Symbol"/>
        <w:b w:val="0"/>
        <w:bCs w:val="0"/>
        <w:i w:val="0"/>
        <w:iCs w:val="0"/>
        <w:spacing w:val="0"/>
        <w:w w:val="100"/>
        <w:sz w:val="20"/>
        <w:szCs w:val="20"/>
        <w:lang w:val="en-US" w:eastAsia="en-US" w:bidi="ar-SA"/>
      </w:rPr>
    </w:lvl>
    <w:lvl w:ilvl="1">
      <w:start w:val="0"/>
      <w:numFmt w:val="bullet"/>
      <w:lvlText w:val="•"/>
      <w:lvlJc w:val="left"/>
      <w:pPr>
        <w:ind w:left="1620" w:hanging="361"/>
      </w:pPr>
      <w:rPr>
        <w:rFonts w:hint="default"/>
        <w:lang w:val="en-US" w:eastAsia="en-US" w:bidi="ar-SA"/>
      </w:rPr>
    </w:lvl>
    <w:lvl w:ilvl="2">
      <w:start w:val="0"/>
      <w:numFmt w:val="bullet"/>
      <w:lvlText w:val="•"/>
      <w:lvlJc w:val="left"/>
      <w:pPr>
        <w:ind w:left="2520" w:hanging="361"/>
      </w:pPr>
      <w:rPr>
        <w:rFonts w:hint="default"/>
        <w:lang w:val="en-US" w:eastAsia="en-US" w:bidi="ar-SA"/>
      </w:rPr>
    </w:lvl>
    <w:lvl w:ilvl="3">
      <w:start w:val="0"/>
      <w:numFmt w:val="bullet"/>
      <w:lvlText w:val="•"/>
      <w:lvlJc w:val="left"/>
      <w:pPr>
        <w:ind w:left="3420" w:hanging="361"/>
      </w:pPr>
      <w:rPr>
        <w:rFonts w:hint="default"/>
        <w:lang w:val="en-US" w:eastAsia="en-US" w:bidi="ar-SA"/>
      </w:rPr>
    </w:lvl>
    <w:lvl w:ilvl="4">
      <w:start w:val="0"/>
      <w:numFmt w:val="bullet"/>
      <w:lvlText w:val="•"/>
      <w:lvlJc w:val="left"/>
      <w:pPr>
        <w:ind w:left="4320" w:hanging="361"/>
      </w:pPr>
      <w:rPr>
        <w:rFonts w:hint="default"/>
        <w:lang w:val="en-US" w:eastAsia="en-US" w:bidi="ar-SA"/>
      </w:rPr>
    </w:lvl>
    <w:lvl w:ilvl="5">
      <w:start w:val="0"/>
      <w:numFmt w:val="bullet"/>
      <w:lvlText w:val="•"/>
      <w:lvlJc w:val="left"/>
      <w:pPr>
        <w:ind w:left="5220" w:hanging="361"/>
      </w:pPr>
      <w:rPr>
        <w:rFonts w:hint="default"/>
        <w:lang w:val="en-US" w:eastAsia="en-US" w:bidi="ar-SA"/>
      </w:rPr>
    </w:lvl>
    <w:lvl w:ilvl="6">
      <w:start w:val="0"/>
      <w:numFmt w:val="bullet"/>
      <w:lvlText w:val="•"/>
      <w:lvlJc w:val="left"/>
      <w:pPr>
        <w:ind w:left="6120" w:hanging="361"/>
      </w:pPr>
      <w:rPr>
        <w:rFonts w:hint="default"/>
        <w:lang w:val="en-US" w:eastAsia="en-US" w:bidi="ar-SA"/>
      </w:rPr>
    </w:lvl>
    <w:lvl w:ilvl="7">
      <w:start w:val="0"/>
      <w:numFmt w:val="bullet"/>
      <w:lvlText w:val="•"/>
      <w:lvlJc w:val="left"/>
      <w:pPr>
        <w:ind w:left="7020" w:hanging="361"/>
      </w:pPr>
      <w:rPr>
        <w:rFonts w:hint="default"/>
        <w:lang w:val="en-US" w:eastAsia="en-US" w:bidi="ar-SA"/>
      </w:rPr>
    </w:lvl>
    <w:lvl w:ilvl="8">
      <w:start w:val="0"/>
      <w:numFmt w:val="bullet"/>
      <w:lvlText w:val="•"/>
      <w:lvlJc w:val="left"/>
      <w:pPr>
        <w:ind w:left="7920" w:hanging="361"/>
      </w:pPr>
      <w:rPr>
        <w:rFonts w:hint="default"/>
        <w:lang w:val="en-US" w:eastAsia="en-US" w:bidi="ar-SA"/>
      </w:rPr>
    </w:lvl>
  </w:abstractNum>
  <w:abstractNum w:abstractNumId="4">
    <w:multiLevelType w:val="hybridMultilevel"/>
    <w:lvl w:ilvl="0">
      <w:start w:val="0"/>
      <w:numFmt w:val="bullet"/>
      <w:lvlText w:val=""/>
      <w:lvlJc w:val="left"/>
      <w:pPr>
        <w:ind w:left="721" w:hanging="361"/>
      </w:pPr>
      <w:rPr>
        <w:rFonts w:hint="default" w:ascii="Symbol" w:hAnsi="Symbol" w:eastAsia="Symbol" w:cs="Symbol"/>
        <w:b w:val="0"/>
        <w:bCs w:val="0"/>
        <w:i w:val="0"/>
        <w:iCs w:val="0"/>
        <w:spacing w:val="0"/>
        <w:w w:val="100"/>
        <w:sz w:val="20"/>
        <w:szCs w:val="20"/>
        <w:lang w:val="en-US" w:eastAsia="en-US" w:bidi="ar-SA"/>
      </w:rPr>
    </w:lvl>
    <w:lvl w:ilvl="1">
      <w:start w:val="0"/>
      <w:numFmt w:val="bullet"/>
      <w:lvlText w:val="•"/>
      <w:lvlJc w:val="left"/>
      <w:pPr>
        <w:ind w:left="1620" w:hanging="361"/>
      </w:pPr>
      <w:rPr>
        <w:rFonts w:hint="default"/>
        <w:lang w:val="en-US" w:eastAsia="en-US" w:bidi="ar-SA"/>
      </w:rPr>
    </w:lvl>
    <w:lvl w:ilvl="2">
      <w:start w:val="0"/>
      <w:numFmt w:val="bullet"/>
      <w:lvlText w:val="•"/>
      <w:lvlJc w:val="left"/>
      <w:pPr>
        <w:ind w:left="2520" w:hanging="361"/>
      </w:pPr>
      <w:rPr>
        <w:rFonts w:hint="default"/>
        <w:lang w:val="en-US" w:eastAsia="en-US" w:bidi="ar-SA"/>
      </w:rPr>
    </w:lvl>
    <w:lvl w:ilvl="3">
      <w:start w:val="0"/>
      <w:numFmt w:val="bullet"/>
      <w:lvlText w:val="•"/>
      <w:lvlJc w:val="left"/>
      <w:pPr>
        <w:ind w:left="3420" w:hanging="361"/>
      </w:pPr>
      <w:rPr>
        <w:rFonts w:hint="default"/>
        <w:lang w:val="en-US" w:eastAsia="en-US" w:bidi="ar-SA"/>
      </w:rPr>
    </w:lvl>
    <w:lvl w:ilvl="4">
      <w:start w:val="0"/>
      <w:numFmt w:val="bullet"/>
      <w:lvlText w:val="•"/>
      <w:lvlJc w:val="left"/>
      <w:pPr>
        <w:ind w:left="4320" w:hanging="361"/>
      </w:pPr>
      <w:rPr>
        <w:rFonts w:hint="default"/>
        <w:lang w:val="en-US" w:eastAsia="en-US" w:bidi="ar-SA"/>
      </w:rPr>
    </w:lvl>
    <w:lvl w:ilvl="5">
      <w:start w:val="0"/>
      <w:numFmt w:val="bullet"/>
      <w:lvlText w:val="•"/>
      <w:lvlJc w:val="left"/>
      <w:pPr>
        <w:ind w:left="5220" w:hanging="361"/>
      </w:pPr>
      <w:rPr>
        <w:rFonts w:hint="default"/>
        <w:lang w:val="en-US" w:eastAsia="en-US" w:bidi="ar-SA"/>
      </w:rPr>
    </w:lvl>
    <w:lvl w:ilvl="6">
      <w:start w:val="0"/>
      <w:numFmt w:val="bullet"/>
      <w:lvlText w:val="•"/>
      <w:lvlJc w:val="left"/>
      <w:pPr>
        <w:ind w:left="6120" w:hanging="361"/>
      </w:pPr>
      <w:rPr>
        <w:rFonts w:hint="default"/>
        <w:lang w:val="en-US" w:eastAsia="en-US" w:bidi="ar-SA"/>
      </w:rPr>
    </w:lvl>
    <w:lvl w:ilvl="7">
      <w:start w:val="0"/>
      <w:numFmt w:val="bullet"/>
      <w:lvlText w:val="•"/>
      <w:lvlJc w:val="left"/>
      <w:pPr>
        <w:ind w:left="7020" w:hanging="361"/>
      </w:pPr>
      <w:rPr>
        <w:rFonts w:hint="default"/>
        <w:lang w:val="en-US" w:eastAsia="en-US" w:bidi="ar-SA"/>
      </w:rPr>
    </w:lvl>
    <w:lvl w:ilvl="8">
      <w:start w:val="0"/>
      <w:numFmt w:val="bullet"/>
      <w:lvlText w:val="•"/>
      <w:lvlJc w:val="left"/>
      <w:pPr>
        <w:ind w:left="7920" w:hanging="361"/>
      </w:pPr>
      <w:rPr>
        <w:rFonts w:hint="default"/>
        <w:lang w:val="en-US" w:eastAsia="en-US" w:bidi="ar-SA"/>
      </w:rPr>
    </w:lvl>
  </w:abstractNum>
  <w:abstractNum w:abstractNumId="2">
    <w:multiLevelType w:val="hybridMultilevel"/>
    <w:lvl w:ilvl="0">
      <w:start w:val="1"/>
      <w:numFmt w:val="decimal"/>
      <w:lvlText w:val="%1."/>
      <w:lvlJc w:val="left"/>
      <w:pPr>
        <w:ind w:left="268" w:hanging="269"/>
        <w:jc w:val="left"/>
      </w:pPr>
      <w:rPr>
        <w:rFonts w:hint="default" w:ascii="Arial" w:hAnsi="Arial" w:eastAsia="Arial" w:cs="Arial"/>
        <w:b/>
        <w:bCs/>
        <w:i w:val="0"/>
        <w:iCs w:val="0"/>
        <w:spacing w:val="0"/>
        <w:w w:val="100"/>
        <w:sz w:val="24"/>
        <w:szCs w:val="24"/>
        <w:lang w:val="en-US" w:eastAsia="en-US" w:bidi="ar-SA"/>
      </w:rPr>
    </w:lvl>
    <w:lvl w:ilvl="1">
      <w:start w:val="1"/>
      <w:numFmt w:val="decimal"/>
      <w:lvlText w:val="%1.%2"/>
      <w:lvlJc w:val="left"/>
      <w:pPr>
        <w:ind w:left="402" w:hanging="403"/>
        <w:jc w:val="left"/>
      </w:pPr>
      <w:rPr>
        <w:rFonts w:hint="default" w:ascii="Arial" w:hAnsi="Arial" w:eastAsia="Arial" w:cs="Arial"/>
        <w:b/>
        <w:bCs/>
        <w:i w:val="0"/>
        <w:iCs w:val="0"/>
        <w:spacing w:val="-1"/>
        <w:w w:val="100"/>
        <w:sz w:val="24"/>
        <w:szCs w:val="24"/>
        <w:lang w:val="en-US" w:eastAsia="en-US" w:bidi="ar-SA"/>
      </w:rPr>
    </w:lvl>
    <w:lvl w:ilvl="2">
      <w:start w:val="1"/>
      <w:numFmt w:val="decimal"/>
      <w:lvlText w:val="%1.%2.%3"/>
      <w:lvlJc w:val="left"/>
      <w:pPr>
        <w:ind w:left="599" w:hanging="600"/>
        <w:jc w:val="left"/>
      </w:pPr>
      <w:rPr>
        <w:rFonts w:hint="default" w:ascii="Arial" w:hAnsi="Arial" w:eastAsia="Arial" w:cs="Arial"/>
        <w:b/>
        <w:bCs/>
        <w:i w:val="0"/>
        <w:iCs w:val="0"/>
        <w:spacing w:val="-1"/>
        <w:w w:val="100"/>
        <w:sz w:val="24"/>
        <w:szCs w:val="24"/>
        <w:lang w:val="en-US" w:eastAsia="en-US" w:bidi="ar-SA"/>
      </w:rPr>
    </w:lvl>
    <w:lvl w:ilvl="3">
      <w:start w:val="0"/>
      <w:numFmt w:val="bullet"/>
      <w:lvlText w:val="•"/>
      <w:lvlJc w:val="left"/>
      <w:pPr>
        <w:ind w:left="1740" w:hanging="600"/>
      </w:pPr>
      <w:rPr>
        <w:rFonts w:hint="default"/>
        <w:lang w:val="en-US" w:eastAsia="en-US" w:bidi="ar-SA"/>
      </w:rPr>
    </w:lvl>
    <w:lvl w:ilvl="4">
      <w:start w:val="0"/>
      <w:numFmt w:val="bullet"/>
      <w:lvlText w:val="•"/>
      <w:lvlJc w:val="left"/>
      <w:pPr>
        <w:ind w:left="2880" w:hanging="600"/>
      </w:pPr>
      <w:rPr>
        <w:rFonts w:hint="default"/>
        <w:lang w:val="en-US" w:eastAsia="en-US" w:bidi="ar-SA"/>
      </w:rPr>
    </w:lvl>
    <w:lvl w:ilvl="5">
      <w:start w:val="0"/>
      <w:numFmt w:val="bullet"/>
      <w:lvlText w:val="•"/>
      <w:lvlJc w:val="left"/>
      <w:pPr>
        <w:ind w:left="4020" w:hanging="600"/>
      </w:pPr>
      <w:rPr>
        <w:rFonts w:hint="default"/>
        <w:lang w:val="en-US" w:eastAsia="en-US" w:bidi="ar-SA"/>
      </w:rPr>
    </w:lvl>
    <w:lvl w:ilvl="6">
      <w:start w:val="0"/>
      <w:numFmt w:val="bullet"/>
      <w:lvlText w:val="•"/>
      <w:lvlJc w:val="left"/>
      <w:pPr>
        <w:ind w:left="5160" w:hanging="600"/>
      </w:pPr>
      <w:rPr>
        <w:rFonts w:hint="default"/>
        <w:lang w:val="en-US" w:eastAsia="en-US" w:bidi="ar-SA"/>
      </w:rPr>
    </w:lvl>
    <w:lvl w:ilvl="7">
      <w:start w:val="0"/>
      <w:numFmt w:val="bullet"/>
      <w:lvlText w:val="•"/>
      <w:lvlJc w:val="left"/>
      <w:pPr>
        <w:ind w:left="6300" w:hanging="600"/>
      </w:pPr>
      <w:rPr>
        <w:rFonts w:hint="default"/>
        <w:lang w:val="en-US" w:eastAsia="en-US" w:bidi="ar-SA"/>
      </w:rPr>
    </w:lvl>
    <w:lvl w:ilvl="8">
      <w:start w:val="0"/>
      <w:numFmt w:val="bullet"/>
      <w:lvlText w:val="•"/>
      <w:lvlJc w:val="left"/>
      <w:pPr>
        <w:ind w:left="7440" w:hanging="600"/>
      </w:pPr>
      <w:rPr>
        <w:rFonts w:hint="default"/>
        <w:lang w:val="en-US" w:eastAsia="en-US" w:bidi="ar-SA"/>
      </w:rPr>
    </w:lvl>
  </w:abstractNum>
  <w:abstractNum w:abstractNumId="1">
    <w:multiLevelType w:val="hybridMultilevel"/>
    <w:lvl w:ilvl="0">
      <w:start w:val="2"/>
      <w:numFmt w:val="decimal"/>
      <w:lvlText w:val="%1"/>
      <w:lvlJc w:val="left"/>
      <w:pPr>
        <w:ind w:left="642" w:hanging="403"/>
        <w:jc w:val="left"/>
      </w:pPr>
      <w:rPr>
        <w:rFonts w:hint="default"/>
        <w:lang w:val="en-US" w:eastAsia="en-US" w:bidi="ar-SA"/>
      </w:rPr>
    </w:lvl>
    <w:lvl w:ilvl="1">
      <w:start w:val="6"/>
      <w:numFmt w:val="decimal"/>
      <w:lvlText w:val="%1.%2"/>
      <w:lvlJc w:val="left"/>
      <w:pPr>
        <w:ind w:left="642" w:hanging="403"/>
        <w:jc w:val="left"/>
      </w:pPr>
      <w:rPr>
        <w:rFonts w:hint="default" w:ascii="Arial" w:hAnsi="Arial" w:eastAsia="Arial" w:cs="Arial"/>
        <w:b/>
        <w:bCs/>
        <w:i w:val="0"/>
        <w:iCs w:val="0"/>
        <w:spacing w:val="-1"/>
        <w:w w:val="100"/>
        <w:sz w:val="24"/>
        <w:szCs w:val="24"/>
        <w:lang w:val="en-US" w:eastAsia="en-US" w:bidi="ar-SA"/>
      </w:rPr>
    </w:lvl>
    <w:lvl w:ilvl="2">
      <w:start w:val="1"/>
      <w:numFmt w:val="decimal"/>
      <w:lvlText w:val="%1.%2.%3"/>
      <w:lvlJc w:val="left"/>
      <w:pPr>
        <w:ind w:left="1080" w:hanging="600"/>
        <w:jc w:val="left"/>
      </w:pPr>
      <w:rPr>
        <w:rFonts w:hint="default" w:ascii="Arial" w:hAnsi="Arial" w:eastAsia="Arial" w:cs="Arial"/>
        <w:b/>
        <w:bCs/>
        <w:i w:val="0"/>
        <w:iCs w:val="0"/>
        <w:spacing w:val="-1"/>
        <w:w w:val="100"/>
        <w:sz w:val="24"/>
        <w:szCs w:val="24"/>
        <w:lang w:val="en-US" w:eastAsia="en-US" w:bidi="ar-SA"/>
      </w:rPr>
    </w:lvl>
    <w:lvl w:ilvl="3">
      <w:start w:val="0"/>
      <w:numFmt w:val="bullet"/>
      <w:lvlText w:val="•"/>
      <w:lvlJc w:val="left"/>
      <w:pPr>
        <w:ind w:left="3000" w:hanging="600"/>
      </w:pPr>
      <w:rPr>
        <w:rFonts w:hint="default"/>
        <w:lang w:val="en-US" w:eastAsia="en-US" w:bidi="ar-SA"/>
      </w:rPr>
    </w:lvl>
    <w:lvl w:ilvl="4">
      <w:start w:val="0"/>
      <w:numFmt w:val="bullet"/>
      <w:lvlText w:val="•"/>
      <w:lvlJc w:val="left"/>
      <w:pPr>
        <w:ind w:left="3960" w:hanging="600"/>
      </w:pPr>
      <w:rPr>
        <w:rFonts w:hint="default"/>
        <w:lang w:val="en-US" w:eastAsia="en-US" w:bidi="ar-SA"/>
      </w:rPr>
    </w:lvl>
    <w:lvl w:ilvl="5">
      <w:start w:val="0"/>
      <w:numFmt w:val="bullet"/>
      <w:lvlText w:val="•"/>
      <w:lvlJc w:val="left"/>
      <w:pPr>
        <w:ind w:left="4920" w:hanging="600"/>
      </w:pPr>
      <w:rPr>
        <w:rFonts w:hint="default"/>
        <w:lang w:val="en-US" w:eastAsia="en-US" w:bidi="ar-SA"/>
      </w:rPr>
    </w:lvl>
    <w:lvl w:ilvl="6">
      <w:start w:val="0"/>
      <w:numFmt w:val="bullet"/>
      <w:lvlText w:val="•"/>
      <w:lvlJc w:val="left"/>
      <w:pPr>
        <w:ind w:left="5880" w:hanging="600"/>
      </w:pPr>
      <w:rPr>
        <w:rFonts w:hint="default"/>
        <w:lang w:val="en-US" w:eastAsia="en-US" w:bidi="ar-SA"/>
      </w:rPr>
    </w:lvl>
    <w:lvl w:ilvl="7">
      <w:start w:val="0"/>
      <w:numFmt w:val="bullet"/>
      <w:lvlText w:val="•"/>
      <w:lvlJc w:val="left"/>
      <w:pPr>
        <w:ind w:left="6840" w:hanging="600"/>
      </w:pPr>
      <w:rPr>
        <w:rFonts w:hint="default"/>
        <w:lang w:val="en-US" w:eastAsia="en-US" w:bidi="ar-SA"/>
      </w:rPr>
    </w:lvl>
    <w:lvl w:ilvl="8">
      <w:start w:val="0"/>
      <w:numFmt w:val="bullet"/>
      <w:lvlText w:val="•"/>
      <w:lvlJc w:val="left"/>
      <w:pPr>
        <w:ind w:left="7800" w:hanging="600"/>
      </w:pPr>
      <w:rPr>
        <w:rFonts w:hint="default"/>
        <w:lang w:val="en-US" w:eastAsia="en-US" w:bidi="ar-SA"/>
      </w:rPr>
    </w:lvl>
  </w:abstractNum>
  <w:abstractNum w:abstractNumId="0">
    <w:multiLevelType w:val="hybridMultilevel"/>
    <w:lvl w:ilvl="0">
      <w:start w:val="1"/>
      <w:numFmt w:val="decimal"/>
      <w:lvlText w:val="%1."/>
      <w:lvlJc w:val="left"/>
      <w:pPr>
        <w:ind w:left="269" w:hanging="269"/>
        <w:jc w:val="left"/>
      </w:pPr>
      <w:rPr>
        <w:rFonts w:hint="default" w:ascii="Arial" w:hAnsi="Arial" w:eastAsia="Arial" w:cs="Arial"/>
        <w:b/>
        <w:bCs/>
        <w:i w:val="0"/>
        <w:iCs w:val="0"/>
        <w:spacing w:val="0"/>
        <w:w w:val="100"/>
        <w:sz w:val="24"/>
        <w:szCs w:val="24"/>
        <w:lang w:val="en-US" w:eastAsia="en-US" w:bidi="ar-SA"/>
      </w:rPr>
    </w:lvl>
    <w:lvl w:ilvl="1">
      <w:start w:val="1"/>
      <w:numFmt w:val="decimal"/>
      <w:lvlText w:val="%1.%2"/>
      <w:lvlJc w:val="left"/>
      <w:pPr>
        <w:ind w:left="642" w:hanging="403"/>
        <w:jc w:val="left"/>
      </w:pPr>
      <w:rPr>
        <w:rFonts w:hint="default" w:ascii="Arial" w:hAnsi="Arial" w:eastAsia="Arial" w:cs="Arial"/>
        <w:b/>
        <w:bCs/>
        <w:i w:val="0"/>
        <w:iCs w:val="0"/>
        <w:spacing w:val="-1"/>
        <w:w w:val="100"/>
        <w:sz w:val="24"/>
        <w:szCs w:val="24"/>
        <w:lang w:val="en-US" w:eastAsia="en-US" w:bidi="ar-SA"/>
      </w:rPr>
    </w:lvl>
    <w:lvl w:ilvl="2">
      <w:start w:val="0"/>
      <w:numFmt w:val="bullet"/>
      <w:lvlText w:val="•"/>
      <w:lvlJc w:val="left"/>
      <w:pPr>
        <w:ind w:left="1648" w:hanging="403"/>
      </w:pPr>
      <w:rPr>
        <w:rFonts w:hint="default"/>
        <w:lang w:val="en-US" w:eastAsia="en-US" w:bidi="ar-SA"/>
      </w:rPr>
    </w:lvl>
    <w:lvl w:ilvl="3">
      <w:start w:val="0"/>
      <w:numFmt w:val="bullet"/>
      <w:lvlText w:val="•"/>
      <w:lvlJc w:val="left"/>
      <w:pPr>
        <w:ind w:left="2657" w:hanging="403"/>
      </w:pPr>
      <w:rPr>
        <w:rFonts w:hint="default"/>
        <w:lang w:val="en-US" w:eastAsia="en-US" w:bidi="ar-SA"/>
      </w:rPr>
    </w:lvl>
    <w:lvl w:ilvl="4">
      <w:start w:val="0"/>
      <w:numFmt w:val="bullet"/>
      <w:lvlText w:val="•"/>
      <w:lvlJc w:val="left"/>
      <w:pPr>
        <w:ind w:left="3666" w:hanging="403"/>
      </w:pPr>
      <w:rPr>
        <w:rFonts w:hint="default"/>
        <w:lang w:val="en-US" w:eastAsia="en-US" w:bidi="ar-SA"/>
      </w:rPr>
    </w:lvl>
    <w:lvl w:ilvl="5">
      <w:start w:val="0"/>
      <w:numFmt w:val="bullet"/>
      <w:lvlText w:val="•"/>
      <w:lvlJc w:val="left"/>
      <w:pPr>
        <w:ind w:left="4675" w:hanging="403"/>
      </w:pPr>
      <w:rPr>
        <w:rFonts w:hint="default"/>
        <w:lang w:val="en-US" w:eastAsia="en-US" w:bidi="ar-SA"/>
      </w:rPr>
    </w:lvl>
    <w:lvl w:ilvl="6">
      <w:start w:val="0"/>
      <w:numFmt w:val="bullet"/>
      <w:lvlText w:val="•"/>
      <w:lvlJc w:val="left"/>
      <w:pPr>
        <w:ind w:left="5684" w:hanging="403"/>
      </w:pPr>
      <w:rPr>
        <w:rFonts w:hint="default"/>
        <w:lang w:val="en-US" w:eastAsia="en-US" w:bidi="ar-SA"/>
      </w:rPr>
    </w:lvl>
    <w:lvl w:ilvl="7">
      <w:start w:val="0"/>
      <w:numFmt w:val="bullet"/>
      <w:lvlText w:val="•"/>
      <w:lvlJc w:val="left"/>
      <w:pPr>
        <w:ind w:left="6693" w:hanging="403"/>
      </w:pPr>
      <w:rPr>
        <w:rFonts w:hint="default"/>
        <w:lang w:val="en-US" w:eastAsia="en-US" w:bidi="ar-SA"/>
      </w:rPr>
    </w:lvl>
    <w:lvl w:ilvl="8">
      <w:start w:val="0"/>
      <w:numFmt w:val="bullet"/>
      <w:lvlText w:val="•"/>
      <w:lvlJc w:val="left"/>
      <w:pPr>
        <w:ind w:left="7702" w:hanging="403"/>
      </w:pPr>
      <w:rPr>
        <w:rFonts w:hint="default"/>
        <w:lang w:val="en-US" w:eastAsia="en-US" w:bidi="ar-SA"/>
      </w:rPr>
    </w:lvl>
  </w:abstractNum>
  <w:num w:numId="8">
    <w:abstractNumId w:val="7"/>
  </w:num>
  <w:num w:numId="7">
    <w:abstractNumId w:val="6"/>
  </w:num>
  <w:num w:numId="6">
    <w:abstractNumId w:val="5"/>
  </w:num>
  <w:num w:numId="4">
    <w:abstractNumId w:val="3"/>
  </w:num>
  <w:num w:numId="5">
    <w:abstractNumId w:val="4"/>
  </w:num>
  <w:num w:numId="3">
    <w:abstractNumId w:val="2"/>
  </w:num>
  <w:num w:numId="2">
    <w:abstractNumId w:val="1"/>
  </w: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Arial MT" w:hAnsi="Arial MT" w:eastAsia="Arial MT" w:cs="Arial MT"/>
      <w:lang w:val="en-US" w:eastAsia="en-US" w:bidi="ar-SA"/>
    </w:rPr>
  </w:style>
  <w:style w:styleId="TOC1" w:type="paragraph">
    <w:name w:val="TOC 1"/>
    <w:basedOn w:val="Normal"/>
    <w:uiPriority w:val="1"/>
    <w:qFormat/>
    <w:pPr>
      <w:spacing w:before="143"/>
      <w:ind w:left="266" w:hanging="266"/>
    </w:pPr>
    <w:rPr>
      <w:rFonts w:ascii="Arial" w:hAnsi="Arial" w:eastAsia="Arial" w:cs="Arial"/>
      <w:b/>
      <w:bCs/>
      <w:sz w:val="24"/>
      <w:szCs w:val="24"/>
      <w:lang w:val="en-US" w:eastAsia="en-US" w:bidi="ar-SA"/>
    </w:rPr>
  </w:style>
  <w:style w:styleId="TOC2" w:type="paragraph">
    <w:name w:val="TOC 2"/>
    <w:basedOn w:val="Normal"/>
    <w:uiPriority w:val="1"/>
    <w:qFormat/>
    <w:pPr>
      <w:spacing w:before="144"/>
      <w:ind w:hanging="266"/>
    </w:pPr>
    <w:rPr>
      <w:rFonts w:ascii="Arial" w:hAnsi="Arial" w:eastAsia="Arial" w:cs="Arial"/>
      <w:b/>
      <w:bCs/>
      <w:i/>
      <w:iCs/>
      <w:lang w:val="en-US" w:eastAsia="en-US" w:bidi="ar-SA"/>
    </w:rPr>
  </w:style>
  <w:style w:styleId="TOC3" w:type="paragraph">
    <w:name w:val="TOC 3"/>
    <w:basedOn w:val="Normal"/>
    <w:uiPriority w:val="1"/>
    <w:qFormat/>
    <w:pPr>
      <w:spacing w:before="144"/>
      <w:ind w:left="640" w:hanging="400"/>
    </w:pPr>
    <w:rPr>
      <w:rFonts w:ascii="Arial" w:hAnsi="Arial" w:eastAsia="Arial" w:cs="Arial"/>
      <w:b/>
      <w:bCs/>
      <w:sz w:val="24"/>
      <w:szCs w:val="24"/>
      <w:lang w:val="en-US" w:eastAsia="en-US" w:bidi="ar-SA"/>
    </w:rPr>
  </w:style>
  <w:style w:styleId="TOC4" w:type="paragraph">
    <w:name w:val="TOC 4"/>
    <w:basedOn w:val="Normal"/>
    <w:uiPriority w:val="1"/>
    <w:qFormat/>
    <w:pPr>
      <w:spacing w:before="145"/>
      <w:ind w:left="1075" w:hanging="595"/>
    </w:pPr>
    <w:rPr>
      <w:rFonts w:ascii="Arial" w:hAnsi="Arial" w:eastAsia="Arial" w:cs="Arial"/>
      <w:b/>
      <w:bCs/>
      <w:sz w:val="24"/>
      <w:szCs w:val="24"/>
      <w:lang w:val="en-US" w:eastAsia="en-US" w:bidi="ar-SA"/>
    </w:rPr>
  </w:style>
  <w:style w:styleId="BodyText" w:type="paragraph">
    <w:name w:val="Body Text"/>
    <w:basedOn w:val="Normal"/>
    <w:uiPriority w:val="1"/>
    <w:qFormat/>
    <w:pPr/>
    <w:rPr>
      <w:rFonts w:ascii="Arial MT" w:hAnsi="Arial MT" w:eastAsia="Arial MT" w:cs="Arial MT"/>
      <w:sz w:val="24"/>
      <w:szCs w:val="24"/>
      <w:lang w:val="en-US" w:eastAsia="en-US" w:bidi="ar-SA"/>
    </w:rPr>
  </w:style>
  <w:style w:styleId="Heading1" w:type="paragraph">
    <w:name w:val="Heading 1"/>
    <w:basedOn w:val="Normal"/>
    <w:uiPriority w:val="1"/>
    <w:qFormat/>
    <w:pPr>
      <w:spacing w:before="188"/>
      <w:outlineLvl w:val="1"/>
    </w:pPr>
    <w:rPr>
      <w:rFonts w:ascii="Arial" w:hAnsi="Arial" w:eastAsia="Arial" w:cs="Arial"/>
      <w:b/>
      <w:bCs/>
      <w:sz w:val="28"/>
      <w:szCs w:val="28"/>
      <w:lang w:val="en-US" w:eastAsia="en-US" w:bidi="ar-SA"/>
    </w:rPr>
  </w:style>
  <w:style w:styleId="Heading2" w:type="paragraph">
    <w:name w:val="Heading 2"/>
    <w:basedOn w:val="Normal"/>
    <w:uiPriority w:val="1"/>
    <w:qFormat/>
    <w:pPr>
      <w:outlineLvl w:val="2"/>
    </w:pPr>
    <w:rPr>
      <w:rFonts w:ascii="Arial" w:hAnsi="Arial" w:eastAsia="Arial" w:cs="Arial"/>
      <w:b/>
      <w:bCs/>
      <w:sz w:val="24"/>
      <w:szCs w:val="24"/>
      <w:lang w:val="en-US" w:eastAsia="en-US" w:bidi="ar-SA"/>
    </w:rPr>
  </w:style>
  <w:style w:styleId="ListParagraph" w:type="paragraph">
    <w:name w:val="List Paragraph"/>
    <w:basedOn w:val="Normal"/>
    <w:uiPriority w:val="1"/>
    <w:qFormat/>
    <w:pPr>
      <w:ind w:left="400" w:hanging="400"/>
    </w:pPr>
    <w:rPr>
      <w:rFonts w:ascii="Arial" w:hAnsi="Arial" w:eastAsia="Arial" w:cs="Arial"/>
      <w:lang w:val="en-US" w:eastAsia="en-US" w:bidi="ar-SA"/>
    </w:rPr>
  </w:style>
  <w:style w:styleId="TableParagraph" w:type="paragraph">
    <w:name w:val="Table Paragraph"/>
    <w:basedOn w:val="Normal"/>
    <w:uiPriority w:val="1"/>
    <w:qFormat/>
    <w:pPr>
      <w:spacing w:before="24"/>
      <w:ind w:left="10"/>
      <w:jc w:val="center"/>
    </w:pPr>
    <w:rPr>
      <w:rFonts w:ascii="Arial MT" w:hAnsi="Arial MT" w:eastAsia="Arial MT" w:cs="Arial MT"/>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footer" Target="footer1.xml"/><Relationship Id="rId6" Type="http://schemas.openxmlformats.org/officeDocument/2006/relationships/image" Target="media/image1.jpeg"/><Relationship Id="rId7" Type="http://schemas.openxmlformats.org/officeDocument/2006/relationships/image" Target="media/image2.png"/><Relationship Id="rId8" Type="http://schemas.openxmlformats.org/officeDocument/2006/relationships/image" Target="media/image3.jpeg"/><Relationship Id="rId9" Type="http://schemas.openxmlformats.org/officeDocument/2006/relationships/image" Target="media/image4.png"/><Relationship Id="rId10" Type="http://schemas.openxmlformats.org/officeDocument/2006/relationships/image" Target="media/image5.jpeg"/><Relationship Id="rId11" Type="http://schemas.openxmlformats.org/officeDocument/2006/relationships/hyperlink" Target="http://www.investopedia.com/terms/p/paybackperiod.asp" TargetMode="External"/><Relationship Id="rId12" Type="http://schemas.openxmlformats.org/officeDocument/2006/relationships/hyperlink" Target="http://e-journal.uum.edu.my/index.php/ijbf/article/view/8498" TargetMode="External"/><Relationship Id="rId13" Type="http://schemas.openxmlformats.org/officeDocument/2006/relationships/hyperlink" Target="http://www.sec.gov/Archives/edgar/data/1736541/000110465926041765/nio-" TargetMode="External"/><Relationship Id="rId14" Type="http://schemas.openxmlformats.org/officeDocument/2006/relationships/hyperlink" Target="http://www.reuters.com/markets/companies/NIO.N/financials/balance-" TargetMode="External"/><Relationship Id="rId15" Type="http://schemas.openxmlformats.org/officeDocument/2006/relationships/hyperlink" Target="http://www.stocktitan.net/sec-filings/NIO/20-f-nio-inc-files-" TargetMode="External"/><Relationship Id="rId16"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2026-04-24T11:06:08Z</dcterms:created>
  <dcterms:modified xsi:type="dcterms:W3CDTF">2026-04-24T11:06:08Z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2026-04-24T00:00:00Z</vt:filetime>
  </property>
  <property fmtid="{D5CDD505-2E9C-101B-9397-08002B2CF9AE}" pid="3" name="Creator">
    <vt:lpwstr>Microsoft® Word 2016</vt:lpwstr>
  </property>
  <property fmtid="{D5CDD505-2E9C-101B-9397-08002B2CF9AE}" pid="4" name="LastSaved">
    <vt:filetime>2026-04-24T00:00:00Z</vt:filetime>
  </property>
  <property fmtid="{D5CDD505-2E9C-101B-9397-08002B2CF9AE}" pid="5" name="Producer">
    <vt:lpwstr>www.ilovepdf.com</vt:lpwstr>
  </property>
</Properties>
</file>