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C05BB" w14:textId="77777777" w:rsidR="00D44D88" w:rsidRPr="00D44D88" w:rsidRDefault="00D44D88" w:rsidP="00601342">
      <w:pPr>
        <w:pStyle w:val="Title"/>
        <w:jc w:val="center"/>
        <w:rPr>
          <w:lang w:val="en-US"/>
        </w:rPr>
      </w:pPr>
      <w:r w:rsidRPr="00D44D88">
        <w:rPr>
          <w:lang w:val="en-US"/>
        </w:rPr>
        <w:t>Research Report: Staff Burnout in the NHS – A Critical Challenge for Workforce Sustainability and Patient Safety</w:t>
      </w:r>
    </w:p>
    <w:p w14:paraId="32277274" w14:textId="77777777" w:rsidR="00601342" w:rsidRDefault="00601342" w:rsidP="00D44D88">
      <w:pPr>
        <w:rPr>
          <w:b/>
          <w:bCs/>
          <w:lang w:val="en-US"/>
        </w:rPr>
      </w:pPr>
    </w:p>
    <w:p w14:paraId="7F7A06B5" w14:textId="77777777" w:rsidR="00601342" w:rsidRDefault="00601342" w:rsidP="00D44D88">
      <w:pPr>
        <w:rPr>
          <w:b/>
          <w:bCs/>
          <w:lang w:val="en-US"/>
        </w:rPr>
      </w:pPr>
    </w:p>
    <w:p w14:paraId="12C6F6C2" w14:textId="77777777" w:rsidR="00601342" w:rsidRDefault="00601342" w:rsidP="00D44D88">
      <w:pPr>
        <w:rPr>
          <w:b/>
          <w:bCs/>
          <w:lang w:val="en-US"/>
        </w:rPr>
      </w:pPr>
    </w:p>
    <w:p w14:paraId="5B4E1855" w14:textId="77777777" w:rsidR="00601342" w:rsidRDefault="00601342" w:rsidP="00D44D88">
      <w:pPr>
        <w:rPr>
          <w:b/>
          <w:bCs/>
          <w:lang w:val="en-US"/>
        </w:rPr>
      </w:pPr>
    </w:p>
    <w:p w14:paraId="033052F2" w14:textId="77777777" w:rsidR="00601342" w:rsidRDefault="00601342" w:rsidP="00D44D88">
      <w:pPr>
        <w:rPr>
          <w:b/>
          <w:bCs/>
          <w:lang w:val="en-US"/>
        </w:rPr>
      </w:pPr>
    </w:p>
    <w:p w14:paraId="25769B6C" w14:textId="77777777" w:rsidR="00601342" w:rsidRDefault="00601342" w:rsidP="00D44D88">
      <w:pPr>
        <w:rPr>
          <w:b/>
          <w:bCs/>
          <w:lang w:val="en-US"/>
        </w:rPr>
      </w:pPr>
    </w:p>
    <w:p w14:paraId="629AACEB" w14:textId="77777777" w:rsidR="00601342" w:rsidRDefault="00601342" w:rsidP="00D44D88">
      <w:pPr>
        <w:rPr>
          <w:b/>
          <w:bCs/>
          <w:lang w:val="en-US"/>
        </w:rPr>
      </w:pPr>
    </w:p>
    <w:p w14:paraId="02F5E9CA" w14:textId="52355214" w:rsidR="00D44D88" w:rsidRPr="00601342" w:rsidRDefault="00D44D88" w:rsidP="00D44D88">
      <w:pPr>
        <w:rPr>
          <w:sz w:val="36"/>
          <w:szCs w:val="32"/>
          <w:lang w:val="en-US"/>
        </w:rPr>
      </w:pPr>
      <w:r w:rsidRPr="00D44D88">
        <w:rPr>
          <w:b/>
          <w:bCs/>
          <w:sz w:val="36"/>
          <w:szCs w:val="32"/>
          <w:lang w:val="en-US"/>
        </w:rPr>
        <w:t>Name:</w:t>
      </w:r>
      <w:r w:rsidRPr="00D44D88">
        <w:rPr>
          <w:sz w:val="36"/>
          <w:szCs w:val="32"/>
          <w:lang w:val="en-US"/>
        </w:rPr>
        <w:t xml:space="preserve"> </w:t>
      </w:r>
      <w:proofErr w:type="spellStart"/>
      <w:r w:rsidRPr="00D44D88">
        <w:rPr>
          <w:sz w:val="36"/>
          <w:szCs w:val="32"/>
          <w:lang w:val="en-US"/>
        </w:rPr>
        <w:t>Alinaqi</w:t>
      </w:r>
      <w:proofErr w:type="spellEnd"/>
      <w:r w:rsidRPr="00D44D88">
        <w:rPr>
          <w:sz w:val="36"/>
          <w:szCs w:val="32"/>
          <w:lang w:val="en-US"/>
        </w:rPr>
        <w:t xml:space="preserve"> </w:t>
      </w:r>
      <w:proofErr w:type="spellStart"/>
      <w:r w:rsidRPr="00D44D88">
        <w:rPr>
          <w:sz w:val="36"/>
          <w:szCs w:val="32"/>
          <w:lang w:val="en-US"/>
        </w:rPr>
        <w:t>bukht</w:t>
      </w:r>
      <w:proofErr w:type="spellEnd"/>
      <w:r w:rsidRPr="00D44D88">
        <w:rPr>
          <w:sz w:val="36"/>
          <w:szCs w:val="32"/>
          <w:lang w:val="en-US"/>
        </w:rPr>
        <w:t xml:space="preserve"> Mirza</w:t>
      </w:r>
    </w:p>
    <w:p w14:paraId="53AFE6E6" w14:textId="77777777" w:rsidR="00D44D88" w:rsidRPr="00601342" w:rsidRDefault="00D44D88" w:rsidP="00D44D88">
      <w:pPr>
        <w:rPr>
          <w:sz w:val="36"/>
          <w:szCs w:val="32"/>
          <w:lang w:val="en-US"/>
        </w:rPr>
      </w:pPr>
      <w:r w:rsidRPr="00D44D88">
        <w:rPr>
          <w:b/>
          <w:bCs/>
          <w:sz w:val="36"/>
          <w:szCs w:val="32"/>
          <w:lang w:val="en-US"/>
        </w:rPr>
        <w:t>Student ID:</w:t>
      </w:r>
      <w:r w:rsidRPr="00D44D88">
        <w:rPr>
          <w:sz w:val="36"/>
          <w:szCs w:val="32"/>
          <w:lang w:val="en-US"/>
        </w:rPr>
        <w:t xml:space="preserve"> 2530128</w:t>
      </w:r>
    </w:p>
    <w:p w14:paraId="70302CDA" w14:textId="77777777" w:rsidR="00D44D88" w:rsidRPr="00601342" w:rsidRDefault="00D44D88" w:rsidP="00D44D88">
      <w:pPr>
        <w:rPr>
          <w:sz w:val="36"/>
          <w:szCs w:val="32"/>
          <w:lang w:val="en-US"/>
        </w:rPr>
      </w:pPr>
      <w:r w:rsidRPr="00D44D88">
        <w:rPr>
          <w:b/>
          <w:bCs/>
          <w:sz w:val="36"/>
          <w:szCs w:val="32"/>
          <w:lang w:val="en-US"/>
        </w:rPr>
        <w:t>Module Code:</w:t>
      </w:r>
      <w:r w:rsidRPr="00D44D88">
        <w:rPr>
          <w:sz w:val="36"/>
          <w:szCs w:val="32"/>
          <w:lang w:val="en-US"/>
        </w:rPr>
        <w:t xml:space="preserve"> LCHS4007</w:t>
      </w:r>
    </w:p>
    <w:p w14:paraId="7A8BC822" w14:textId="77777777" w:rsidR="00D44D88" w:rsidRPr="00601342" w:rsidRDefault="00D44D88" w:rsidP="00D44D88">
      <w:pPr>
        <w:rPr>
          <w:sz w:val="36"/>
          <w:szCs w:val="32"/>
          <w:lang w:val="en-US"/>
        </w:rPr>
      </w:pPr>
      <w:r w:rsidRPr="00D44D88">
        <w:rPr>
          <w:b/>
          <w:bCs/>
          <w:sz w:val="36"/>
          <w:szCs w:val="32"/>
          <w:lang w:val="en-US"/>
        </w:rPr>
        <w:t>Module Title:</w:t>
      </w:r>
      <w:r w:rsidRPr="00D44D88">
        <w:rPr>
          <w:sz w:val="36"/>
          <w:szCs w:val="32"/>
          <w:lang w:val="en-US"/>
        </w:rPr>
        <w:t xml:space="preserve"> Digital Skills and Research Methods</w:t>
      </w:r>
    </w:p>
    <w:p w14:paraId="7DDF5952" w14:textId="77777777" w:rsidR="00D44D88" w:rsidRPr="00601342" w:rsidRDefault="00D44D88" w:rsidP="00D44D88">
      <w:pPr>
        <w:rPr>
          <w:sz w:val="36"/>
          <w:szCs w:val="32"/>
          <w:lang w:val="en-US"/>
        </w:rPr>
      </w:pPr>
      <w:r w:rsidRPr="00D44D88">
        <w:rPr>
          <w:b/>
          <w:bCs/>
          <w:sz w:val="36"/>
          <w:szCs w:val="32"/>
          <w:lang w:val="en-US"/>
        </w:rPr>
        <w:t>Lecturer’s Name:</w:t>
      </w:r>
      <w:r w:rsidRPr="00D44D88">
        <w:rPr>
          <w:sz w:val="36"/>
          <w:szCs w:val="32"/>
          <w:lang w:val="en-US"/>
        </w:rPr>
        <w:t xml:space="preserve"> </w:t>
      </w:r>
      <w:proofErr w:type="spellStart"/>
      <w:r w:rsidRPr="00D44D88">
        <w:rPr>
          <w:sz w:val="36"/>
          <w:szCs w:val="32"/>
          <w:lang w:val="en-US"/>
        </w:rPr>
        <w:t>Hajra</w:t>
      </w:r>
      <w:proofErr w:type="spellEnd"/>
      <w:r w:rsidRPr="00D44D88">
        <w:rPr>
          <w:sz w:val="36"/>
          <w:szCs w:val="32"/>
          <w:lang w:val="en-US"/>
        </w:rPr>
        <w:t xml:space="preserve"> </w:t>
      </w:r>
      <w:proofErr w:type="spellStart"/>
      <w:r w:rsidRPr="00D44D88">
        <w:rPr>
          <w:sz w:val="36"/>
          <w:szCs w:val="32"/>
          <w:lang w:val="en-US"/>
        </w:rPr>
        <w:t>Mustasim</w:t>
      </w:r>
      <w:proofErr w:type="spellEnd"/>
    </w:p>
    <w:p w14:paraId="698096ED" w14:textId="412925A8" w:rsidR="00601342" w:rsidRDefault="00601342">
      <w:pPr>
        <w:spacing w:after="160" w:line="259" w:lineRule="auto"/>
        <w:jc w:val="left"/>
        <w:rPr>
          <w:lang w:val="en-US"/>
        </w:rPr>
      </w:pPr>
      <w:r>
        <w:rPr>
          <w:lang w:val="en-US"/>
        </w:rPr>
        <w:br w:type="page"/>
      </w:r>
    </w:p>
    <w:sdt>
      <w:sdtPr>
        <w:rPr>
          <w:rFonts w:ascii="Arial" w:eastAsiaTheme="minorHAnsi" w:hAnsi="Arial" w:cstheme="minorBidi"/>
          <w:color w:val="auto"/>
          <w:sz w:val="22"/>
          <w:szCs w:val="22"/>
          <w:lang w:val="en-GB"/>
        </w:rPr>
        <w:id w:val="-923253085"/>
        <w:docPartObj>
          <w:docPartGallery w:val="Table of Contents"/>
          <w:docPartUnique/>
        </w:docPartObj>
      </w:sdtPr>
      <w:sdtEndPr>
        <w:rPr>
          <w:b/>
          <w:bCs/>
          <w:noProof/>
        </w:rPr>
      </w:sdtEndPr>
      <w:sdtContent>
        <w:p w14:paraId="06310872" w14:textId="47768316" w:rsidR="00601342" w:rsidRPr="00601342" w:rsidRDefault="00601342">
          <w:pPr>
            <w:pStyle w:val="TOCHeading"/>
            <w:rPr>
              <w:rStyle w:val="Heading1Char"/>
            </w:rPr>
          </w:pPr>
          <w:r w:rsidRPr="00601342">
            <w:rPr>
              <w:rStyle w:val="Heading1Char"/>
            </w:rPr>
            <w:t>Table of Contents</w:t>
          </w:r>
        </w:p>
        <w:p w14:paraId="7D047C53" w14:textId="16F7D92E" w:rsidR="008E4C42" w:rsidRDefault="00601342">
          <w:pPr>
            <w:pStyle w:val="TOC1"/>
            <w:tabs>
              <w:tab w:val="right" w:leader="dot" w:pos="9350"/>
            </w:tabs>
            <w:rPr>
              <w:rFonts w:asciiTheme="minorHAnsi" w:eastAsiaTheme="minorEastAsia" w:hAnsiTheme="minorHAnsi"/>
              <w:noProof/>
              <w:kern w:val="2"/>
              <w:sz w:val="24"/>
              <w:szCs w:val="21"/>
              <w:lang w:val="en-US" w:bidi="hi-IN"/>
              <w14:ligatures w14:val="standardContextual"/>
            </w:rPr>
          </w:pPr>
          <w:r>
            <w:fldChar w:fldCharType="begin"/>
          </w:r>
          <w:r>
            <w:instrText xml:space="preserve"> TOC \o "1-3" \h \z \u </w:instrText>
          </w:r>
          <w:r>
            <w:fldChar w:fldCharType="separate"/>
          </w:r>
          <w:hyperlink w:anchor="_Toc225159608" w:history="1">
            <w:r w:rsidR="008E4C42" w:rsidRPr="00FB0B91">
              <w:rPr>
                <w:rStyle w:val="Hyperlink"/>
                <w:noProof/>
                <w:lang w:val="en-US"/>
              </w:rPr>
              <w:t>Introduction</w:t>
            </w:r>
            <w:r w:rsidR="008E4C42">
              <w:rPr>
                <w:noProof/>
                <w:webHidden/>
              </w:rPr>
              <w:tab/>
            </w:r>
            <w:r w:rsidR="008E4C42">
              <w:rPr>
                <w:noProof/>
                <w:webHidden/>
              </w:rPr>
              <w:fldChar w:fldCharType="begin"/>
            </w:r>
            <w:r w:rsidR="008E4C42">
              <w:rPr>
                <w:noProof/>
                <w:webHidden/>
              </w:rPr>
              <w:instrText xml:space="preserve"> PAGEREF _Toc225159608 \h </w:instrText>
            </w:r>
            <w:r w:rsidR="008E4C42">
              <w:rPr>
                <w:noProof/>
                <w:webHidden/>
              </w:rPr>
            </w:r>
            <w:r w:rsidR="008E4C42">
              <w:rPr>
                <w:noProof/>
                <w:webHidden/>
              </w:rPr>
              <w:fldChar w:fldCharType="separate"/>
            </w:r>
            <w:r w:rsidR="008E4C42">
              <w:rPr>
                <w:noProof/>
                <w:webHidden/>
              </w:rPr>
              <w:t>1</w:t>
            </w:r>
            <w:r w:rsidR="008E4C42">
              <w:rPr>
                <w:noProof/>
                <w:webHidden/>
              </w:rPr>
              <w:fldChar w:fldCharType="end"/>
            </w:r>
          </w:hyperlink>
        </w:p>
        <w:p w14:paraId="30227576" w14:textId="47427D12" w:rsidR="008E4C42" w:rsidRDefault="00490A26">
          <w:pPr>
            <w:pStyle w:val="TOC1"/>
            <w:tabs>
              <w:tab w:val="right" w:leader="dot" w:pos="9350"/>
            </w:tabs>
            <w:rPr>
              <w:rFonts w:asciiTheme="minorHAnsi" w:eastAsiaTheme="minorEastAsia" w:hAnsiTheme="minorHAnsi"/>
              <w:noProof/>
              <w:kern w:val="2"/>
              <w:sz w:val="24"/>
              <w:szCs w:val="21"/>
              <w:lang w:val="en-US" w:bidi="hi-IN"/>
              <w14:ligatures w14:val="standardContextual"/>
            </w:rPr>
          </w:pPr>
          <w:hyperlink w:anchor="_Toc225159609" w:history="1">
            <w:r w:rsidR="008E4C42" w:rsidRPr="00FB0B91">
              <w:rPr>
                <w:rStyle w:val="Hyperlink"/>
                <w:noProof/>
                <w:lang w:val="en-US"/>
              </w:rPr>
              <w:t>Task 1 of 4 – Selection of a Research Topic</w:t>
            </w:r>
            <w:r w:rsidR="008E4C42">
              <w:rPr>
                <w:noProof/>
                <w:webHidden/>
              </w:rPr>
              <w:tab/>
            </w:r>
            <w:r w:rsidR="008E4C42">
              <w:rPr>
                <w:noProof/>
                <w:webHidden/>
              </w:rPr>
              <w:fldChar w:fldCharType="begin"/>
            </w:r>
            <w:r w:rsidR="008E4C42">
              <w:rPr>
                <w:noProof/>
                <w:webHidden/>
              </w:rPr>
              <w:instrText xml:space="preserve"> PAGEREF _Toc225159609 \h </w:instrText>
            </w:r>
            <w:r w:rsidR="008E4C42">
              <w:rPr>
                <w:noProof/>
                <w:webHidden/>
              </w:rPr>
            </w:r>
            <w:r w:rsidR="008E4C42">
              <w:rPr>
                <w:noProof/>
                <w:webHidden/>
              </w:rPr>
              <w:fldChar w:fldCharType="separate"/>
            </w:r>
            <w:r w:rsidR="008E4C42">
              <w:rPr>
                <w:noProof/>
                <w:webHidden/>
              </w:rPr>
              <w:t>1</w:t>
            </w:r>
            <w:r w:rsidR="008E4C42">
              <w:rPr>
                <w:noProof/>
                <w:webHidden/>
              </w:rPr>
              <w:fldChar w:fldCharType="end"/>
            </w:r>
          </w:hyperlink>
        </w:p>
        <w:p w14:paraId="35010CB4" w14:textId="0C370E34" w:rsidR="008E4C42" w:rsidRDefault="00490A26">
          <w:pPr>
            <w:pStyle w:val="TOC1"/>
            <w:tabs>
              <w:tab w:val="right" w:leader="dot" w:pos="9350"/>
            </w:tabs>
            <w:rPr>
              <w:rFonts w:asciiTheme="minorHAnsi" w:eastAsiaTheme="minorEastAsia" w:hAnsiTheme="minorHAnsi"/>
              <w:noProof/>
              <w:kern w:val="2"/>
              <w:sz w:val="24"/>
              <w:szCs w:val="21"/>
              <w:lang w:val="en-US" w:bidi="hi-IN"/>
              <w14:ligatures w14:val="standardContextual"/>
            </w:rPr>
          </w:pPr>
          <w:hyperlink w:anchor="_Toc225159610" w:history="1">
            <w:r w:rsidR="008E4C42" w:rsidRPr="00FB0B91">
              <w:rPr>
                <w:rStyle w:val="Hyperlink"/>
                <w:noProof/>
                <w:lang w:val="en-US"/>
              </w:rPr>
              <w:t>Task 2 of 4 – Evaluating Information Sources</w:t>
            </w:r>
            <w:r w:rsidR="008E4C42">
              <w:rPr>
                <w:noProof/>
                <w:webHidden/>
              </w:rPr>
              <w:tab/>
            </w:r>
            <w:r w:rsidR="008E4C42">
              <w:rPr>
                <w:noProof/>
                <w:webHidden/>
              </w:rPr>
              <w:fldChar w:fldCharType="begin"/>
            </w:r>
            <w:r w:rsidR="008E4C42">
              <w:rPr>
                <w:noProof/>
                <w:webHidden/>
              </w:rPr>
              <w:instrText xml:space="preserve"> PAGEREF _Toc225159610 \h </w:instrText>
            </w:r>
            <w:r w:rsidR="008E4C42">
              <w:rPr>
                <w:noProof/>
                <w:webHidden/>
              </w:rPr>
            </w:r>
            <w:r w:rsidR="008E4C42">
              <w:rPr>
                <w:noProof/>
                <w:webHidden/>
              </w:rPr>
              <w:fldChar w:fldCharType="separate"/>
            </w:r>
            <w:r w:rsidR="008E4C42">
              <w:rPr>
                <w:noProof/>
                <w:webHidden/>
              </w:rPr>
              <w:t>2</w:t>
            </w:r>
            <w:r w:rsidR="008E4C42">
              <w:rPr>
                <w:noProof/>
                <w:webHidden/>
              </w:rPr>
              <w:fldChar w:fldCharType="end"/>
            </w:r>
          </w:hyperlink>
        </w:p>
        <w:p w14:paraId="04513142" w14:textId="2E4603FD" w:rsidR="008E4C42" w:rsidRDefault="00490A26">
          <w:pPr>
            <w:pStyle w:val="TOC1"/>
            <w:tabs>
              <w:tab w:val="right" w:leader="dot" w:pos="9350"/>
            </w:tabs>
            <w:rPr>
              <w:rFonts w:asciiTheme="minorHAnsi" w:eastAsiaTheme="minorEastAsia" w:hAnsiTheme="minorHAnsi"/>
              <w:noProof/>
              <w:kern w:val="2"/>
              <w:sz w:val="24"/>
              <w:szCs w:val="21"/>
              <w:lang w:val="en-US" w:bidi="hi-IN"/>
              <w14:ligatures w14:val="standardContextual"/>
            </w:rPr>
          </w:pPr>
          <w:hyperlink w:anchor="_Toc225159611" w:history="1">
            <w:r w:rsidR="008E4C42" w:rsidRPr="00FB0B91">
              <w:rPr>
                <w:rStyle w:val="Hyperlink"/>
                <w:noProof/>
                <w:lang w:val="en-US"/>
              </w:rPr>
              <w:t>Task 3 of 4 – Research Methodologies</w:t>
            </w:r>
            <w:r w:rsidR="008E4C42">
              <w:rPr>
                <w:noProof/>
                <w:webHidden/>
              </w:rPr>
              <w:tab/>
            </w:r>
            <w:r w:rsidR="008E4C42">
              <w:rPr>
                <w:noProof/>
                <w:webHidden/>
              </w:rPr>
              <w:fldChar w:fldCharType="begin"/>
            </w:r>
            <w:r w:rsidR="008E4C42">
              <w:rPr>
                <w:noProof/>
                <w:webHidden/>
              </w:rPr>
              <w:instrText xml:space="preserve"> PAGEREF _Toc225159611 \h </w:instrText>
            </w:r>
            <w:r w:rsidR="008E4C42">
              <w:rPr>
                <w:noProof/>
                <w:webHidden/>
              </w:rPr>
            </w:r>
            <w:r w:rsidR="008E4C42">
              <w:rPr>
                <w:noProof/>
                <w:webHidden/>
              </w:rPr>
              <w:fldChar w:fldCharType="separate"/>
            </w:r>
            <w:r w:rsidR="008E4C42">
              <w:rPr>
                <w:noProof/>
                <w:webHidden/>
              </w:rPr>
              <w:t>3</w:t>
            </w:r>
            <w:r w:rsidR="008E4C42">
              <w:rPr>
                <w:noProof/>
                <w:webHidden/>
              </w:rPr>
              <w:fldChar w:fldCharType="end"/>
            </w:r>
          </w:hyperlink>
        </w:p>
        <w:p w14:paraId="39DB589D" w14:textId="472C0FE3" w:rsidR="008E4C42" w:rsidRDefault="00490A26">
          <w:pPr>
            <w:pStyle w:val="TOC1"/>
            <w:tabs>
              <w:tab w:val="right" w:leader="dot" w:pos="9350"/>
            </w:tabs>
            <w:rPr>
              <w:rFonts w:asciiTheme="minorHAnsi" w:eastAsiaTheme="minorEastAsia" w:hAnsiTheme="minorHAnsi"/>
              <w:noProof/>
              <w:kern w:val="2"/>
              <w:sz w:val="24"/>
              <w:szCs w:val="21"/>
              <w:lang w:val="en-US" w:bidi="hi-IN"/>
              <w14:ligatures w14:val="standardContextual"/>
            </w:rPr>
          </w:pPr>
          <w:hyperlink w:anchor="_Toc225159612" w:history="1">
            <w:r w:rsidR="008E4C42" w:rsidRPr="00FB0B91">
              <w:rPr>
                <w:rStyle w:val="Hyperlink"/>
                <w:noProof/>
                <w:lang w:val="en-US"/>
              </w:rPr>
              <w:t>Task 4 of 4 – Data Collection</w:t>
            </w:r>
            <w:r w:rsidR="008E4C42">
              <w:rPr>
                <w:noProof/>
                <w:webHidden/>
              </w:rPr>
              <w:tab/>
            </w:r>
            <w:r w:rsidR="008E4C42">
              <w:rPr>
                <w:noProof/>
                <w:webHidden/>
              </w:rPr>
              <w:fldChar w:fldCharType="begin"/>
            </w:r>
            <w:r w:rsidR="008E4C42">
              <w:rPr>
                <w:noProof/>
                <w:webHidden/>
              </w:rPr>
              <w:instrText xml:space="preserve"> PAGEREF _Toc225159612 \h </w:instrText>
            </w:r>
            <w:r w:rsidR="008E4C42">
              <w:rPr>
                <w:noProof/>
                <w:webHidden/>
              </w:rPr>
            </w:r>
            <w:r w:rsidR="008E4C42">
              <w:rPr>
                <w:noProof/>
                <w:webHidden/>
              </w:rPr>
              <w:fldChar w:fldCharType="separate"/>
            </w:r>
            <w:r w:rsidR="008E4C42">
              <w:rPr>
                <w:noProof/>
                <w:webHidden/>
              </w:rPr>
              <w:t>4</w:t>
            </w:r>
            <w:r w:rsidR="008E4C42">
              <w:rPr>
                <w:noProof/>
                <w:webHidden/>
              </w:rPr>
              <w:fldChar w:fldCharType="end"/>
            </w:r>
          </w:hyperlink>
        </w:p>
        <w:p w14:paraId="2EE35C3F" w14:textId="0BCED737" w:rsidR="008E4C42" w:rsidRDefault="00490A26">
          <w:pPr>
            <w:pStyle w:val="TOC1"/>
            <w:tabs>
              <w:tab w:val="right" w:leader="dot" w:pos="9350"/>
            </w:tabs>
            <w:rPr>
              <w:rFonts w:asciiTheme="minorHAnsi" w:eastAsiaTheme="minorEastAsia" w:hAnsiTheme="minorHAnsi"/>
              <w:noProof/>
              <w:kern w:val="2"/>
              <w:sz w:val="24"/>
              <w:szCs w:val="21"/>
              <w:lang w:val="en-US" w:bidi="hi-IN"/>
              <w14:ligatures w14:val="standardContextual"/>
            </w:rPr>
          </w:pPr>
          <w:hyperlink w:anchor="_Toc225159613" w:history="1">
            <w:r w:rsidR="008E4C42" w:rsidRPr="00FB0B91">
              <w:rPr>
                <w:rStyle w:val="Hyperlink"/>
                <w:noProof/>
                <w:lang w:val="en-US"/>
              </w:rPr>
              <w:t>Conclusion</w:t>
            </w:r>
            <w:r w:rsidR="008E4C42">
              <w:rPr>
                <w:noProof/>
                <w:webHidden/>
              </w:rPr>
              <w:tab/>
            </w:r>
            <w:r w:rsidR="008E4C42">
              <w:rPr>
                <w:noProof/>
                <w:webHidden/>
              </w:rPr>
              <w:fldChar w:fldCharType="begin"/>
            </w:r>
            <w:r w:rsidR="008E4C42">
              <w:rPr>
                <w:noProof/>
                <w:webHidden/>
              </w:rPr>
              <w:instrText xml:space="preserve"> PAGEREF _Toc225159613 \h </w:instrText>
            </w:r>
            <w:r w:rsidR="008E4C42">
              <w:rPr>
                <w:noProof/>
                <w:webHidden/>
              </w:rPr>
            </w:r>
            <w:r w:rsidR="008E4C42">
              <w:rPr>
                <w:noProof/>
                <w:webHidden/>
              </w:rPr>
              <w:fldChar w:fldCharType="separate"/>
            </w:r>
            <w:r w:rsidR="008E4C42">
              <w:rPr>
                <w:noProof/>
                <w:webHidden/>
              </w:rPr>
              <w:t>5</w:t>
            </w:r>
            <w:r w:rsidR="008E4C42">
              <w:rPr>
                <w:noProof/>
                <w:webHidden/>
              </w:rPr>
              <w:fldChar w:fldCharType="end"/>
            </w:r>
          </w:hyperlink>
        </w:p>
        <w:p w14:paraId="6356B53A" w14:textId="71E972EE" w:rsidR="008E4C42" w:rsidRDefault="00490A26">
          <w:pPr>
            <w:pStyle w:val="TOC1"/>
            <w:tabs>
              <w:tab w:val="right" w:leader="dot" w:pos="9350"/>
            </w:tabs>
            <w:rPr>
              <w:rFonts w:asciiTheme="minorHAnsi" w:eastAsiaTheme="minorEastAsia" w:hAnsiTheme="minorHAnsi"/>
              <w:noProof/>
              <w:kern w:val="2"/>
              <w:sz w:val="24"/>
              <w:szCs w:val="21"/>
              <w:lang w:val="en-US" w:bidi="hi-IN"/>
              <w14:ligatures w14:val="standardContextual"/>
            </w:rPr>
          </w:pPr>
          <w:hyperlink w:anchor="_Toc225159614" w:history="1">
            <w:r w:rsidR="008E4C42" w:rsidRPr="00FB0B91">
              <w:rPr>
                <w:rStyle w:val="Hyperlink"/>
                <w:noProof/>
                <w:lang w:val="en-US"/>
              </w:rPr>
              <w:t>Reference List</w:t>
            </w:r>
            <w:r w:rsidR="008E4C42">
              <w:rPr>
                <w:noProof/>
                <w:webHidden/>
              </w:rPr>
              <w:tab/>
            </w:r>
            <w:r w:rsidR="008E4C42">
              <w:rPr>
                <w:noProof/>
                <w:webHidden/>
              </w:rPr>
              <w:fldChar w:fldCharType="begin"/>
            </w:r>
            <w:r w:rsidR="008E4C42">
              <w:rPr>
                <w:noProof/>
                <w:webHidden/>
              </w:rPr>
              <w:instrText xml:space="preserve"> PAGEREF _Toc225159614 \h </w:instrText>
            </w:r>
            <w:r w:rsidR="008E4C42">
              <w:rPr>
                <w:noProof/>
                <w:webHidden/>
              </w:rPr>
            </w:r>
            <w:r w:rsidR="008E4C42">
              <w:rPr>
                <w:noProof/>
                <w:webHidden/>
              </w:rPr>
              <w:fldChar w:fldCharType="separate"/>
            </w:r>
            <w:r w:rsidR="008E4C42">
              <w:rPr>
                <w:noProof/>
                <w:webHidden/>
              </w:rPr>
              <w:t>6</w:t>
            </w:r>
            <w:r w:rsidR="008E4C42">
              <w:rPr>
                <w:noProof/>
                <w:webHidden/>
              </w:rPr>
              <w:fldChar w:fldCharType="end"/>
            </w:r>
          </w:hyperlink>
        </w:p>
        <w:p w14:paraId="221DB2C4" w14:textId="107351D5" w:rsidR="00601342" w:rsidRDefault="00601342">
          <w:r>
            <w:rPr>
              <w:b/>
              <w:bCs/>
              <w:noProof/>
            </w:rPr>
            <w:fldChar w:fldCharType="end"/>
          </w:r>
        </w:p>
      </w:sdtContent>
    </w:sdt>
    <w:p w14:paraId="411528EE" w14:textId="63D012E4" w:rsidR="00D44D88" w:rsidRPr="00D44D88" w:rsidRDefault="00601342" w:rsidP="00601342">
      <w:pPr>
        <w:spacing w:after="160" w:line="259" w:lineRule="auto"/>
        <w:jc w:val="left"/>
        <w:rPr>
          <w:lang w:val="en-US"/>
        </w:rPr>
      </w:pPr>
      <w:r>
        <w:rPr>
          <w:lang w:val="en-US"/>
        </w:rPr>
        <w:br w:type="page"/>
      </w:r>
    </w:p>
    <w:p w14:paraId="4071AC44" w14:textId="77777777" w:rsidR="00601342" w:rsidRDefault="00601342" w:rsidP="00601342">
      <w:pPr>
        <w:pStyle w:val="Heading1"/>
        <w:rPr>
          <w:lang w:val="en-US"/>
        </w:rPr>
        <w:sectPr w:rsidR="00601342" w:rsidSect="00601342">
          <w:footerReference w:type="default" r:id="rId7"/>
          <w:pgSz w:w="12240" w:h="15840"/>
          <w:pgMar w:top="1440" w:right="1440" w:bottom="1440" w:left="1440" w:header="720" w:footer="720" w:gutter="0"/>
          <w:pgNumType w:fmt="lowerRoman" w:start="1"/>
          <w:cols w:space="720"/>
          <w:docGrid w:linePitch="360"/>
        </w:sectPr>
      </w:pPr>
    </w:p>
    <w:p w14:paraId="052AFE55" w14:textId="77777777" w:rsidR="00D44D88" w:rsidRPr="00D44D88" w:rsidRDefault="00D44D88" w:rsidP="00601342">
      <w:pPr>
        <w:pStyle w:val="Heading1"/>
        <w:rPr>
          <w:lang w:val="en-US"/>
        </w:rPr>
      </w:pPr>
      <w:bookmarkStart w:id="0" w:name="_Toc225159608"/>
      <w:r w:rsidRPr="00D44D88">
        <w:rPr>
          <w:lang w:val="en-US"/>
        </w:rPr>
        <w:t>Introduction</w:t>
      </w:r>
      <w:bookmarkEnd w:id="0"/>
    </w:p>
    <w:p w14:paraId="672B63AD" w14:textId="77777777" w:rsidR="00F924A3" w:rsidRDefault="00F924A3" w:rsidP="00F924A3">
      <w:r>
        <w:t>This report focuses on the acute problem of staff burnout in the UK National Health Service (NHS) that has hit new levels in recent years (General Medical Council, 2025). The report targets the healthcare professionals in both acute and community environments to examine the issue of burnout in workforce sustainability and patient safety (West, Dyrbye and Shanafelt, 2025). It determines the extent of the problem, compares the available evidence, offers a mixed-method research design to explore the phenomenon, and describes the suitable data collection strategies. The results show that there is an urgency to implement systemic measures to curb this increasing crisis.</w:t>
      </w:r>
    </w:p>
    <w:p w14:paraId="092B4821" w14:textId="52789CF8" w:rsidR="00D44D88" w:rsidRPr="00D44D88" w:rsidRDefault="00D44D88" w:rsidP="00D44D88">
      <w:pPr>
        <w:rPr>
          <w:lang w:val="en-US"/>
        </w:rPr>
      </w:pPr>
    </w:p>
    <w:p w14:paraId="5C7AD45B" w14:textId="77777777" w:rsidR="00D44D88" w:rsidRPr="00D44D88" w:rsidRDefault="00D44D88" w:rsidP="00601342">
      <w:pPr>
        <w:pStyle w:val="Heading1"/>
        <w:rPr>
          <w:lang w:val="en-US"/>
        </w:rPr>
      </w:pPr>
      <w:bookmarkStart w:id="1" w:name="_Toc225159609"/>
      <w:r w:rsidRPr="00D44D88">
        <w:rPr>
          <w:lang w:val="en-US"/>
        </w:rPr>
        <w:t>Task 1 of 4 – Selection of a Research Topic</w:t>
      </w:r>
      <w:bookmarkEnd w:id="1"/>
    </w:p>
    <w:p w14:paraId="345D792B" w14:textId="58FEF7F4" w:rsidR="00F924A3" w:rsidRDefault="00F924A3" w:rsidP="00F924A3">
      <w:r>
        <w:t xml:space="preserve">One of the most burning issues in the UK health and social care sector has been the problem of staff burnout (Willis, 2023). According to the latest statistics of the General Medical Council (2025), 63% of trainee doctors and 52% of trainers are currently at moderate or high risk of burnout, which is the highest progress since the commencement of the tracking in 2018. According to the Royal College of Nursing (2025), 66% of the nursing staff </w:t>
      </w:r>
      <w:r w:rsidR="00601342">
        <w:t>said</w:t>
      </w:r>
      <w:r>
        <w:t xml:space="preserve"> that they have worked despite being unwell on more than one occasion, where stress was reported as the main cause of illness by more than 65% of the interviewees.</w:t>
      </w:r>
    </w:p>
    <w:p w14:paraId="00FE2BC9" w14:textId="6301A895" w:rsidR="00F924A3" w:rsidRDefault="00F924A3" w:rsidP="00F924A3">
      <w:r>
        <w:t>Several stakeholders are involved in this problem. To service users, patient safety is one of the direct victims of burnout, and studies have associated exhaustion of medical workers with the rise of medical errors and substandard care quality (Mahase, 2026). The staff effects also include worsening mental and physical health, whereby anxiety, stress, and depression will equal to more than 694,80</w:t>
      </w:r>
      <w:r w:rsidR="00E52D7D">
        <w:t>0</w:t>
      </w:r>
      <w:r>
        <w:t xml:space="preserve"> full-time equivalent days lost in July 2025 alone (NHS Digital, 2025). In the case of care organisations, the financial cost is high as the NHS is over 100,000 shortages and the sickness absence rate is 5.1% which puts the operational capacity under enormous pressure (NHS Employers, 2026).</w:t>
      </w:r>
    </w:p>
    <w:p w14:paraId="31E2643C" w14:textId="77777777" w:rsidR="00F924A3" w:rsidRDefault="00F924A3" w:rsidP="00F924A3">
      <w:r>
        <w:t>I find this issue interesting because, during my studies, I have observed that workforce wellbeing and quality of care are interconnected. The problem is related to my future healthcare management profession, where it will be critical to comprehend the systemic issues that influence the staff retention and overall wellbeing (Skovholt and Trotter-Mathison, 2024). It is also similar to the larger discourse on sustainable healthcare systems and the necessity of shifting towards organisational reform, as opposed to individual-based interventions (West, Dyrbye and Shanafelt, 2025).</w:t>
      </w:r>
    </w:p>
    <w:p w14:paraId="7D7133AA" w14:textId="782AC5F5" w:rsidR="00D44D88" w:rsidRPr="00D44D88" w:rsidRDefault="00D44D88" w:rsidP="00D44D88">
      <w:pPr>
        <w:rPr>
          <w:lang w:val="en-US"/>
        </w:rPr>
      </w:pPr>
    </w:p>
    <w:p w14:paraId="7AD80574" w14:textId="77777777" w:rsidR="00D44D88" w:rsidRPr="00D44D88" w:rsidRDefault="00D44D88" w:rsidP="00601342">
      <w:pPr>
        <w:pStyle w:val="Heading1"/>
        <w:rPr>
          <w:lang w:val="en-US"/>
        </w:rPr>
      </w:pPr>
      <w:bookmarkStart w:id="2" w:name="_Toc225159610"/>
      <w:r w:rsidRPr="00D44D88">
        <w:rPr>
          <w:lang w:val="en-US"/>
        </w:rPr>
        <w:t>Task 2 of 4 – Evaluating Information Sources</w:t>
      </w:r>
      <w:bookmarkEnd w:id="2"/>
    </w:p>
    <w:p w14:paraId="08167EE3" w14:textId="77777777" w:rsidR="00D44D88" w:rsidRDefault="00D44D88" w:rsidP="00D44D88">
      <w:pPr>
        <w:rPr>
          <w:lang w:val="en-US"/>
        </w:rPr>
      </w:pPr>
      <w:r w:rsidRPr="00D44D88">
        <w:rPr>
          <w:b/>
          <w:bCs/>
          <w:lang w:val="en-US"/>
        </w:rPr>
        <w:t xml:space="preserve">Source 1: General Medical Council (2025) </w:t>
      </w:r>
      <w:r w:rsidRPr="00D44D88">
        <w:rPr>
          <w:b/>
          <w:bCs/>
          <w:i/>
          <w:iCs/>
          <w:lang w:val="en-US"/>
        </w:rPr>
        <w:t>NHS backlogs threaten doctors as well as patients, GMC warns</w:t>
      </w:r>
    </w:p>
    <w:p w14:paraId="4C56275B" w14:textId="248F3B9A" w:rsidR="00D44D88" w:rsidRDefault="00F924A3" w:rsidP="00D44D88">
      <w:pPr>
        <w:rPr>
          <w:lang w:val="en-US"/>
        </w:rPr>
      </w:pPr>
      <w:r>
        <w:t xml:space="preserve">In the annual survey, undertaken by more than 67,000 doctors in the UK, the general medical council has given the detailed data on trainee wellbeing. According to the report, two-thirds of the </w:t>
      </w:r>
      <w:r w:rsidR="00601342">
        <w:t>trainees’</w:t>
      </w:r>
      <w:r>
        <w:t xml:space="preserve"> experience exhaustion at the end of a working day, and 44% of them are frequently too tired in the mornings (General Medical Council, 2025). This source has a high degree of authorization since GMC is the UK independent regulator to doctors. It is valuable in the fact that it has a big sample and is tracked longitudinally since 2018. Nevertheless, the study mainly takes quantitative data of burnout prevalence but does not venture into the qualitative experience that may be used to provide underlying causes</w:t>
      </w:r>
      <w:r w:rsidR="00D44D88" w:rsidRPr="00D44D88">
        <w:rPr>
          <w:lang w:val="en-US"/>
        </w:rPr>
        <w:t>.</w:t>
      </w:r>
    </w:p>
    <w:p w14:paraId="54B91140" w14:textId="77777777" w:rsidR="00F924A3" w:rsidRPr="00D44D88" w:rsidRDefault="00F924A3" w:rsidP="00D44D88">
      <w:pPr>
        <w:rPr>
          <w:lang w:val="en-US"/>
        </w:rPr>
      </w:pPr>
    </w:p>
    <w:p w14:paraId="4BF013FF" w14:textId="77777777" w:rsidR="00D44D88" w:rsidRDefault="00D44D88" w:rsidP="00D44D88">
      <w:pPr>
        <w:rPr>
          <w:lang w:val="en-US"/>
        </w:rPr>
      </w:pPr>
      <w:r w:rsidRPr="00D44D88">
        <w:rPr>
          <w:b/>
          <w:bCs/>
          <w:lang w:val="en-US"/>
        </w:rPr>
        <w:t xml:space="preserve">Source 2: NHS Digital (2025) </w:t>
      </w:r>
      <w:r w:rsidRPr="00D44D88">
        <w:rPr>
          <w:b/>
          <w:bCs/>
          <w:i/>
          <w:iCs/>
          <w:lang w:val="en-US"/>
        </w:rPr>
        <w:t>NHS Workforce Statistics – November 2025</w:t>
      </w:r>
    </w:p>
    <w:p w14:paraId="20309D69" w14:textId="18F9D425" w:rsidR="00D44D88" w:rsidRDefault="00F924A3" w:rsidP="00D44D88">
      <w:pPr>
        <w:rPr>
          <w:lang w:val="en-US"/>
        </w:rPr>
      </w:pPr>
      <w:r>
        <w:t>According to the latest monthly workforce statistics provided by NHS Digital, the total NHS workforce is of 1.37 million, sickness absence is at 5.1% and the percentage of sickness absence caused by anxiety, stress, and depression is 30.3 (NHS Digital, 2025). This source provides official governmental statistical body data on authoritative baseline data of workforce health. Its helpfulness encompasses the ability to give quantitative indicators of the magnitude of the problem. Nevertheless, the statistics do not provide any qualitative insight into the organisational factors behind these statistics which is a gap that can be filled by qualitative research</w:t>
      </w:r>
      <w:r w:rsidR="00D44D88" w:rsidRPr="00D44D88">
        <w:rPr>
          <w:lang w:val="en-US"/>
        </w:rPr>
        <w:t>.</w:t>
      </w:r>
    </w:p>
    <w:p w14:paraId="4CDE81F0" w14:textId="77777777" w:rsidR="00F924A3" w:rsidRPr="00D44D88" w:rsidRDefault="00F924A3" w:rsidP="00D44D88">
      <w:pPr>
        <w:rPr>
          <w:lang w:val="en-US"/>
        </w:rPr>
      </w:pPr>
    </w:p>
    <w:p w14:paraId="1B5DF826" w14:textId="77777777" w:rsidR="00D44D88" w:rsidRDefault="00D44D88" w:rsidP="00D44D88">
      <w:pPr>
        <w:rPr>
          <w:lang w:val="en-US"/>
        </w:rPr>
      </w:pPr>
      <w:r w:rsidRPr="00D44D88">
        <w:rPr>
          <w:b/>
          <w:bCs/>
          <w:lang w:val="en-US"/>
        </w:rPr>
        <w:t xml:space="preserve">Source 3: Royal College of Nursing (2025) </w:t>
      </w:r>
      <w:r w:rsidRPr="00D44D88">
        <w:rPr>
          <w:b/>
          <w:bCs/>
          <w:i/>
          <w:iCs/>
          <w:lang w:val="en-US"/>
        </w:rPr>
        <w:t>Two thirds of nurses continuing to work while unwell, RCN reports</w:t>
      </w:r>
    </w:p>
    <w:p w14:paraId="04138656" w14:textId="002F78BB" w:rsidR="00D44D88" w:rsidRPr="00D44D88" w:rsidRDefault="00F924A3" w:rsidP="00D44D88">
      <w:pPr>
        <w:rPr>
          <w:lang w:val="en-US"/>
        </w:rPr>
      </w:pPr>
      <w:r>
        <w:t>Surveying more than 20,000 nursing personnel, the Royal College of Nursing discovered that 66 percent of this working group worked during sickness and more than 70 percent on additional hours each week, although 52 percent of them did not receive payments (Royal College of Nursing, 2025). The RCN being the largest nursing union in the world offers valid contribution in workforce experiences. This source will be useful in shedding light on how policy intentions are ill-aligned with realities on the frontline. One of the gaps is that the survey does not analyze the particular effect of digital systems and administrative burdens on burnout, which has to be investigated further</w:t>
      </w:r>
      <w:r w:rsidR="00D44D88" w:rsidRPr="00D44D88">
        <w:rPr>
          <w:lang w:val="en-US"/>
        </w:rPr>
        <w:t>.</w:t>
      </w:r>
    </w:p>
    <w:p w14:paraId="7C1545C3" w14:textId="7F0588AA" w:rsidR="00D44D88" w:rsidRPr="00D44D88" w:rsidRDefault="00D44D88" w:rsidP="00D44D88">
      <w:pPr>
        <w:rPr>
          <w:lang w:val="en-US"/>
        </w:rPr>
      </w:pPr>
    </w:p>
    <w:p w14:paraId="572256B4" w14:textId="77777777" w:rsidR="00D44D88" w:rsidRPr="00D44D88" w:rsidRDefault="00D44D88" w:rsidP="00601342">
      <w:pPr>
        <w:pStyle w:val="Heading1"/>
        <w:rPr>
          <w:lang w:val="en-US"/>
        </w:rPr>
      </w:pPr>
      <w:bookmarkStart w:id="3" w:name="_Toc225159611"/>
      <w:r w:rsidRPr="00D44D88">
        <w:rPr>
          <w:lang w:val="en-US"/>
        </w:rPr>
        <w:t>Task 3 of 4 – Research Methodologies</w:t>
      </w:r>
      <w:bookmarkEnd w:id="3"/>
    </w:p>
    <w:p w14:paraId="7276BBFD" w14:textId="77777777" w:rsidR="00F924A3" w:rsidRDefault="00F924A3" w:rsidP="00F924A3">
      <w:r>
        <w:t>Research methodology is the general direction on how a study is going to be designed, collected, and analysed. Quantitative research is based on the gathering of numerical data to quantify variables and make hypotheses, where the methods are usually a standardised questionnaire (</w:t>
      </w:r>
      <w:proofErr w:type="spellStart"/>
      <w:r>
        <w:t>Bellass</w:t>
      </w:r>
      <w:proofErr w:type="spellEnd"/>
      <w:r>
        <w:t xml:space="preserve"> et al., 2024). Qualitative research investigates experience and meaning by using such methods as interviews and offers insightful contextual knowledge (Bould et al., 2024). Mixed-Methods research is a method that integrates the two approaches in order to obtain in-depth information (Willis, 2023).</w:t>
      </w:r>
    </w:p>
    <w:p w14:paraId="521BB608" w14:textId="5016D8E3" w:rsidR="00D44D88" w:rsidRPr="00D44D88" w:rsidRDefault="00F924A3" w:rsidP="00F924A3">
      <w:pPr>
        <w:rPr>
          <w:lang w:val="en-US"/>
        </w:rPr>
      </w:pPr>
      <w:r>
        <w:t>In exploring the problem of burnout among the NHS staff, a mixed methodology is the appropriate approach. Quantitative data would facilitate the measurement of the prevalence of burnout with the help of validated measures like the Maslach Burnout Inventory that evaluates the levels of emotional exhaustion, depersonalisation, and personal accomplishment (Sabbarwal et al., 2024). This would enable correlation to burnout and such factors as workload, staffing levels, and demographic variables, to be statistically analysed. At the same time, to understand the lived experiences of healthcare professionals, qualitative interviews would be used to investigate and understand how systemic pressures are experienced in routine practice (Bould et al., 2024). This combination offers a solution to the restriction of a purely quantitative survey by uncovering the situational conditions that cause burnout, but it is also not as restrictive as a purely qualitative study (West, Dyrbye and Shanafelt, 2025)</w:t>
      </w:r>
      <w:r w:rsidR="00D44D88" w:rsidRPr="00D44D88">
        <w:rPr>
          <w:lang w:val="en-US"/>
        </w:rPr>
        <w:t>.</w:t>
      </w:r>
    </w:p>
    <w:p w14:paraId="3A4ACF79" w14:textId="630628CD" w:rsidR="00D44D88" w:rsidRPr="00D44D88" w:rsidRDefault="00601342" w:rsidP="00601342">
      <w:pPr>
        <w:spacing w:after="160" w:line="259" w:lineRule="auto"/>
        <w:jc w:val="left"/>
        <w:rPr>
          <w:lang w:val="en-US"/>
        </w:rPr>
      </w:pPr>
      <w:r>
        <w:rPr>
          <w:lang w:val="en-US"/>
        </w:rPr>
        <w:br w:type="page"/>
      </w:r>
    </w:p>
    <w:p w14:paraId="3E2B5C0A" w14:textId="77777777" w:rsidR="00D44D88" w:rsidRPr="00D44D88" w:rsidRDefault="00D44D88" w:rsidP="00601342">
      <w:pPr>
        <w:pStyle w:val="Heading1"/>
        <w:rPr>
          <w:lang w:val="en-US"/>
        </w:rPr>
      </w:pPr>
      <w:bookmarkStart w:id="4" w:name="_Toc225159612"/>
      <w:r w:rsidRPr="00D44D88">
        <w:rPr>
          <w:lang w:val="en-US"/>
        </w:rPr>
        <w:t>Task 4 of 4 – Data Collection</w:t>
      </w:r>
      <w:bookmarkEnd w:id="4"/>
    </w:p>
    <w:p w14:paraId="14B6D3B7" w14:textId="77777777" w:rsidR="00F924A3" w:rsidRDefault="00F924A3" w:rsidP="00F924A3">
      <w:r>
        <w:t>Primary data is information that is obtained at the hands of the researcher in particular study purpose like original survey or interview. Secondary data includes the information that has already been gathered by other parties due to other reasons, including government statistics or organisation records (Organised by EIT Health, 2024).</w:t>
      </w:r>
    </w:p>
    <w:p w14:paraId="44E4D797" w14:textId="77777777" w:rsidR="00F924A3" w:rsidRDefault="00F924A3" w:rsidP="00F924A3">
      <w:r>
        <w:t>In this study, I would use primary and secondary data. Secondary data would encompass workforce statistics of sickness absence and vacancy rates by NHS Digital (NHS Digital, 2025), GMC survey findings (General Medical Council, 2025), and RCN survey findings (Royal College of Nursing, 2025). This gives a strong foundation of the magnitude of the problem but does not require the time and resources of primary data collection on such a massive level (Willis, 2023). The primary data would include semi-structured interviews of a purposive sample of 20-30 NHS employees working in various positions and environments and investigate their workload-related stresses and organisational support and wellbeing (Bould et al., 2024).</w:t>
      </w:r>
    </w:p>
    <w:p w14:paraId="1A2F99F8" w14:textId="1D192877" w:rsidR="00F924A3" w:rsidRDefault="00F924A3" w:rsidP="00F924A3">
      <w:r>
        <w:t>The benefits of secondary data are efficiency and access to huge size of data that individual researchers cannot easily obtain. Among the challenges, there is the possible restriction in relevance and the impossibility to control data quality (Organised by EIT Health, 2024). Primary data is more specific and deeper; however, it is time-consuming, resource-intensive and ethically approved (</w:t>
      </w:r>
      <w:proofErr w:type="spellStart"/>
      <w:r>
        <w:t>Bellass</w:t>
      </w:r>
      <w:proofErr w:type="spellEnd"/>
      <w:r>
        <w:t xml:space="preserve"> et al., 2024). The combination makes it possible to triangulate, which can better prove the validity of the findings through the use of multiple data sources.</w:t>
      </w:r>
    </w:p>
    <w:p w14:paraId="166ECFCC" w14:textId="5EA1FC30" w:rsidR="00D44D88" w:rsidRPr="00D44D88" w:rsidRDefault="00601342" w:rsidP="00601342">
      <w:pPr>
        <w:spacing w:after="160" w:line="259" w:lineRule="auto"/>
        <w:jc w:val="left"/>
        <w:rPr>
          <w:lang w:val="en-US"/>
        </w:rPr>
      </w:pPr>
      <w:r>
        <w:rPr>
          <w:lang w:val="en-US"/>
        </w:rPr>
        <w:br w:type="page"/>
      </w:r>
    </w:p>
    <w:p w14:paraId="6BA60064" w14:textId="77777777" w:rsidR="00D44D88" w:rsidRPr="00D44D88" w:rsidRDefault="00D44D88" w:rsidP="00601342">
      <w:pPr>
        <w:pStyle w:val="Heading1"/>
        <w:rPr>
          <w:lang w:val="en-US"/>
        </w:rPr>
      </w:pPr>
      <w:bookmarkStart w:id="5" w:name="_Toc225159613"/>
      <w:r w:rsidRPr="00D44D88">
        <w:rPr>
          <w:lang w:val="en-US"/>
        </w:rPr>
        <w:t>Conclusion</w:t>
      </w:r>
      <w:bookmarkEnd w:id="5"/>
    </w:p>
    <w:p w14:paraId="5A69DC63" w14:textId="0A52A3B1" w:rsidR="00D44D88" w:rsidRPr="00D44D88" w:rsidRDefault="00F924A3" w:rsidP="00D44D88">
      <w:pPr>
        <w:rPr>
          <w:lang w:val="en-US"/>
        </w:rPr>
      </w:pPr>
      <w:r>
        <w:t>In this report, the issue of staff burnout in the NHS has been discussed as a significant problem that has impacted healthcare professionals, patients, and care organisations (General Medical Council, 2025; NHS Digital, 2025). The recent data provided by the GMC, RCN and NHS Digital shows the increasing numbers of burnout, sickness absence, and workforce attrition, which endanger the sustainability of the health service (Royal College of Nursing, 2025; NHS Employers, 2026). The proposed mixed-method study would be a mixture of quantitative data on burnout prevalence and a qualitative study of the staff experience, based on secondary data on workforce and primary data on interviews (</w:t>
      </w:r>
      <w:proofErr w:type="spellStart"/>
      <w:r>
        <w:t>Bellass</w:t>
      </w:r>
      <w:proofErr w:type="spellEnd"/>
      <w:r>
        <w:t xml:space="preserve"> et al., 2024; Bould et al., 2024). This study is critical to inform systemic solutions supporting the deep-seated causes of burnout, and the NHS will be able to retain its workforce and provide safe and compassionate care to the future generations (West, Dyrbye and Shanafelt, 2025; Skovholt and Trotter-Mathison, 2024)</w:t>
      </w:r>
      <w:r w:rsidR="00D44D88" w:rsidRPr="00D44D88">
        <w:rPr>
          <w:lang w:val="en-US"/>
        </w:rPr>
        <w:t>.</w:t>
      </w:r>
    </w:p>
    <w:p w14:paraId="542525FD" w14:textId="3E3BEF98" w:rsidR="00D44D88" w:rsidRPr="00D44D88" w:rsidRDefault="00601342" w:rsidP="00601342">
      <w:pPr>
        <w:spacing w:after="160" w:line="259" w:lineRule="auto"/>
        <w:jc w:val="left"/>
        <w:rPr>
          <w:lang w:val="en-US"/>
        </w:rPr>
      </w:pPr>
      <w:r>
        <w:rPr>
          <w:lang w:val="en-US"/>
        </w:rPr>
        <w:br w:type="page"/>
      </w:r>
    </w:p>
    <w:p w14:paraId="57FA884D" w14:textId="77777777" w:rsidR="00D44D88" w:rsidRPr="00D44D88" w:rsidRDefault="00D44D88" w:rsidP="00601342">
      <w:pPr>
        <w:pStyle w:val="Heading1"/>
        <w:rPr>
          <w:lang w:val="en-US"/>
        </w:rPr>
      </w:pPr>
      <w:bookmarkStart w:id="6" w:name="_Toc225159614"/>
      <w:r w:rsidRPr="00D44D88">
        <w:rPr>
          <w:lang w:val="en-US"/>
        </w:rPr>
        <w:t>Reference List</w:t>
      </w:r>
      <w:bookmarkEnd w:id="6"/>
    </w:p>
    <w:p w14:paraId="414BD70D" w14:textId="77777777" w:rsidR="00D44D88" w:rsidRPr="00D44D88" w:rsidRDefault="00D44D88" w:rsidP="00D44D88">
      <w:pPr>
        <w:rPr>
          <w:lang w:val="en-US"/>
        </w:rPr>
      </w:pPr>
      <w:proofErr w:type="spellStart"/>
      <w:r w:rsidRPr="00D44D88">
        <w:rPr>
          <w:lang w:val="en-US"/>
        </w:rPr>
        <w:t>Bellass</w:t>
      </w:r>
      <w:proofErr w:type="spellEnd"/>
      <w:r w:rsidRPr="00D44D88">
        <w:rPr>
          <w:lang w:val="en-US"/>
        </w:rPr>
        <w:t xml:space="preserve">, S., </w:t>
      </w:r>
      <w:proofErr w:type="spellStart"/>
      <w:r w:rsidRPr="00D44D88">
        <w:rPr>
          <w:lang w:val="en-US"/>
        </w:rPr>
        <w:t>Canvin</w:t>
      </w:r>
      <w:proofErr w:type="spellEnd"/>
      <w:r w:rsidRPr="00D44D88">
        <w:rPr>
          <w:lang w:val="en-US"/>
        </w:rPr>
        <w:t xml:space="preserve">, K., Farragher, T., McLintock, K., Wright, N., Hearty, P., Seanor, N., Cunningham, M., Foy, R. and Sheard, L. (2024) ‘Understanding and improving the quality of primary care for people in prison: a mixed-methods study’, </w:t>
      </w:r>
      <w:r w:rsidRPr="00D44D88">
        <w:rPr>
          <w:i/>
          <w:iCs/>
          <w:lang w:val="en-US"/>
        </w:rPr>
        <w:t>Health and Social Care Delivery Research</w:t>
      </w:r>
      <w:r w:rsidRPr="00D44D88">
        <w:rPr>
          <w:lang w:val="en-US"/>
        </w:rPr>
        <w:t xml:space="preserve">, 12(46). Available at: </w:t>
      </w:r>
      <w:hyperlink r:id="rId8" w:tgtFrame="_blank" w:history="1">
        <w:r w:rsidRPr="00D44D88">
          <w:rPr>
            <w:rStyle w:val="Hyperlink"/>
            <w:lang w:val="en-US"/>
          </w:rPr>
          <w:t>https://doi.org/10.3310/GRFV4068</w:t>
        </w:r>
      </w:hyperlink>
    </w:p>
    <w:p w14:paraId="1585E8D7" w14:textId="77777777" w:rsidR="00D44D88" w:rsidRPr="00D44D88" w:rsidRDefault="00D44D88" w:rsidP="00D44D88">
      <w:pPr>
        <w:rPr>
          <w:lang w:val="en-US"/>
        </w:rPr>
      </w:pPr>
      <w:r w:rsidRPr="00D44D88">
        <w:rPr>
          <w:lang w:val="en-US"/>
        </w:rPr>
        <w:t xml:space="preserve">Bould, M.D., et al. (2024) ‘Lived experience of burnout and fatigue in perioperative healthcare professionals in Rwanda: a qualitative study’, </w:t>
      </w:r>
      <w:r w:rsidRPr="00D44D88">
        <w:rPr>
          <w:i/>
          <w:iCs/>
          <w:lang w:val="en-US"/>
        </w:rPr>
        <w:t xml:space="preserve">British Journal of </w:t>
      </w:r>
      <w:proofErr w:type="spellStart"/>
      <w:r w:rsidRPr="00D44D88">
        <w:rPr>
          <w:i/>
          <w:iCs/>
          <w:lang w:val="en-US"/>
        </w:rPr>
        <w:t>Anaesthesia</w:t>
      </w:r>
      <w:proofErr w:type="spellEnd"/>
      <w:r w:rsidRPr="00D44D88">
        <w:rPr>
          <w:lang w:val="en-US"/>
        </w:rPr>
        <w:t xml:space="preserve">, 133(5), pp. 1051-1061. Available at: </w:t>
      </w:r>
      <w:hyperlink r:id="rId9" w:tgtFrame="_blank" w:history="1">
        <w:r w:rsidRPr="00D44D88">
          <w:rPr>
            <w:rStyle w:val="Hyperlink"/>
            <w:lang w:val="en-US"/>
          </w:rPr>
          <w:t>https://doi.org/10.1016/j.bja.2024.07.018</w:t>
        </w:r>
      </w:hyperlink>
    </w:p>
    <w:p w14:paraId="4D422EC9" w14:textId="77777777" w:rsidR="00D44D88" w:rsidRPr="00D44D88" w:rsidRDefault="00D44D88" w:rsidP="00D44D88">
      <w:pPr>
        <w:rPr>
          <w:lang w:val="en-US"/>
        </w:rPr>
      </w:pPr>
      <w:r w:rsidRPr="00D44D88">
        <w:rPr>
          <w:lang w:val="en-US"/>
        </w:rPr>
        <w:t xml:space="preserve">General Medical Council (2025) </w:t>
      </w:r>
      <w:r w:rsidRPr="00D44D88">
        <w:rPr>
          <w:i/>
          <w:iCs/>
          <w:lang w:val="en-US"/>
        </w:rPr>
        <w:t>NHS backlogs threaten doctors as well as patients, GMC warns</w:t>
      </w:r>
      <w:r w:rsidRPr="00D44D88">
        <w:rPr>
          <w:lang w:val="en-US"/>
        </w:rPr>
        <w:t xml:space="preserve">. Available at: </w:t>
      </w:r>
      <w:hyperlink r:id="rId10" w:tgtFrame="_blank" w:history="1">
        <w:r w:rsidRPr="00D44D88">
          <w:rPr>
            <w:rStyle w:val="Hyperlink"/>
            <w:lang w:val="en-US"/>
          </w:rPr>
          <w:t>https://www.gmc-uk.org/news/news-archive/nhs-backlogs-threaten-doctors-as-well-as-patients</w:t>
        </w:r>
      </w:hyperlink>
    </w:p>
    <w:p w14:paraId="7F09B513" w14:textId="77777777" w:rsidR="00D44D88" w:rsidRPr="00D44D88" w:rsidRDefault="00D44D88" w:rsidP="00D44D88">
      <w:pPr>
        <w:rPr>
          <w:lang w:val="en-US"/>
        </w:rPr>
      </w:pPr>
      <w:r w:rsidRPr="00D44D88">
        <w:rPr>
          <w:lang w:val="en-US"/>
        </w:rPr>
        <w:t xml:space="preserve">Mahase, E. (2026) ‘NHS staff survey: Nearly one in six resident doctors physically attacked at work last year’, </w:t>
      </w:r>
      <w:r w:rsidRPr="00D44D88">
        <w:rPr>
          <w:i/>
          <w:iCs/>
          <w:lang w:val="en-US"/>
        </w:rPr>
        <w:t>BMJ</w:t>
      </w:r>
      <w:r w:rsidRPr="00D44D88">
        <w:rPr>
          <w:lang w:val="en-US"/>
        </w:rPr>
        <w:t xml:space="preserve">, 392, p. s486. Available at: </w:t>
      </w:r>
      <w:hyperlink r:id="rId11" w:tgtFrame="_blank" w:history="1">
        <w:r w:rsidRPr="00D44D88">
          <w:rPr>
            <w:rStyle w:val="Hyperlink"/>
            <w:lang w:val="en-US"/>
          </w:rPr>
          <w:t>https://doi.org/10.1136/bmj.s486</w:t>
        </w:r>
      </w:hyperlink>
    </w:p>
    <w:p w14:paraId="327494DC" w14:textId="77777777" w:rsidR="00D44D88" w:rsidRPr="00D44D88" w:rsidRDefault="00D44D88" w:rsidP="00D44D88">
      <w:pPr>
        <w:rPr>
          <w:lang w:val="en-US"/>
        </w:rPr>
      </w:pPr>
      <w:r w:rsidRPr="00D44D88">
        <w:rPr>
          <w:lang w:val="en-US"/>
        </w:rPr>
        <w:t xml:space="preserve">NHS Digital (2025) </w:t>
      </w:r>
      <w:r w:rsidRPr="00D44D88">
        <w:rPr>
          <w:i/>
          <w:iCs/>
          <w:lang w:val="en-US"/>
        </w:rPr>
        <w:t>NHS Workforce Statistics – November 2025</w:t>
      </w:r>
      <w:r w:rsidRPr="00D44D88">
        <w:rPr>
          <w:lang w:val="en-US"/>
        </w:rPr>
        <w:t xml:space="preserve">. Available at: </w:t>
      </w:r>
      <w:hyperlink r:id="rId12" w:tgtFrame="_blank" w:history="1">
        <w:r w:rsidRPr="00D44D88">
          <w:rPr>
            <w:rStyle w:val="Hyperlink"/>
            <w:lang w:val="en-US"/>
          </w:rPr>
          <w:t>https://digital.nhs.uk/data-and-information/publications/statistical/nhs-workforce-statistics</w:t>
        </w:r>
      </w:hyperlink>
    </w:p>
    <w:p w14:paraId="3D7F989C" w14:textId="77777777" w:rsidR="00D44D88" w:rsidRPr="00D44D88" w:rsidRDefault="00D44D88" w:rsidP="00D44D88">
      <w:pPr>
        <w:rPr>
          <w:lang w:val="en-US"/>
        </w:rPr>
      </w:pPr>
      <w:r w:rsidRPr="00D44D88">
        <w:rPr>
          <w:lang w:val="en-US"/>
        </w:rPr>
        <w:t xml:space="preserve">NHS Employers (2026) </w:t>
      </w:r>
      <w:r w:rsidRPr="00D44D88">
        <w:rPr>
          <w:i/>
          <w:iCs/>
          <w:lang w:val="en-US"/>
        </w:rPr>
        <w:t>NHS Employers respond to NMC nursing and midwifery report</w:t>
      </w:r>
      <w:r w:rsidRPr="00D44D88">
        <w:rPr>
          <w:lang w:val="en-US"/>
        </w:rPr>
        <w:t xml:space="preserve">. Available at: </w:t>
      </w:r>
      <w:hyperlink r:id="rId13" w:tgtFrame="_blank" w:history="1">
        <w:r w:rsidRPr="00D44D88">
          <w:rPr>
            <w:rStyle w:val="Hyperlink"/>
            <w:lang w:val="en-US"/>
          </w:rPr>
          <w:t>https://www.nhsemployers.org/news/nhs-employers-respond-nmc-nursing-and-midwifery-report</w:t>
        </w:r>
      </w:hyperlink>
    </w:p>
    <w:p w14:paraId="630E6698" w14:textId="77777777" w:rsidR="00D44D88" w:rsidRPr="00D44D88" w:rsidRDefault="00D44D88" w:rsidP="00D44D88">
      <w:pPr>
        <w:rPr>
          <w:lang w:val="en-US"/>
        </w:rPr>
      </w:pPr>
      <w:proofErr w:type="spellStart"/>
      <w:r w:rsidRPr="00D44D88">
        <w:rPr>
          <w:lang w:val="en-US"/>
        </w:rPr>
        <w:t>Organised</w:t>
      </w:r>
      <w:proofErr w:type="spellEnd"/>
      <w:r w:rsidRPr="00D44D88">
        <w:rPr>
          <w:lang w:val="en-US"/>
        </w:rPr>
        <w:t xml:space="preserve"> by EIT Health (2024) ‘4.B. Round table: Closing the loop in the European Health Data Space: relation between primary and secondary data use’, </w:t>
      </w:r>
      <w:r w:rsidRPr="00D44D88">
        <w:rPr>
          <w:i/>
          <w:iCs/>
          <w:lang w:val="en-US"/>
        </w:rPr>
        <w:t>European Journal of Public Health</w:t>
      </w:r>
      <w:r w:rsidRPr="00D44D88">
        <w:rPr>
          <w:lang w:val="en-US"/>
        </w:rPr>
        <w:t xml:space="preserve">, 34(Supplement_3), ckae144.196. Available at: </w:t>
      </w:r>
      <w:hyperlink r:id="rId14" w:tgtFrame="_blank" w:history="1">
        <w:r w:rsidRPr="00D44D88">
          <w:rPr>
            <w:rStyle w:val="Hyperlink"/>
            <w:lang w:val="en-US"/>
          </w:rPr>
          <w:t>https://doi.org/10.1093/eurpub/ckae144.196</w:t>
        </w:r>
      </w:hyperlink>
    </w:p>
    <w:p w14:paraId="3A82D1D3" w14:textId="77777777" w:rsidR="00D44D88" w:rsidRPr="00D44D88" w:rsidRDefault="00D44D88" w:rsidP="00D44D88">
      <w:pPr>
        <w:rPr>
          <w:lang w:val="en-US"/>
        </w:rPr>
      </w:pPr>
      <w:r w:rsidRPr="00D44D88">
        <w:rPr>
          <w:lang w:val="en-US"/>
        </w:rPr>
        <w:t xml:space="preserve">Royal College of Nursing (2025) </w:t>
      </w:r>
      <w:r w:rsidRPr="00D44D88">
        <w:rPr>
          <w:i/>
          <w:iCs/>
          <w:lang w:val="en-US"/>
        </w:rPr>
        <w:t>Two thirds of nurses continuing to work while unwell, RCN reports</w:t>
      </w:r>
      <w:r w:rsidRPr="00D44D88">
        <w:rPr>
          <w:lang w:val="en-US"/>
        </w:rPr>
        <w:t xml:space="preserve">. Available at: </w:t>
      </w:r>
      <w:hyperlink r:id="rId15" w:tgtFrame="_blank" w:history="1">
        <w:r w:rsidRPr="00D44D88">
          <w:rPr>
            <w:rStyle w:val="Hyperlink"/>
            <w:lang w:val="en-US"/>
          </w:rPr>
          <w:t>https://www.rcn.org.uk/news-and-events/news</w:t>
        </w:r>
      </w:hyperlink>
    </w:p>
    <w:p w14:paraId="47B8681D" w14:textId="77777777" w:rsidR="00D44D88" w:rsidRPr="00D44D88" w:rsidRDefault="00D44D88" w:rsidP="00D44D88">
      <w:pPr>
        <w:rPr>
          <w:lang w:val="en-US"/>
        </w:rPr>
      </w:pPr>
      <w:r w:rsidRPr="00D44D88">
        <w:rPr>
          <w:lang w:val="en-US"/>
        </w:rPr>
        <w:t xml:space="preserve">Sabbarwal, B., et al. (2024) ‘Evaluation of Burnout among Medical Officers and Dental Surgeons in State Health Services using Maslach’s Burnout Inventory during COVID-19: A </w:t>
      </w:r>
      <w:proofErr w:type="gramStart"/>
      <w:r w:rsidRPr="00D44D88">
        <w:rPr>
          <w:lang w:val="en-US"/>
        </w:rPr>
        <w:t>Cross Sectional</w:t>
      </w:r>
      <w:proofErr w:type="gramEnd"/>
      <w:r w:rsidRPr="00D44D88">
        <w:rPr>
          <w:lang w:val="en-US"/>
        </w:rPr>
        <w:t xml:space="preserve"> Study’, </w:t>
      </w:r>
      <w:r w:rsidRPr="00D44D88">
        <w:rPr>
          <w:i/>
          <w:iCs/>
          <w:lang w:val="en-US"/>
        </w:rPr>
        <w:t>Journal of International Society of Preventive and Community Dentistry</w:t>
      </w:r>
      <w:r w:rsidRPr="00D44D88">
        <w:rPr>
          <w:lang w:val="en-US"/>
        </w:rPr>
        <w:t xml:space="preserve">, 14(4), pp. 308-315. Available at: </w:t>
      </w:r>
      <w:hyperlink r:id="rId16" w:tgtFrame="_blank" w:history="1">
        <w:r w:rsidRPr="00D44D88">
          <w:rPr>
            <w:rStyle w:val="Hyperlink"/>
            <w:lang w:val="en-US"/>
          </w:rPr>
          <w:t>https://doi.org/10.4103/jispcd.jispcd_153_23</w:t>
        </w:r>
      </w:hyperlink>
    </w:p>
    <w:p w14:paraId="087EFFEC" w14:textId="77777777" w:rsidR="00D44D88" w:rsidRPr="00D44D88" w:rsidRDefault="00D44D88" w:rsidP="00D44D88">
      <w:pPr>
        <w:rPr>
          <w:lang w:val="en-US"/>
        </w:rPr>
      </w:pPr>
      <w:r w:rsidRPr="00D44D88">
        <w:rPr>
          <w:lang w:val="en-US"/>
        </w:rPr>
        <w:t xml:space="preserve">Skovholt, T.M. and Trotter-Mathison, M. (2024) </w:t>
      </w:r>
      <w:r w:rsidRPr="00D44D88">
        <w:rPr>
          <w:i/>
          <w:iCs/>
          <w:lang w:val="en-US"/>
        </w:rPr>
        <w:t>The Resilient Practitioner: Burnout and Compassion Fatigue Prevention and Self-Care Strategies for the Helping Professions</w:t>
      </w:r>
      <w:r w:rsidRPr="00D44D88">
        <w:rPr>
          <w:lang w:val="en-US"/>
        </w:rPr>
        <w:t xml:space="preserve">. 4th </w:t>
      </w:r>
      <w:proofErr w:type="spellStart"/>
      <w:r w:rsidRPr="00D44D88">
        <w:rPr>
          <w:lang w:val="en-US"/>
        </w:rPr>
        <w:t>edn</w:t>
      </w:r>
      <w:proofErr w:type="spellEnd"/>
      <w:r w:rsidRPr="00D44D88">
        <w:rPr>
          <w:lang w:val="en-US"/>
        </w:rPr>
        <w:t>. New York: Routledge.</w:t>
      </w:r>
    </w:p>
    <w:p w14:paraId="0B2CBCFB" w14:textId="77777777" w:rsidR="00D44D88" w:rsidRPr="00D44D88" w:rsidRDefault="00D44D88" w:rsidP="00D44D88">
      <w:pPr>
        <w:rPr>
          <w:lang w:val="en-US"/>
        </w:rPr>
      </w:pPr>
      <w:r w:rsidRPr="00D44D88">
        <w:rPr>
          <w:lang w:val="en-US"/>
        </w:rPr>
        <w:t xml:space="preserve">West, C.P., Dyrbye, L.N. and Shanafelt, T.D. (2025) ‘Revealing the blind spots: five key challenges for advancing physician wellness’, </w:t>
      </w:r>
      <w:r w:rsidRPr="00D44D88">
        <w:rPr>
          <w:i/>
          <w:iCs/>
          <w:lang w:val="en-US"/>
        </w:rPr>
        <w:t>Canadian Medical Education Journal</w:t>
      </w:r>
      <w:r w:rsidRPr="00D44D88">
        <w:rPr>
          <w:lang w:val="en-US"/>
        </w:rPr>
        <w:t xml:space="preserve">, 16(5), pp. 89-94. Available at: </w:t>
      </w:r>
      <w:hyperlink r:id="rId17" w:tgtFrame="_blank" w:history="1">
        <w:r w:rsidRPr="00D44D88">
          <w:rPr>
            <w:rStyle w:val="Hyperlink"/>
            <w:lang w:val="en-US"/>
          </w:rPr>
          <w:t>https://doi.org/10.36834/cmej.80720</w:t>
        </w:r>
      </w:hyperlink>
    </w:p>
    <w:p w14:paraId="4E5A9E28" w14:textId="77777777" w:rsidR="00D44D88" w:rsidRPr="00D44D88" w:rsidRDefault="00D44D88" w:rsidP="00D44D88">
      <w:pPr>
        <w:rPr>
          <w:lang w:val="en-US"/>
        </w:rPr>
      </w:pPr>
      <w:r w:rsidRPr="00D44D88">
        <w:rPr>
          <w:lang w:val="en-US"/>
        </w:rPr>
        <w:t xml:space="preserve">Willis, E. (2023) </w:t>
      </w:r>
      <w:r w:rsidRPr="00D44D88">
        <w:rPr>
          <w:i/>
          <w:iCs/>
          <w:lang w:val="en-US"/>
        </w:rPr>
        <w:t>Understanding Health and Social Care: An Introductory Reader</w:t>
      </w:r>
      <w:r w:rsidRPr="00D44D88">
        <w:rPr>
          <w:lang w:val="en-US"/>
        </w:rPr>
        <w:t xml:space="preserve">. 3rd </w:t>
      </w:r>
      <w:proofErr w:type="spellStart"/>
      <w:r w:rsidRPr="00D44D88">
        <w:rPr>
          <w:lang w:val="en-US"/>
        </w:rPr>
        <w:t>edn</w:t>
      </w:r>
      <w:proofErr w:type="spellEnd"/>
      <w:r w:rsidRPr="00D44D88">
        <w:rPr>
          <w:lang w:val="en-US"/>
        </w:rPr>
        <w:t>. Bristol: Policy Press.</w:t>
      </w:r>
    </w:p>
    <w:p w14:paraId="725F4993" w14:textId="77777777" w:rsidR="00C56318" w:rsidRDefault="00C56318"/>
    <w:sectPr w:rsidR="00C56318" w:rsidSect="0060134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7CC95" w14:textId="77777777" w:rsidR="002017D3" w:rsidRDefault="002017D3" w:rsidP="00F51118">
      <w:pPr>
        <w:spacing w:line="240" w:lineRule="auto"/>
      </w:pPr>
      <w:r>
        <w:separator/>
      </w:r>
    </w:p>
  </w:endnote>
  <w:endnote w:type="continuationSeparator" w:id="0">
    <w:p w14:paraId="55B265CF" w14:textId="77777777" w:rsidR="002017D3" w:rsidRDefault="002017D3" w:rsidP="00F511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854859"/>
      <w:docPartObj>
        <w:docPartGallery w:val="Page Numbers (Bottom of Page)"/>
        <w:docPartUnique/>
      </w:docPartObj>
    </w:sdtPr>
    <w:sdtEndPr>
      <w:rPr>
        <w:noProof/>
      </w:rPr>
    </w:sdtEndPr>
    <w:sdtContent>
      <w:p w14:paraId="0B0722FB" w14:textId="3FAD5F4F" w:rsidR="00601342" w:rsidRDefault="006013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737AAD" w14:textId="77777777" w:rsidR="00601342" w:rsidRDefault="00601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F8C69" w14:textId="77777777" w:rsidR="002017D3" w:rsidRDefault="002017D3" w:rsidP="00F51118">
      <w:pPr>
        <w:spacing w:line="240" w:lineRule="auto"/>
      </w:pPr>
      <w:r>
        <w:separator/>
      </w:r>
    </w:p>
  </w:footnote>
  <w:footnote w:type="continuationSeparator" w:id="0">
    <w:p w14:paraId="58321220" w14:textId="77777777" w:rsidR="002017D3" w:rsidRDefault="002017D3" w:rsidP="00F511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D88"/>
    <w:rsid w:val="00021CF2"/>
    <w:rsid w:val="00056BCA"/>
    <w:rsid w:val="000B59DB"/>
    <w:rsid w:val="00112C73"/>
    <w:rsid w:val="00134000"/>
    <w:rsid w:val="001574FF"/>
    <w:rsid w:val="001661D9"/>
    <w:rsid w:val="00175B5A"/>
    <w:rsid w:val="001A3A1C"/>
    <w:rsid w:val="002017D3"/>
    <w:rsid w:val="00262EB4"/>
    <w:rsid w:val="00360465"/>
    <w:rsid w:val="00460E08"/>
    <w:rsid w:val="00473D33"/>
    <w:rsid w:val="00490A26"/>
    <w:rsid w:val="004C5E71"/>
    <w:rsid w:val="004C6F27"/>
    <w:rsid w:val="005602A6"/>
    <w:rsid w:val="00601342"/>
    <w:rsid w:val="0079246D"/>
    <w:rsid w:val="008E4C42"/>
    <w:rsid w:val="009A296F"/>
    <w:rsid w:val="009D26AC"/>
    <w:rsid w:val="009D3AC3"/>
    <w:rsid w:val="00AE750F"/>
    <w:rsid w:val="00B43555"/>
    <w:rsid w:val="00C34A97"/>
    <w:rsid w:val="00C56318"/>
    <w:rsid w:val="00D44D88"/>
    <w:rsid w:val="00D549AF"/>
    <w:rsid w:val="00E52D7D"/>
    <w:rsid w:val="00F51118"/>
    <w:rsid w:val="00F8318C"/>
    <w:rsid w:val="00F924A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95D0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D7D"/>
    <w:pPr>
      <w:spacing w:after="0" w:line="360" w:lineRule="auto"/>
      <w:jc w:val="both"/>
    </w:pPr>
    <w:rPr>
      <w:rFonts w:ascii="Arial" w:hAnsi="Arial"/>
      <w:kern w:val="0"/>
      <w:lang w:val="en-GB"/>
      <w14:ligatures w14:val="none"/>
    </w:rPr>
  </w:style>
  <w:style w:type="paragraph" w:styleId="Heading1">
    <w:name w:val="heading 1"/>
    <w:basedOn w:val="Normal"/>
    <w:next w:val="Normal"/>
    <w:link w:val="Heading1Char"/>
    <w:uiPriority w:val="9"/>
    <w:qFormat/>
    <w:rsid w:val="004C6F27"/>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574FF"/>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5602A6"/>
    <w:pPr>
      <w:keepNext/>
      <w:keepLines/>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D44D8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44D8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44D8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44D8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44D8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44D8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F2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1574FF"/>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5602A6"/>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uiPriority w:val="10"/>
    <w:qFormat/>
    <w:rsid w:val="00360465"/>
    <w:pPr>
      <w:spacing w:line="240" w:lineRule="auto"/>
      <w:contextualSpacing/>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360465"/>
    <w:rPr>
      <w:rFonts w:ascii="Times New Roman" w:eastAsiaTheme="majorEastAsia" w:hAnsi="Times New Roman" w:cstheme="majorBidi"/>
      <w:b/>
      <w:color w:val="000000" w:themeColor="text1"/>
      <w:spacing w:val="-10"/>
      <w:kern w:val="28"/>
      <w:sz w:val="56"/>
      <w:szCs w:val="56"/>
    </w:rPr>
  </w:style>
  <w:style w:type="paragraph" w:styleId="Subtitle">
    <w:name w:val="Subtitle"/>
    <w:basedOn w:val="Normal"/>
    <w:next w:val="Normal"/>
    <w:link w:val="SubtitleChar"/>
    <w:uiPriority w:val="11"/>
    <w:qFormat/>
    <w:rsid w:val="00262EB4"/>
    <w:pPr>
      <w:numPr>
        <w:ilvl w:val="1"/>
      </w:numPr>
      <w:spacing w:after="160"/>
    </w:pPr>
    <w:rPr>
      <w:rFonts w:eastAsiaTheme="minorEastAsia"/>
      <w:b/>
      <w:color w:val="5A5A5A" w:themeColor="text1" w:themeTint="A5"/>
      <w:spacing w:val="15"/>
    </w:rPr>
  </w:style>
  <w:style w:type="character" w:customStyle="1" w:styleId="SubtitleChar">
    <w:name w:val="Subtitle Char"/>
    <w:basedOn w:val="DefaultParagraphFont"/>
    <w:link w:val="Subtitle"/>
    <w:uiPriority w:val="11"/>
    <w:rsid w:val="00262EB4"/>
    <w:rPr>
      <w:rFonts w:ascii="Times New Roman" w:eastAsiaTheme="minorEastAsia" w:hAnsi="Times New Roman"/>
      <w:b/>
      <w:color w:val="5A5A5A" w:themeColor="text1" w:themeTint="A5"/>
      <w:spacing w:val="15"/>
      <w:sz w:val="24"/>
    </w:rPr>
  </w:style>
  <w:style w:type="character" w:customStyle="1" w:styleId="Heading4Char">
    <w:name w:val="Heading 4 Char"/>
    <w:basedOn w:val="DefaultParagraphFont"/>
    <w:link w:val="Heading4"/>
    <w:uiPriority w:val="9"/>
    <w:semiHidden/>
    <w:rsid w:val="00D44D88"/>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D44D88"/>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D44D88"/>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D44D88"/>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D44D88"/>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D44D88"/>
    <w:rPr>
      <w:rFonts w:eastAsiaTheme="majorEastAsia" w:cstheme="majorBidi"/>
      <w:color w:val="272727" w:themeColor="text1" w:themeTint="D8"/>
      <w:kern w:val="0"/>
      <w:sz w:val="24"/>
      <w:lang w:val="en-GB"/>
      <w14:ligatures w14:val="none"/>
    </w:rPr>
  </w:style>
  <w:style w:type="paragraph" w:styleId="Quote">
    <w:name w:val="Quote"/>
    <w:basedOn w:val="Normal"/>
    <w:next w:val="Normal"/>
    <w:link w:val="QuoteChar"/>
    <w:uiPriority w:val="29"/>
    <w:qFormat/>
    <w:rsid w:val="00D44D8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4D88"/>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D44D88"/>
    <w:pPr>
      <w:ind w:left="720"/>
      <w:contextualSpacing/>
    </w:pPr>
  </w:style>
  <w:style w:type="character" w:styleId="IntenseEmphasis">
    <w:name w:val="Intense Emphasis"/>
    <w:basedOn w:val="DefaultParagraphFont"/>
    <w:uiPriority w:val="21"/>
    <w:qFormat/>
    <w:rsid w:val="00D44D88"/>
    <w:rPr>
      <w:i/>
      <w:iCs/>
      <w:color w:val="0F4761" w:themeColor="accent1" w:themeShade="BF"/>
    </w:rPr>
  </w:style>
  <w:style w:type="paragraph" w:styleId="IntenseQuote">
    <w:name w:val="Intense Quote"/>
    <w:basedOn w:val="Normal"/>
    <w:next w:val="Normal"/>
    <w:link w:val="IntenseQuoteChar"/>
    <w:uiPriority w:val="30"/>
    <w:qFormat/>
    <w:rsid w:val="00D44D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D88"/>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D44D88"/>
    <w:rPr>
      <w:b/>
      <w:bCs/>
      <w:smallCaps/>
      <w:color w:val="0F4761" w:themeColor="accent1" w:themeShade="BF"/>
      <w:spacing w:val="5"/>
    </w:rPr>
  </w:style>
  <w:style w:type="character" w:styleId="Hyperlink">
    <w:name w:val="Hyperlink"/>
    <w:basedOn w:val="DefaultParagraphFont"/>
    <w:uiPriority w:val="99"/>
    <w:unhideWhenUsed/>
    <w:rsid w:val="00D44D88"/>
    <w:rPr>
      <w:color w:val="467886" w:themeColor="hyperlink"/>
      <w:u w:val="single"/>
    </w:rPr>
  </w:style>
  <w:style w:type="character" w:styleId="UnresolvedMention">
    <w:name w:val="Unresolved Mention"/>
    <w:basedOn w:val="DefaultParagraphFont"/>
    <w:uiPriority w:val="99"/>
    <w:semiHidden/>
    <w:unhideWhenUsed/>
    <w:rsid w:val="00D44D88"/>
    <w:rPr>
      <w:color w:val="605E5C"/>
      <w:shd w:val="clear" w:color="auto" w:fill="E1DFDD"/>
    </w:rPr>
  </w:style>
  <w:style w:type="paragraph" w:styleId="Header">
    <w:name w:val="header"/>
    <w:basedOn w:val="Normal"/>
    <w:link w:val="HeaderChar"/>
    <w:uiPriority w:val="99"/>
    <w:unhideWhenUsed/>
    <w:rsid w:val="00F51118"/>
    <w:pPr>
      <w:tabs>
        <w:tab w:val="center" w:pos="4680"/>
        <w:tab w:val="right" w:pos="9360"/>
      </w:tabs>
      <w:spacing w:line="240" w:lineRule="auto"/>
    </w:pPr>
  </w:style>
  <w:style w:type="character" w:customStyle="1" w:styleId="HeaderChar">
    <w:name w:val="Header Char"/>
    <w:basedOn w:val="DefaultParagraphFont"/>
    <w:link w:val="Header"/>
    <w:uiPriority w:val="99"/>
    <w:rsid w:val="00F51118"/>
    <w:rPr>
      <w:rFonts w:ascii="Times New Roman" w:hAnsi="Times New Roman"/>
      <w:kern w:val="0"/>
      <w:sz w:val="24"/>
      <w:lang w:val="en-GB"/>
      <w14:ligatures w14:val="none"/>
    </w:rPr>
  </w:style>
  <w:style w:type="paragraph" w:styleId="Footer">
    <w:name w:val="footer"/>
    <w:basedOn w:val="Normal"/>
    <w:link w:val="FooterChar"/>
    <w:uiPriority w:val="99"/>
    <w:unhideWhenUsed/>
    <w:rsid w:val="00F51118"/>
    <w:pPr>
      <w:tabs>
        <w:tab w:val="center" w:pos="4680"/>
        <w:tab w:val="right" w:pos="9360"/>
      </w:tabs>
      <w:spacing w:line="240" w:lineRule="auto"/>
    </w:pPr>
  </w:style>
  <w:style w:type="character" w:customStyle="1" w:styleId="FooterChar">
    <w:name w:val="Footer Char"/>
    <w:basedOn w:val="DefaultParagraphFont"/>
    <w:link w:val="Footer"/>
    <w:uiPriority w:val="99"/>
    <w:rsid w:val="00F51118"/>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601342"/>
    <w:pPr>
      <w:spacing w:before="240" w:line="259" w:lineRule="auto"/>
      <w:jc w:val="left"/>
      <w:outlineLvl w:val="9"/>
    </w:pPr>
    <w:rPr>
      <w:rFonts w:asciiTheme="majorHAnsi" w:hAnsiTheme="majorHAnsi"/>
      <w:b w:val="0"/>
      <w:color w:val="0F4761" w:themeColor="accent1" w:themeShade="BF"/>
      <w:lang w:val="en-US"/>
    </w:rPr>
  </w:style>
  <w:style w:type="paragraph" w:styleId="TOC1">
    <w:name w:val="toc 1"/>
    <w:basedOn w:val="Normal"/>
    <w:next w:val="Normal"/>
    <w:autoRedefine/>
    <w:uiPriority w:val="39"/>
    <w:unhideWhenUsed/>
    <w:rsid w:val="0060134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10/GRFV4068" TargetMode="External" /><Relationship Id="rId13" Type="http://schemas.openxmlformats.org/officeDocument/2006/relationships/hyperlink" Target="https://www.nhsemployers.org/news/nhs-employers-respond-nmc-nursing-and-midwifery-report"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12" Type="http://schemas.openxmlformats.org/officeDocument/2006/relationships/hyperlink" Target="https://digital.nhs.uk/data-and-information/publications/statistical/nhs-workforce-statistics" TargetMode="External" /><Relationship Id="rId17" Type="http://schemas.openxmlformats.org/officeDocument/2006/relationships/hyperlink" Target="https://doi.org/10.36834/cmej.80720" TargetMode="External" /><Relationship Id="rId2" Type="http://schemas.openxmlformats.org/officeDocument/2006/relationships/styles" Target="styles.xml" /><Relationship Id="rId16" Type="http://schemas.openxmlformats.org/officeDocument/2006/relationships/hyperlink" Target="https://doi.org/10.4103/jispcd.jispcd_153_23"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1136/bmj.s486" TargetMode="External" /><Relationship Id="rId5" Type="http://schemas.openxmlformats.org/officeDocument/2006/relationships/footnotes" Target="footnotes.xml" /><Relationship Id="rId15" Type="http://schemas.openxmlformats.org/officeDocument/2006/relationships/hyperlink" Target="https://www.rcn.org.uk/news-and-events/news" TargetMode="External" /><Relationship Id="rId10" Type="http://schemas.openxmlformats.org/officeDocument/2006/relationships/hyperlink" Target="https://www.gmc-uk.org/news/news-archive/nhs-backlogs-threaten-doctors-as-well-as-patients"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doi.org/10.1016/j.bja.2024.07.018" TargetMode="External" /><Relationship Id="rId14" Type="http://schemas.openxmlformats.org/officeDocument/2006/relationships/hyperlink" Target="https://doi.org/10.1093/eurpub/ckae144.19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4985C-5A4B-4FF0-942A-CD19866049C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2057</Words>
  <Characters>11729</Characters>
  <Application>Microsoft Office Word</Application>
  <DocSecurity>0</DocSecurity>
  <Lines>97</Lines>
  <Paragraphs>27</Paragraphs>
  <ScaleCrop>false</ScaleCrop>
  <Company/>
  <LinksUpToDate>false</LinksUpToDate>
  <CharactersWithSpaces>13759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2026-03-23T12:15:00Z</dcterms:created>
  <dcterms:modified xsi:type="dcterms:W3CDTF">2026-03-23T12:15:00Z</dcterms:modified>
</cp:coreProperties>
</file>