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60D0F" w14:textId="3F7A475B" w:rsidR="7E8C9911" w:rsidRDefault="7E8C9911" w:rsidP="7E8C9911">
      <w:pPr>
        <w:jc w:val="center"/>
      </w:pPr>
      <w:r w:rsidRPr="7E8C9911">
        <w:rPr>
          <w:rFonts w:ascii="Times New Roman" w:eastAsia="Times New Roman" w:hAnsi="Times New Roman" w:cs="Times New Roman"/>
          <w:b/>
          <w:bCs/>
          <w:sz w:val="24"/>
          <w:szCs w:val="24"/>
          <w:u w:val="single"/>
        </w:rPr>
        <w:t>Critical response to an article that provides evidence of sound knowledge and understanding of themes related to the teaching of Welsh in the English-medium sector.</w:t>
      </w:r>
    </w:p>
    <w:p w14:paraId="7280DC3A" w14:textId="46C1399F" w:rsidR="7E8C9911"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 xml:space="preserve">In this response, there will be an attempt to critically respond to and reflect on the provided work of Bernardo and </w:t>
      </w:r>
      <w:proofErr w:type="spellStart"/>
      <w:r w:rsidRPr="20E70BEE">
        <w:rPr>
          <w:rFonts w:ascii="Times New Roman" w:eastAsia="Times New Roman" w:hAnsi="Times New Roman" w:cs="Times New Roman"/>
        </w:rPr>
        <w:t>Gaerlan</w:t>
      </w:r>
      <w:proofErr w:type="spellEnd"/>
      <w:r w:rsidRPr="20E70BEE">
        <w:rPr>
          <w:rFonts w:ascii="Times New Roman" w:eastAsia="Times New Roman" w:hAnsi="Times New Roman" w:cs="Times New Roman"/>
        </w:rPr>
        <w:t xml:space="preserve"> (2011) and their research into the field of bilingual cognition. The provided work of these authors is a review of the current methods used to teach the English language as a foreign language (particularly in a Philippine context) and the impact they have on learning and cognition. Within the response, there will be an attempt to critically </w:t>
      </w:r>
      <w:r w:rsidRPr="20E70BEE">
        <w:rPr>
          <w:rFonts w:ascii="Times New Roman" w:eastAsia="Times New Roman" w:hAnsi="Times New Roman" w:cs="Times New Roman"/>
          <w:lang w:val="en-GB"/>
        </w:rPr>
        <w:t xml:space="preserve">analyse </w:t>
      </w:r>
      <w:r w:rsidRPr="20E70BEE">
        <w:rPr>
          <w:rFonts w:ascii="Times New Roman" w:eastAsia="Times New Roman" w:hAnsi="Times New Roman" w:cs="Times New Roman"/>
        </w:rPr>
        <w:t xml:space="preserve">the discussed methodologies and claims made by both authors and apply them to a Welsh context, specifically the teaching of Welsh in the English-medium sector. There will be efforts made to offer a personal yet weighted interpretation of the integrity, validity and reliability of their response, based on a wide range of relevant and current academic literature. As a result, there will be an informed conclusion with supporting recommendations on how the contents of the provided text could be used to improve the arguably enduring poor and declining quality of Welsh language teaching in the English medium sector (Petitions Committee, 2018; Davies, 2013; </w:t>
      </w:r>
      <w:proofErr w:type="spellStart"/>
      <w:r w:rsidRPr="20E70BEE">
        <w:rPr>
          <w:rFonts w:ascii="Times New Roman" w:eastAsia="Times New Roman" w:hAnsi="Times New Roman" w:cs="Times New Roman"/>
        </w:rPr>
        <w:t>Estyn</w:t>
      </w:r>
      <w:proofErr w:type="spellEnd"/>
      <w:r w:rsidRPr="20E70BEE">
        <w:rPr>
          <w:rFonts w:ascii="Times New Roman" w:eastAsia="Times New Roman" w:hAnsi="Times New Roman" w:cs="Times New Roman"/>
        </w:rPr>
        <w:t xml:space="preserve">, 2004; Welsh Assembly Government, 2002) and the proposed recommendations and the planned implementation of teaching English-medium learners through the medium of Welsh and removing Welsh as a second-language (Culture, Welsh Language and Communications Committee (CWLCC), 2016; Davies, 2013; </w:t>
      </w:r>
      <w:proofErr w:type="spellStart"/>
      <w:r w:rsidRPr="20E70BEE">
        <w:rPr>
          <w:rFonts w:ascii="Times New Roman" w:eastAsia="Times New Roman" w:hAnsi="Times New Roman" w:cs="Times New Roman"/>
        </w:rPr>
        <w:t>Cymdeithas</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ar</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Ia</w:t>
      </w:r>
      <w:r w:rsidR="00C40AFF">
        <w:rPr>
          <w:rFonts w:ascii="Times New Roman" w:eastAsia="Times New Roman" w:hAnsi="Times New Roman" w:cs="Times New Roman"/>
        </w:rPr>
        <w:t>i</w:t>
      </w:r>
      <w:r w:rsidRPr="20E70BEE">
        <w:rPr>
          <w:rFonts w:ascii="Times New Roman" w:eastAsia="Times New Roman" w:hAnsi="Times New Roman" w:cs="Times New Roman"/>
        </w:rPr>
        <w:t>th</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Gymraeg</w:t>
      </w:r>
      <w:proofErr w:type="spellEnd"/>
      <w:r w:rsidRPr="20E70BEE">
        <w:rPr>
          <w:rFonts w:ascii="Times New Roman" w:eastAsia="Times New Roman" w:hAnsi="Times New Roman" w:cs="Times New Roman"/>
        </w:rPr>
        <w:t xml:space="preserve">, 2018). </w:t>
      </w:r>
    </w:p>
    <w:p w14:paraId="658A8397" w14:textId="111032BD" w:rsidR="7E8C9911"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Firstly, it is important to acknowledge that throughout the article, there are a variety of claims that are made by the authors that are not supported by a wide range of relevant and recent academic literature. For example, the authors immediately assume the aims of teachers of English as a second-language (ESL) or English as a foreign language (EFL) without citing any text that might support or contest these claims. Alternatively, research has suggested that the ‘primary’ aims of ESL teachers are complex and can often depend on the learner, it has also been suggested that language teachers have the potential to develop children holistically (socially, emotionally, psychologically etc.) due to the suggested additional cognitive capabilities attributed to bilingualism (</w:t>
      </w:r>
      <w:proofErr w:type="spellStart"/>
      <w:r w:rsidRPr="20E70BEE">
        <w:rPr>
          <w:rFonts w:ascii="Times New Roman" w:eastAsia="Times New Roman" w:hAnsi="Times New Roman" w:cs="Times New Roman"/>
        </w:rPr>
        <w:t>Tavakoli</w:t>
      </w:r>
      <w:proofErr w:type="spellEnd"/>
      <w:r w:rsidRPr="20E70BEE">
        <w:rPr>
          <w:rFonts w:ascii="Times New Roman" w:eastAsia="Times New Roman" w:hAnsi="Times New Roman" w:cs="Times New Roman"/>
        </w:rPr>
        <w:t xml:space="preserve"> and Jones, 2018; Fitzpatrick et al., 2018; </w:t>
      </w:r>
      <w:proofErr w:type="spellStart"/>
      <w:r w:rsidRPr="20E70BEE">
        <w:rPr>
          <w:rFonts w:ascii="Times New Roman" w:eastAsia="Times New Roman" w:hAnsi="Times New Roman" w:cs="Times New Roman"/>
        </w:rPr>
        <w:t>Aljohani</w:t>
      </w:r>
      <w:proofErr w:type="spellEnd"/>
      <w:r w:rsidRPr="20E70BEE">
        <w:rPr>
          <w:rFonts w:ascii="Times New Roman" w:eastAsia="Times New Roman" w:hAnsi="Times New Roman" w:cs="Times New Roman"/>
        </w:rPr>
        <w:t xml:space="preserve">, 2016). Also, there are a variety of dated references to the author’s previous publications and research in this field, this suggests a level of bias within the response as it would suggest the authors have not engaged with alternative viewpoints and research, having a detrimental impact on the reliability and validity of the response (Day, 2018; Crème and Lea, 2008). However, it is evident that both authors are professional academics based in a University context (Asian Association of Social Psychology, 2019; Academia, 2019) and both have produced several well-referenced and supported papers (Bernardo &amp; </w:t>
      </w:r>
      <w:proofErr w:type="spellStart"/>
      <w:r w:rsidRPr="20E70BEE">
        <w:rPr>
          <w:rFonts w:ascii="Times New Roman" w:eastAsia="Times New Roman" w:hAnsi="Times New Roman" w:cs="Times New Roman"/>
        </w:rPr>
        <w:t>Ismali</w:t>
      </w:r>
      <w:proofErr w:type="spellEnd"/>
      <w:r w:rsidRPr="20E70BEE">
        <w:rPr>
          <w:rFonts w:ascii="Times New Roman" w:eastAsia="Times New Roman" w:hAnsi="Times New Roman" w:cs="Times New Roman"/>
        </w:rPr>
        <w:t xml:space="preserve">, 2010a; Bernardo, 2010b; Bernardo, 2010c; </w:t>
      </w:r>
      <w:proofErr w:type="spellStart"/>
      <w:r w:rsidRPr="20E70BEE">
        <w:rPr>
          <w:rFonts w:ascii="Times New Roman" w:eastAsia="Times New Roman" w:hAnsi="Times New Roman" w:cs="Times New Roman"/>
        </w:rPr>
        <w:t>Gaerlan</w:t>
      </w:r>
      <w:proofErr w:type="spellEnd"/>
      <w:r w:rsidRPr="20E70BEE">
        <w:rPr>
          <w:rFonts w:ascii="Times New Roman" w:eastAsia="Times New Roman" w:hAnsi="Times New Roman" w:cs="Times New Roman"/>
        </w:rPr>
        <w:t xml:space="preserve">, 2008) in this area, this infers that a lot of their opinions would be professional, informed and </w:t>
      </w:r>
      <w:r w:rsidRPr="20E70BEE">
        <w:rPr>
          <w:rFonts w:ascii="Times New Roman" w:eastAsia="Times New Roman" w:hAnsi="Times New Roman" w:cs="Times New Roman"/>
          <w:lang w:val="en-GB"/>
        </w:rPr>
        <w:t>summarised</w:t>
      </w:r>
      <w:r w:rsidRPr="20E70BEE">
        <w:rPr>
          <w:rFonts w:ascii="Times New Roman" w:eastAsia="Times New Roman" w:hAnsi="Times New Roman" w:cs="Times New Roman"/>
        </w:rPr>
        <w:t xml:space="preserve"> in this research paper. Nevertheless, it would have been beneficial for the authors to provide their </w:t>
      </w:r>
      <w:r w:rsidR="002E7EDD" w:rsidRPr="20E70BEE">
        <w:rPr>
          <w:rFonts w:ascii="Times New Roman" w:eastAsia="Times New Roman" w:hAnsi="Times New Roman" w:cs="Times New Roman"/>
        </w:rPr>
        <w:t>sources,</w:t>
      </w:r>
      <w:r w:rsidRPr="20E70BEE">
        <w:rPr>
          <w:rFonts w:ascii="Times New Roman" w:eastAsia="Times New Roman" w:hAnsi="Times New Roman" w:cs="Times New Roman"/>
        </w:rPr>
        <w:t xml:space="preserve"> so a reader could identify academic integrity or do their own background reading. </w:t>
      </w:r>
    </w:p>
    <w:p w14:paraId="1E160EB8" w14:textId="49CCF04C" w:rsidR="20E70BEE"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 xml:space="preserve">Notably, the article (based on a study) outlines the potential benefits and drawbacks of teaching Mathematics through the medium of English in a Filipino school. Interestingly, the study reveals that Filipino learners that are taught Mathematics through the medium of English </w:t>
      </w:r>
      <w:proofErr w:type="gramStart"/>
      <w:r w:rsidRPr="20E70BEE">
        <w:rPr>
          <w:rFonts w:ascii="Times New Roman" w:eastAsia="Times New Roman" w:hAnsi="Times New Roman" w:cs="Times New Roman"/>
        </w:rPr>
        <w:t>are able to</w:t>
      </w:r>
      <w:proofErr w:type="gramEnd"/>
      <w:r w:rsidRPr="20E70BEE">
        <w:rPr>
          <w:rFonts w:ascii="Times New Roman" w:eastAsia="Times New Roman" w:hAnsi="Times New Roman" w:cs="Times New Roman"/>
        </w:rPr>
        <w:t xml:space="preserve"> effectively ‘remember’ number facts quickly in English but ultimately performed better in application and comprehension of number tasks when they are provided in Filipino. This coincides with the notion that the learning that takes place in these Mathematics sessions is ‘rote learning’, due to the apparently non-transferable nature of their knowledge of number (Burke, 2008; Malone, 2003). Though there are evidently benefits to this type of learning as the students were successfully able to recall the appropriate arithmetic facts and terminology, it is argued that as practitioners, it is more useful to promote and produce deep, meaningful learning and understanding that is </w:t>
      </w:r>
      <w:proofErr w:type="spellStart"/>
      <w:r w:rsidRPr="20E70BEE">
        <w:rPr>
          <w:rFonts w:ascii="Times New Roman" w:eastAsia="Times New Roman" w:hAnsi="Times New Roman" w:cs="Times New Roman"/>
        </w:rPr>
        <w:t>organised</w:t>
      </w:r>
      <w:proofErr w:type="spellEnd"/>
      <w:r w:rsidRPr="20E70BEE">
        <w:rPr>
          <w:rFonts w:ascii="Times New Roman" w:eastAsia="Times New Roman" w:hAnsi="Times New Roman" w:cs="Times New Roman"/>
        </w:rPr>
        <w:t xml:space="preserve"> and applicable to a variety of </w:t>
      </w:r>
      <w:r w:rsidRPr="20E70BEE">
        <w:rPr>
          <w:rFonts w:ascii="Times New Roman" w:eastAsia="Times New Roman" w:hAnsi="Times New Roman" w:cs="Times New Roman"/>
        </w:rPr>
        <w:lastRenderedPageBreak/>
        <w:t>contexts (Hirsch, 2016; Anderson et al., 2014; Smith, 2012). Moreover, this type of ‘lower-order’ thinking skill though may have some applications in limited contexts, ultimately, there is an argument for the demand in encouraging the use of high-order thinking skills (Anderson et al., 2014) (demonstrated in the comprehension and application of number questions posited to the students in Filipino), that are essential in creative thinking (</w:t>
      </w:r>
      <w:proofErr w:type="spellStart"/>
      <w:r w:rsidRPr="20E70BEE">
        <w:rPr>
          <w:rFonts w:ascii="Times New Roman" w:eastAsia="Times New Roman" w:hAnsi="Times New Roman" w:cs="Times New Roman"/>
        </w:rPr>
        <w:t>Bazinas</w:t>
      </w:r>
      <w:proofErr w:type="spellEnd"/>
      <w:r w:rsidRPr="20E70BEE">
        <w:rPr>
          <w:rFonts w:ascii="Times New Roman" w:eastAsia="Times New Roman" w:hAnsi="Times New Roman" w:cs="Times New Roman"/>
        </w:rPr>
        <w:t xml:space="preserve">, 2018; </w:t>
      </w:r>
      <w:proofErr w:type="spellStart"/>
      <w:r w:rsidRPr="20E70BEE">
        <w:rPr>
          <w:rFonts w:ascii="Times New Roman" w:eastAsia="Times New Roman" w:hAnsi="Times New Roman" w:cs="Times New Roman"/>
        </w:rPr>
        <w:t>Toikkanen</w:t>
      </w:r>
      <w:proofErr w:type="spellEnd"/>
      <w:r w:rsidRPr="20E70BEE">
        <w:rPr>
          <w:rFonts w:ascii="Times New Roman" w:eastAsia="Times New Roman" w:hAnsi="Times New Roman" w:cs="Times New Roman"/>
        </w:rPr>
        <w:t xml:space="preserve">, 2016; De Bono, 2015), which is in demand and popularly deemed essential in the future (Tan et al. 2017; World Economic Forum, 2016). In a Welsh context, if teaching a subject through an additional language results in a cognitive decline as the author suggests, then it would not coincide with the current template of the new Welsh Curriculum, which advocates for the importance of creativity in school (Donaldson, 2015). </w:t>
      </w:r>
    </w:p>
    <w:p w14:paraId="0E19D727" w14:textId="5DAA055F" w:rsidR="20E70BEE" w:rsidRDefault="20E70BEE" w:rsidP="20E70BEE">
      <w:pPr>
        <w:rPr>
          <w:rFonts w:ascii="Times New Roman" w:eastAsia="Times New Roman" w:hAnsi="Times New Roman" w:cs="Times New Roman"/>
          <w:sz w:val="23"/>
          <w:szCs w:val="23"/>
        </w:rPr>
      </w:pPr>
      <w:r w:rsidRPr="20E70BEE">
        <w:rPr>
          <w:rFonts w:ascii="Times New Roman" w:eastAsia="Times New Roman" w:hAnsi="Times New Roman" w:cs="Times New Roman"/>
        </w:rPr>
        <w:t>Also, the author outlines additional benefits of working bilingually. Apparently, bilinguals that switch languages during tasks, produce a wider variety of responses in high level cognitive tasks. Though the author is citing others’ research, it is prevalent that they have decided to feature it in this discussion as it demonstrates a degree of wider reading. Unfortunately, the author has not given further detail of the linguistic nature the subject of the tasks was taught in, so it is difficult to apply this to the context of the article. The benefits of being bilingual are outlined, but it cannot be determined if this is the result of bilingual teaching, more clarification from the author is needed. However, prevalence by the author is given to the idea of ‘code-switching’ and the ability to access a wider scope of knowledge from different language codes, this would manifest itself as bilinguals being more proficient in ‘executive functioning’ (</w:t>
      </w:r>
      <w:proofErr w:type="spellStart"/>
      <w:r w:rsidRPr="20E70BEE">
        <w:rPr>
          <w:rFonts w:ascii="Times New Roman" w:eastAsia="Times New Roman" w:hAnsi="Times New Roman" w:cs="Times New Roman"/>
        </w:rPr>
        <w:t>Mcalla</w:t>
      </w:r>
      <w:proofErr w:type="spellEnd"/>
      <w:r w:rsidRPr="20E70BEE">
        <w:rPr>
          <w:rFonts w:ascii="Times New Roman" w:eastAsia="Times New Roman" w:hAnsi="Times New Roman" w:cs="Times New Roman"/>
        </w:rPr>
        <w:t>, 2013), than monolinguals, there is a wide scope of research that already supports this notion (</w:t>
      </w:r>
      <w:proofErr w:type="spellStart"/>
      <w:r w:rsidRPr="20E70BEE">
        <w:rPr>
          <w:rFonts w:ascii="Times New Roman" w:eastAsia="Times New Roman" w:hAnsi="Times New Roman" w:cs="Times New Roman"/>
          <w:sz w:val="23"/>
          <w:szCs w:val="23"/>
        </w:rPr>
        <w:t>Barac</w:t>
      </w:r>
      <w:proofErr w:type="spellEnd"/>
      <w:r w:rsidRPr="20E70BEE">
        <w:rPr>
          <w:rFonts w:ascii="Times New Roman" w:eastAsia="Times New Roman" w:hAnsi="Times New Roman" w:cs="Times New Roman"/>
          <w:sz w:val="23"/>
          <w:szCs w:val="23"/>
        </w:rPr>
        <w:t xml:space="preserve"> and Bialystok, 2011; </w:t>
      </w:r>
      <w:proofErr w:type="spellStart"/>
      <w:r w:rsidRPr="20E70BEE">
        <w:rPr>
          <w:rFonts w:ascii="Times New Roman" w:eastAsia="Times New Roman" w:hAnsi="Times New Roman" w:cs="Times New Roman"/>
          <w:sz w:val="23"/>
          <w:szCs w:val="23"/>
        </w:rPr>
        <w:t>Hilchey</w:t>
      </w:r>
      <w:proofErr w:type="spellEnd"/>
      <w:r w:rsidRPr="20E70BEE">
        <w:rPr>
          <w:rFonts w:ascii="Times New Roman" w:eastAsia="Times New Roman" w:hAnsi="Times New Roman" w:cs="Times New Roman"/>
          <w:sz w:val="23"/>
          <w:szCs w:val="23"/>
        </w:rPr>
        <w:t xml:space="preserve"> and Klein, 2011; </w:t>
      </w:r>
      <w:proofErr w:type="spellStart"/>
      <w:r w:rsidRPr="20E70BEE">
        <w:rPr>
          <w:rFonts w:ascii="Times New Roman" w:eastAsia="Times New Roman" w:hAnsi="Times New Roman" w:cs="Times New Roman"/>
          <w:sz w:val="23"/>
          <w:szCs w:val="23"/>
        </w:rPr>
        <w:t>Adesope</w:t>
      </w:r>
      <w:proofErr w:type="spellEnd"/>
      <w:r w:rsidRPr="20E70BEE">
        <w:rPr>
          <w:rFonts w:ascii="Times New Roman" w:eastAsia="Times New Roman" w:hAnsi="Times New Roman" w:cs="Times New Roman"/>
          <w:sz w:val="23"/>
          <w:szCs w:val="23"/>
        </w:rPr>
        <w:t xml:space="preserve"> et al., 2010) however this disputed by the idea that this would depends on individual learner, the applied context, their social context and their existing cognitive capacities (</w:t>
      </w:r>
      <w:proofErr w:type="spellStart"/>
      <w:r w:rsidRPr="20E70BEE">
        <w:rPr>
          <w:rFonts w:ascii="Times New Roman" w:eastAsia="Times New Roman" w:hAnsi="Times New Roman" w:cs="Times New Roman"/>
          <w:sz w:val="23"/>
          <w:szCs w:val="23"/>
        </w:rPr>
        <w:t>Paap</w:t>
      </w:r>
      <w:proofErr w:type="spellEnd"/>
      <w:r w:rsidRPr="20E70BEE">
        <w:rPr>
          <w:rFonts w:ascii="Times New Roman" w:eastAsia="Times New Roman" w:hAnsi="Times New Roman" w:cs="Times New Roman"/>
          <w:sz w:val="23"/>
          <w:szCs w:val="23"/>
        </w:rPr>
        <w:t xml:space="preserve"> et al., 2015; Morton and Harper, 2007). </w:t>
      </w:r>
    </w:p>
    <w:p w14:paraId="20D7FDF5" w14:textId="05B003C6" w:rsidR="20E70BEE" w:rsidRDefault="20E70BEE" w:rsidP="20E70BEE">
      <w:pPr>
        <w:rPr>
          <w:rFonts w:ascii="Times New Roman" w:eastAsia="Times New Roman" w:hAnsi="Times New Roman" w:cs="Times New Roman"/>
          <w:sz w:val="23"/>
          <w:szCs w:val="23"/>
        </w:rPr>
      </w:pPr>
      <w:r w:rsidRPr="20E70BEE">
        <w:rPr>
          <w:rFonts w:ascii="Times New Roman" w:eastAsia="Times New Roman" w:hAnsi="Times New Roman" w:cs="Times New Roman"/>
          <w:sz w:val="23"/>
          <w:szCs w:val="23"/>
        </w:rPr>
        <w:t>Applying this to a Welsh context, existing bilingual learners in Welsh-medium schools in Wales are strongly discouraged from ‘code-switching’ (this was observed on Professional Teaching Experiences and dialogue with educational professionals in schools) and strongly encouraged to converse only in Welsh (Rojas, 2012), this would arguably limit their potential to switch between languages and converse with English-medium Welsh learners. Added to that, it is noted that for learners to successfully code-switch, they must be proficiently fluent in both languages (</w:t>
      </w:r>
      <w:r w:rsidRPr="20E70BEE">
        <w:rPr>
          <w:rFonts w:ascii="Times New Roman" w:eastAsia="Times New Roman" w:hAnsi="Times New Roman" w:cs="Times New Roman"/>
        </w:rPr>
        <w:t xml:space="preserve">Genesee Paradis and </w:t>
      </w:r>
      <w:proofErr w:type="spellStart"/>
      <w:r w:rsidRPr="20E70BEE">
        <w:rPr>
          <w:rFonts w:ascii="Times New Roman" w:eastAsia="Times New Roman" w:hAnsi="Times New Roman" w:cs="Times New Roman"/>
        </w:rPr>
        <w:t>Crago</w:t>
      </w:r>
      <w:proofErr w:type="spellEnd"/>
      <w:r w:rsidRPr="20E70BEE">
        <w:rPr>
          <w:rFonts w:ascii="Times New Roman" w:eastAsia="Times New Roman" w:hAnsi="Times New Roman" w:cs="Times New Roman"/>
        </w:rPr>
        <w:t xml:space="preserve">, 2004; </w:t>
      </w:r>
      <w:proofErr w:type="spellStart"/>
      <w:r w:rsidRPr="20E70BEE">
        <w:rPr>
          <w:rFonts w:ascii="Times New Roman" w:eastAsia="Times New Roman" w:hAnsi="Times New Roman" w:cs="Times New Roman"/>
        </w:rPr>
        <w:t>Poulisse</w:t>
      </w:r>
      <w:proofErr w:type="spellEnd"/>
      <w:r w:rsidRPr="20E70BEE">
        <w:rPr>
          <w:rFonts w:ascii="Times New Roman" w:eastAsia="Times New Roman" w:hAnsi="Times New Roman" w:cs="Times New Roman"/>
        </w:rPr>
        <w:t xml:space="preserve"> and </w:t>
      </w:r>
      <w:proofErr w:type="spellStart"/>
      <w:r w:rsidRPr="20E70BEE">
        <w:rPr>
          <w:rFonts w:ascii="Times New Roman" w:eastAsia="Times New Roman" w:hAnsi="Times New Roman" w:cs="Times New Roman"/>
        </w:rPr>
        <w:t>Bongaerts</w:t>
      </w:r>
      <w:proofErr w:type="spellEnd"/>
      <w:r w:rsidRPr="20E70BEE">
        <w:rPr>
          <w:rFonts w:ascii="Times New Roman" w:eastAsia="Times New Roman" w:hAnsi="Times New Roman" w:cs="Times New Roman"/>
        </w:rPr>
        <w:t xml:space="preserve">, 1994; Grosjean, 1982), if Wales was to implement their intended strategy of teaching other subjects through the medium of Welsh, their pre-existing Welsh language curriculum outcomes (no mention of the ‘fluency’ as an aim (Department for Children, Education, Lifelong Learning and Skills (DCELLS), 2015)) would suggest that they would not meet the requirements for these benefits. Added to that, research by Gathercole et al. (2015) demonstrated that Welsh-English bilinguals involved in the study did not experience the heightened cognitive capabilities and it was suggested this was due to the sociocultural climate of Wales, with Welsh-medium speakers communicating mainly in Welsh throughout in the home and school contexts. If English-medium schools were to teach other subjects through the medium of Welsh, it may occur that they would experience these cognitive abilities, due to their submersion in both languages, advocating for Wales to adopt the discussed Filipino approach. </w:t>
      </w:r>
    </w:p>
    <w:p w14:paraId="51996FA4" w14:textId="725FB557" w:rsidR="20E70BEE"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Additionally, the author also discusses the importance of language models in language learning. The author discusses the importance of teachers modelling use of language but also proficiency in language. Due to the Philippines being rated 14</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out of 88 countries with regards to English proficiency (English Proficiency Index, 2018), it can be presumed that not only are teachers proficient in English, but their modelling of English must also be effective in helping Filipino students learn it. Research has posited that teacher subject-knowledge is important (Rollnick and </w:t>
      </w:r>
      <w:proofErr w:type="spellStart"/>
      <w:r w:rsidRPr="20E70BEE">
        <w:rPr>
          <w:rFonts w:ascii="Times New Roman" w:eastAsia="Times New Roman" w:hAnsi="Times New Roman" w:cs="Times New Roman"/>
        </w:rPr>
        <w:t>Mavhunga</w:t>
      </w:r>
      <w:proofErr w:type="spellEnd"/>
      <w:r w:rsidRPr="20E70BEE">
        <w:rPr>
          <w:rFonts w:ascii="Times New Roman" w:eastAsia="Times New Roman" w:hAnsi="Times New Roman" w:cs="Times New Roman"/>
        </w:rPr>
        <w:t xml:space="preserve">, 2016; Shulman, 1986) and for teachers </w:t>
      </w:r>
      <w:r w:rsidRPr="20E70BEE">
        <w:rPr>
          <w:rFonts w:ascii="Times New Roman" w:eastAsia="Times New Roman" w:hAnsi="Times New Roman" w:cs="Times New Roman"/>
        </w:rPr>
        <w:lastRenderedPageBreak/>
        <w:t>in Wales, this has been perpetuated in their expectations for most subjects (Welsh Government, 2009), however this is not evident in the expectations of Welsh language proficiency, with only 32.5% of teachers able to speak Welsh fluently in the whole of Wales, and most of these in Welsh-medium schools (</w:t>
      </w:r>
      <w:proofErr w:type="spellStart"/>
      <w:r w:rsidRPr="20E70BEE">
        <w:rPr>
          <w:rFonts w:ascii="Times New Roman" w:eastAsia="Times New Roman" w:hAnsi="Times New Roman" w:cs="Times New Roman"/>
        </w:rPr>
        <w:t>Haggett</w:t>
      </w:r>
      <w:proofErr w:type="spellEnd"/>
      <w:r w:rsidRPr="20E70BEE">
        <w:rPr>
          <w:rFonts w:ascii="Times New Roman" w:eastAsia="Times New Roman" w:hAnsi="Times New Roman" w:cs="Times New Roman"/>
        </w:rPr>
        <w:t xml:space="preserve">, 2013), despite </w:t>
      </w:r>
      <w:proofErr w:type="spellStart"/>
      <w:r w:rsidRPr="20E70BEE">
        <w:rPr>
          <w:rFonts w:ascii="Times New Roman" w:eastAsia="Times New Roman" w:hAnsi="Times New Roman" w:cs="Times New Roman"/>
        </w:rPr>
        <w:t>Estyn</w:t>
      </w:r>
      <w:proofErr w:type="spellEnd"/>
      <w:r w:rsidRPr="20E70BEE">
        <w:rPr>
          <w:rFonts w:ascii="Times New Roman" w:eastAsia="Times New Roman" w:hAnsi="Times New Roman" w:cs="Times New Roman"/>
        </w:rPr>
        <w:t xml:space="preserve"> (2013) arguing that fluent Welsh teachers help learners progress faster. Also, the expectation of practitioners to teach in a language they cannot speak is not only unfair but would have a detrimental impact due to potential inconsistencies in language, causing confusion or misconceptions in learners (Rollnick and </w:t>
      </w:r>
      <w:proofErr w:type="spellStart"/>
      <w:r w:rsidRPr="20E70BEE">
        <w:rPr>
          <w:rFonts w:ascii="Times New Roman" w:eastAsia="Times New Roman" w:hAnsi="Times New Roman" w:cs="Times New Roman"/>
        </w:rPr>
        <w:t>Mayhunga</w:t>
      </w:r>
      <w:proofErr w:type="spellEnd"/>
      <w:r w:rsidRPr="20E70BEE">
        <w:rPr>
          <w:rFonts w:ascii="Times New Roman" w:eastAsia="Times New Roman" w:hAnsi="Times New Roman" w:cs="Times New Roman"/>
        </w:rPr>
        <w:t xml:space="preserve">, 2016). Though there is theory supporting what the author has addressed, the author has failed to include it along with any opposing literature, again suggesting it being an uninformed opinion. </w:t>
      </w:r>
    </w:p>
    <w:p w14:paraId="6C0A0D10" w14:textId="5EFC7B8C" w:rsidR="20E70BEE"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Finally, the author also discusses the impact of the environment on language acquisition, though not in detail considering the immense importance of the learning environment (Edwards, Gandini, Forman, 1998; Montessori and Gutek, 2004) and its impact on learning. In a linguistic context, Vygotsky (1978) discusses the notion that speaking a language is one of the most effective ways to learn it, therefore, any environment in which a child speaks a language, becomes a learning environment for that child, including the home and community. Regarding the Filipino proficiency level in English, we can assume that most Filipino citizens are able to speak English in the home and community, giving Filipino learners of English opportunities to practice it outside of the school context, creating a cyclical model of language acquisition. Conversely, this is not the situation in Wales, it is notable that most of the Welsh population are unable to speak Welsh with only 19% declaring they can (Office for National Statistics, 2011) so it stands to reason that for most English-medium children, Welsh is not spoken at home or in great amounts within the community. Therefore, English-medium students are unable to see Welsh used in meaningful contexts throughout school, their community and their home, impacting motivation and attitudes to the language. This lack of motivation would evidently have an impact on their desire to learn and speak Welsh (</w:t>
      </w:r>
      <w:proofErr w:type="spellStart"/>
      <w:r w:rsidRPr="20E70BEE">
        <w:rPr>
          <w:rFonts w:ascii="Times New Roman" w:eastAsia="Times New Roman" w:hAnsi="Times New Roman" w:cs="Times New Roman"/>
        </w:rPr>
        <w:t>Bhoji</w:t>
      </w:r>
      <w:proofErr w:type="spellEnd"/>
      <w:r w:rsidRPr="20E70BEE">
        <w:rPr>
          <w:rFonts w:ascii="Times New Roman" w:eastAsia="Times New Roman" w:hAnsi="Times New Roman" w:cs="Times New Roman"/>
        </w:rPr>
        <w:t xml:space="preserve">, 2015). Also, should Welsh become the language of instruction in other subjects, it would be probable that homework/additional reading would be issued in the medium of Welsh, the positive impact of parent-involvement in children’s learning is evident (Hornby, 2011), and with parents unable to speak Welsh, this may dwindle or cease completely. </w:t>
      </w:r>
    </w:p>
    <w:p w14:paraId="0A583EC3" w14:textId="45323F84" w:rsidR="20E70BEE" w:rsidRDefault="20E70BEE" w:rsidP="20E70BEE">
      <w:pPr>
        <w:rPr>
          <w:rFonts w:ascii="Times New Roman" w:eastAsia="Times New Roman" w:hAnsi="Times New Roman" w:cs="Times New Roman"/>
        </w:rPr>
      </w:pPr>
      <w:r w:rsidRPr="20E70BEE">
        <w:rPr>
          <w:rFonts w:ascii="Times New Roman" w:eastAsia="Times New Roman" w:hAnsi="Times New Roman" w:cs="Times New Roman"/>
        </w:rPr>
        <w:t xml:space="preserve">In summation, though the article makes reasonable and sensical observations regarding language learning and acquisition, applying them to a Welsh context is near impossible, due to the differing sociocultural contexts of both nations. Also, the article is prone to bias and a lack of wider reading at times, making its reliability and validity as an academic text questionable. Added to that, the article discusses limited case studies, most of which occur in the Philippines, one might argue that this is not a satisfactory sample size to reach a valid conclusion on the contents of the article, due to (as mentioned) the differing social contexts of each country around the world and impact that has on learners and their development. As for Wales, based on what has been discussed, it would seem evident that Wales needs to address its flaws in the curriculum and adopt a curriculum that teaches for ‘fluency’, while asynchronously taking teachers out of the school context to bring their Welsh to a fluent standard. Then, it would be reasonable to finance projects and initiatives that focus on changing the attitude and mindset of the population across all of Wales with regards to learning Welsh. This may address current obstacles that prevent implementing some of the methodologies the authors have discussed. </w:t>
      </w:r>
    </w:p>
    <w:p w14:paraId="33BB9414" w14:textId="1C7EEF19" w:rsidR="00EE34D6" w:rsidRPr="00EE34D6" w:rsidRDefault="00EE34D6" w:rsidP="20E70BEE">
      <w:pPr>
        <w:rPr>
          <w:rFonts w:ascii="Times New Roman" w:eastAsia="Times New Roman" w:hAnsi="Times New Roman" w:cs="Times New Roman"/>
        </w:rPr>
      </w:pPr>
      <w:r>
        <w:rPr>
          <w:rFonts w:ascii="Times New Roman" w:eastAsia="Times New Roman" w:hAnsi="Times New Roman" w:cs="Times New Roman"/>
          <w:b/>
          <w:u w:val="single"/>
        </w:rPr>
        <w:t xml:space="preserve">Word Count: 1957 </w:t>
      </w:r>
      <w:bookmarkStart w:id="0" w:name="_GoBack"/>
      <w:bookmarkEnd w:id="0"/>
    </w:p>
    <w:p w14:paraId="0ED977B1" w14:textId="1E13FE4C" w:rsidR="7E8C9911" w:rsidRPr="002E7EDD" w:rsidRDefault="7E8C9911" w:rsidP="002E7EDD">
      <w:pPr>
        <w:rPr>
          <w:rFonts w:ascii="Times New Roman" w:eastAsia="Times New Roman" w:hAnsi="Times New Roman" w:cs="Times New Roman"/>
        </w:rPr>
      </w:pPr>
    </w:p>
    <w:p w14:paraId="7A1DBE5A" w14:textId="0D1D25C6" w:rsidR="7E8C9911" w:rsidRDefault="7E8C9911" w:rsidP="00EE34D6">
      <w:r>
        <w:br w:type="page"/>
      </w:r>
    </w:p>
    <w:p w14:paraId="003A84C1" w14:textId="15CF5280" w:rsidR="7E8C9911" w:rsidRDefault="7E8C9911" w:rsidP="7E8C9911">
      <w:pPr>
        <w:jc w:val="center"/>
      </w:pPr>
      <w:r w:rsidRPr="7E8C9911">
        <w:rPr>
          <w:rFonts w:ascii="Times New Roman" w:eastAsia="Times New Roman" w:hAnsi="Times New Roman" w:cs="Times New Roman"/>
          <w:b/>
          <w:bCs/>
          <w:sz w:val="24"/>
          <w:szCs w:val="24"/>
          <w:u w:val="single"/>
        </w:rPr>
        <w:lastRenderedPageBreak/>
        <w:t>References</w:t>
      </w:r>
    </w:p>
    <w:p w14:paraId="2EA49D55" w14:textId="77777777" w:rsidR="002E7EDD" w:rsidRDefault="002E7EDD" w:rsidP="20E70BEE">
      <w:pPr>
        <w:rPr>
          <w:rFonts w:ascii="Times New Roman" w:eastAsia="Times New Roman" w:hAnsi="Times New Roman" w:cs="Times New Roman"/>
          <w:color w:val="333333"/>
        </w:rPr>
      </w:pPr>
      <w:r w:rsidRPr="20E70BEE">
        <w:rPr>
          <w:rFonts w:ascii="Times New Roman" w:eastAsia="Times New Roman" w:hAnsi="Times New Roman" w:cs="Times New Roman"/>
          <w:color w:val="333333"/>
        </w:rPr>
        <w:t xml:space="preserve">A. McCalla (2013) ‘Executive functioning: Where is it controlled and how does it develop Remediation techniques for deficits and dysfunction’, </w:t>
      </w:r>
      <w:proofErr w:type="spellStart"/>
      <w:r w:rsidRPr="20E70BEE">
        <w:rPr>
          <w:rFonts w:ascii="Times New Roman" w:eastAsia="Times New Roman" w:hAnsi="Times New Roman" w:cs="Times New Roman"/>
          <w:i/>
          <w:iCs/>
          <w:color w:val="333333"/>
        </w:rPr>
        <w:t>RainbowVisions</w:t>
      </w:r>
      <w:proofErr w:type="spellEnd"/>
      <w:r w:rsidRPr="20E70BEE">
        <w:rPr>
          <w:rFonts w:ascii="Times New Roman" w:eastAsia="Times New Roman" w:hAnsi="Times New Roman" w:cs="Times New Roman"/>
          <w:color w:val="333333"/>
        </w:rPr>
        <w:t xml:space="preserve">, 2(?), pp. (?). Available at:  </w:t>
      </w:r>
      <w:hyperlink r:id="rId7">
        <w:r w:rsidRPr="20E70BEE">
          <w:rPr>
            <w:rStyle w:val="Hyperlink"/>
            <w:rFonts w:ascii="Times New Roman" w:eastAsia="Times New Roman" w:hAnsi="Times New Roman" w:cs="Times New Roman"/>
            <w:color w:val="333333"/>
          </w:rPr>
          <w:t>https://www.rainbowrehab.com/executive-functioning/</w:t>
        </w:r>
      </w:hyperlink>
      <w:r w:rsidRPr="20E70BEE">
        <w:rPr>
          <w:rFonts w:ascii="Times New Roman" w:eastAsia="Times New Roman" w:hAnsi="Times New Roman" w:cs="Times New Roman"/>
          <w:color w:val="333333"/>
        </w:rPr>
        <w:t xml:space="preserve"> (Accessed: 5</w:t>
      </w:r>
      <w:r w:rsidRPr="20E70BEE">
        <w:rPr>
          <w:rFonts w:ascii="Times New Roman" w:eastAsia="Times New Roman" w:hAnsi="Times New Roman" w:cs="Times New Roman"/>
          <w:color w:val="333333"/>
          <w:vertAlign w:val="superscript"/>
        </w:rPr>
        <w:t>th</w:t>
      </w:r>
      <w:r w:rsidRPr="20E70BEE">
        <w:rPr>
          <w:rFonts w:ascii="Times New Roman" w:eastAsia="Times New Roman" w:hAnsi="Times New Roman" w:cs="Times New Roman"/>
          <w:color w:val="333333"/>
        </w:rPr>
        <w:t xml:space="preserve"> February 2019). </w:t>
      </w:r>
    </w:p>
    <w:p w14:paraId="7C349659" w14:textId="77777777" w:rsidR="002E7EDD" w:rsidRDefault="002E7EDD" w:rsidP="20E70BEE">
      <w:proofErr w:type="spellStart"/>
      <w:r w:rsidRPr="20E70BEE">
        <w:rPr>
          <w:rFonts w:ascii="Times New Roman" w:eastAsia="Times New Roman" w:hAnsi="Times New Roman" w:cs="Times New Roman"/>
          <w:sz w:val="23"/>
          <w:szCs w:val="23"/>
        </w:rPr>
        <w:t>Adesope</w:t>
      </w:r>
      <w:proofErr w:type="spellEnd"/>
      <w:r w:rsidRPr="20E70BEE">
        <w:rPr>
          <w:rFonts w:ascii="Times New Roman" w:eastAsia="Times New Roman" w:hAnsi="Times New Roman" w:cs="Times New Roman"/>
          <w:sz w:val="23"/>
          <w:szCs w:val="23"/>
        </w:rPr>
        <w:t xml:space="preserve"> O. et al. (2010) ‘A systematic review and meta-analysis of the cognitive correlates of bilingualism’, </w:t>
      </w:r>
      <w:r w:rsidRPr="20E70BEE">
        <w:rPr>
          <w:rFonts w:ascii="Times New Roman" w:eastAsia="Times New Roman" w:hAnsi="Times New Roman" w:cs="Times New Roman"/>
          <w:i/>
          <w:iCs/>
          <w:sz w:val="23"/>
          <w:szCs w:val="23"/>
        </w:rPr>
        <w:t>Review of Educational Research,</w:t>
      </w:r>
      <w:r w:rsidRPr="20E70BEE">
        <w:rPr>
          <w:rFonts w:ascii="Times New Roman" w:eastAsia="Times New Roman" w:hAnsi="Times New Roman" w:cs="Times New Roman"/>
          <w:sz w:val="23"/>
          <w:szCs w:val="23"/>
        </w:rPr>
        <w:t xml:space="preserve"> 80(2), pp. 207–245. DOI: 10.3102/0034654310368803.</w:t>
      </w:r>
    </w:p>
    <w:p w14:paraId="0878D7AF" w14:textId="77777777" w:rsidR="002E7EDD" w:rsidRDefault="002E7EDD" w:rsidP="20E70BEE">
      <w:pPr>
        <w:rPr>
          <w:rFonts w:ascii="Times New Roman" w:eastAsia="Times New Roman" w:hAnsi="Times New Roman" w:cs="Times New Roman"/>
          <w:i/>
          <w:iCs/>
        </w:rPr>
      </w:pPr>
      <w:proofErr w:type="spellStart"/>
      <w:r w:rsidRPr="20E70BEE">
        <w:rPr>
          <w:rFonts w:ascii="Times New Roman" w:eastAsia="Times New Roman" w:hAnsi="Times New Roman" w:cs="Times New Roman"/>
        </w:rPr>
        <w:t>Aljohani</w:t>
      </w:r>
      <w:proofErr w:type="spellEnd"/>
      <w:r w:rsidRPr="20E70BEE">
        <w:rPr>
          <w:rFonts w:ascii="Times New Roman" w:eastAsia="Times New Roman" w:hAnsi="Times New Roman" w:cs="Times New Roman"/>
        </w:rPr>
        <w:t xml:space="preserve">, N. (2016) ‘The Goals of Language Teaching’, </w:t>
      </w:r>
      <w:r w:rsidRPr="20E70BEE">
        <w:rPr>
          <w:rFonts w:ascii="Times New Roman" w:eastAsia="Times New Roman" w:hAnsi="Times New Roman" w:cs="Times New Roman"/>
          <w:i/>
          <w:iCs/>
        </w:rPr>
        <w:t xml:space="preserve">International Journal of Scientific &amp; Engineering Research, </w:t>
      </w:r>
      <w:r w:rsidRPr="20E70BEE">
        <w:rPr>
          <w:rFonts w:ascii="Times New Roman" w:eastAsia="Times New Roman" w:hAnsi="Times New Roman" w:cs="Times New Roman"/>
        </w:rPr>
        <w:t xml:space="preserve">7(3), pp. 442-445. DOI: ISSN 2229-5518. Available at: </w:t>
      </w:r>
      <w:hyperlink r:id="rId8">
        <w:r w:rsidRPr="20E70BEE">
          <w:rPr>
            <w:rStyle w:val="Hyperlink"/>
            <w:rFonts w:ascii="Times New Roman" w:eastAsia="Times New Roman" w:hAnsi="Times New Roman" w:cs="Times New Roman"/>
          </w:rPr>
          <w:t>https://www.ijser.org/researchpaper/The-Goals-of-Language-Teaching.pdf</w:t>
        </w:r>
      </w:hyperlink>
      <w:r w:rsidRPr="20E70BEE">
        <w:rPr>
          <w:rFonts w:ascii="Times New Roman" w:eastAsia="Times New Roman" w:hAnsi="Times New Roman" w:cs="Times New Roman"/>
        </w:rPr>
        <w:t xml:space="preserve"> (Accessed: 2</w:t>
      </w:r>
      <w:r w:rsidRPr="20E70BEE">
        <w:rPr>
          <w:rFonts w:ascii="Times New Roman" w:eastAsia="Times New Roman" w:hAnsi="Times New Roman" w:cs="Times New Roman"/>
          <w:vertAlign w:val="superscript"/>
        </w:rPr>
        <w:t>nd</w:t>
      </w:r>
      <w:r w:rsidRPr="20E70BEE">
        <w:rPr>
          <w:rFonts w:ascii="Times New Roman" w:eastAsia="Times New Roman" w:hAnsi="Times New Roman" w:cs="Times New Roman"/>
        </w:rPr>
        <w:t xml:space="preserve"> February 2019). </w:t>
      </w:r>
    </w:p>
    <w:p w14:paraId="1EF71816" w14:textId="77777777" w:rsidR="002E7EDD" w:rsidRDefault="002E7EDD" w:rsidP="20E70BEE">
      <w:pPr>
        <w:rPr>
          <w:rFonts w:ascii="Times New Roman" w:eastAsia="Times New Roman" w:hAnsi="Times New Roman" w:cs="Times New Roman"/>
          <w:i/>
          <w:iCs/>
        </w:rPr>
      </w:pPr>
      <w:r w:rsidRPr="20E70BEE">
        <w:rPr>
          <w:rFonts w:ascii="Times New Roman" w:eastAsia="Times New Roman" w:hAnsi="Times New Roman" w:cs="Times New Roman"/>
        </w:rPr>
        <w:t xml:space="preserve">Anderson, L. et al. (2014) </w:t>
      </w:r>
      <w:r w:rsidRPr="20E70BEE">
        <w:rPr>
          <w:rFonts w:ascii="Times New Roman" w:eastAsia="Times New Roman" w:hAnsi="Times New Roman" w:cs="Times New Roman"/>
          <w:i/>
          <w:iCs/>
        </w:rPr>
        <w:t xml:space="preserve">A Taxonomy for Learning, Teaching and Assessing: A Revision of Bloom’s. </w:t>
      </w:r>
      <w:r w:rsidRPr="20E70BEE">
        <w:rPr>
          <w:rFonts w:ascii="Times New Roman" w:eastAsia="Times New Roman" w:hAnsi="Times New Roman" w:cs="Times New Roman"/>
        </w:rPr>
        <w:t xml:space="preserve">Essex: Pearson. </w:t>
      </w:r>
    </w:p>
    <w:p w14:paraId="0863D0B9" w14:textId="77777777" w:rsidR="002E7EDD" w:rsidRDefault="002E7EDD" w:rsidP="20E70BEE">
      <w:proofErr w:type="spellStart"/>
      <w:r w:rsidRPr="20E70BEE">
        <w:rPr>
          <w:rFonts w:ascii="Times New Roman" w:eastAsia="Times New Roman" w:hAnsi="Times New Roman" w:cs="Times New Roman"/>
          <w:sz w:val="23"/>
          <w:szCs w:val="23"/>
        </w:rPr>
        <w:t>Barac</w:t>
      </w:r>
      <w:proofErr w:type="spellEnd"/>
      <w:r w:rsidRPr="20E70BEE">
        <w:rPr>
          <w:rFonts w:ascii="Times New Roman" w:eastAsia="Times New Roman" w:hAnsi="Times New Roman" w:cs="Times New Roman"/>
          <w:sz w:val="23"/>
          <w:szCs w:val="23"/>
        </w:rPr>
        <w:t xml:space="preserve">, R., Bialystok E. (2011) ‘Cognitive development of bilingual children’, </w:t>
      </w:r>
      <w:r w:rsidRPr="20E70BEE">
        <w:rPr>
          <w:rFonts w:ascii="Times New Roman" w:eastAsia="Times New Roman" w:hAnsi="Times New Roman" w:cs="Times New Roman"/>
          <w:i/>
          <w:iCs/>
          <w:sz w:val="23"/>
          <w:szCs w:val="23"/>
        </w:rPr>
        <w:t>Language Teaching,</w:t>
      </w:r>
      <w:r w:rsidRPr="20E70BEE">
        <w:rPr>
          <w:rFonts w:ascii="Times New Roman" w:eastAsia="Times New Roman" w:hAnsi="Times New Roman" w:cs="Times New Roman"/>
          <w:sz w:val="23"/>
          <w:szCs w:val="23"/>
        </w:rPr>
        <w:t xml:space="preserve"> 44(1), pp. 36–54. DOI: 10.1017/S0261444810000339. </w:t>
      </w:r>
    </w:p>
    <w:p w14:paraId="784AFCAE"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t>Bazinas</w:t>
      </w:r>
      <w:proofErr w:type="spellEnd"/>
      <w:r w:rsidRPr="20E70BEE">
        <w:rPr>
          <w:rFonts w:ascii="Times New Roman" w:eastAsia="Times New Roman" w:hAnsi="Times New Roman" w:cs="Times New Roman"/>
        </w:rPr>
        <w:t xml:space="preserve">, E. (2018) </w:t>
      </w:r>
      <w:r w:rsidRPr="20E70BEE">
        <w:rPr>
          <w:rFonts w:ascii="Times New Roman" w:eastAsia="Times New Roman" w:hAnsi="Times New Roman" w:cs="Times New Roman"/>
          <w:i/>
          <w:iCs/>
        </w:rPr>
        <w:t xml:space="preserve">How to </w:t>
      </w:r>
      <w:proofErr w:type="spellStart"/>
      <w:r w:rsidRPr="20E70BEE">
        <w:rPr>
          <w:rFonts w:ascii="Times New Roman" w:eastAsia="Times New Roman" w:hAnsi="Times New Roman" w:cs="Times New Roman"/>
          <w:i/>
          <w:iCs/>
        </w:rPr>
        <w:t>reorientate</w:t>
      </w:r>
      <w:proofErr w:type="spellEnd"/>
      <w:r w:rsidRPr="20E70BEE">
        <w:rPr>
          <w:rFonts w:ascii="Times New Roman" w:eastAsia="Times New Roman" w:hAnsi="Times New Roman" w:cs="Times New Roman"/>
          <w:i/>
          <w:iCs/>
        </w:rPr>
        <w:t xml:space="preserve"> education from knowledge acquisition to knowledge &amp; skill mastery.</w:t>
      </w:r>
      <w:r w:rsidRPr="20E70BEE">
        <w:rPr>
          <w:rFonts w:ascii="Times New Roman" w:eastAsia="Times New Roman" w:hAnsi="Times New Roman" w:cs="Times New Roman"/>
        </w:rPr>
        <w:t xml:space="preserve"> Available at: https://blog.100mentors.com/how-to-reorientate-education-from- knowledge-acquisition-to-knowledge-skill-mastery/ (Accessed: 5</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6FCC973E"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Bernardo, A. B. I. (2010b) ‘Extending hope theory: Internal and external locus of trait hope’, </w:t>
      </w:r>
      <w:r w:rsidRPr="20E70BEE">
        <w:rPr>
          <w:rFonts w:ascii="Times New Roman" w:eastAsia="Times New Roman" w:hAnsi="Times New Roman" w:cs="Times New Roman"/>
          <w:i/>
          <w:iCs/>
        </w:rPr>
        <w:t xml:space="preserve">Personality and Individual Differences, </w:t>
      </w:r>
      <w:r w:rsidRPr="20E70BEE">
        <w:rPr>
          <w:rFonts w:ascii="Times New Roman" w:eastAsia="Times New Roman" w:hAnsi="Times New Roman" w:cs="Times New Roman"/>
        </w:rPr>
        <w:t>49(8)</w:t>
      </w:r>
      <w:r w:rsidRPr="20E70BEE">
        <w:rPr>
          <w:rFonts w:ascii="Times New Roman" w:eastAsia="Times New Roman" w:hAnsi="Times New Roman" w:cs="Times New Roman"/>
          <w:i/>
          <w:iCs/>
        </w:rPr>
        <w:t>,</w:t>
      </w:r>
      <w:r w:rsidRPr="20E70BEE">
        <w:rPr>
          <w:rFonts w:ascii="Times New Roman" w:eastAsia="Times New Roman" w:hAnsi="Times New Roman" w:cs="Times New Roman"/>
        </w:rPr>
        <w:t xml:space="preserve"> pp. 944-949. DOI: </w:t>
      </w:r>
      <w:hyperlink r:id="rId9">
        <w:r w:rsidRPr="20E70BEE">
          <w:rPr>
            <w:rStyle w:val="Hyperlink"/>
            <w:rFonts w:ascii="Times New Roman" w:eastAsia="Times New Roman" w:hAnsi="Times New Roman" w:cs="Times New Roman"/>
          </w:rPr>
          <w:t>10.1016/j.paid.2010.07.036</w:t>
        </w:r>
      </w:hyperlink>
      <w:r w:rsidRPr="20E70BEE">
        <w:rPr>
          <w:rFonts w:ascii="Times New Roman" w:eastAsia="Times New Roman" w:hAnsi="Times New Roman" w:cs="Times New Roman"/>
        </w:rPr>
        <w:t xml:space="preserve">. </w:t>
      </w:r>
    </w:p>
    <w:p w14:paraId="16D3256E"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Bernardo, A. B. I. (2010c) ‘Exploring Filipino adolescents’ perceptions of the legitimacy of parental authority over academic behaviors’, </w:t>
      </w:r>
      <w:r w:rsidRPr="20E70BEE">
        <w:rPr>
          <w:rFonts w:ascii="Times New Roman" w:eastAsia="Times New Roman" w:hAnsi="Times New Roman" w:cs="Times New Roman"/>
          <w:i/>
          <w:iCs/>
        </w:rPr>
        <w:t xml:space="preserve">Journal of Applied Developmental Psychology, </w:t>
      </w:r>
      <w:r w:rsidRPr="20E70BEE">
        <w:rPr>
          <w:rFonts w:ascii="Times New Roman" w:eastAsia="Times New Roman" w:hAnsi="Times New Roman" w:cs="Times New Roman"/>
        </w:rPr>
        <w:t xml:space="preserve">31(4), pp. 271-280. DOI: </w:t>
      </w:r>
      <w:hyperlink r:id="rId10">
        <w:r w:rsidRPr="20E70BEE">
          <w:rPr>
            <w:rStyle w:val="Hyperlink"/>
            <w:rFonts w:ascii="Times New Roman" w:eastAsia="Times New Roman" w:hAnsi="Times New Roman" w:cs="Times New Roman"/>
          </w:rPr>
          <w:t>10.1016/j.appdev.2010.03.003</w:t>
        </w:r>
      </w:hyperlink>
      <w:r w:rsidRPr="20E70BEE">
        <w:rPr>
          <w:rFonts w:ascii="Times New Roman" w:eastAsia="Times New Roman" w:hAnsi="Times New Roman" w:cs="Times New Roman"/>
        </w:rPr>
        <w:t xml:space="preserve">. </w:t>
      </w:r>
    </w:p>
    <w:p w14:paraId="3D4FA2D6" w14:textId="77777777" w:rsidR="002E7EDD" w:rsidRDefault="002E7EDD" w:rsidP="20E70BEE">
      <w:pPr>
        <w:rPr>
          <w:rFonts w:ascii="Arial" w:eastAsia="Arial" w:hAnsi="Arial" w:cs="Arial"/>
        </w:rPr>
      </w:pPr>
      <w:r w:rsidRPr="20E70BEE">
        <w:rPr>
          <w:rFonts w:ascii="Times New Roman" w:eastAsia="Times New Roman" w:hAnsi="Times New Roman" w:cs="Times New Roman"/>
        </w:rPr>
        <w:t xml:space="preserve">Bernardo, A. B. I., &amp; Ismail, R. (2010a) ‘Social perceptions of achieving students and achievement goals of students in Malaysia and the Philippines’, </w:t>
      </w:r>
      <w:r w:rsidRPr="20E70BEE">
        <w:rPr>
          <w:rFonts w:ascii="Times New Roman" w:eastAsia="Times New Roman" w:hAnsi="Times New Roman" w:cs="Times New Roman"/>
          <w:i/>
          <w:iCs/>
        </w:rPr>
        <w:t xml:space="preserve">Social Psychology of Education, </w:t>
      </w:r>
      <w:r w:rsidRPr="20E70BEE">
        <w:rPr>
          <w:rFonts w:ascii="Times New Roman" w:eastAsia="Times New Roman" w:hAnsi="Times New Roman" w:cs="Times New Roman"/>
        </w:rPr>
        <w:t xml:space="preserve">13(3), pp. 385-407. DOI: </w:t>
      </w:r>
      <w:hyperlink r:id="rId11">
        <w:r w:rsidRPr="20E70BEE">
          <w:rPr>
            <w:rStyle w:val="Hyperlink"/>
            <w:rFonts w:ascii="Times New Roman" w:eastAsia="Times New Roman" w:hAnsi="Times New Roman" w:cs="Times New Roman"/>
          </w:rPr>
          <w:t>10.1007/s11218-010-9118-y</w:t>
        </w:r>
      </w:hyperlink>
      <w:r w:rsidRPr="20E70BEE">
        <w:rPr>
          <w:rFonts w:ascii="Times New Roman" w:eastAsia="Times New Roman" w:hAnsi="Times New Roman" w:cs="Times New Roman"/>
        </w:rPr>
        <w:t xml:space="preserve">. </w:t>
      </w:r>
    </w:p>
    <w:p w14:paraId="3326B639" w14:textId="77777777" w:rsidR="002E7EDD" w:rsidRDefault="002E7EDD" w:rsidP="7E8C9911">
      <w:pPr>
        <w:rPr>
          <w:rFonts w:ascii="Calibri" w:eastAsia="Calibri" w:hAnsi="Calibri" w:cs="Calibri"/>
          <w:color w:val="373A3C"/>
        </w:rPr>
      </w:pPr>
      <w:r w:rsidRPr="7E8C9911">
        <w:rPr>
          <w:rFonts w:ascii="Times New Roman" w:eastAsia="Times New Roman" w:hAnsi="Times New Roman" w:cs="Times New Roman"/>
          <w:color w:val="373A3C"/>
        </w:rPr>
        <w:t xml:space="preserve">Bernardo, A.B.I. &amp; </w:t>
      </w:r>
      <w:proofErr w:type="spellStart"/>
      <w:r w:rsidRPr="7E8C9911">
        <w:rPr>
          <w:rFonts w:ascii="Times New Roman" w:eastAsia="Times New Roman" w:hAnsi="Times New Roman" w:cs="Times New Roman"/>
          <w:color w:val="373A3C"/>
        </w:rPr>
        <w:t>Gaerlan</w:t>
      </w:r>
      <w:proofErr w:type="spellEnd"/>
      <w:r w:rsidRPr="7E8C9911">
        <w:rPr>
          <w:rFonts w:ascii="Times New Roman" w:eastAsia="Times New Roman" w:hAnsi="Times New Roman" w:cs="Times New Roman"/>
          <w:color w:val="373A3C"/>
        </w:rPr>
        <w:t xml:space="preserve">, M.J.M. (2011) Non-Native English Students Learning in English: Reviewing and Reﬂecting on the Research.  In </w:t>
      </w:r>
      <w:proofErr w:type="spellStart"/>
      <w:r w:rsidRPr="7E8C9911">
        <w:rPr>
          <w:rFonts w:ascii="Times New Roman" w:eastAsia="Times New Roman" w:hAnsi="Times New Roman" w:cs="Times New Roman"/>
          <w:color w:val="373A3C"/>
        </w:rPr>
        <w:t>Jaidey</w:t>
      </w:r>
      <w:proofErr w:type="spellEnd"/>
      <w:r w:rsidRPr="7E8C9911">
        <w:rPr>
          <w:rFonts w:ascii="Times New Roman" w:eastAsia="Times New Roman" w:hAnsi="Times New Roman" w:cs="Times New Roman"/>
          <w:color w:val="373A3C"/>
        </w:rPr>
        <w:t xml:space="preserve">, R., </w:t>
      </w:r>
      <w:proofErr w:type="spellStart"/>
      <w:r w:rsidRPr="7E8C9911">
        <w:rPr>
          <w:rFonts w:ascii="Times New Roman" w:eastAsia="Times New Roman" w:hAnsi="Times New Roman" w:cs="Times New Roman"/>
          <w:color w:val="373A3C"/>
        </w:rPr>
        <w:t>Sadorra</w:t>
      </w:r>
      <w:proofErr w:type="spellEnd"/>
      <w:r w:rsidRPr="7E8C9911">
        <w:rPr>
          <w:rFonts w:ascii="Times New Roman" w:eastAsia="Times New Roman" w:hAnsi="Times New Roman" w:cs="Times New Roman"/>
          <w:color w:val="373A3C"/>
        </w:rPr>
        <w:t xml:space="preserve">, M.L.C., Wong, J.O., Lee, M.C. &amp; </w:t>
      </w:r>
      <w:proofErr w:type="spellStart"/>
      <w:r w:rsidRPr="7E8C9911">
        <w:rPr>
          <w:rFonts w:ascii="Times New Roman" w:eastAsia="Times New Roman" w:hAnsi="Times New Roman" w:cs="Times New Roman"/>
          <w:color w:val="373A3C"/>
        </w:rPr>
        <w:t>Lorente</w:t>
      </w:r>
      <w:proofErr w:type="spellEnd"/>
      <w:r w:rsidRPr="7E8C9911">
        <w:rPr>
          <w:rFonts w:ascii="Times New Roman" w:eastAsia="Times New Roman" w:hAnsi="Times New Roman" w:cs="Times New Roman"/>
          <w:color w:val="373A3C"/>
        </w:rPr>
        <w:t xml:space="preserve">, M.C. (eds.) </w:t>
      </w:r>
      <w:r w:rsidRPr="7E8C9911">
        <w:rPr>
          <w:rFonts w:ascii="Times New Roman" w:eastAsia="Times New Roman" w:hAnsi="Times New Roman" w:cs="Times New Roman"/>
          <w:i/>
          <w:iCs/>
          <w:color w:val="373A3C"/>
        </w:rPr>
        <w:t>Global perspectives, local initiatives: Reflections and practices in ELT</w:t>
      </w:r>
      <w:r w:rsidRPr="7E8C9911">
        <w:rPr>
          <w:rFonts w:ascii="Times New Roman" w:eastAsia="Times New Roman" w:hAnsi="Times New Roman" w:cs="Times New Roman"/>
          <w:color w:val="373A3C"/>
        </w:rPr>
        <w:t>.  National University of Singapore, CELC, pp.1-9.</w:t>
      </w:r>
    </w:p>
    <w:p w14:paraId="6F29714F"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t>Bhoje</w:t>
      </w:r>
      <w:proofErr w:type="spellEnd"/>
      <w:r w:rsidRPr="20E70BEE">
        <w:rPr>
          <w:rFonts w:ascii="Times New Roman" w:eastAsia="Times New Roman" w:hAnsi="Times New Roman" w:cs="Times New Roman"/>
        </w:rPr>
        <w:t xml:space="preserve">, G. (2015) The Importance of Motivation in an Educational Environment. </w:t>
      </w:r>
      <w:proofErr w:type="spellStart"/>
      <w:r w:rsidRPr="20E70BEE">
        <w:rPr>
          <w:rFonts w:ascii="Times New Roman" w:eastAsia="Times New Roman" w:hAnsi="Times New Roman" w:cs="Times New Roman"/>
        </w:rPr>
        <w:t>Maharashatra</w:t>
      </w:r>
      <w:proofErr w:type="spellEnd"/>
      <w:r w:rsidRPr="20E70BEE">
        <w:rPr>
          <w:rFonts w:ascii="Times New Roman" w:eastAsia="Times New Roman" w:hAnsi="Times New Roman" w:cs="Times New Roman"/>
        </w:rPr>
        <w:t>: Laxmi Book Publishing.</w:t>
      </w:r>
    </w:p>
    <w:p w14:paraId="23ECE447"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Burke, J. (2008) </w:t>
      </w:r>
      <w:r w:rsidRPr="20E70BEE">
        <w:rPr>
          <w:rFonts w:ascii="Times New Roman" w:eastAsia="Times New Roman" w:hAnsi="Times New Roman" w:cs="Times New Roman"/>
          <w:i/>
          <w:iCs/>
        </w:rPr>
        <w:t>Effective Instruction.</w:t>
      </w:r>
      <w:r w:rsidRPr="20E70BEE">
        <w:rPr>
          <w:rFonts w:ascii="Times New Roman" w:eastAsia="Times New Roman" w:hAnsi="Times New Roman" w:cs="Times New Roman"/>
        </w:rPr>
        <w:t xml:space="preserve"> Oxon: Scholastic. </w:t>
      </w:r>
    </w:p>
    <w:p w14:paraId="51FE45F1"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Crème, P. and Lea, M. (2008) </w:t>
      </w:r>
      <w:r w:rsidRPr="20E70BEE">
        <w:rPr>
          <w:rFonts w:ascii="Times New Roman" w:eastAsia="Times New Roman" w:hAnsi="Times New Roman" w:cs="Times New Roman"/>
          <w:i/>
          <w:iCs/>
        </w:rPr>
        <w:t xml:space="preserve">Writing at University: A Guide for Students. </w:t>
      </w:r>
      <w:r w:rsidRPr="20E70BEE">
        <w:rPr>
          <w:rFonts w:ascii="Times New Roman" w:eastAsia="Times New Roman" w:hAnsi="Times New Roman" w:cs="Times New Roman"/>
        </w:rPr>
        <w:t>3</w:t>
      </w:r>
      <w:r w:rsidRPr="20E70BEE">
        <w:rPr>
          <w:rFonts w:ascii="Times New Roman" w:eastAsia="Times New Roman" w:hAnsi="Times New Roman" w:cs="Times New Roman"/>
          <w:vertAlign w:val="superscript"/>
        </w:rPr>
        <w:t>rd</w:t>
      </w:r>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edn</w:t>
      </w:r>
      <w:proofErr w:type="spellEnd"/>
      <w:r w:rsidRPr="20E70BEE">
        <w:rPr>
          <w:rFonts w:ascii="Times New Roman" w:eastAsia="Times New Roman" w:hAnsi="Times New Roman" w:cs="Times New Roman"/>
        </w:rPr>
        <w:t xml:space="preserve">. Berkshire: Open University Press. </w:t>
      </w:r>
    </w:p>
    <w:p w14:paraId="22CE19B3" w14:textId="77777777" w:rsidR="002E7EDD" w:rsidRDefault="002E7EDD" w:rsidP="20E70BEE">
      <w:pPr>
        <w:rPr>
          <w:rFonts w:ascii="Times New Roman" w:eastAsia="Times New Roman" w:hAnsi="Times New Roman" w:cs="Times New Roman"/>
          <w:color w:val="333333"/>
        </w:rPr>
      </w:pPr>
      <w:r w:rsidRPr="20E70BEE">
        <w:rPr>
          <w:rFonts w:ascii="Times New Roman" w:eastAsia="Times New Roman" w:hAnsi="Times New Roman" w:cs="Times New Roman"/>
          <w:color w:val="333333"/>
        </w:rPr>
        <w:t xml:space="preserve">CWLCC (2017) </w:t>
      </w:r>
      <w:r w:rsidRPr="20E70BEE">
        <w:rPr>
          <w:rFonts w:ascii="Times New Roman" w:eastAsia="Times New Roman" w:hAnsi="Times New Roman" w:cs="Times New Roman"/>
          <w:i/>
          <w:iCs/>
        </w:rPr>
        <w:t xml:space="preserve">Achieving the Ambition Inquiry into the Welsh Government’s new Welsh Language Strategy. </w:t>
      </w:r>
      <w:r w:rsidRPr="20E70BEE">
        <w:rPr>
          <w:rFonts w:ascii="Times New Roman" w:eastAsia="Times New Roman" w:hAnsi="Times New Roman" w:cs="Times New Roman"/>
        </w:rPr>
        <w:t xml:space="preserve">Cardiff: National Assembly for Wales. Available at: </w:t>
      </w:r>
      <w:hyperlink r:id="rId12">
        <w:r w:rsidRPr="20E70BEE">
          <w:rPr>
            <w:rStyle w:val="Hyperlink"/>
            <w:rFonts w:ascii="Times New Roman" w:eastAsia="Times New Roman" w:hAnsi="Times New Roman" w:cs="Times New Roman"/>
          </w:rPr>
          <w:t>http://www.assembly.wales/laid%20documents/cr-ld11046/cr-ld11046-e.pdf</w:t>
        </w:r>
      </w:hyperlink>
      <w:r w:rsidRPr="20E70BEE">
        <w:rPr>
          <w:rFonts w:ascii="Times New Roman" w:eastAsia="Times New Roman" w:hAnsi="Times New Roman" w:cs="Times New Roman"/>
        </w:rPr>
        <w:t xml:space="preserve"> (Accessed: 5</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57BCB820"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lastRenderedPageBreak/>
        <w:t>Cymdeithas</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ar</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Iath</w:t>
      </w:r>
      <w:proofErr w:type="spellEnd"/>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Cymraeg</w:t>
      </w:r>
      <w:proofErr w:type="spellEnd"/>
      <w:r w:rsidRPr="20E70BEE">
        <w:rPr>
          <w:rFonts w:ascii="Times New Roman" w:eastAsia="Times New Roman" w:hAnsi="Times New Roman" w:cs="Times New Roman"/>
        </w:rPr>
        <w:t xml:space="preserve"> (2018) </w:t>
      </w:r>
      <w:r w:rsidRPr="20E70BEE">
        <w:rPr>
          <w:rFonts w:ascii="Times New Roman" w:eastAsia="Times New Roman" w:hAnsi="Times New Roman" w:cs="Times New Roman"/>
          <w:i/>
          <w:iCs/>
        </w:rPr>
        <w:t xml:space="preserve">Abolish second language Welsh education. </w:t>
      </w:r>
      <w:r w:rsidRPr="20E70BEE">
        <w:rPr>
          <w:rFonts w:ascii="Times New Roman" w:eastAsia="Times New Roman" w:hAnsi="Times New Roman" w:cs="Times New Roman"/>
        </w:rPr>
        <w:t xml:space="preserve">Available at: </w:t>
      </w:r>
      <w:hyperlink r:id="rId13">
        <w:r w:rsidRPr="20E70BEE">
          <w:rPr>
            <w:rStyle w:val="Hyperlink"/>
            <w:rFonts w:ascii="Times New Roman" w:eastAsia="Times New Roman" w:hAnsi="Times New Roman" w:cs="Times New Roman"/>
          </w:rPr>
          <w:t>https://cymdeithas.cymru/news/abolish-second-language-welsh-education</w:t>
        </w:r>
      </w:hyperlink>
      <w:r w:rsidRPr="20E70BEE">
        <w:rPr>
          <w:rFonts w:ascii="Times New Roman" w:eastAsia="Times New Roman" w:hAnsi="Times New Roman" w:cs="Times New Roman"/>
        </w:rPr>
        <w:t xml:space="preserve"> (Accessed: 5</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7DF08421" w14:textId="77777777" w:rsidR="002E7EDD" w:rsidRDefault="002E7EDD" w:rsidP="7E8C9911">
      <w:pPr>
        <w:rPr>
          <w:rFonts w:ascii="Times New Roman" w:eastAsia="Times New Roman" w:hAnsi="Times New Roman" w:cs="Times New Roman"/>
        </w:rPr>
      </w:pPr>
      <w:r w:rsidRPr="7E8C9911">
        <w:rPr>
          <w:rFonts w:ascii="Times New Roman" w:eastAsia="Times New Roman" w:hAnsi="Times New Roman" w:cs="Times New Roman"/>
          <w:color w:val="373A3C"/>
        </w:rPr>
        <w:t xml:space="preserve">Davies, S. (2013) </w:t>
      </w:r>
      <w:r w:rsidRPr="7E8C9911">
        <w:rPr>
          <w:rFonts w:ascii="Times New Roman" w:eastAsia="Times New Roman" w:hAnsi="Times New Roman" w:cs="Times New Roman"/>
          <w:i/>
          <w:iCs/>
          <w:color w:val="373A3C"/>
        </w:rPr>
        <w:t xml:space="preserve">One Language for All: Review of Welsh Second Language at Key Stage 3 and 4. </w:t>
      </w:r>
      <w:proofErr w:type="spellStart"/>
      <w:r w:rsidRPr="7E8C9911">
        <w:rPr>
          <w:rFonts w:ascii="Times New Roman" w:eastAsia="Times New Roman" w:hAnsi="Times New Roman" w:cs="Times New Roman"/>
          <w:color w:val="373A3C"/>
        </w:rPr>
        <w:t>Caerphilly</w:t>
      </w:r>
      <w:proofErr w:type="spellEnd"/>
      <w:r w:rsidRPr="7E8C9911">
        <w:rPr>
          <w:rFonts w:ascii="Times New Roman" w:eastAsia="Times New Roman" w:hAnsi="Times New Roman" w:cs="Times New Roman"/>
          <w:color w:val="373A3C"/>
        </w:rPr>
        <w:t xml:space="preserve">: Welsh Government. Available at: </w:t>
      </w:r>
      <w:hyperlink r:id="rId14">
        <w:r w:rsidRPr="7E8C9911">
          <w:rPr>
            <w:rStyle w:val="Hyperlink"/>
            <w:rFonts w:ascii="Times New Roman" w:eastAsia="Times New Roman" w:hAnsi="Times New Roman" w:cs="Times New Roman"/>
          </w:rPr>
          <w:t>https://beta.gov.wales/sites/default/files/publications/2018-05/review-of-welsh-second-language-at-key-stages-3-and-4.pdf</w:t>
        </w:r>
      </w:hyperlink>
      <w:r w:rsidRPr="7E8C9911">
        <w:rPr>
          <w:rFonts w:ascii="Times New Roman" w:eastAsia="Times New Roman" w:hAnsi="Times New Roman" w:cs="Times New Roman"/>
        </w:rPr>
        <w:t xml:space="preserve">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0F09E465"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Day, T. (2018) </w:t>
      </w:r>
      <w:r w:rsidRPr="20E70BEE">
        <w:rPr>
          <w:rFonts w:ascii="Times New Roman" w:eastAsia="Times New Roman" w:hAnsi="Times New Roman" w:cs="Times New Roman"/>
          <w:i/>
          <w:iCs/>
        </w:rPr>
        <w:t xml:space="preserve">Success in Academic Writing (Palgrave Study Skills). </w:t>
      </w:r>
      <w:r w:rsidRPr="20E70BEE">
        <w:rPr>
          <w:rFonts w:ascii="Times New Roman" w:eastAsia="Times New Roman" w:hAnsi="Times New Roman" w:cs="Times New Roman"/>
        </w:rPr>
        <w:t xml:space="preserve">London: Palgrave. </w:t>
      </w:r>
    </w:p>
    <w:p w14:paraId="098BBAA8"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DCELLS (2015) </w:t>
      </w:r>
      <w:r w:rsidRPr="20E70BEE">
        <w:rPr>
          <w:rFonts w:ascii="Times New Roman" w:eastAsia="Times New Roman" w:hAnsi="Times New Roman" w:cs="Times New Roman"/>
          <w:i/>
          <w:iCs/>
        </w:rPr>
        <w:t xml:space="preserve">Welsh second language in the National Curriculum for Wales. </w:t>
      </w:r>
      <w:r w:rsidRPr="20E70BEE">
        <w:rPr>
          <w:rFonts w:ascii="Times New Roman" w:eastAsia="Times New Roman" w:hAnsi="Times New Roman" w:cs="Times New Roman"/>
        </w:rPr>
        <w:t xml:space="preserve">Cardiff: Welsh Government. Available at: </w:t>
      </w:r>
      <w:hyperlink r:id="rId15">
        <w:r w:rsidRPr="20E70BEE">
          <w:rPr>
            <w:rStyle w:val="Hyperlink"/>
            <w:rFonts w:ascii="Times New Roman" w:eastAsia="Times New Roman" w:hAnsi="Times New Roman" w:cs="Times New Roman"/>
          </w:rPr>
          <w:t>https://learning.gov.wales/docs/learningwales/publications/150707-welsh-second-language-en-v2.pdf</w:t>
        </w:r>
      </w:hyperlink>
      <w:r w:rsidRPr="20E70BEE">
        <w:rPr>
          <w:rFonts w:ascii="Times New Roman" w:eastAsia="Times New Roman" w:hAnsi="Times New Roman" w:cs="Times New Roman"/>
        </w:rPr>
        <w:t xml:space="preserve"> (Accessed: 8</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508468D7"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De Bono, E. (2015) </w:t>
      </w:r>
      <w:r w:rsidRPr="20E70BEE">
        <w:rPr>
          <w:rFonts w:ascii="Times New Roman" w:eastAsia="Times New Roman" w:hAnsi="Times New Roman" w:cs="Times New Roman"/>
          <w:i/>
          <w:iCs/>
        </w:rPr>
        <w:t xml:space="preserve">Serious creativity: How to be creative under pressure and turn ideas into action. </w:t>
      </w:r>
      <w:r w:rsidRPr="20E70BEE">
        <w:rPr>
          <w:rFonts w:ascii="Times New Roman" w:eastAsia="Times New Roman" w:hAnsi="Times New Roman" w:cs="Times New Roman"/>
        </w:rPr>
        <w:t xml:space="preserve">Kindle </w:t>
      </w:r>
      <w:proofErr w:type="spellStart"/>
      <w:r w:rsidRPr="20E70BEE">
        <w:rPr>
          <w:rFonts w:ascii="Times New Roman" w:eastAsia="Times New Roman" w:hAnsi="Times New Roman" w:cs="Times New Roman"/>
        </w:rPr>
        <w:t>edn</w:t>
      </w:r>
      <w:proofErr w:type="spellEnd"/>
      <w:r w:rsidRPr="20E70BEE">
        <w:rPr>
          <w:rFonts w:ascii="Times New Roman" w:eastAsia="Times New Roman" w:hAnsi="Times New Roman" w:cs="Times New Roman"/>
        </w:rPr>
        <w:t xml:space="preserve">. London: Vermillion. </w:t>
      </w:r>
    </w:p>
    <w:p w14:paraId="02B6E796"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Donaldson (2015) </w:t>
      </w:r>
      <w:r w:rsidRPr="20E70BEE">
        <w:rPr>
          <w:rFonts w:ascii="Times New Roman" w:eastAsia="Times New Roman" w:hAnsi="Times New Roman" w:cs="Times New Roman"/>
          <w:i/>
          <w:iCs/>
        </w:rPr>
        <w:t xml:space="preserve">Successful Futures. </w:t>
      </w:r>
      <w:r w:rsidRPr="20E70BEE">
        <w:rPr>
          <w:rFonts w:ascii="Times New Roman" w:eastAsia="Times New Roman" w:hAnsi="Times New Roman" w:cs="Times New Roman"/>
        </w:rPr>
        <w:t xml:space="preserve">Cardiff: Welsh Assembly Government. </w:t>
      </w:r>
    </w:p>
    <w:p w14:paraId="3DDF130D"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Edwards, C., Gandini, L. and </w:t>
      </w:r>
      <w:r>
        <w:rPr>
          <w:noProof/>
        </w:rPr>
        <w:drawing>
          <wp:inline distT="0" distB="0" distL="0" distR="0" wp14:anchorId="02F060E9" wp14:editId="5AC278F3">
            <wp:extent cx="9525" cy="9525"/>
            <wp:effectExtent l="0" t="0" r="0" b="0"/>
            <wp:docPr id="852365514" name="Picture" title="Begin Match to source 6 in source list: Submitted to Wiltshire College on 2013-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Forman, G. (1998) The Hundred Languages of Children: The Reggio Emilia Approach – Advanced</w:t>
      </w:r>
      <w:r>
        <w:rPr>
          <w:noProof/>
        </w:rPr>
        <w:drawing>
          <wp:inline distT="0" distB="0" distL="0" distR="0" wp14:anchorId="71A6E5DB" wp14:editId="2ACD02C3">
            <wp:extent cx="9525" cy="9525"/>
            <wp:effectExtent l="0" t="0" r="0" b="0"/>
            <wp:docPr id="1999772276" name="Picture" title="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 xml:space="preserve"> Reflection. </w:t>
      </w:r>
      <w:r>
        <w:rPr>
          <w:noProof/>
        </w:rPr>
        <w:drawing>
          <wp:inline distT="0" distB="0" distL="0" distR="0" wp14:anchorId="15EFC497" wp14:editId="2A558EDA">
            <wp:extent cx="9525" cy="9525"/>
            <wp:effectExtent l="0" t="0" r="0" b="0"/>
            <wp:docPr id="539025929" name="Picture" title="Begin Match to source 6 in source list: Submitted to Wiltshire College on 2013-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2nd</w:t>
      </w:r>
      <w:r>
        <w:rPr>
          <w:noProof/>
        </w:rPr>
        <w:drawing>
          <wp:inline distT="0" distB="0" distL="0" distR="0" wp14:anchorId="2F560B4D" wp14:editId="12FC551A">
            <wp:extent cx="9525" cy="9525"/>
            <wp:effectExtent l="0" t="0" r="0" b="0"/>
            <wp:docPr id="1277450913" name="Picture" title="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 xml:space="preserve"> </w:t>
      </w:r>
      <w:proofErr w:type="spellStart"/>
      <w:r w:rsidRPr="20E70BEE">
        <w:rPr>
          <w:rFonts w:ascii="Times New Roman" w:eastAsia="Times New Roman" w:hAnsi="Times New Roman" w:cs="Times New Roman"/>
        </w:rPr>
        <w:t>edn</w:t>
      </w:r>
      <w:proofErr w:type="spellEnd"/>
      <w:r w:rsidRPr="20E70BEE">
        <w:rPr>
          <w:rFonts w:ascii="Times New Roman" w:eastAsia="Times New Roman" w:hAnsi="Times New Roman" w:cs="Times New Roman"/>
        </w:rPr>
        <w:t xml:space="preserve">. United States of America: </w:t>
      </w:r>
      <w:proofErr w:type="spellStart"/>
      <w:r w:rsidRPr="20E70BEE">
        <w:rPr>
          <w:rFonts w:ascii="Times New Roman" w:eastAsia="Times New Roman" w:hAnsi="Times New Roman" w:cs="Times New Roman"/>
        </w:rPr>
        <w:t>Ablex</w:t>
      </w:r>
      <w:proofErr w:type="spellEnd"/>
      <w:r w:rsidRPr="20E70BEE">
        <w:rPr>
          <w:rFonts w:ascii="Times New Roman" w:eastAsia="Times New Roman" w:hAnsi="Times New Roman" w:cs="Times New Roman"/>
        </w:rPr>
        <w:t xml:space="preserve"> Publishing Corporation.</w:t>
      </w:r>
    </w:p>
    <w:p w14:paraId="31EA9DFC"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English Proficiency Index (2018) </w:t>
      </w:r>
      <w:proofErr w:type="spellStart"/>
      <w:r w:rsidRPr="20E70BEE">
        <w:rPr>
          <w:rFonts w:ascii="Times New Roman" w:eastAsia="Times New Roman" w:hAnsi="Times New Roman" w:cs="Times New Roman"/>
          <w:i/>
          <w:iCs/>
        </w:rPr>
        <w:t>Phillipines</w:t>
      </w:r>
      <w:proofErr w:type="spellEnd"/>
      <w:r w:rsidRPr="20E70BEE">
        <w:rPr>
          <w:rFonts w:ascii="Times New Roman" w:eastAsia="Times New Roman" w:hAnsi="Times New Roman" w:cs="Times New Roman"/>
          <w:i/>
          <w:iCs/>
        </w:rPr>
        <w:t xml:space="preserve">. </w:t>
      </w:r>
      <w:r w:rsidRPr="20E70BEE">
        <w:rPr>
          <w:rFonts w:ascii="Times New Roman" w:eastAsia="Times New Roman" w:hAnsi="Times New Roman" w:cs="Times New Roman"/>
        </w:rPr>
        <w:t xml:space="preserve">Available at: </w:t>
      </w:r>
      <w:hyperlink r:id="rId17">
        <w:r w:rsidRPr="20E70BEE">
          <w:rPr>
            <w:rStyle w:val="Hyperlink"/>
            <w:rFonts w:ascii="Times New Roman" w:eastAsia="Times New Roman" w:hAnsi="Times New Roman" w:cs="Times New Roman"/>
          </w:rPr>
          <w:t>https://www.ef.co.uk/epi/regions/asia/philippines/</w:t>
        </w:r>
      </w:hyperlink>
      <w:r w:rsidRPr="20E70BEE">
        <w:rPr>
          <w:rFonts w:ascii="Times New Roman" w:eastAsia="Times New Roman" w:hAnsi="Times New Roman" w:cs="Times New Roman"/>
        </w:rPr>
        <w:t xml:space="preserve"> (Accessed: 11</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10BBA93D" w14:textId="77777777" w:rsidR="002E7EDD" w:rsidRDefault="002E7EDD" w:rsidP="7E8C9911">
      <w:pPr>
        <w:rPr>
          <w:rFonts w:ascii="Times New Roman" w:eastAsia="Times New Roman" w:hAnsi="Times New Roman" w:cs="Times New Roman"/>
        </w:rPr>
      </w:pPr>
      <w:proofErr w:type="spellStart"/>
      <w:r w:rsidRPr="7E8C9911">
        <w:rPr>
          <w:rFonts w:ascii="Times New Roman" w:eastAsia="Times New Roman" w:hAnsi="Times New Roman" w:cs="Times New Roman"/>
        </w:rPr>
        <w:t>Estyn</w:t>
      </w:r>
      <w:proofErr w:type="spellEnd"/>
      <w:r w:rsidRPr="7E8C9911">
        <w:rPr>
          <w:rFonts w:ascii="Times New Roman" w:eastAsia="Times New Roman" w:hAnsi="Times New Roman" w:cs="Times New Roman"/>
        </w:rPr>
        <w:t xml:space="preserve"> (2004) </w:t>
      </w:r>
      <w:r w:rsidRPr="7E8C9911">
        <w:rPr>
          <w:rFonts w:ascii="Times New Roman" w:eastAsia="Times New Roman" w:hAnsi="Times New Roman" w:cs="Times New Roman"/>
          <w:i/>
          <w:iCs/>
        </w:rPr>
        <w:t xml:space="preserve">A Survey of Welsh as a Second Language in Key Stages 2 and 3 and Transition. </w:t>
      </w:r>
      <w:r w:rsidRPr="7E8C9911">
        <w:rPr>
          <w:rFonts w:ascii="Times New Roman" w:eastAsia="Times New Roman" w:hAnsi="Times New Roman" w:cs="Times New Roman"/>
        </w:rPr>
        <w:t xml:space="preserve">Cardiff: </w:t>
      </w:r>
      <w:proofErr w:type="spellStart"/>
      <w:r w:rsidRPr="7E8C9911">
        <w:rPr>
          <w:rFonts w:ascii="Times New Roman" w:eastAsia="Times New Roman" w:hAnsi="Times New Roman" w:cs="Times New Roman"/>
        </w:rPr>
        <w:t>Estyn</w:t>
      </w:r>
      <w:proofErr w:type="spellEnd"/>
      <w:r w:rsidRPr="7E8C9911">
        <w:rPr>
          <w:rFonts w:ascii="Times New Roman" w:eastAsia="Times New Roman" w:hAnsi="Times New Roman" w:cs="Times New Roman"/>
        </w:rPr>
        <w:t xml:space="preserve">. Available at: </w:t>
      </w:r>
      <w:hyperlink r:id="rId18">
        <w:r w:rsidRPr="7E8C9911">
          <w:rPr>
            <w:rStyle w:val="Hyperlink"/>
            <w:rFonts w:ascii="Times New Roman" w:eastAsia="Times New Roman" w:hAnsi="Times New Roman" w:cs="Times New Roman"/>
          </w:rPr>
          <w:t>https://dera.ioe.ac.uk/5629/1/WelshSecondLanguage.pdf</w:t>
        </w:r>
      </w:hyperlink>
      <w:r w:rsidRPr="7E8C9911">
        <w:rPr>
          <w:rFonts w:ascii="Times New Roman" w:eastAsia="Times New Roman" w:hAnsi="Times New Roman" w:cs="Times New Roman"/>
        </w:rPr>
        <w:t xml:space="preserve">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0A5830BA"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t>Estyn</w:t>
      </w:r>
      <w:proofErr w:type="spellEnd"/>
      <w:r w:rsidRPr="20E70BEE">
        <w:rPr>
          <w:rFonts w:ascii="Times New Roman" w:eastAsia="Times New Roman" w:hAnsi="Times New Roman" w:cs="Times New Roman"/>
        </w:rPr>
        <w:t xml:space="preserve"> (2013) </w:t>
      </w:r>
      <w:r w:rsidRPr="20E70BEE">
        <w:rPr>
          <w:rFonts w:ascii="Times New Roman" w:eastAsia="Times New Roman" w:hAnsi="Times New Roman" w:cs="Times New Roman"/>
          <w:i/>
          <w:iCs/>
        </w:rPr>
        <w:t xml:space="preserve">Welsh Language Development in the Foundation Phase. </w:t>
      </w:r>
      <w:r w:rsidRPr="20E70BEE">
        <w:rPr>
          <w:rFonts w:ascii="Times New Roman" w:eastAsia="Times New Roman" w:hAnsi="Times New Roman" w:cs="Times New Roman"/>
        </w:rPr>
        <w:t xml:space="preserve">Cardiff: Welsh Government. Available at: </w:t>
      </w:r>
      <w:hyperlink r:id="rId19">
        <w:r w:rsidRPr="20E70BEE">
          <w:rPr>
            <w:rStyle w:val="Hyperlink"/>
            <w:rFonts w:ascii="Times New Roman" w:eastAsia="Times New Roman" w:hAnsi="Times New Roman" w:cs="Times New Roman"/>
          </w:rPr>
          <w:t>https://www.estyn.gov.wales/sites/default/files/documents/Welsh%20Language%20Development%20in%20the%20Foundation%20Phase%20-%20January%202013.pdf</w:t>
        </w:r>
      </w:hyperlink>
      <w:r w:rsidRPr="20E70BEE">
        <w:rPr>
          <w:rFonts w:ascii="Times New Roman" w:eastAsia="Times New Roman" w:hAnsi="Times New Roman" w:cs="Times New Roman"/>
        </w:rPr>
        <w:t xml:space="preserve"> (Accessed: 10</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7451FF72" w14:textId="77777777" w:rsidR="002E7EDD" w:rsidRDefault="002E7EDD" w:rsidP="7E8C9911">
      <w:r w:rsidRPr="7E8C9911">
        <w:rPr>
          <w:rFonts w:ascii="Times New Roman" w:eastAsia="Times New Roman" w:hAnsi="Times New Roman" w:cs="Times New Roman"/>
        </w:rPr>
        <w:t xml:space="preserve">Fitzpatrick, T., et al. (2018). </w:t>
      </w:r>
      <w:r w:rsidRPr="7E8C9911">
        <w:rPr>
          <w:rFonts w:ascii="Times New Roman" w:eastAsia="Times New Roman" w:hAnsi="Times New Roman" w:cs="Times New Roman"/>
          <w:i/>
          <w:iCs/>
        </w:rPr>
        <w:t xml:space="preserve">Rapid Evidence Assessment: Effective Second Language Teaching Approaches and Methods. </w:t>
      </w:r>
      <w:r w:rsidRPr="7E8C9911">
        <w:rPr>
          <w:rFonts w:ascii="Times New Roman" w:eastAsia="Times New Roman" w:hAnsi="Times New Roman" w:cs="Times New Roman"/>
        </w:rPr>
        <w:t>Cardiff: Welsh Government. Available at: https://gov.wales/statistics-and-research/assessment-effective-second-language-teachingapproaches-methods/?lang=en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08C1BB3E" w14:textId="77777777" w:rsidR="002E7EDD" w:rsidRDefault="002E7EDD" w:rsidP="20E70BEE">
      <w:pPr>
        <w:rPr>
          <w:i/>
          <w:iCs/>
          <w:color w:val="555555"/>
        </w:rPr>
      </w:pPr>
      <w:proofErr w:type="spellStart"/>
      <w:r w:rsidRPr="20E70BEE">
        <w:rPr>
          <w:rFonts w:ascii="Times New Roman" w:eastAsia="Times New Roman" w:hAnsi="Times New Roman" w:cs="Times New Roman"/>
        </w:rPr>
        <w:t>Gaerlan</w:t>
      </w:r>
      <w:proofErr w:type="spellEnd"/>
      <w:r w:rsidRPr="20E70BEE">
        <w:rPr>
          <w:rFonts w:ascii="Times New Roman" w:eastAsia="Times New Roman" w:hAnsi="Times New Roman" w:cs="Times New Roman"/>
        </w:rPr>
        <w:t xml:space="preserve">, M. J. M. (2008) ‘Discourse Organization of Want Ads in Philippine English and Qatari English Newspapers’, </w:t>
      </w:r>
      <w:proofErr w:type="spellStart"/>
      <w:r w:rsidRPr="20E70BEE">
        <w:rPr>
          <w:rFonts w:ascii="Times New Roman" w:eastAsia="Times New Roman" w:hAnsi="Times New Roman" w:cs="Times New Roman"/>
          <w:i/>
          <w:iCs/>
        </w:rPr>
        <w:t>Phillipine</w:t>
      </w:r>
      <w:proofErr w:type="spellEnd"/>
      <w:r w:rsidRPr="20E70BEE">
        <w:rPr>
          <w:rFonts w:ascii="Times New Roman" w:eastAsia="Times New Roman" w:hAnsi="Times New Roman" w:cs="Times New Roman"/>
          <w:i/>
          <w:iCs/>
        </w:rPr>
        <w:t xml:space="preserve"> Journal of Linguistics, </w:t>
      </w:r>
      <w:r w:rsidRPr="20E70BEE">
        <w:rPr>
          <w:rFonts w:ascii="Times New Roman" w:eastAsia="Times New Roman" w:hAnsi="Times New Roman" w:cs="Times New Roman"/>
        </w:rPr>
        <w:t xml:space="preserve">39(1), pp. 1-14. Available at: </w:t>
      </w:r>
      <w:hyperlink r:id="rId20">
        <w:r w:rsidRPr="20E70BEE">
          <w:rPr>
            <w:rStyle w:val="Hyperlink"/>
            <w:rFonts w:ascii="Times New Roman" w:eastAsia="Times New Roman" w:hAnsi="Times New Roman" w:cs="Times New Roman"/>
            <w:color w:val="auto"/>
          </w:rPr>
          <w:t>https://ejournals.ph/article.php?id=8970</w:t>
        </w:r>
      </w:hyperlink>
      <w:r w:rsidRPr="20E70BEE">
        <w:rPr>
          <w:rFonts w:ascii="Times New Roman" w:eastAsia="Times New Roman" w:hAnsi="Times New Roman" w:cs="Times New Roman"/>
        </w:rPr>
        <w:t xml:space="preserve"> (Accessed: 4</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0B38F2B3"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Gathercole et al.</w:t>
      </w:r>
      <w:r w:rsidRPr="20E70BEE">
        <w:rPr>
          <w:rFonts w:ascii="Times New Roman" w:eastAsia="Times New Roman" w:hAnsi="Times New Roman" w:cs="Times New Roman"/>
          <w:sz w:val="23"/>
          <w:szCs w:val="23"/>
        </w:rPr>
        <w:t xml:space="preserve"> (2014) ‘Does language dominance affect cognitive performance in bilinguals? Lifespan evidence from preschoolers through older adults on card sorting, Simon, and metalinguistic tasks’, </w:t>
      </w:r>
      <w:r w:rsidRPr="20E70BEE">
        <w:rPr>
          <w:rFonts w:ascii="Times New Roman" w:eastAsia="Times New Roman" w:hAnsi="Times New Roman" w:cs="Times New Roman"/>
          <w:i/>
          <w:iCs/>
          <w:sz w:val="23"/>
          <w:szCs w:val="23"/>
        </w:rPr>
        <w:t xml:space="preserve">Frontiers in Psychology, </w:t>
      </w:r>
      <w:r w:rsidRPr="20E70BEE">
        <w:rPr>
          <w:rFonts w:ascii="Times New Roman" w:eastAsia="Times New Roman" w:hAnsi="Times New Roman" w:cs="Times New Roman"/>
          <w:sz w:val="23"/>
          <w:szCs w:val="23"/>
        </w:rPr>
        <w:t xml:space="preserve">5(11), pp. 1 – 14. DOI: 10.3389/fpsyg.2014.00011. </w:t>
      </w:r>
    </w:p>
    <w:p w14:paraId="22C360D8" w14:textId="77777777" w:rsidR="002E7EDD" w:rsidRDefault="002E7EDD" w:rsidP="20E70BEE">
      <w:pPr>
        <w:rPr>
          <w:rFonts w:ascii="Times New Roman" w:eastAsia="Times New Roman" w:hAnsi="Times New Roman" w:cs="Times New Roman"/>
          <w:color w:val="3E3D40"/>
        </w:rPr>
      </w:pPr>
      <w:r w:rsidRPr="20E70BEE">
        <w:rPr>
          <w:rFonts w:ascii="Times New Roman" w:eastAsia="Times New Roman" w:hAnsi="Times New Roman" w:cs="Times New Roman"/>
          <w:color w:val="3E3D40"/>
        </w:rPr>
        <w:t xml:space="preserve">Genesee, F., Paradis, J., and </w:t>
      </w:r>
      <w:proofErr w:type="spellStart"/>
      <w:r w:rsidRPr="20E70BEE">
        <w:rPr>
          <w:rFonts w:ascii="Times New Roman" w:eastAsia="Times New Roman" w:hAnsi="Times New Roman" w:cs="Times New Roman"/>
          <w:color w:val="3E3D40"/>
        </w:rPr>
        <w:t>Crago</w:t>
      </w:r>
      <w:proofErr w:type="spellEnd"/>
      <w:r w:rsidRPr="20E70BEE">
        <w:rPr>
          <w:rFonts w:ascii="Times New Roman" w:eastAsia="Times New Roman" w:hAnsi="Times New Roman" w:cs="Times New Roman"/>
          <w:color w:val="3E3D40"/>
        </w:rPr>
        <w:t xml:space="preserve">, M. B. (2004) </w:t>
      </w:r>
      <w:r w:rsidRPr="20E70BEE">
        <w:rPr>
          <w:rFonts w:ascii="Times New Roman" w:eastAsia="Times New Roman" w:hAnsi="Times New Roman" w:cs="Times New Roman"/>
          <w:i/>
          <w:iCs/>
          <w:color w:val="3E3D40"/>
        </w:rPr>
        <w:t>Dual Language Development and Disorders. A Handbook on Bilingualism and Second Language Learning</w:t>
      </w:r>
      <w:r w:rsidRPr="20E70BEE">
        <w:rPr>
          <w:rFonts w:ascii="Times New Roman" w:eastAsia="Times New Roman" w:hAnsi="Times New Roman" w:cs="Times New Roman"/>
          <w:color w:val="3E3D40"/>
        </w:rPr>
        <w:t>. Baltimore: Paul H. Brookes Publishing.</w:t>
      </w:r>
    </w:p>
    <w:p w14:paraId="3C671191" w14:textId="77777777" w:rsidR="002E7EDD" w:rsidRDefault="002E7EDD" w:rsidP="20E70BEE">
      <w:r w:rsidRPr="20E70BEE">
        <w:rPr>
          <w:rFonts w:ascii="Times New Roman" w:eastAsia="Times New Roman" w:hAnsi="Times New Roman" w:cs="Times New Roman"/>
          <w:color w:val="3E3D40"/>
        </w:rPr>
        <w:t xml:space="preserve">Grosjean, F. (1982) </w:t>
      </w:r>
      <w:r w:rsidRPr="20E70BEE">
        <w:rPr>
          <w:rFonts w:ascii="Times New Roman" w:eastAsia="Times New Roman" w:hAnsi="Times New Roman" w:cs="Times New Roman"/>
          <w:i/>
          <w:iCs/>
          <w:color w:val="3E3D40"/>
        </w:rPr>
        <w:t>Life with Two Languages: An Introduction to Bilingualism</w:t>
      </w:r>
      <w:r w:rsidRPr="20E70BEE">
        <w:rPr>
          <w:rFonts w:ascii="Times New Roman" w:eastAsia="Times New Roman" w:hAnsi="Times New Roman" w:cs="Times New Roman"/>
          <w:color w:val="3E3D40"/>
        </w:rPr>
        <w:t>. Cambridge, MA: Harvard University Press.</w:t>
      </w:r>
    </w:p>
    <w:p w14:paraId="5919AC02"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lastRenderedPageBreak/>
        <w:t>Haggett</w:t>
      </w:r>
      <w:proofErr w:type="spellEnd"/>
      <w:r w:rsidRPr="20E70BEE">
        <w:rPr>
          <w:rFonts w:ascii="Times New Roman" w:eastAsia="Times New Roman" w:hAnsi="Times New Roman" w:cs="Times New Roman"/>
        </w:rPr>
        <w:t xml:space="preserve"> (2013) </w:t>
      </w:r>
      <w:r w:rsidRPr="20E70BEE">
        <w:rPr>
          <w:rFonts w:ascii="Times New Roman" w:eastAsia="Times New Roman" w:hAnsi="Times New Roman" w:cs="Times New Roman"/>
          <w:i/>
          <w:iCs/>
          <w:color w:val="333333"/>
          <w:sz w:val="24"/>
          <w:szCs w:val="24"/>
        </w:rPr>
        <w:t xml:space="preserve">Not enough Welsh-speaking teachers. </w:t>
      </w:r>
      <w:r w:rsidRPr="20E70BEE">
        <w:rPr>
          <w:rFonts w:ascii="Times New Roman" w:eastAsia="Times New Roman" w:hAnsi="Times New Roman" w:cs="Times New Roman"/>
          <w:color w:val="333333"/>
          <w:sz w:val="24"/>
          <w:szCs w:val="24"/>
        </w:rPr>
        <w:t xml:space="preserve">Available at: </w:t>
      </w:r>
      <w:hyperlink r:id="rId21">
        <w:r w:rsidRPr="20E70BEE">
          <w:rPr>
            <w:rStyle w:val="Hyperlink"/>
            <w:rFonts w:ascii="Times New Roman" w:eastAsia="Times New Roman" w:hAnsi="Times New Roman" w:cs="Times New Roman"/>
          </w:rPr>
          <w:t>https://www.iwa.wales/click/2013/04/not-enough-welsh-speaking-teachers/</w:t>
        </w:r>
      </w:hyperlink>
      <w:r w:rsidRPr="20E70BEE">
        <w:rPr>
          <w:rFonts w:ascii="Times New Roman" w:eastAsia="Times New Roman" w:hAnsi="Times New Roman" w:cs="Times New Roman"/>
        </w:rPr>
        <w:t xml:space="preserve"> (Accessed: 10</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48E8BBBE" w14:textId="77777777" w:rsidR="002E7EDD" w:rsidRDefault="002E7EDD" w:rsidP="20E70BEE">
      <w:proofErr w:type="spellStart"/>
      <w:r w:rsidRPr="20E70BEE">
        <w:rPr>
          <w:rFonts w:ascii="Times New Roman" w:eastAsia="Times New Roman" w:hAnsi="Times New Roman" w:cs="Times New Roman"/>
          <w:sz w:val="23"/>
          <w:szCs w:val="23"/>
        </w:rPr>
        <w:t>Hilchey</w:t>
      </w:r>
      <w:proofErr w:type="spellEnd"/>
      <w:r w:rsidRPr="20E70BEE">
        <w:rPr>
          <w:rFonts w:ascii="Times New Roman" w:eastAsia="Times New Roman" w:hAnsi="Times New Roman" w:cs="Times New Roman"/>
          <w:sz w:val="23"/>
          <w:szCs w:val="23"/>
        </w:rPr>
        <w:t xml:space="preserve">, M. D., Klein R. M. (2011) ‘Are there bilingual advantages on non-linguistic interference tasks? Implications for the plasticity of executive control processes’, </w:t>
      </w:r>
      <w:hyperlink r:id="rId22">
        <w:r w:rsidRPr="20E70BEE">
          <w:rPr>
            <w:rStyle w:val="Hyperlink"/>
            <w:rFonts w:ascii="Times New Roman" w:eastAsia="Times New Roman" w:hAnsi="Times New Roman" w:cs="Times New Roman"/>
            <w:i/>
            <w:iCs/>
            <w:color w:val="auto"/>
            <w:sz w:val="21"/>
            <w:szCs w:val="21"/>
            <w:u w:val="none"/>
          </w:rPr>
          <w:t>Psychonomic Bulletin &amp; Review</w:t>
        </w:r>
      </w:hyperlink>
      <w:r w:rsidRPr="20E70BEE">
        <w:rPr>
          <w:rFonts w:ascii="Times New Roman" w:eastAsia="Times New Roman" w:hAnsi="Times New Roman" w:cs="Times New Roman"/>
          <w:sz w:val="23"/>
          <w:szCs w:val="23"/>
        </w:rPr>
        <w:t xml:space="preserve">, 18(4), pp. 625–658. DOI: 10.3758/s13423-011-0116-7. </w:t>
      </w:r>
    </w:p>
    <w:p w14:paraId="23773AE5"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Hirsch, E. D. (2016) </w:t>
      </w:r>
      <w:r w:rsidRPr="20E70BEE">
        <w:rPr>
          <w:rFonts w:ascii="Times New Roman" w:eastAsia="Times New Roman" w:hAnsi="Times New Roman" w:cs="Times New Roman"/>
          <w:i/>
          <w:iCs/>
        </w:rPr>
        <w:t xml:space="preserve">Why Knowledge Matters: Rescuing Our Children </w:t>
      </w:r>
      <w:proofErr w:type="gramStart"/>
      <w:r w:rsidRPr="20E70BEE">
        <w:rPr>
          <w:rFonts w:ascii="Times New Roman" w:eastAsia="Times New Roman" w:hAnsi="Times New Roman" w:cs="Times New Roman"/>
          <w:i/>
          <w:iCs/>
        </w:rPr>
        <w:t>From</w:t>
      </w:r>
      <w:proofErr w:type="gramEnd"/>
      <w:r w:rsidRPr="20E70BEE">
        <w:rPr>
          <w:rFonts w:ascii="Times New Roman" w:eastAsia="Times New Roman" w:hAnsi="Times New Roman" w:cs="Times New Roman"/>
          <w:i/>
          <w:iCs/>
        </w:rPr>
        <w:t xml:space="preserve"> Failed Educational Theories. </w:t>
      </w:r>
      <w:r w:rsidRPr="20E70BEE">
        <w:rPr>
          <w:rFonts w:ascii="Times New Roman" w:eastAsia="Times New Roman" w:hAnsi="Times New Roman" w:cs="Times New Roman"/>
        </w:rPr>
        <w:t xml:space="preserve">Cambridge: Harvard Educational Press. </w:t>
      </w:r>
    </w:p>
    <w:p w14:paraId="301B38FC" w14:textId="77777777" w:rsidR="002E7EDD" w:rsidRDefault="002E7EDD" w:rsidP="20E70BEE">
      <w:pPr>
        <w:pStyle w:val="Heading1"/>
        <w:rPr>
          <w:rFonts w:ascii="Times New Roman" w:eastAsia="Times New Roman" w:hAnsi="Times New Roman" w:cs="Times New Roman"/>
          <w:color w:val="auto"/>
          <w:sz w:val="22"/>
          <w:szCs w:val="22"/>
        </w:rPr>
      </w:pPr>
      <w:r w:rsidRPr="20E70BEE">
        <w:rPr>
          <w:rFonts w:ascii="Times New Roman" w:eastAsia="Times New Roman" w:hAnsi="Times New Roman" w:cs="Times New Roman"/>
          <w:color w:val="auto"/>
          <w:sz w:val="22"/>
          <w:szCs w:val="22"/>
        </w:rPr>
        <w:t xml:space="preserve">Hornby, G. (2011) </w:t>
      </w:r>
      <w:r w:rsidRPr="20E70BEE">
        <w:rPr>
          <w:rFonts w:ascii="Times New Roman" w:eastAsia="Times New Roman" w:hAnsi="Times New Roman" w:cs="Times New Roman"/>
          <w:i/>
          <w:iCs/>
          <w:color w:val="auto"/>
          <w:sz w:val="22"/>
          <w:szCs w:val="22"/>
        </w:rPr>
        <w:t xml:space="preserve">Parental Involvement in Childhood Education: Building Effective School-Family Partnerships. </w:t>
      </w:r>
      <w:r w:rsidRPr="20E70BEE">
        <w:rPr>
          <w:rFonts w:ascii="Times New Roman" w:eastAsia="Times New Roman" w:hAnsi="Times New Roman" w:cs="Times New Roman"/>
          <w:color w:val="auto"/>
          <w:sz w:val="22"/>
          <w:szCs w:val="22"/>
        </w:rPr>
        <w:t>New Zealand: Springer.</w:t>
      </w:r>
    </w:p>
    <w:p w14:paraId="1F65F490"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Malone, S. (2003) </w:t>
      </w:r>
      <w:r w:rsidRPr="20E70BEE">
        <w:rPr>
          <w:rFonts w:ascii="Times New Roman" w:eastAsia="Times New Roman" w:hAnsi="Times New Roman" w:cs="Times New Roman"/>
          <w:i/>
          <w:iCs/>
        </w:rPr>
        <w:t xml:space="preserve">Learning about Learning. </w:t>
      </w:r>
      <w:r w:rsidRPr="20E70BEE">
        <w:rPr>
          <w:rFonts w:ascii="Times New Roman" w:eastAsia="Times New Roman" w:hAnsi="Times New Roman" w:cs="Times New Roman"/>
        </w:rPr>
        <w:t xml:space="preserve">London: Chartered Instituted of Personnel and Development (CIPD). </w:t>
      </w:r>
    </w:p>
    <w:p w14:paraId="25640A10" w14:textId="77777777" w:rsidR="002E7EDD" w:rsidRDefault="002E7EDD" w:rsidP="20E70BEE">
      <w:pPr>
        <w:rPr>
          <w:rFonts w:ascii="Verdana" w:eastAsia="Verdana" w:hAnsi="Verdana" w:cs="Verdana"/>
          <w:color w:val="9966FF"/>
          <w:sz w:val="19"/>
          <w:szCs w:val="19"/>
        </w:rPr>
      </w:pPr>
      <w:r w:rsidRPr="20E70BEE">
        <w:rPr>
          <w:rFonts w:ascii="Times New Roman" w:eastAsia="Times New Roman" w:hAnsi="Times New Roman" w:cs="Times New Roman"/>
        </w:rPr>
        <w:t>Montessori, M.</w:t>
      </w:r>
      <w:r>
        <w:rPr>
          <w:noProof/>
        </w:rPr>
        <w:drawing>
          <wp:inline distT="0" distB="0" distL="0" distR="0" wp14:anchorId="75598EE6" wp14:editId="07CC0033">
            <wp:extent cx="9525" cy="9525"/>
            <wp:effectExtent l="0" t="0" r="0" b="0"/>
            <wp:docPr id="2144212888" name="Picture" title="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and Gutek, G.</w:t>
      </w:r>
      <w:r>
        <w:rPr>
          <w:noProof/>
        </w:rPr>
        <w:drawing>
          <wp:inline distT="0" distB="0" distL="0" distR="0" wp14:anchorId="383054B5" wp14:editId="312E75BA">
            <wp:extent cx="9525" cy="9525"/>
            <wp:effectExtent l="0" t="0" r="0" b="0"/>
            <wp:docPr id="153155798" name="Picture" title="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sidRPr="20E70BEE">
        <w:rPr>
          <w:rFonts w:ascii="Times New Roman" w:eastAsia="Times New Roman" w:hAnsi="Times New Roman" w:cs="Times New Roman"/>
        </w:rPr>
        <w:t>(eds) (2004) The Montessori Method: The Origins of an Educational Innovation Including an Abridged and Annotated Edition of Maria Montessori’s The Montessori Method</w:t>
      </w:r>
    </w:p>
    <w:p w14:paraId="09E2C1D0" w14:textId="77777777" w:rsidR="002E7EDD" w:rsidRDefault="002E7EDD" w:rsidP="20E70BEE">
      <w:r w:rsidRPr="20E70BEE">
        <w:rPr>
          <w:rFonts w:ascii="Times New Roman" w:eastAsia="Times New Roman" w:hAnsi="Times New Roman" w:cs="Times New Roman"/>
          <w:sz w:val="23"/>
          <w:szCs w:val="23"/>
        </w:rPr>
        <w:t xml:space="preserve">Morton, J. B., Harper, S. N. (2007) ‘What did Simon say? Revisiting the bilingual advantage’ </w:t>
      </w:r>
      <w:r w:rsidRPr="20E70BEE">
        <w:rPr>
          <w:rFonts w:ascii="Times New Roman" w:eastAsia="Times New Roman" w:hAnsi="Times New Roman" w:cs="Times New Roman"/>
          <w:i/>
          <w:iCs/>
          <w:sz w:val="23"/>
          <w:szCs w:val="23"/>
        </w:rPr>
        <w:t xml:space="preserve">Developmental Science, DOI: </w:t>
      </w:r>
      <w:r w:rsidRPr="20E70BEE">
        <w:rPr>
          <w:rFonts w:ascii="Times New Roman" w:eastAsia="Times New Roman" w:hAnsi="Times New Roman" w:cs="Times New Roman"/>
          <w:sz w:val="23"/>
          <w:szCs w:val="23"/>
        </w:rPr>
        <w:t>10(6), pp. 719–726. DOI: 10.1111/j.1467-7687.</w:t>
      </w:r>
      <w:proofErr w:type="gramStart"/>
      <w:r w:rsidRPr="20E70BEE">
        <w:rPr>
          <w:rFonts w:ascii="Times New Roman" w:eastAsia="Times New Roman" w:hAnsi="Times New Roman" w:cs="Times New Roman"/>
          <w:sz w:val="23"/>
          <w:szCs w:val="23"/>
        </w:rPr>
        <w:t>2007.00623.x</w:t>
      </w:r>
      <w:proofErr w:type="gramEnd"/>
    </w:p>
    <w:p w14:paraId="5B31EC4D" w14:textId="77777777" w:rsidR="002E7EDD" w:rsidRDefault="002E7EDD" w:rsidP="20E70BEE">
      <w:pPr>
        <w:pStyle w:val="Heading1"/>
        <w:rPr>
          <w:color w:val="FFFFFF" w:themeColor="background1"/>
          <w:sz w:val="57"/>
          <w:szCs w:val="57"/>
        </w:rPr>
      </w:pPr>
      <w:r w:rsidRPr="20E70BEE">
        <w:rPr>
          <w:rFonts w:ascii="Times New Roman" w:eastAsia="Times New Roman" w:hAnsi="Times New Roman" w:cs="Times New Roman"/>
          <w:color w:val="auto"/>
          <w:sz w:val="22"/>
          <w:szCs w:val="22"/>
        </w:rPr>
        <w:t xml:space="preserve">Office for National Statistics (2011) </w:t>
      </w:r>
      <w:r w:rsidRPr="20E70BEE">
        <w:rPr>
          <w:rFonts w:ascii="Times New Roman" w:eastAsia="Times New Roman" w:hAnsi="Times New Roman" w:cs="Times New Roman"/>
          <w:i/>
          <w:iCs/>
          <w:color w:val="auto"/>
          <w:sz w:val="22"/>
          <w:szCs w:val="22"/>
        </w:rPr>
        <w:t xml:space="preserve">2011 Census: Key Statistics for Wales, March 2011. </w:t>
      </w:r>
      <w:r w:rsidRPr="20E70BEE">
        <w:rPr>
          <w:rFonts w:ascii="Times New Roman" w:eastAsia="Times New Roman" w:hAnsi="Times New Roman" w:cs="Times New Roman"/>
          <w:color w:val="auto"/>
          <w:sz w:val="22"/>
          <w:szCs w:val="22"/>
        </w:rPr>
        <w:t xml:space="preserve">Available at: </w:t>
      </w:r>
      <w:hyperlink r:id="rId23" w:anchor="proficiency-in-welsh">
        <w:r w:rsidRPr="20E70BEE">
          <w:rPr>
            <w:rStyle w:val="Hyperlink"/>
            <w:rFonts w:ascii="Times New Roman" w:eastAsia="Times New Roman" w:hAnsi="Times New Roman" w:cs="Times New Roman"/>
            <w:color w:val="auto"/>
            <w:sz w:val="22"/>
            <w:szCs w:val="22"/>
          </w:rPr>
          <w:t>https://www.ons.gov.uk/peoplepopulationandcommunity/populationandmigration/populationestimates/bulletins/2011censuskeystatisticsforwales/2012-12-11#proficiency-in-welsh</w:t>
        </w:r>
      </w:hyperlink>
      <w:r w:rsidRPr="20E70BEE">
        <w:rPr>
          <w:rFonts w:ascii="Times New Roman" w:eastAsia="Times New Roman" w:hAnsi="Times New Roman" w:cs="Times New Roman"/>
          <w:color w:val="auto"/>
          <w:sz w:val="22"/>
          <w:szCs w:val="22"/>
        </w:rPr>
        <w:t xml:space="preserve"> (Accessed: 11</w:t>
      </w:r>
      <w:r w:rsidRPr="20E70BEE">
        <w:rPr>
          <w:rFonts w:ascii="Times New Roman" w:eastAsia="Times New Roman" w:hAnsi="Times New Roman" w:cs="Times New Roman"/>
          <w:color w:val="auto"/>
          <w:sz w:val="22"/>
          <w:szCs w:val="22"/>
          <w:vertAlign w:val="superscript"/>
        </w:rPr>
        <w:t>th</w:t>
      </w:r>
      <w:r w:rsidRPr="20E70BEE">
        <w:rPr>
          <w:rFonts w:ascii="Times New Roman" w:eastAsia="Times New Roman" w:hAnsi="Times New Roman" w:cs="Times New Roman"/>
          <w:color w:val="auto"/>
          <w:sz w:val="22"/>
          <w:szCs w:val="22"/>
        </w:rPr>
        <w:t xml:space="preserve"> February 2019). </w:t>
      </w:r>
    </w:p>
    <w:p w14:paraId="25433877" w14:textId="77777777" w:rsidR="002E7EDD" w:rsidRDefault="002E7EDD" w:rsidP="20E70BEE">
      <w:pPr>
        <w:rPr>
          <w:rFonts w:ascii="Times New Roman" w:eastAsia="Times New Roman" w:hAnsi="Times New Roman" w:cs="Times New Roman"/>
          <w:sz w:val="23"/>
          <w:szCs w:val="23"/>
        </w:rPr>
      </w:pPr>
      <w:proofErr w:type="spellStart"/>
      <w:r w:rsidRPr="20E70BEE">
        <w:rPr>
          <w:rFonts w:ascii="Times New Roman" w:eastAsia="Times New Roman" w:hAnsi="Times New Roman" w:cs="Times New Roman"/>
          <w:sz w:val="23"/>
          <w:szCs w:val="23"/>
        </w:rPr>
        <w:t>Paap</w:t>
      </w:r>
      <w:proofErr w:type="spellEnd"/>
      <w:r w:rsidRPr="20E70BEE">
        <w:rPr>
          <w:rFonts w:ascii="Times New Roman" w:eastAsia="Times New Roman" w:hAnsi="Times New Roman" w:cs="Times New Roman"/>
          <w:sz w:val="23"/>
          <w:szCs w:val="23"/>
        </w:rPr>
        <w:t xml:space="preserve">, K. et al. (2015) ‘Bilingual advantages in executive functioning either do not exist or are restricted to very specific and undetermined circumstances', </w:t>
      </w:r>
      <w:r w:rsidRPr="20E70BEE">
        <w:rPr>
          <w:rFonts w:ascii="Times New Roman" w:eastAsia="Times New Roman" w:hAnsi="Times New Roman" w:cs="Times New Roman"/>
          <w:i/>
          <w:iCs/>
          <w:sz w:val="23"/>
          <w:szCs w:val="23"/>
        </w:rPr>
        <w:t xml:space="preserve">Cortex, </w:t>
      </w:r>
      <w:r w:rsidRPr="20E70BEE">
        <w:rPr>
          <w:rFonts w:ascii="Times New Roman" w:eastAsia="Times New Roman" w:hAnsi="Times New Roman" w:cs="Times New Roman"/>
          <w:sz w:val="23"/>
          <w:szCs w:val="23"/>
        </w:rPr>
        <w:t xml:space="preserve">69(1) pp. 265–278. DOI: 10.1016/j.cortex.2015.04.014. </w:t>
      </w:r>
    </w:p>
    <w:p w14:paraId="1ED9F5B0" w14:textId="77777777" w:rsidR="002E7EDD" w:rsidRDefault="002E7EDD" w:rsidP="7E8C9911">
      <w:pPr>
        <w:rPr>
          <w:rFonts w:ascii="Times New Roman" w:eastAsia="Times New Roman" w:hAnsi="Times New Roman" w:cs="Times New Roman"/>
        </w:rPr>
      </w:pPr>
      <w:r w:rsidRPr="7E8C9911">
        <w:rPr>
          <w:rFonts w:ascii="Times New Roman" w:eastAsia="Times New Roman" w:hAnsi="Times New Roman" w:cs="Times New Roman"/>
        </w:rPr>
        <w:t xml:space="preserve">Petitions Committee (2018) </w:t>
      </w:r>
      <w:r w:rsidRPr="7E8C9911">
        <w:rPr>
          <w:rFonts w:ascii="Times New Roman" w:eastAsia="Times New Roman" w:hAnsi="Times New Roman" w:cs="Times New Roman"/>
          <w:i/>
          <w:iCs/>
        </w:rPr>
        <w:t xml:space="preserve">Title: All schools should be Welsh medium. </w:t>
      </w:r>
      <w:r w:rsidRPr="7E8C9911">
        <w:rPr>
          <w:rFonts w:ascii="Times New Roman" w:eastAsia="Times New Roman" w:hAnsi="Times New Roman" w:cs="Times New Roman"/>
        </w:rPr>
        <w:t xml:space="preserve">Cardiff: Research Service. Available at: </w:t>
      </w:r>
      <w:hyperlink r:id="rId24">
        <w:r w:rsidRPr="7E8C9911">
          <w:rPr>
            <w:rStyle w:val="Hyperlink"/>
            <w:rFonts w:ascii="Times New Roman" w:eastAsia="Times New Roman" w:hAnsi="Times New Roman" w:cs="Times New Roman"/>
          </w:rPr>
          <w:t>http://www.senedd.assembly.wales/documents/s79210/Research%20brief.pdf</w:t>
        </w:r>
      </w:hyperlink>
      <w:r w:rsidRPr="7E8C9911">
        <w:rPr>
          <w:rFonts w:ascii="Times New Roman" w:eastAsia="Times New Roman" w:hAnsi="Times New Roman" w:cs="Times New Roman"/>
        </w:rPr>
        <w:t xml:space="preserve">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2AB32D37" w14:textId="77777777" w:rsidR="002E7EDD" w:rsidRDefault="002E7EDD" w:rsidP="20E70BEE">
      <w:pPr>
        <w:rPr>
          <w:rFonts w:ascii="Georgia" w:eastAsia="Georgia" w:hAnsi="Georgia" w:cs="Georgia"/>
          <w:color w:val="3E3D40"/>
          <w:sz w:val="21"/>
          <w:szCs w:val="21"/>
        </w:rPr>
      </w:pPr>
      <w:proofErr w:type="spellStart"/>
      <w:r w:rsidRPr="20E70BEE">
        <w:rPr>
          <w:rFonts w:ascii="Times New Roman" w:eastAsia="Times New Roman" w:hAnsi="Times New Roman" w:cs="Times New Roman"/>
          <w:color w:val="3E3D40"/>
        </w:rPr>
        <w:t>Poulisse</w:t>
      </w:r>
      <w:proofErr w:type="spellEnd"/>
      <w:r w:rsidRPr="20E70BEE">
        <w:rPr>
          <w:rFonts w:ascii="Times New Roman" w:eastAsia="Times New Roman" w:hAnsi="Times New Roman" w:cs="Times New Roman"/>
          <w:color w:val="3E3D40"/>
        </w:rPr>
        <w:t xml:space="preserve">, N., and </w:t>
      </w:r>
      <w:proofErr w:type="spellStart"/>
      <w:r w:rsidRPr="20E70BEE">
        <w:rPr>
          <w:rFonts w:ascii="Times New Roman" w:eastAsia="Times New Roman" w:hAnsi="Times New Roman" w:cs="Times New Roman"/>
          <w:color w:val="3E3D40"/>
        </w:rPr>
        <w:t>Bongaerts</w:t>
      </w:r>
      <w:proofErr w:type="spellEnd"/>
      <w:r w:rsidRPr="20E70BEE">
        <w:rPr>
          <w:rFonts w:ascii="Times New Roman" w:eastAsia="Times New Roman" w:hAnsi="Times New Roman" w:cs="Times New Roman"/>
          <w:color w:val="3E3D40"/>
        </w:rPr>
        <w:t xml:space="preserve">, T. (1994) ‘First language use in second language production’, </w:t>
      </w:r>
      <w:r w:rsidRPr="20E70BEE">
        <w:rPr>
          <w:rFonts w:ascii="Times New Roman" w:eastAsia="Times New Roman" w:hAnsi="Times New Roman" w:cs="Times New Roman"/>
          <w:i/>
          <w:iCs/>
          <w:color w:val="3E3D40"/>
        </w:rPr>
        <w:t xml:space="preserve">Applied </w:t>
      </w:r>
      <w:proofErr w:type="spellStart"/>
      <w:r w:rsidRPr="20E70BEE">
        <w:rPr>
          <w:rFonts w:ascii="Times New Roman" w:eastAsia="Times New Roman" w:hAnsi="Times New Roman" w:cs="Times New Roman"/>
          <w:i/>
          <w:iCs/>
          <w:color w:val="3E3D40"/>
        </w:rPr>
        <w:t>Linguististics</w:t>
      </w:r>
      <w:proofErr w:type="spellEnd"/>
      <w:r w:rsidRPr="20E70BEE">
        <w:rPr>
          <w:rFonts w:ascii="Times New Roman" w:eastAsia="Times New Roman" w:hAnsi="Times New Roman" w:cs="Times New Roman"/>
          <w:i/>
          <w:iCs/>
          <w:color w:val="3E3D40"/>
        </w:rPr>
        <w:t>,</w:t>
      </w:r>
      <w:r w:rsidRPr="20E70BEE">
        <w:rPr>
          <w:rFonts w:ascii="Times New Roman" w:eastAsia="Times New Roman" w:hAnsi="Times New Roman" w:cs="Times New Roman"/>
          <w:color w:val="3E3D40"/>
        </w:rPr>
        <w:t xml:space="preserve"> 15(1), pp. 36–57. Available at: </w:t>
      </w:r>
      <w:hyperlink r:id="rId25">
        <w:r w:rsidRPr="20E70BEE">
          <w:rPr>
            <w:rStyle w:val="Hyperlink"/>
            <w:rFonts w:ascii="Times New Roman" w:eastAsia="Times New Roman" w:hAnsi="Times New Roman" w:cs="Times New Roman"/>
          </w:rPr>
          <w:t>https://academic.oup.com/applij/article/15/1/36/150059</w:t>
        </w:r>
      </w:hyperlink>
      <w:r w:rsidRPr="20E70BEE">
        <w:rPr>
          <w:rFonts w:ascii="Times New Roman" w:eastAsia="Times New Roman" w:hAnsi="Times New Roman" w:cs="Times New Roman"/>
        </w:rPr>
        <w:t xml:space="preserve"> (Accessed: 8</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36DA6D60"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Rojas, J. (2012) </w:t>
      </w:r>
      <w:r w:rsidRPr="20E70BEE">
        <w:rPr>
          <w:rFonts w:ascii="Times New Roman" w:eastAsia="Times New Roman" w:hAnsi="Times New Roman" w:cs="Times New Roman"/>
          <w:i/>
          <w:iCs/>
          <w:color w:val="1E1E1E"/>
        </w:rPr>
        <w:t xml:space="preserve">Primary school children 'punished for not speaking Welsh. </w:t>
      </w:r>
      <w:r w:rsidRPr="20E70BEE">
        <w:rPr>
          <w:rFonts w:ascii="Times New Roman" w:eastAsia="Times New Roman" w:hAnsi="Times New Roman" w:cs="Times New Roman"/>
          <w:color w:val="1E1E1E"/>
        </w:rPr>
        <w:t xml:space="preserve">Available at: </w:t>
      </w:r>
      <w:hyperlink r:id="rId26">
        <w:r w:rsidRPr="20E70BEE">
          <w:rPr>
            <w:rStyle w:val="Hyperlink"/>
            <w:rFonts w:ascii="Times New Roman" w:eastAsia="Times New Roman" w:hAnsi="Times New Roman" w:cs="Times New Roman"/>
          </w:rPr>
          <w:t>https://www.telegraph.co.uk/education/primaryeducation/9677976/Primary-school-children-punished-for-not-speaking-Welsh.html</w:t>
        </w:r>
      </w:hyperlink>
      <w:r w:rsidRPr="20E70BEE">
        <w:rPr>
          <w:rFonts w:ascii="Times New Roman" w:eastAsia="Times New Roman" w:hAnsi="Times New Roman" w:cs="Times New Roman"/>
        </w:rPr>
        <w:t xml:space="preserve"> (Accessed: 8</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74A2BFE8"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Rollnick, M. and </w:t>
      </w:r>
      <w:proofErr w:type="spellStart"/>
      <w:r w:rsidRPr="20E70BEE">
        <w:rPr>
          <w:rFonts w:ascii="Times New Roman" w:eastAsia="Times New Roman" w:hAnsi="Times New Roman" w:cs="Times New Roman"/>
        </w:rPr>
        <w:t>Mavhunga</w:t>
      </w:r>
      <w:proofErr w:type="spellEnd"/>
      <w:r w:rsidRPr="20E70BEE">
        <w:rPr>
          <w:rFonts w:ascii="Times New Roman" w:eastAsia="Times New Roman" w:hAnsi="Times New Roman" w:cs="Times New Roman"/>
        </w:rPr>
        <w:t xml:space="preserve">, E. (2016) ‘The Place of Subject Matter Knowledge in Teacher Education’ in Loughran J. and Hamilton, M. (eds.) </w:t>
      </w:r>
      <w:r w:rsidRPr="20E70BEE">
        <w:rPr>
          <w:rFonts w:ascii="Times New Roman" w:eastAsia="Times New Roman" w:hAnsi="Times New Roman" w:cs="Times New Roman"/>
          <w:i/>
          <w:iCs/>
        </w:rPr>
        <w:t xml:space="preserve">The International Handbook on Teacher education. </w:t>
      </w:r>
      <w:r w:rsidRPr="20E70BEE">
        <w:rPr>
          <w:rFonts w:ascii="Times New Roman" w:eastAsia="Times New Roman" w:hAnsi="Times New Roman" w:cs="Times New Roman"/>
        </w:rPr>
        <w:t>Dordrecht: Springer.</w:t>
      </w:r>
    </w:p>
    <w:p w14:paraId="22A924CA"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Shulman, L. (1986) ‘Those Who Understand: Knowledge Growth in Teaching’, </w:t>
      </w:r>
      <w:r w:rsidRPr="20E70BEE">
        <w:rPr>
          <w:rFonts w:ascii="Times New Roman" w:eastAsia="Times New Roman" w:hAnsi="Times New Roman" w:cs="Times New Roman"/>
          <w:i/>
          <w:iCs/>
        </w:rPr>
        <w:t xml:space="preserve">Educational Researcher, </w:t>
      </w:r>
      <w:r w:rsidRPr="20E70BEE">
        <w:rPr>
          <w:rFonts w:ascii="Times New Roman" w:eastAsia="Times New Roman" w:hAnsi="Times New Roman" w:cs="Times New Roman"/>
        </w:rPr>
        <w:t xml:space="preserve">15(2), pp. 4-14. Available at: </w:t>
      </w:r>
      <w:hyperlink r:id="rId27">
        <w:r w:rsidRPr="20E70BEE">
          <w:rPr>
            <w:rStyle w:val="Hyperlink"/>
            <w:rFonts w:ascii="Times New Roman" w:eastAsia="Times New Roman" w:hAnsi="Times New Roman" w:cs="Times New Roman"/>
          </w:rPr>
          <w:t>http://www.jstor.org/stable/1175860?origin=JSTOR-pdf</w:t>
        </w:r>
      </w:hyperlink>
      <w:r w:rsidRPr="20E70BEE">
        <w:rPr>
          <w:rFonts w:ascii="Times New Roman" w:eastAsia="Times New Roman" w:hAnsi="Times New Roman" w:cs="Times New Roman"/>
        </w:rPr>
        <w:t xml:space="preserve"> (Accessed: 10</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4DF51673" w14:textId="77777777" w:rsidR="002E7EDD" w:rsidRDefault="002E7EDD" w:rsidP="20E70BEE">
      <w:pPr>
        <w:pStyle w:val="Heading1"/>
        <w:rPr>
          <w:rFonts w:ascii="Times New Roman" w:eastAsia="Times New Roman" w:hAnsi="Times New Roman" w:cs="Times New Roman"/>
          <w:color w:val="auto"/>
        </w:rPr>
      </w:pPr>
      <w:r w:rsidRPr="20E70BEE">
        <w:rPr>
          <w:rFonts w:ascii="Times New Roman" w:eastAsia="Times New Roman" w:hAnsi="Times New Roman" w:cs="Times New Roman"/>
          <w:color w:val="auto"/>
          <w:sz w:val="22"/>
          <w:szCs w:val="22"/>
        </w:rPr>
        <w:lastRenderedPageBreak/>
        <w:t xml:space="preserve">Smith, C. (2012) </w:t>
      </w:r>
      <w:r w:rsidRPr="20E70BEE">
        <w:rPr>
          <w:rFonts w:ascii="Times New Roman" w:eastAsia="Times New Roman" w:hAnsi="Times New Roman" w:cs="Times New Roman"/>
          <w:i/>
          <w:iCs/>
          <w:color w:val="222222"/>
          <w:sz w:val="22"/>
          <w:szCs w:val="22"/>
        </w:rPr>
        <w:t xml:space="preserve">Choosing How to </w:t>
      </w:r>
      <w:proofErr w:type="gramStart"/>
      <w:r w:rsidRPr="20E70BEE">
        <w:rPr>
          <w:rFonts w:ascii="Times New Roman" w:eastAsia="Times New Roman" w:hAnsi="Times New Roman" w:cs="Times New Roman"/>
          <w:i/>
          <w:iCs/>
          <w:color w:val="222222"/>
          <w:sz w:val="22"/>
          <w:szCs w:val="22"/>
        </w:rPr>
        <w:t>Teach &amp; Teaching</w:t>
      </w:r>
      <w:proofErr w:type="gramEnd"/>
      <w:r w:rsidRPr="20E70BEE">
        <w:rPr>
          <w:rFonts w:ascii="Times New Roman" w:eastAsia="Times New Roman" w:hAnsi="Times New Roman" w:cs="Times New Roman"/>
          <w:i/>
          <w:iCs/>
          <w:color w:val="222222"/>
          <w:sz w:val="22"/>
          <w:szCs w:val="22"/>
        </w:rPr>
        <w:t xml:space="preserve"> How to Choose: Using the 3Cs to Improve Learning: Using the 3Cs to Improve Learning. </w:t>
      </w:r>
      <w:r w:rsidRPr="20E70BEE">
        <w:rPr>
          <w:rFonts w:ascii="Times New Roman" w:eastAsia="Times New Roman" w:hAnsi="Times New Roman" w:cs="Times New Roman"/>
          <w:color w:val="222222"/>
          <w:sz w:val="22"/>
          <w:szCs w:val="22"/>
        </w:rPr>
        <w:t xml:space="preserve">Seattle: Bennett and Hastings Publishing. </w:t>
      </w:r>
    </w:p>
    <w:p w14:paraId="4E6B150A"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Tan, J. P. L. (2017) ‘Educating for twenty-first century competencies and future-ready learners: research perspectives’, </w:t>
      </w:r>
      <w:r w:rsidRPr="20E70BEE">
        <w:rPr>
          <w:rFonts w:ascii="Times New Roman" w:eastAsia="Times New Roman" w:hAnsi="Times New Roman" w:cs="Times New Roman"/>
          <w:i/>
          <w:iCs/>
        </w:rPr>
        <w:t xml:space="preserve">Asia Pacific Journal of Education, </w:t>
      </w:r>
      <w:r w:rsidRPr="20E70BEE">
        <w:rPr>
          <w:rFonts w:ascii="Times New Roman" w:eastAsia="Times New Roman" w:hAnsi="Times New Roman" w:cs="Times New Roman"/>
        </w:rPr>
        <w:t xml:space="preserve">37(4), pp. 425-436. DOI: 10.1080/02188791.2017.14054745. </w:t>
      </w:r>
    </w:p>
    <w:p w14:paraId="7D13039C" w14:textId="77777777" w:rsidR="002E7EDD" w:rsidRDefault="002E7EDD" w:rsidP="7E8C9911">
      <w:proofErr w:type="spellStart"/>
      <w:r w:rsidRPr="7E8C9911">
        <w:rPr>
          <w:rFonts w:ascii="Times New Roman" w:eastAsia="Times New Roman" w:hAnsi="Times New Roman" w:cs="Times New Roman"/>
        </w:rPr>
        <w:t>Tavakoli</w:t>
      </w:r>
      <w:proofErr w:type="spellEnd"/>
      <w:r w:rsidRPr="7E8C9911">
        <w:rPr>
          <w:rFonts w:ascii="Times New Roman" w:eastAsia="Times New Roman" w:hAnsi="Times New Roman" w:cs="Times New Roman"/>
        </w:rPr>
        <w:t xml:space="preserve">, P. and Jones, R. (2018). </w:t>
      </w:r>
      <w:r w:rsidRPr="7E8C9911">
        <w:rPr>
          <w:rFonts w:ascii="Times New Roman" w:eastAsia="Times New Roman" w:hAnsi="Times New Roman" w:cs="Times New Roman"/>
          <w:i/>
          <w:iCs/>
        </w:rPr>
        <w:t>An overview of approaches to second language acquisition and instructional practices.</w:t>
      </w:r>
      <w:r w:rsidRPr="7E8C9911">
        <w:rPr>
          <w:rFonts w:ascii="Times New Roman" w:eastAsia="Times New Roman" w:hAnsi="Times New Roman" w:cs="Times New Roman"/>
        </w:rPr>
        <w:t xml:space="preserve"> Cardiff: Welsh Government. Available at </w:t>
      </w:r>
      <w:hyperlink r:id="rId28">
        <w:r w:rsidRPr="7E8C9911">
          <w:rPr>
            <w:rStyle w:val="Hyperlink"/>
            <w:rFonts w:ascii="Times New Roman" w:eastAsia="Times New Roman" w:hAnsi="Times New Roman" w:cs="Times New Roman"/>
          </w:rPr>
          <w:t>http://gov.wales/statistics-and-research/overview-approaches-second-languageacquisition-instructional-practices/?lang=en</w:t>
        </w:r>
      </w:hyperlink>
      <w:r w:rsidRPr="7E8C9911">
        <w:rPr>
          <w:rFonts w:ascii="Times New Roman" w:eastAsia="Times New Roman" w:hAnsi="Times New Roman" w:cs="Times New Roman"/>
        </w:rPr>
        <w:t xml:space="preserve">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5D7E75DA" w14:textId="77777777" w:rsidR="002E7EDD" w:rsidRDefault="002E7EDD" w:rsidP="20E70BEE">
      <w:pPr>
        <w:rPr>
          <w:rFonts w:ascii="Times New Roman" w:eastAsia="Times New Roman" w:hAnsi="Times New Roman" w:cs="Times New Roman"/>
        </w:rPr>
      </w:pPr>
      <w:proofErr w:type="spellStart"/>
      <w:r w:rsidRPr="20E70BEE">
        <w:rPr>
          <w:rFonts w:ascii="Times New Roman" w:eastAsia="Times New Roman" w:hAnsi="Times New Roman" w:cs="Times New Roman"/>
        </w:rPr>
        <w:t>Toikkanen</w:t>
      </w:r>
      <w:proofErr w:type="spellEnd"/>
      <w:r w:rsidRPr="20E70BEE">
        <w:rPr>
          <w:rFonts w:ascii="Times New Roman" w:eastAsia="Times New Roman" w:hAnsi="Times New Roman" w:cs="Times New Roman"/>
        </w:rPr>
        <w:t xml:space="preserve">, T. (2016) </w:t>
      </w:r>
      <w:r w:rsidRPr="20E70BEE">
        <w:rPr>
          <w:rFonts w:ascii="Times New Roman" w:eastAsia="Times New Roman" w:hAnsi="Times New Roman" w:cs="Times New Roman"/>
          <w:i/>
          <w:iCs/>
        </w:rPr>
        <w:t xml:space="preserve">Focus on Skill Mastery not Knowledge </w:t>
      </w:r>
      <w:proofErr w:type="spellStart"/>
      <w:r w:rsidRPr="20E70BEE">
        <w:rPr>
          <w:rFonts w:ascii="Times New Roman" w:eastAsia="Times New Roman" w:hAnsi="Times New Roman" w:cs="Times New Roman"/>
          <w:i/>
          <w:iCs/>
        </w:rPr>
        <w:t>Acqusiiton</w:t>
      </w:r>
      <w:proofErr w:type="spellEnd"/>
      <w:r w:rsidRPr="20E70BEE">
        <w:rPr>
          <w:rFonts w:ascii="Times New Roman" w:eastAsia="Times New Roman" w:hAnsi="Times New Roman" w:cs="Times New Roman"/>
          <w:i/>
          <w:iCs/>
        </w:rPr>
        <w:t xml:space="preserve">. </w:t>
      </w:r>
      <w:r w:rsidRPr="20E70BEE">
        <w:rPr>
          <w:rFonts w:ascii="Times New Roman" w:eastAsia="Times New Roman" w:hAnsi="Times New Roman" w:cs="Times New Roman"/>
        </w:rPr>
        <w:t xml:space="preserve">Available at: </w:t>
      </w:r>
      <w:hyperlink r:id="rId29">
        <w:r w:rsidRPr="20E70BEE">
          <w:rPr>
            <w:rStyle w:val="Hyperlink"/>
            <w:rFonts w:ascii="Times New Roman" w:eastAsia="Times New Roman" w:hAnsi="Times New Roman" w:cs="Times New Roman"/>
          </w:rPr>
          <w:t>https://medium.com/lifelearn/focus-on-skill-mastery-not-knowledge-acquisition-7b0118baa972</w:t>
        </w:r>
      </w:hyperlink>
      <w:r w:rsidRPr="20E70BEE">
        <w:rPr>
          <w:rFonts w:ascii="Times New Roman" w:eastAsia="Times New Roman" w:hAnsi="Times New Roman" w:cs="Times New Roman"/>
        </w:rPr>
        <w:t xml:space="preserve"> (Accessed: 5</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577C018A" w14:textId="77777777" w:rsidR="002E7EDD" w:rsidRDefault="002E7EDD" w:rsidP="20E70BEE">
      <w:pPr>
        <w:rPr>
          <w:i/>
          <w:iCs/>
        </w:rPr>
      </w:pPr>
      <w:r w:rsidRPr="20E70BEE">
        <w:rPr>
          <w:rFonts w:ascii="Times New Roman" w:eastAsia="Times New Roman" w:hAnsi="Times New Roman" w:cs="Times New Roman"/>
        </w:rPr>
        <w:t xml:space="preserve">Vygotsky, L. (1978) Mind in Society: The Development of Higher Psychological Processes. London: Harvard. </w:t>
      </w:r>
    </w:p>
    <w:p w14:paraId="4B53E0B3" w14:textId="77777777" w:rsidR="002E7EDD" w:rsidRDefault="002E7EDD" w:rsidP="7E8C9911">
      <w:pPr>
        <w:rPr>
          <w:rFonts w:ascii="Times New Roman" w:eastAsia="Times New Roman" w:hAnsi="Times New Roman" w:cs="Times New Roman"/>
        </w:rPr>
      </w:pPr>
      <w:r w:rsidRPr="7E8C9911">
        <w:rPr>
          <w:rFonts w:ascii="Times New Roman" w:eastAsia="Times New Roman" w:hAnsi="Times New Roman" w:cs="Times New Roman"/>
        </w:rPr>
        <w:t xml:space="preserve">Welsh Assembly Government (2002) </w:t>
      </w:r>
      <w:r w:rsidRPr="7E8C9911">
        <w:rPr>
          <w:rFonts w:ascii="Times New Roman" w:eastAsia="Times New Roman" w:hAnsi="Times New Roman" w:cs="Times New Roman"/>
          <w:i/>
          <w:iCs/>
        </w:rPr>
        <w:t xml:space="preserve">OUR LANGUAGE: ITS FUTURE CULTURE COMMITTEE AND EDUCATION AND LIFELONG LEARNING COMMITTEE POLICY REVIEW OF THE WELSH LANGUAGE. </w:t>
      </w:r>
      <w:r w:rsidRPr="7E8C9911">
        <w:rPr>
          <w:rFonts w:ascii="Times New Roman" w:eastAsia="Times New Roman" w:hAnsi="Times New Roman" w:cs="Times New Roman"/>
        </w:rPr>
        <w:t xml:space="preserve">Cardiff: Welsh Assembly Government. Available at: </w:t>
      </w:r>
      <w:hyperlink r:id="rId30">
        <w:r w:rsidRPr="7E8C9911">
          <w:rPr>
            <w:rStyle w:val="Hyperlink"/>
            <w:rFonts w:ascii="Times New Roman" w:eastAsia="Times New Roman" w:hAnsi="Times New Roman" w:cs="Times New Roman"/>
          </w:rPr>
          <w:t>http://www.assembly.wales/Laid%20Documents/Culture%20Committee%20and%20Education%20and%20Lifelong%20Learning%20Committee%20Policy%20Review%20of%20the%20Welsh%20Language%20-%20'Our%20Lang-01072002-24744/bus-GUIDE-N0000000000000000000000000001076-English.pdf</w:t>
        </w:r>
      </w:hyperlink>
      <w:r w:rsidRPr="7E8C9911">
        <w:rPr>
          <w:rFonts w:ascii="Times New Roman" w:eastAsia="Times New Roman" w:hAnsi="Times New Roman" w:cs="Times New Roman"/>
        </w:rPr>
        <w:t xml:space="preserve"> (Accessed: 2</w:t>
      </w:r>
      <w:r w:rsidRPr="7E8C9911">
        <w:rPr>
          <w:rFonts w:ascii="Times New Roman" w:eastAsia="Times New Roman" w:hAnsi="Times New Roman" w:cs="Times New Roman"/>
          <w:vertAlign w:val="superscript"/>
        </w:rPr>
        <w:t>nd</w:t>
      </w:r>
      <w:r w:rsidRPr="7E8C9911">
        <w:rPr>
          <w:rFonts w:ascii="Times New Roman" w:eastAsia="Times New Roman" w:hAnsi="Times New Roman" w:cs="Times New Roman"/>
        </w:rPr>
        <w:t xml:space="preserve"> February 2019). </w:t>
      </w:r>
    </w:p>
    <w:p w14:paraId="6BE01D80" w14:textId="77777777" w:rsidR="002E7EDD" w:rsidRDefault="002E7EDD" w:rsidP="20E70BEE">
      <w:pPr>
        <w:rPr>
          <w:rFonts w:ascii="Times New Roman" w:eastAsia="Times New Roman" w:hAnsi="Times New Roman" w:cs="Times New Roman"/>
        </w:rPr>
      </w:pPr>
      <w:r w:rsidRPr="20E70BEE">
        <w:rPr>
          <w:rFonts w:ascii="Times New Roman" w:eastAsia="Times New Roman" w:hAnsi="Times New Roman" w:cs="Times New Roman"/>
        </w:rPr>
        <w:t xml:space="preserve">Welsh Government (2009) </w:t>
      </w:r>
      <w:r w:rsidRPr="20E70BEE">
        <w:rPr>
          <w:rFonts w:ascii="Times New Roman" w:eastAsia="Times New Roman" w:hAnsi="Times New Roman" w:cs="Times New Roman"/>
          <w:i/>
          <w:iCs/>
        </w:rPr>
        <w:t xml:space="preserve">Education Wales. </w:t>
      </w:r>
      <w:r w:rsidRPr="20E70BEE">
        <w:rPr>
          <w:rFonts w:ascii="Times New Roman" w:eastAsia="Times New Roman" w:hAnsi="Times New Roman" w:cs="Times New Roman"/>
        </w:rPr>
        <w:t xml:space="preserve">Available at: </w:t>
      </w:r>
      <w:hyperlink r:id="rId31">
        <w:r w:rsidRPr="20E70BEE">
          <w:rPr>
            <w:rStyle w:val="Hyperlink"/>
            <w:rFonts w:ascii="Times New Roman" w:eastAsia="Times New Roman" w:hAnsi="Times New Roman" w:cs="Times New Roman"/>
          </w:rPr>
          <w:t>https://www.discoverteaching.wales/media/2761/the-qualified-teacher-status-standards-wales-2009-english.pdf</w:t>
        </w:r>
      </w:hyperlink>
      <w:r w:rsidRPr="20E70BEE">
        <w:rPr>
          <w:rFonts w:ascii="Times New Roman" w:eastAsia="Times New Roman" w:hAnsi="Times New Roman" w:cs="Times New Roman"/>
        </w:rPr>
        <w:t xml:space="preserve"> (Accessed: 10</w:t>
      </w:r>
      <w:r w:rsidRPr="20E70BEE">
        <w:rPr>
          <w:rFonts w:ascii="Times New Roman" w:eastAsia="Times New Roman" w:hAnsi="Times New Roman" w:cs="Times New Roman"/>
          <w:vertAlign w:val="superscript"/>
        </w:rPr>
        <w:t>th</w:t>
      </w:r>
      <w:r w:rsidRPr="20E70BEE">
        <w:rPr>
          <w:rFonts w:ascii="Times New Roman" w:eastAsia="Times New Roman" w:hAnsi="Times New Roman" w:cs="Times New Roman"/>
        </w:rPr>
        <w:t xml:space="preserve"> February 2019). </w:t>
      </w:r>
    </w:p>
    <w:p w14:paraId="0FD8959D" w14:textId="77777777" w:rsidR="002E7EDD" w:rsidRDefault="002E7EDD" w:rsidP="20E70BEE">
      <w:r w:rsidRPr="20E70BEE">
        <w:rPr>
          <w:rFonts w:ascii="Times New Roman" w:eastAsia="Times New Roman" w:hAnsi="Times New Roman" w:cs="Times New Roman"/>
        </w:rPr>
        <w:t xml:space="preserve">World Economic Forum (2016) </w:t>
      </w:r>
      <w:r w:rsidRPr="20E70BEE">
        <w:rPr>
          <w:rFonts w:ascii="Times New Roman" w:eastAsia="Times New Roman" w:hAnsi="Times New Roman" w:cs="Times New Roman"/>
          <w:i/>
          <w:iCs/>
        </w:rPr>
        <w:t xml:space="preserve">New Vision for Education: Fostering Social and Emotional Learning through Technology. </w:t>
      </w:r>
      <w:r w:rsidRPr="20E70BEE">
        <w:rPr>
          <w:rFonts w:ascii="Times New Roman" w:eastAsia="Times New Roman" w:hAnsi="Times New Roman" w:cs="Times New Roman"/>
        </w:rPr>
        <w:t xml:space="preserve">Geneva: World Economic Forum. </w:t>
      </w:r>
    </w:p>
    <w:p w14:paraId="636ACF46" w14:textId="2D62159C" w:rsidR="7E8C9911" w:rsidRDefault="7E8C9911" w:rsidP="7E8C9911">
      <w:pPr>
        <w:rPr>
          <w:rFonts w:ascii="Times New Roman" w:eastAsia="Times New Roman" w:hAnsi="Times New Roman" w:cs="Times New Roman"/>
        </w:rPr>
      </w:pPr>
    </w:p>
    <w:p w14:paraId="6E3C3FF8" w14:textId="673259DF" w:rsidR="7E8C9911" w:rsidRDefault="7E8C9911" w:rsidP="7E8C9911">
      <w:pPr>
        <w:rPr>
          <w:rFonts w:ascii="Times New Roman" w:eastAsia="Times New Roman" w:hAnsi="Times New Roman" w:cs="Times New Roman"/>
        </w:rPr>
      </w:pPr>
    </w:p>
    <w:p w14:paraId="2FD708FF" w14:textId="460405E8" w:rsidR="7E8C9911" w:rsidRDefault="7E8C9911" w:rsidP="7E8C9911">
      <w:pPr>
        <w:rPr>
          <w:rFonts w:ascii="Times New Roman" w:eastAsia="Times New Roman" w:hAnsi="Times New Roman" w:cs="Times New Roman"/>
        </w:rPr>
      </w:pPr>
    </w:p>
    <w:p w14:paraId="569F0F25" w14:textId="2E3F4E02" w:rsidR="7E8C9911" w:rsidRDefault="7E8C9911" w:rsidP="7E8C9911">
      <w:pPr>
        <w:rPr>
          <w:rFonts w:ascii="Times New Roman" w:eastAsia="Times New Roman" w:hAnsi="Times New Roman" w:cs="Times New Roman"/>
        </w:rPr>
      </w:pPr>
    </w:p>
    <w:p w14:paraId="08F3A24F" w14:textId="3B2FE396" w:rsidR="7E8C9911" w:rsidRDefault="7E8C9911" w:rsidP="7E8C9911">
      <w:pPr>
        <w:rPr>
          <w:rFonts w:ascii="Times New Roman" w:eastAsia="Times New Roman" w:hAnsi="Times New Roman" w:cs="Times New Roman"/>
          <w:color w:val="373A3C"/>
        </w:rPr>
      </w:pPr>
    </w:p>
    <w:p w14:paraId="4A4571F1" w14:textId="6FDF81B7" w:rsidR="7E8C9911" w:rsidRDefault="7E8C9911" w:rsidP="7E8C9911">
      <w:pPr>
        <w:rPr>
          <w:rFonts w:ascii="Times New Roman" w:eastAsia="Times New Roman" w:hAnsi="Times New Roman" w:cs="Times New Roman"/>
          <w:color w:val="373A3C"/>
        </w:rPr>
      </w:pPr>
    </w:p>
    <w:sectPr w:rsidR="7E8C9911">
      <w:head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D3AC6" w14:textId="77777777" w:rsidR="007F3468" w:rsidRDefault="007F3468" w:rsidP="00EE34D6">
      <w:pPr>
        <w:spacing w:after="0" w:line="240" w:lineRule="auto"/>
      </w:pPr>
      <w:r>
        <w:separator/>
      </w:r>
    </w:p>
  </w:endnote>
  <w:endnote w:type="continuationSeparator" w:id="0">
    <w:p w14:paraId="39BCEFDB" w14:textId="77777777" w:rsidR="007F3468" w:rsidRDefault="007F3468" w:rsidP="00EE3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9E9A9" w14:textId="77777777" w:rsidR="007F3468" w:rsidRDefault="007F3468" w:rsidP="00EE34D6">
      <w:pPr>
        <w:spacing w:after="0" w:line="240" w:lineRule="auto"/>
      </w:pPr>
      <w:r>
        <w:separator/>
      </w:r>
    </w:p>
  </w:footnote>
  <w:footnote w:type="continuationSeparator" w:id="0">
    <w:p w14:paraId="7E6F5587" w14:textId="77777777" w:rsidR="007F3468" w:rsidRDefault="007F3468" w:rsidP="00EE34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7926063"/>
      <w:docPartObj>
        <w:docPartGallery w:val="Page Numbers (Top of Page)"/>
        <w:docPartUnique/>
      </w:docPartObj>
    </w:sdtPr>
    <w:sdtEndPr>
      <w:rPr>
        <w:noProof/>
      </w:rPr>
    </w:sdtEndPr>
    <w:sdtContent>
      <w:p w14:paraId="0F19E293" w14:textId="3726A449" w:rsidR="00EE34D6" w:rsidRDefault="00EE34D6">
        <w:pPr>
          <w:pStyle w:val="Header"/>
        </w:pPr>
        <w:r>
          <w:fldChar w:fldCharType="begin"/>
        </w:r>
        <w:r>
          <w:instrText xml:space="preserve"> PAGE   \* MERGEFORMAT </w:instrText>
        </w:r>
        <w:r>
          <w:fldChar w:fldCharType="separate"/>
        </w:r>
        <w:r>
          <w:rPr>
            <w:noProof/>
          </w:rPr>
          <w:t>2</w:t>
        </w:r>
        <w:r>
          <w:rPr>
            <w:noProof/>
          </w:rPr>
          <w:fldChar w:fldCharType="end"/>
        </w:r>
      </w:p>
    </w:sdtContent>
  </w:sdt>
  <w:p w14:paraId="59943F3E" w14:textId="77777777" w:rsidR="00EE34D6" w:rsidRDefault="00EE34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463E6"/>
    <w:multiLevelType w:val="hybridMultilevel"/>
    <w:tmpl w:val="8392F88A"/>
    <w:lvl w:ilvl="0" w:tplc="731A4528">
      <w:start w:val="1"/>
      <w:numFmt w:val="bullet"/>
      <w:lvlText w:val=""/>
      <w:lvlJc w:val="left"/>
      <w:pPr>
        <w:ind w:left="720" w:hanging="360"/>
      </w:pPr>
      <w:rPr>
        <w:rFonts w:ascii="Symbol" w:hAnsi="Symbol" w:hint="default"/>
      </w:rPr>
    </w:lvl>
    <w:lvl w:ilvl="1" w:tplc="9274E51E">
      <w:start w:val="1"/>
      <w:numFmt w:val="bullet"/>
      <w:lvlText w:val="o"/>
      <w:lvlJc w:val="left"/>
      <w:pPr>
        <w:ind w:left="1440" w:hanging="360"/>
      </w:pPr>
      <w:rPr>
        <w:rFonts w:ascii="Courier New" w:hAnsi="Courier New" w:hint="default"/>
      </w:rPr>
    </w:lvl>
    <w:lvl w:ilvl="2" w:tplc="5AB8B1F8">
      <w:start w:val="1"/>
      <w:numFmt w:val="bullet"/>
      <w:lvlText w:val=""/>
      <w:lvlJc w:val="left"/>
      <w:pPr>
        <w:ind w:left="2160" w:hanging="360"/>
      </w:pPr>
      <w:rPr>
        <w:rFonts w:ascii="Wingdings" w:hAnsi="Wingdings" w:hint="default"/>
      </w:rPr>
    </w:lvl>
    <w:lvl w:ilvl="3" w:tplc="F0B2A53C">
      <w:start w:val="1"/>
      <w:numFmt w:val="bullet"/>
      <w:lvlText w:val=""/>
      <w:lvlJc w:val="left"/>
      <w:pPr>
        <w:ind w:left="2880" w:hanging="360"/>
      </w:pPr>
      <w:rPr>
        <w:rFonts w:ascii="Symbol" w:hAnsi="Symbol" w:hint="default"/>
      </w:rPr>
    </w:lvl>
    <w:lvl w:ilvl="4" w:tplc="8BF498F2">
      <w:start w:val="1"/>
      <w:numFmt w:val="bullet"/>
      <w:lvlText w:val="o"/>
      <w:lvlJc w:val="left"/>
      <w:pPr>
        <w:ind w:left="3600" w:hanging="360"/>
      </w:pPr>
      <w:rPr>
        <w:rFonts w:ascii="Courier New" w:hAnsi="Courier New" w:hint="default"/>
      </w:rPr>
    </w:lvl>
    <w:lvl w:ilvl="5" w:tplc="1C6A5758">
      <w:start w:val="1"/>
      <w:numFmt w:val="bullet"/>
      <w:lvlText w:val=""/>
      <w:lvlJc w:val="left"/>
      <w:pPr>
        <w:ind w:left="4320" w:hanging="360"/>
      </w:pPr>
      <w:rPr>
        <w:rFonts w:ascii="Wingdings" w:hAnsi="Wingdings" w:hint="default"/>
      </w:rPr>
    </w:lvl>
    <w:lvl w:ilvl="6" w:tplc="4322E3F8">
      <w:start w:val="1"/>
      <w:numFmt w:val="bullet"/>
      <w:lvlText w:val=""/>
      <w:lvlJc w:val="left"/>
      <w:pPr>
        <w:ind w:left="5040" w:hanging="360"/>
      </w:pPr>
      <w:rPr>
        <w:rFonts w:ascii="Symbol" w:hAnsi="Symbol" w:hint="default"/>
      </w:rPr>
    </w:lvl>
    <w:lvl w:ilvl="7" w:tplc="1F50BF1E">
      <w:start w:val="1"/>
      <w:numFmt w:val="bullet"/>
      <w:lvlText w:val="o"/>
      <w:lvlJc w:val="left"/>
      <w:pPr>
        <w:ind w:left="5760" w:hanging="360"/>
      </w:pPr>
      <w:rPr>
        <w:rFonts w:ascii="Courier New" w:hAnsi="Courier New" w:hint="default"/>
      </w:rPr>
    </w:lvl>
    <w:lvl w:ilvl="8" w:tplc="5614B64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B5447F"/>
    <w:rsid w:val="002E02D8"/>
    <w:rsid w:val="002E7EDD"/>
    <w:rsid w:val="00527623"/>
    <w:rsid w:val="007F3468"/>
    <w:rsid w:val="00C40AFF"/>
    <w:rsid w:val="00EE34D6"/>
    <w:rsid w:val="0FB5447F"/>
    <w:rsid w:val="20E70BEE"/>
    <w:rsid w:val="57EF1514"/>
    <w:rsid w:val="7E8C9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5447F"/>
  <w15:chartTrackingRefBased/>
  <w15:docId w15:val="{018AD017-8DB9-4597-A148-51B50AB4B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3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4D6"/>
  </w:style>
  <w:style w:type="paragraph" w:styleId="Footer">
    <w:name w:val="footer"/>
    <w:basedOn w:val="Normal"/>
    <w:link w:val="FooterChar"/>
    <w:uiPriority w:val="99"/>
    <w:unhideWhenUsed/>
    <w:rsid w:val="00EE3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jser.org/researchpaper/The-Goals-of-Language-Teaching.pdf" TargetMode="External"/><Relationship Id="rId13" Type="http://schemas.openxmlformats.org/officeDocument/2006/relationships/hyperlink" Target="https://cymdeithas.cymru/news/abolish-second-language-welsh-education" TargetMode="External"/><Relationship Id="rId18" Type="http://schemas.openxmlformats.org/officeDocument/2006/relationships/hyperlink" Target="https://dera.ioe.ac.uk/5629/1/WelshSecondLanguage.pdf" TargetMode="External"/><Relationship Id="rId26" Type="http://schemas.openxmlformats.org/officeDocument/2006/relationships/hyperlink" Target="https://www.telegraph.co.uk/education/primaryeducation/9677976/Primary-school-children-punished-for-not-speaking-Welsh.html" TargetMode="External"/><Relationship Id="rId3" Type="http://schemas.openxmlformats.org/officeDocument/2006/relationships/settings" Target="settings.xml"/><Relationship Id="rId21" Type="http://schemas.openxmlformats.org/officeDocument/2006/relationships/hyperlink" Target="https://www.iwa.wales/click/2013/04/not-enough-welsh-speaking-teachers/" TargetMode="External"/><Relationship Id="rId34" Type="http://schemas.openxmlformats.org/officeDocument/2006/relationships/theme" Target="theme/theme1.xml"/><Relationship Id="rId7" Type="http://schemas.openxmlformats.org/officeDocument/2006/relationships/hyperlink" Target="https://www.rainbowrehab.com/executive-functioning/" TargetMode="External"/><Relationship Id="rId12" Type="http://schemas.openxmlformats.org/officeDocument/2006/relationships/hyperlink" Target="http://www.assembly.wales/laid%20documents/cr-ld11046/cr-ld11046-e.pdf" TargetMode="External"/><Relationship Id="rId17" Type="http://schemas.openxmlformats.org/officeDocument/2006/relationships/hyperlink" Target="https://www.ef.co.uk/epi/regions/asia/philippines/" TargetMode="External"/><Relationship Id="rId25" Type="http://schemas.openxmlformats.org/officeDocument/2006/relationships/hyperlink" Target="https://academic.oup.com/applij/article/15/1/36/150059"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gif"/><Relationship Id="rId20" Type="http://schemas.openxmlformats.org/officeDocument/2006/relationships/hyperlink" Target="https://ejournals.ph/article.php?id=8970" TargetMode="External"/><Relationship Id="rId29" Type="http://schemas.openxmlformats.org/officeDocument/2006/relationships/hyperlink" Target="https://medium.com/lifelearn/focus-on-skill-mastery-not-knowledge-acquisition-7b0118baa9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218-010-9118-y" TargetMode="External"/><Relationship Id="rId24" Type="http://schemas.openxmlformats.org/officeDocument/2006/relationships/hyperlink" Target="http://www.senedd.assembly.wales/documents/s79210/Research%20brief.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earning.gov.wales/docs/learningwales/publications/150707-welsh-second-language-en-v2.pdf" TargetMode="External"/><Relationship Id="rId23" Type="http://schemas.openxmlformats.org/officeDocument/2006/relationships/hyperlink" Target="https://www.ons.gov.uk/peoplepopulationandcommunity/populationandmigration/populationestimates/bulletins/2011censuskeystatisticsforwales/2012-12-11" TargetMode="External"/><Relationship Id="rId28" Type="http://schemas.openxmlformats.org/officeDocument/2006/relationships/hyperlink" Target="http://gov.wales/statistics-and-research/overview-approaches-second-languageacquisition-instructional-practices/?lang=en" TargetMode="External"/><Relationship Id="rId10" Type="http://schemas.openxmlformats.org/officeDocument/2006/relationships/hyperlink" Target="https://doi.org/10.1016/j.appdev.2010.03.003" TargetMode="External"/><Relationship Id="rId19" Type="http://schemas.openxmlformats.org/officeDocument/2006/relationships/hyperlink" Target="https://www.estyn.gov.wales/sites/default/files/documents/Welsh%20Language%20Development%20in%20the%20Foundation%20Phase%20-%20January%202013.pdf" TargetMode="External"/><Relationship Id="rId31" Type="http://schemas.openxmlformats.org/officeDocument/2006/relationships/hyperlink" Target="https://www.discoverteaching.wales/media/2761/the-qualified-teacher-status-standards-wales-2009-english.pdf" TargetMode="External"/><Relationship Id="rId4" Type="http://schemas.openxmlformats.org/officeDocument/2006/relationships/webSettings" Target="webSettings.xml"/><Relationship Id="rId9" Type="http://schemas.openxmlformats.org/officeDocument/2006/relationships/hyperlink" Target="https://doi.org/10.1016/j.paid.2010.07.036" TargetMode="External"/><Relationship Id="rId14" Type="http://schemas.openxmlformats.org/officeDocument/2006/relationships/hyperlink" Target="https://beta.gov.wales/sites/default/files/publications/2018-05/review-of-welsh-second-language-at-key-stages-3-and-4.pdf" TargetMode="External"/><Relationship Id="rId22" Type="http://schemas.openxmlformats.org/officeDocument/2006/relationships/hyperlink" Target="https://link.springer.com/journal/13423" TargetMode="External"/><Relationship Id="rId27" Type="http://schemas.openxmlformats.org/officeDocument/2006/relationships/hyperlink" Target="http://www.jstor.org/stable/1175860?origin=JSTOR-pdf" TargetMode="External"/><Relationship Id="rId30" Type="http://schemas.openxmlformats.org/officeDocument/2006/relationships/hyperlink" Target="http://www.assembly.wales/Laid%20Documents/Culture%20Committee%20and%20Education%20and%20Lifelong%20Learning%20Committee%20Policy%20Review%20of%20the%20Welsh%20Language%20-%20'Our%20Lang-01072002-24744/bus-GUIDE-N0000000000000000000000000001076-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3873</Words>
  <Characters>22082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2</cp:revision>
  <dcterms:created xsi:type="dcterms:W3CDTF">2019-02-11T23:53:00Z</dcterms:created>
  <dcterms:modified xsi:type="dcterms:W3CDTF">2019-02-11T23:53:00Z</dcterms:modified>
</cp:coreProperties>
</file>