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7952" w:type="dxa"/>
        <w:tblInd w:w="-1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7"/>
        <w:gridCol w:w="3615"/>
        <w:gridCol w:w="2040"/>
      </w:tblGrid>
      <w:tr w:rsidR="00582BDE" w:rsidRPr="0002193E" w14:paraId="1B8C1BFF" w14:textId="77777777" w:rsidTr="00582BDE">
        <w:trPr>
          <w:gridAfter w:val="1"/>
          <w:wAfter w:w="2040" w:type="dxa"/>
          <w:trHeight w:val="496"/>
        </w:trPr>
        <w:tc>
          <w:tcPr>
            <w:tcW w:w="2297" w:type="dxa"/>
          </w:tcPr>
          <w:p w14:paraId="03845660" w14:textId="77777777" w:rsidR="00582BDE" w:rsidRPr="0002193E" w:rsidRDefault="00582BDE" w:rsidP="0002193E">
            <w:pPr>
              <w:spacing w:before="120" w:after="120" w:line="360" w:lineRule="auto"/>
              <w:jc w:val="both"/>
              <w:rPr>
                <w:rFonts w:cstheme="minorHAnsi"/>
                <w:b/>
                <w:sz w:val="22"/>
                <w:szCs w:val="22"/>
              </w:rPr>
            </w:pPr>
            <w:r w:rsidRPr="0002193E">
              <w:rPr>
                <w:rFonts w:cstheme="minorHAnsi"/>
                <w:b/>
                <w:sz w:val="22"/>
                <w:szCs w:val="22"/>
              </w:rPr>
              <w:t>Student name:</w:t>
            </w:r>
          </w:p>
        </w:tc>
        <w:tc>
          <w:tcPr>
            <w:tcW w:w="3615" w:type="dxa"/>
          </w:tcPr>
          <w:p w14:paraId="06F26151" w14:textId="22EFCE70" w:rsidR="00582BDE" w:rsidRPr="0002193E" w:rsidRDefault="00582BDE" w:rsidP="0002193E">
            <w:pPr>
              <w:spacing w:before="120" w:after="120" w:line="360" w:lineRule="auto"/>
              <w:jc w:val="both"/>
              <w:rPr>
                <w:rFonts w:cstheme="minorHAnsi"/>
                <w:b/>
                <w:sz w:val="22"/>
                <w:szCs w:val="22"/>
              </w:rPr>
            </w:pPr>
            <w:r w:rsidRPr="0002193E">
              <w:rPr>
                <w:rFonts w:cstheme="minorHAnsi"/>
                <w:b/>
                <w:sz w:val="22"/>
                <w:szCs w:val="22"/>
              </w:rPr>
              <w:t>Desislava Markova</w:t>
            </w:r>
          </w:p>
        </w:tc>
      </w:tr>
      <w:tr w:rsidR="00582BDE" w:rsidRPr="0002193E" w14:paraId="76E1E2AC" w14:textId="77777777" w:rsidTr="00582BDE">
        <w:trPr>
          <w:gridAfter w:val="1"/>
          <w:wAfter w:w="2040" w:type="dxa"/>
          <w:trHeight w:val="505"/>
        </w:trPr>
        <w:tc>
          <w:tcPr>
            <w:tcW w:w="2297" w:type="dxa"/>
          </w:tcPr>
          <w:p w14:paraId="6C5049AB" w14:textId="0B929256" w:rsidR="00582BDE" w:rsidRPr="0002193E" w:rsidRDefault="00582BDE" w:rsidP="0002193E">
            <w:pPr>
              <w:spacing w:before="120" w:after="120" w:line="360" w:lineRule="auto"/>
              <w:jc w:val="both"/>
              <w:rPr>
                <w:rFonts w:cstheme="minorHAnsi"/>
                <w:b/>
                <w:sz w:val="22"/>
                <w:szCs w:val="22"/>
              </w:rPr>
            </w:pPr>
            <w:r w:rsidRPr="0002193E">
              <w:rPr>
                <w:rFonts w:cstheme="minorHAnsi"/>
                <w:b/>
                <w:sz w:val="22"/>
                <w:szCs w:val="22"/>
              </w:rPr>
              <w:t>Student number:</w:t>
            </w:r>
          </w:p>
        </w:tc>
        <w:tc>
          <w:tcPr>
            <w:tcW w:w="3615" w:type="dxa"/>
          </w:tcPr>
          <w:p w14:paraId="5F27046E" w14:textId="205C96A9" w:rsidR="00582BDE" w:rsidRPr="0002193E" w:rsidRDefault="00582BDE" w:rsidP="0002193E">
            <w:pPr>
              <w:spacing w:before="120" w:after="120" w:line="360" w:lineRule="auto"/>
              <w:jc w:val="both"/>
              <w:rPr>
                <w:rFonts w:cstheme="minorHAnsi"/>
                <w:b/>
                <w:sz w:val="22"/>
                <w:szCs w:val="22"/>
              </w:rPr>
            </w:pPr>
            <w:r w:rsidRPr="0002193E">
              <w:rPr>
                <w:rFonts w:cstheme="minorHAnsi"/>
                <w:b/>
                <w:sz w:val="22"/>
                <w:szCs w:val="22"/>
              </w:rPr>
              <w:t>2512936</w:t>
            </w:r>
          </w:p>
        </w:tc>
      </w:tr>
      <w:tr w:rsidR="00582BDE" w:rsidRPr="0002193E" w14:paraId="6F0CED02" w14:textId="77777777" w:rsidTr="00582BDE">
        <w:trPr>
          <w:trHeight w:val="496"/>
        </w:trPr>
        <w:tc>
          <w:tcPr>
            <w:tcW w:w="2297" w:type="dxa"/>
          </w:tcPr>
          <w:p w14:paraId="691AC89F" w14:textId="77777777" w:rsidR="00582BDE" w:rsidRPr="0002193E" w:rsidRDefault="00582BDE" w:rsidP="0002193E">
            <w:pPr>
              <w:spacing w:before="120" w:after="120" w:line="360" w:lineRule="auto"/>
              <w:jc w:val="both"/>
              <w:rPr>
                <w:rFonts w:cstheme="minorHAnsi"/>
                <w:b/>
                <w:sz w:val="22"/>
                <w:szCs w:val="22"/>
              </w:rPr>
            </w:pPr>
            <w:proofErr w:type="spellStart"/>
            <w:r w:rsidRPr="0002193E">
              <w:rPr>
                <w:rFonts w:cstheme="minorHAnsi"/>
                <w:b/>
                <w:sz w:val="22"/>
                <w:szCs w:val="22"/>
              </w:rPr>
              <w:t>Programme</w:t>
            </w:r>
            <w:proofErr w:type="spellEnd"/>
            <w:r w:rsidRPr="0002193E">
              <w:rPr>
                <w:rFonts w:cstheme="minorHAnsi"/>
                <w:b/>
                <w:sz w:val="22"/>
                <w:szCs w:val="22"/>
              </w:rPr>
              <w:t>:</w:t>
            </w:r>
          </w:p>
        </w:tc>
        <w:tc>
          <w:tcPr>
            <w:tcW w:w="5655" w:type="dxa"/>
            <w:gridSpan w:val="2"/>
          </w:tcPr>
          <w:p w14:paraId="438F6470" w14:textId="77777777" w:rsidR="00582BDE" w:rsidRPr="0002193E" w:rsidRDefault="00582BDE" w:rsidP="0002193E">
            <w:pPr>
              <w:spacing w:before="120" w:after="120" w:line="360" w:lineRule="auto"/>
              <w:jc w:val="both"/>
              <w:rPr>
                <w:rFonts w:cstheme="minorHAnsi"/>
                <w:b/>
                <w:sz w:val="22"/>
                <w:szCs w:val="22"/>
              </w:rPr>
            </w:pPr>
            <w:r w:rsidRPr="0002193E">
              <w:rPr>
                <w:rFonts w:cstheme="minorHAnsi"/>
                <w:b/>
                <w:bCs/>
                <w:sz w:val="22"/>
                <w:szCs w:val="22"/>
              </w:rPr>
              <w:t>MSc Public Health and Social Care in Practice </w:t>
            </w:r>
            <w:r w:rsidRPr="0002193E">
              <w:rPr>
                <w:rFonts w:cstheme="minorHAnsi"/>
                <w:b/>
                <w:sz w:val="22"/>
                <w:szCs w:val="22"/>
              </w:rPr>
              <w:t> </w:t>
            </w:r>
          </w:p>
        </w:tc>
      </w:tr>
      <w:tr w:rsidR="00582BDE" w:rsidRPr="0002193E" w14:paraId="04739A5C" w14:textId="77777777" w:rsidTr="00582BDE">
        <w:trPr>
          <w:trHeight w:val="505"/>
        </w:trPr>
        <w:tc>
          <w:tcPr>
            <w:tcW w:w="2297" w:type="dxa"/>
          </w:tcPr>
          <w:p w14:paraId="5DED5B23" w14:textId="77777777" w:rsidR="00582BDE" w:rsidRPr="0002193E" w:rsidRDefault="00582BDE" w:rsidP="0002193E">
            <w:pPr>
              <w:spacing w:before="120" w:after="120" w:line="360" w:lineRule="auto"/>
              <w:jc w:val="both"/>
              <w:rPr>
                <w:rFonts w:cstheme="minorHAnsi"/>
                <w:b/>
                <w:sz w:val="22"/>
                <w:szCs w:val="22"/>
              </w:rPr>
            </w:pPr>
            <w:r w:rsidRPr="0002193E">
              <w:rPr>
                <w:rFonts w:cstheme="minorHAnsi"/>
                <w:b/>
                <w:sz w:val="22"/>
                <w:szCs w:val="22"/>
              </w:rPr>
              <w:t>Module:</w:t>
            </w:r>
          </w:p>
        </w:tc>
        <w:tc>
          <w:tcPr>
            <w:tcW w:w="5655" w:type="dxa"/>
            <w:gridSpan w:val="2"/>
          </w:tcPr>
          <w:p w14:paraId="75CE3FD4" w14:textId="77777777" w:rsidR="00582BDE" w:rsidRPr="0002193E" w:rsidRDefault="00582BDE" w:rsidP="0002193E">
            <w:pPr>
              <w:spacing w:before="120" w:after="120" w:line="360" w:lineRule="auto"/>
              <w:jc w:val="both"/>
              <w:rPr>
                <w:rFonts w:cstheme="minorHAnsi"/>
                <w:b/>
                <w:sz w:val="22"/>
                <w:szCs w:val="22"/>
              </w:rPr>
            </w:pPr>
            <w:r w:rsidRPr="0002193E">
              <w:rPr>
                <w:rFonts w:cstheme="minorHAnsi"/>
                <w:b/>
                <w:bCs/>
                <w:sz w:val="22"/>
                <w:szCs w:val="22"/>
              </w:rPr>
              <w:t>Practice-Based Research </w:t>
            </w:r>
            <w:r w:rsidRPr="0002193E">
              <w:rPr>
                <w:rFonts w:cstheme="minorHAnsi"/>
                <w:b/>
                <w:sz w:val="22"/>
                <w:szCs w:val="22"/>
              </w:rPr>
              <w:t> </w:t>
            </w:r>
          </w:p>
        </w:tc>
      </w:tr>
      <w:tr w:rsidR="00582BDE" w:rsidRPr="0002193E" w14:paraId="086A22F8" w14:textId="77777777" w:rsidTr="00582BDE">
        <w:trPr>
          <w:gridAfter w:val="1"/>
          <w:wAfter w:w="2040" w:type="dxa"/>
          <w:trHeight w:val="496"/>
        </w:trPr>
        <w:tc>
          <w:tcPr>
            <w:tcW w:w="2297" w:type="dxa"/>
          </w:tcPr>
          <w:p w14:paraId="61F57617" w14:textId="77777777" w:rsidR="00582BDE" w:rsidRPr="0002193E" w:rsidRDefault="00582BDE" w:rsidP="0002193E">
            <w:pPr>
              <w:spacing w:before="120" w:after="120" w:line="360" w:lineRule="auto"/>
              <w:jc w:val="both"/>
              <w:rPr>
                <w:rFonts w:cstheme="minorHAnsi"/>
                <w:b/>
                <w:sz w:val="22"/>
                <w:szCs w:val="22"/>
              </w:rPr>
            </w:pPr>
            <w:r w:rsidRPr="0002193E">
              <w:rPr>
                <w:rFonts w:cstheme="minorHAnsi"/>
                <w:b/>
                <w:sz w:val="22"/>
                <w:szCs w:val="22"/>
              </w:rPr>
              <w:t>Module code:</w:t>
            </w:r>
          </w:p>
        </w:tc>
        <w:tc>
          <w:tcPr>
            <w:tcW w:w="3615" w:type="dxa"/>
          </w:tcPr>
          <w:p w14:paraId="20C032D0" w14:textId="77777777" w:rsidR="00582BDE" w:rsidRPr="0002193E" w:rsidRDefault="00582BDE" w:rsidP="0002193E">
            <w:pPr>
              <w:spacing w:before="120" w:after="120" w:line="360" w:lineRule="auto"/>
              <w:jc w:val="both"/>
              <w:rPr>
                <w:rFonts w:cstheme="minorHAnsi"/>
                <w:b/>
                <w:sz w:val="22"/>
                <w:szCs w:val="22"/>
              </w:rPr>
            </w:pPr>
            <w:r w:rsidRPr="0002193E">
              <w:rPr>
                <w:rFonts w:cstheme="minorHAnsi"/>
                <w:b/>
                <w:bCs/>
                <w:sz w:val="22"/>
                <w:szCs w:val="22"/>
              </w:rPr>
              <w:t>LCHS7008</w:t>
            </w:r>
            <w:r w:rsidRPr="0002193E">
              <w:rPr>
                <w:rFonts w:cstheme="minorHAnsi"/>
                <w:b/>
                <w:sz w:val="22"/>
                <w:szCs w:val="22"/>
              </w:rPr>
              <w:t> </w:t>
            </w:r>
          </w:p>
        </w:tc>
      </w:tr>
      <w:tr w:rsidR="00582BDE" w:rsidRPr="0002193E" w14:paraId="37B19F07" w14:textId="77777777" w:rsidTr="00582BDE">
        <w:trPr>
          <w:gridAfter w:val="1"/>
          <w:wAfter w:w="2040" w:type="dxa"/>
          <w:trHeight w:val="496"/>
        </w:trPr>
        <w:tc>
          <w:tcPr>
            <w:tcW w:w="2297" w:type="dxa"/>
          </w:tcPr>
          <w:p w14:paraId="6ACC298E" w14:textId="77777777" w:rsidR="00582BDE" w:rsidRPr="0002193E" w:rsidRDefault="00582BDE" w:rsidP="0002193E">
            <w:pPr>
              <w:spacing w:before="120" w:after="120" w:line="360" w:lineRule="auto"/>
              <w:jc w:val="both"/>
              <w:rPr>
                <w:rFonts w:cstheme="minorHAnsi"/>
                <w:b/>
                <w:sz w:val="22"/>
                <w:szCs w:val="22"/>
              </w:rPr>
            </w:pPr>
            <w:r w:rsidRPr="0002193E">
              <w:rPr>
                <w:rFonts w:cstheme="minorHAnsi"/>
                <w:b/>
                <w:sz w:val="22"/>
                <w:szCs w:val="22"/>
              </w:rPr>
              <w:t>Lecturer:</w:t>
            </w:r>
          </w:p>
        </w:tc>
        <w:tc>
          <w:tcPr>
            <w:tcW w:w="3615" w:type="dxa"/>
          </w:tcPr>
          <w:p w14:paraId="356325E5" w14:textId="77777777" w:rsidR="00582BDE" w:rsidRPr="0002193E" w:rsidRDefault="00582BDE" w:rsidP="0002193E">
            <w:pPr>
              <w:spacing w:before="120" w:after="120" w:line="360" w:lineRule="auto"/>
              <w:jc w:val="both"/>
              <w:rPr>
                <w:rFonts w:cstheme="minorHAnsi"/>
                <w:b/>
                <w:bCs/>
                <w:sz w:val="22"/>
                <w:szCs w:val="22"/>
              </w:rPr>
            </w:pPr>
            <w:r w:rsidRPr="0002193E">
              <w:rPr>
                <w:rFonts w:cstheme="minorHAnsi"/>
                <w:b/>
                <w:bCs/>
                <w:sz w:val="22"/>
                <w:szCs w:val="22"/>
              </w:rPr>
              <w:t>Dr Zeno Leung</w:t>
            </w:r>
          </w:p>
        </w:tc>
      </w:tr>
      <w:tr w:rsidR="00582BDE" w:rsidRPr="0002193E" w14:paraId="40C9BCAB" w14:textId="77777777" w:rsidTr="00582BDE">
        <w:trPr>
          <w:gridAfter w:val="1"/>
          <w:wAfter w:w="2040" w:type="dxa"/>
          <w:trHeight w:val="1282"/>
        </w:trPr>
        <w:tc>
          <w:tcPr>
            <w:tcW w:w="2297" w:type="dxa"/>
          </w:tcPr>
          <w:p w14:paraId="342EAB68" w14:textId="77777777" w:rsidR="00582BDE" w:rsidRPr="0002193E" w:rsidRDefault="00582BDE" w:rsidP="0002193E">
            <w:pPr>
              <w:spacing w:before="120" w:after="120" w:line="360" w:lineRule="auto"/>
              <w:jc w:val="both"/>
              <w:rPr>
                <w:rFonts w:cstheme="minorHAnsi"/>
                <w:b/>
                <w:sz w:val="22"/>
                <w:szCs w:val="22"/>
              </w:rPr>
            </w:pPr>
            <w:r w:rsidRPr="0002193E">
              <w:rPr>
                <w:rFonts w:cstheme="minorHAnsi"/>
                <w:b/>
                <w:sz w:val="22"/>
                <w:szCs w:val="22"/>
              </w:rPr>
              <w:t>Assignment Title:</w:t>
            </w:r>
          </w:p>
        </w:tc>
        <w:tc>
          <w:tcPr>
            <w:tcW w:w="3615" w:type="dxa"/>
          </w:tcPr>
          <w:p w14:paraId="7D7282C7" w14:textId="77777777" w:rsidR="00582BDE" w:rsidRPr="0002193E" w:rsidRDefault="00582BDE" w:rsidP="0002193E">
            <w:pPr>
              <w:spacing w:before="120" w:after="120" w:line="360" w:lineRule="auto"/>
              <w:jc w:val="both"/>
              <w:rPr>
                <w:rFonts w:cstheme="minorHAnsi"/>
                <w:b/>
                <w:sz w:val="22"/>
                <w:szCs w:val="22"/>
              </w:rPr>
            </w:pPr>
            <w:r w:rsidRPr="0002193E">
              <w:rPr>
                <w:rFonts w:cstheme="minorHAnsi"/>
                <w:b/>
                <w:bCs/>
                <w:sz w:val="22"/>
                <w:szCs w:val="22"/>
              </w:rPr>
              <w:t>Component 2</w:t>
            </w:r>
            <w:r w:rsidRPr="0002193E">
              <w:rPr>
                <w:rFonts w:cstheme="minorHAnsi"/>
                <w:b/>
                <w:sz w:val="22"/>
                <w:szCs w:val="22"/>
              </w:rPr>
              <w:t> </w:t>
            </w:r>
          </w:p>
          <w:p w14:paraId="2D100FDE" w14:textId="77777777" w:rsidR="00582BDE" w:rsidRPr="0002193E" w:rsidRDefault="00582BDE" w:rsidP="0002193E">
            <w:pPr>
              <w:spacing w:before="120" w:after="120" w:line="360" w:lineRule="auto"/>
              <w:jc w:val="both"/>
              <w:rPr>
                <w:rFonts w:cstheme="minorHAnsi"/>
                <w:b/>
                <w:sz w:val="22"/>
                <w:szCs w:val="22"/>
              </w:rPr>
            </w:pPr>
            <w:r w:rsidRPr="0002193E">
              <w:rPr>
                <w:rFonts w:cstheme="minorHAnsi"/>
                <w:b/>
                <w:bCs/>
                <w:sz w:val="22"/>
                <w:szCs w:val="22"/>
              </w:rPr>
              <w:t>Written Research Proposal</w:t>
            </w:r>
            <w:r w:rsidRPr="0002193E">
              <w:rPr>
                <w:rFonts w:cstheme="minorHAnsi"/>
                <w:b/>
                <w:sz w:val="22"/>
                <w:szCs w:val="22"/>
              </w:rPr>
              <w:t> </w:t>
            </w:r>
          </w:p>
          <w:p w14:paraId="5C3D8FFD" w14:textId="77777777" w:rsidR="00582BDE" w:rsidRPr="0002193E" w:rsidRDefault="00582BDE" w:rsidP="0002193E">
            <w:pPr>
              <w:spacing w:before="120" w:after="120" w:line="360" w:lineRule="auto"/>
              <w:jc w:val="both"/>
              <w:rPr>
                <w:rFonts w:cstheme="minorHAnsi"/>
                <w:b/>
                <w:sz w:val="22"/>
                <w:szCs w:val="22"/>
              </w:rPr>
            </w:pPr>
          </w:p>
        </w:tc>
      </w:tr>
    </w:tbl>
    <w:p w14:paraId="516970A8" w14:textId="77777777" w:rsidR="00582BDE" w:rsidRPr="0002193E" w:rsidRDefault="00582BDE" w:rsidP="0002193E">
      <w:pPr>
        <w:spacing w:line="360" w:lineRule="auto"/>
        <w:rPr>
          <w:rFonts w:cstheme="minorHAnsi"/>
          <w:sz w:val="22"/>
          <w:szCs w:val="22"/>
        </w:rPr>
      </w:pPr>
    </w:p>
    <w:p w14:paraId="73215ABD" w14:textId="77777777" w:rsidR="00582BDE" w:rsidRPr="0002193E" w:rsidRDefault="00582BDE" w:rsidP="0002193E">
      <w:pPr>
        <w:spacing w:line="360" w:lineRule="auto"/>
        <w:jc w:val="center"/>
        <w:rPr>
          <w:rFonts w:cstheme="minorHAnsi"/>
          <w:sz w:val="22"/>
          <w:szCs w:val="22"/>
        </w:rPr>
      </w:pPr>
    </w:p>
    <w:p w14:paraId="42DC680A" w14:textId="77777777" w:rsidR="00582BDE" w:rsidRPr="0002193E" w:rsidRDefault="00582BDE" w:rsidP="0002193E">
      <w:pPr>
        <w:spacing w:line="360" w:lineRule="auto"/>
        <w:jc w:val="center"/>
        <w:rPr>
          <w:rFonts w:cstheme="minorHAnsi"/>
          <w:sz w:val="22"/>
          <w:szCs w:val="22"/>
        </w:rPr>
      </w:pPr>
    </w:p>
    <w:p w14:paraId="35F4B8F3" w14:textId="77777777" w:rsidR="0002193E" w:rsidRPr="0002193E" w:rsidRDefault="0002193E" w:rsidP="0002193E">
      <w:pPr>
        <w:spacing w:line="360" w:lineRule="auto"/>
        <w:jc w:val="center"/>
        <w:rPr>
          <w:rFonts w:cstheme="minorHAnsi"/>
          <w:sz w:val="22"/>
          <w:szCs w:val="22"/>
        </w:rPr>
      </w:pPr>
    </w:p>
    <w:p w14:paraId="1928E952" w14:textId="77777777" w:rsidR="0002193E" w:rsidRPr="0002193E" w:rsidRDefault="0002193E" w:rsidP="0002193E">
      <w:pPr>
        <w:spacing w:line="360" w:lineRule="auto"/>
        <w:jc w:val="center"/>
        <w:rPr>
          <w:rFonts w:cstheme="minorHAnsi"/>
          <w:sz w:val="22"/>
          <w:szCs w:val="22"/>
        </w:rPr>
      </w:pPr>
    </w:p>
    <w:p w14:paraId="75C2D207" w14:textId="77777777" w:rsidR="0002193E" w:rsidRPr="0002193E" w:rsidRDefault="0002193E" w:rsidP="0002193E">
      <w:pPr>
        <w:spacing w:line="360" w:lineRule="auto"/>
        <w:jc w:val="center"/>
        <w:rPr>
          <w:rFonts w:cstheme="minorHAnsi"/>
          <w:sz w:val="22"/>
          <w:szCs w:val="22"/>
        </w:rPr>
      </w:pPr>
    </w:p>
    <w:p w14:paraId="7A919739" w14:textId="77777777" w:rsidR="0002193E" w:rsidRPr="0002193E" w:rsidRDefault="0002193E" w:rsidP="0002193E">
      <w:pPr>
        <w:spacing w:line="360" w:lineRule="auto"/>
        <w:jc w:val="center"/>
        <w:rPr>
          <w:rFonts w:cstheme="minorHAnsi"/>
          <w:sz w:val="22"/>
          <w:szCs w:val="22"/>
        </w:rPr>
      </w:pPr>
    </w:p>
    <w:p w14:paraId="2527A0C7" w14:textId="77777777" w:rsidR="0002193E" w:rsidRDefault="0002193E" w:rsidP="0002193E">
      <w:pPr>
        <w:spacing w:line="360" w:lineRule="auto"/>
        <w:jc w:val="center"/>
        <w:rPr>
          <w:rFonts w:cstheme="minorHAnsi"/>
          <w:sz w:val="22"/>
          <w:szCs w:val="22"/>
        </w:rPr>
      </w:pPr>
    </w:p>
    <w:p w14:paraId="1CBABBC8" w14:textId="77777777" w:rsidR="0002193E" w:rsidRDefault="0002193E" w:rsidP="0002193E">
      <w:pPr>
        <w:spacing w:line="360" w:lineRule="auto"/>
        <w:jc w:val="center"/>
        <w:rPr>
          <w:rFonts w:cstheme="minorHAnsi"/>
          <w:sz w:val="22"/>
          <w:szCs w:val="22"/>
        </w:rPr>
      </w:pPr>
    </w:p>
    <w:p w14:paraId="4083C4FA" w14:textId="77777777" w:rsidR="0002193E" w:rsidRDefault="0002193E" w:rsidP="0002193E">
      <w:pPr>
        <w:spacing w:line="360" w:lineRule="auto"/>
        <w:jc w:val="center"/>
        <w:rPr>
          <w:rFonts w:cstheme="minorHAnsi"/>
          <w:sz w:val="22"/>
          <w:szCs w:val="22"/>
        </w:rPr>
      </w:pPr>
    </w:p>
    <w:p w14:paraId="216762B2" w14:textId="77777777" w:rsidR="0002193E" w:rsidRDefault="0002193E" w:rsidP="0002193E">
      <w:pPr>
        <w:spacing w:line="360" w:lineRule="auto"/>
        <w:jc w:val="center"/>
        <w:rPr>
          <w:rFonts w:cstheme="minorHAnsi"/>
          <w:sz w:val="22"/>
          <w:szCs w:val="22"/>
        </w:rPr>
      </w:pPr>
    </w:p>
    <w:p w14:paraId="7E790DFA" w14:textId="77777777" w:rsidR="0002193E" w:rsidRPr="0002193E" w:rsidRDefault="0002193E" w:rsidP="0002193E">
      <w:pPr>
        <w:spacing w:line="360" w:lineRule="auto"/>
        <w:jc w:val="center"/>
        <w:rPr>
          <w:rFonts w:cstheme="minorHAnsi"/>
          <w:sz w:val="22"/>
          <w:szCs w:val="22"/>
        </w:rPr>
      </w:pPr>
    </w:p>
    <w:p w14:paraId="1BECAAD0" w14:textId="77777777" w:rsidR="0002193E" w:rsidRPr="0002193E" w:rsidRDefault="0002193E" w:rsidP="0002193E">
      <w:pPr>
        <w:spacing w:line="360" w:lineRule="auto"/>
        <w:jc w:val="center"/>
        <w:rPr>
          <w:rFonts w:cstheme="minorHAnsi"/>
          <w:sz w:val="22"/>
          <w:szCs w:val="22"/>
        </w:rPr>
      </w:pPr>
    </w:p>
    <w:p w14:paraId="337E8EA8" w14:textId="61619FB0" w:rsidR="1896124A" w:rsidRPr="0002193E" w:rsidRDefault="2AAC8FC0" w:rsidP="0002193E">
      <w:pPr>
        <w:spacing w:line="360" w:lineRule="auto"/>
        <w:jc w:val="center"/>
        <w:rPr>
          <w:rFonts w:cstheme="minorHAnsi"/>
          <w:sz w:val="28"/>
          <w:szCs w:val="28"/>
        </w:rPr>
      </w:pPr>
      <w:r w:rsidRPr="0002193E">
        <w:rPr>
          <w:rFonts w:cstheme="minorHAnsi"/>
          <w:sz w:val="28"/>
          <w:szCs w:val="28"/>
        </w:rPr>
        <w:lastRenderedPageBreak/>
        <w:t>Investigating the Impact of Social Determinants of Health on Cardiovascular Disease Occurrence and Outcomes within the UK Population: A Systematic Literature Review Proposal</w:t>
      </w:r>
    </w:p>
    <w:p w14:paraId="76E2EDB1" w14:textId="77777777" w:rsidR="0002193E" w:rsidRPr="0002193E" w:rsidRDefault="0002193E" w:rsidP="0002193E">
      <w:pPr>
        <w:spacing w:line="360" w:lineRule="auto"/>
        <w:jc w:val="center"/>
        <w:rPr>
          <w:rFonts w:cstheme="minorHAnsi"/>
          <w:sz w:val="22"/>
          <w:szCs w:val="22"/>
        </w:rPr>
      </w:pPr>
    </w:p>
    <w:p w14:paraId="181383A3" w14:textId="2DFAD185" w:rsidR="7F506390" w:rsidRPr="0002193E" w:rsidRDefault="7F506390"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1. Introduction</w:t>
      </w:r>
    </w:p>
    <w:p w14:paraId="1B7308C8" w14:textId="23E0E623"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Cardiovascular disease (CVD) remains one of the leading causes of mortality and morbidity worldwide despite substantial advances in prevention, diagnosis and treatment (World Health Organization, 2025). Within the United Kingdom (UK), CVD continues to present a significant public health challenge, contributing to premature mortality, disability and increasing pressure on healthcare services (British Heart Foundation, 2025b; Jefferies et al., 2025). Although improvements in clinical management have reduced age-</w:t>
      </w:r>
      <w:proofErr w:type="spellStart"/>
      <w:r w:rsidRPr="0002193E">
        <w:rPr>
          <w:rFonts w:eastAsia="Arial" w:cstheme="minorHAnsi"/>
          <w:sz w:val="22"/>
          <w:szCs w:val="22"/>
        </w:rPr>
        <w:t>standardised</w:t>
      </w:r>
      <w:proofErr w:type="spellEnd"/>
      <w:r w:rsidRPr="0002193E">
        <w:rPr>
          <w:rFonts w:eastAsia="Arial" w:cstheme="minorHAnsi"/>
          <w:sz w:val="22"/>
          <w:szCs w:val="22"/>
        </w:rPr>
        <w:t xml:space="preserve"> mortality rates, these benefits have not been experienced equally, with marked socioeconomic inequalities persisting across the population (Marmot et al., 2020; Schultz et al., 2018).</w:t>
      </w:r>
    </w:p>
    <w:p w14:paraId="0FA496D0" w14:textId="25DED26E"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Evidence increasingly demonstrates that cardiovascular health is shaped not only by biological and </w:t>
      </w:r>
      <w:proofErr w:type="spellStart"/>
      <w:r w:rsidRPr="0002193E">
        <w:rPr>
          <w:rFonts w:eastAsia="Arial" w:cstheme="minorHAnsi"/>
          <w:sz w:val="22"/>
          <w:szCs w:val="22"/>
        </w:rPr>
        <w:t>behavioural</w:t>
      </w:r>
      <w:proofErr w:type="spellEnd"/>
      <w:r w:rsidRPr="0002193E">
        <w:rPr>
          <w:rFonts w:eastAsia="Arial" w:cstheme="minorHAnsi"/>
          <w:sz w:val="22"/>
          <w:szCs w:val="22"/>
        </w:rPr>
        <w:t xml:space="preserve"> risk factors but also by wider social, economic and environmental conditions (World Health Organization, 2024). </w:t>
      </w:r>
      <w:r w:rsidR="2492CF27" w:rsidRPr="0002193E">
        <w:rPr>
          <w:rFonts w:eastAsia="Arial" w:cstheme="minorHAnsi"/>
          <w:sz w:val="22"/>
          <w:szCs w:val="22"/>
        </w:rPr>
        <w:t xml:space="preserve">Braveman and Gottlieb (2014) argue that social determinants represent the underlying causes of health inequalities because they shape exposure to health risks, access to healthcare and opportunities to achieve good health throughout the life course. </w:t>
      </w:r>
      <w:r w:rsidRPr="0002193E">
        <w:rPr>
          <w:rFonts w:eastAsia="Arial" w:cstheme="minorHAnsi"/>
          <w:sz w:val="22"/>
          <w:szCs w:val="22"/>
        </w:rPr>
        <w:t xml:space="preserve">Social determinants of health, including income, education, employment, housing and healthcare access, influence individuals' opportunities to maintain good health throughout the life course (World Health Organization, 2024). Consequently, reducing cardiovascular inequalities requires interventions that extend beyond clinical management to address the broader conditions influencing health (The Health Foundation, 2022; NHS England, </w:t>
      </w:r>
      <w:proofErr w:type="spellStart"/>
      <w:r w:rsidRPr="0002193E">
        <w:rPr>
          <w:rFonts w:eastAsia="Arial" w:cstheme="minorHAnsi"/>
          <w:sz w:val="22"/>
          <w:szCs w:val="22"/>
        </w:rPr>
        <w:t>n.d.b</w:t>
      </w:r>
      <w:proofErr w:type="spellEnd"/>
      <w:r w:rsidRPr="0002193E">
        <w:rPr>
          <w:rFonts w:eastAsia="Arial" w:cstheme="minorHAnsi"/>
          <w:sz w:val="22"/>
          <w:szCs w:val="22"/>
        </w:rPr>
        <w:t>). This proposal therefore aims to investigate how social determinants of health influence the occurrence and outcomes of cardiovascular disease within the UK through a systematic review of contemporary evidence.</w:t>
      </w:r>
    </w:p>
    <w:p w14:paraId="21EBDAAE" w14:textId="67AFA2C7" w:rsidR="0A159609" w:rsidRPr="0002193E" w:rsidRDefault="0A159609" w:rsidP="0002193E">
      <w:pPr>
        <w:spacing w:line="360" w:lineRule="auto"/>
        <w:rPr>
          <w:rFonts w:cstheme="minorHAnsi"/>
          <w:sz w:val="22"/>
          <w:szCs w:val="22"/>
        </w:rPr>
      </w:pPr>
    </w:p>
    <w:p w14:paraId="70B165B3" w14:textId="4DA92612" w:rsidR="3FFB0BD5" w:rsidRPr="0002193E" w:rsidRDefault="7F506390"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2. Prevalence of the Problem</w:t>
      </w:r>
    </w:p>
    <w:p w14:paraId="1C81A258" w14:textId="0D0B1432"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Cardiovascular disease affects more than eight million people within the UK and accounts for approximately 170,000 deaths annually, representing over one-quarter of all deaths each year </w:t>
      </w:r>
      <w:r w:rsidRPr="0002193E">
        <w:rPr>
          <w:rFonts w:eastAsia="Arial" w:cstheme="minorHAnsi"/>
          <w:sz w:val="22"/>
          <w:szCs w:val="22"/>
        </w:rPr>
        <w:lastRenderedPageBreak/>
        <w:t>(British Heart Foundation, 2025b). Coronary heart disease and stroke remain the most common cardiovascular conditions and contribute substantially to disability, reduced quality of life and increasing healthcare expenditure (World Health Organization, 2025).</w:t>
      </w:r>
    </w:p>
    <w:p w14:paraId="384EF76E" w14:textId="68F2E689"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However, the burden of CVD is distributed unequally across society. Individuals living in the most deprived communities experience significantly higher rates of disease incidence, hospital admission and premature mortality than those living in more affluent areas (British Heart Foundation, 2025a; Office for National Statistics, 2022; Public Health England, 2019). Furthermore, major cardiovascular risk factors, including smoking, obesity, hypertension, physical inactivity and type 2 diabetes, are disproportionately concentrated within disadvantaged populations, reflecting the influence of wider socioeconomic conditions on health (Marmot et al., 2020; NHS England, </w:t>
      </w:r>
      <w:proofErr w:type="spellStart"/>
      <w:r w:rsidRPr="0002193E">
        <w:rPr>
          <w:rFonts w:eastAsia="Arial" w:cstheme="minorHAnsi"/>
          <w:sz w:val="22"/>
          <w:szCs w:val="22"/>
        </w:rPr>
        <w:t>n.d.b</w:t>
      </w:r>
      <w:proofErr w:type="spellEnd"/>
      <w:r w:rsidRPr="0002193E">
        <w:rPr>
          <w:rFonts w:eastAsia="Arial" w:cstheme="minorHAnsi"/>
          <w:sz w:val="22"/>
          <w:szCs w:val="22"/>
        </w:rPr>
        <w:t>). These inequalities demonstrate that effective cardiovascular disease prevention requires strategies addressing both clinical risk factors and the broader social determinants of health (World Health Organization, 2024; The Health Foundation, 2022).</w:t>
      </w:r>
    </w:p>
    <w:p w14:paraId="327814FA" w14:textId="75F32AC8" w:rsidR="3FFB0BD5" w:rsidRPr="0002193E" w:rsidRDefault="7F506390"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3. Literature-Based Background to the Study</w:t>
      </w:r>
    </w:p>
    <w:p w14:paraId="4B8718DC" w14:textId="5D2F38A3"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The relationship between social determinants of health and cardiovascular disease has become increasingly prominent within public health research because growing evidence demonstrates that health outcomes are shaped by social and economic circumstances as well as biological risk factors (World Health Organization, 2024). Social determinants include income, education, employment, housing and access to healthcare, all of which influence exposure to health risks and opportunities to maintain good health throughout the life course (World Health Organization, 2024). </w:t>
      </w:r>
      <w:r w:rsidR="34F35745" w:rsidRPr="0002193E">
        <w:rPr>
          <w:rFonts w:eastAsia="Arial" w:cstheme="minorHAnsi"/>
          <w:sz w:val="22"/>
          <w:szCs w:val="22"/>
        </w:rPr>
        <w:t xml:space="preserve">Solar and Irwin (2010) further argue that structural determinants, including governance, economic policies and social policies, create the conditions through which socioeconomic inequalities ultimately influence health outcomes. </w:t>
      </w:r>
      <w:r w:rsidRPr="0002193E">
        <w:rPr>
          <w:rFonts w:eastAsia="Arial" w:cstheme="minorHAnsi"/>
          <w:sz w:val="22"/>
          <w:szCs w:val="22"/>
        </w:rPr>
        <w:t xml:space="preserve">Marmot et al. (2010) argued that health follows a continuous social gradient, whereby cardiovascular outcomes progressively worsen with increasing socioeconomic </w:t>
      </w:r>
      <w:proofErr w:type="gramStart"/>
      <w:r w:rsidRPr="0002193E">
        <w:rPr>
          <w:rFonts w:eastAsia="Arial" w:cstheme="minorHAnsi"/>
          <w:sz w:val="22"/>
          <w:szCs w:val="22"/>
        </w:rPr>
        <w:t>disadvantage</w:t>
      </w:r>
      <w:proofErr w:type="gramEnd"/>
      <w:r w:rsidRPr="0002193E">
        <w:rPr>
          <w:rFonts w:eastAsia="Arial" w:cstheme="minorHAnsi"/>
          <w:sz w:val="22"/>
          <w:szCs w:val="22"/>
        </w:rPr>
        <w:t>. Although this framework is widely accepted, debate remains regarding the relative contribution of individual determinants and the complex interactions through which they influence cardiovascular health (Schultz et al., 2018).</w:t>
      </w:r>
    </w:p>
    <w:p w14:paraId="339CC1C4" w14:textId="66EC735F"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Income is consistently identified as one of the strongest predictors of cardiovascular health because it affects living conditions, nutrition, employment opportunities and healthcare </w:t>
      </w:r>
      <w:proofErr w:type="spellStart"/>
      <w:r w:rsidRPr="0002193E">
        <w:rPr>
          <w:rFonts w:eastAsia="Arial" w:cstheme="minorHAnsi"/>
          <w:sz w:val="22"/>
          <w:szCs w:val="22"/>
        </w:rPr>
        <w:t>utilisation</w:t>
      </w:r>
      <w:proofErr w:type="spellEnd"/>
      <w:r w:rsidRPr="0002193E">
        <w:rPr>
          <w:rFonts w:eastAsia="Arial" w:cstheme="minorHAnsi"/>
          <w:sz w:val="22"/>
          <w:szCs w:val="22"/>
        </w:rPr>
        <w:t xml:space="preserve"> (World Health Organization, 2024). </w:t>
      </w:r>
      <w:r w:rsidR="670F7A0F" w:rsidRPr="0002193E">
        <w:rPr>
          <w:rFonts w:eastAsia="Arial" w:cstheme="minorHAnsi"/>
          <w:sz w:val="22"/>
          <w:szCs w:val="22"/>
        </w:rPr>
        <w:t xml:space="preserve">Similarly, </w:t>
      </w:r>
      <w:proofErr w:type="spellStart"/>
      <w:r w:rsidR="670F7A0F" w:rsidRPr="0002193E">
        <w:rPr>
          <w:rFonts w:eastAsia="Arial" w:cstheme="minorHAnsi"/>
          <w:sz w:val="22"/>
          <w:szCs w:val="22"/>
        </w:rPr>
        <w:t>Stringhini</w:t>
      </w:r>
      <w:proofErr w:type="spellEnd"/>
      <w:r w:rsidR="670F7A0F" w:rsidRPr="0002193E">
        <w:rPr>
          <w:rFonts w:eastAsia="Arial" w:cstheme="minorHAnsi"/>
          <w:sz w:val="22"/>
          <w:szCs w:val="22"/>
        </w:rPr>
        <w:t xml:space="preserve"> et al. (2017) demonstrated that socioeconomic status independently predicts premature mortality even after adjustment for </w:t>
      </w:r>
      <w:r w:rsidR="670F7A0F" w:rsidRPr="0002193E">
        <w:rPr>
          <w:rFonts w:eastAsia="Arial" w:cstheme="minorHAnsi"/>
          <w:sz w:val="22"/>
          <w:szCs w:val="22"/>
        </w:rPr>
        <w:lastRenderedPageBreak/>
        <w:t xml:space="preserve">conventional cardiovascular risk factors, </w:t>
      </w:r>
      <w:proofErr w:type="spellStart"/>
      <w:r w:rsidR="670F7A0F" w:rsidRPr="0002193E">
        <w:rPr>
          <w:rFonts w:eastAsia="Arial" w:cstheme="minorHAnsi"/>
          <w:sz w:val="22"/>
          <w:szCs w:val="22"/>
        </w:rPr>
        <w:t>emphasising</w:t>
      </w:r>
      <w:proofErr w:type="spellEnd"/>
      <w:r w:rsidR="670F7A0F" w:rsidRPr="0002193E">
        <w:rPr>
          <w:rFonts w:eastAsia="Arial" w:cstheme="minorHAnsi"/>
          <w:sz w:val="22"/>
          <w:szCs w:val="22"/>
        </w:rPr>
        <w:t xml:space="preserve"> the importance of addressing wider social determinants alongside </w:t>
      </w:r>
      <w:proofErr w:type="spellStart"/>
      <w:r w:rsidR="670F7A0F" w:rsidRPr="0002193E">
        <w:rPr>
          <w:rFonts w:eastAsia="Arial" w:cstheme="minorHAnsi"/>
          <w:sz w:val="22"/>
          <w:szCs w:val="22"/>
        </w:rPr>
        <w:t>behavioural</w:t>
      </w:r>
      <w:proofErr w:type="spellEnd"/>
      <w:r w:rsidR="670F7A0F" w:rsidRPr="0002193E">
        <w:rPr>
          <w:rFonts w:eastAsia="Arial" w:cstheme="minorHAnsi"/>
          <w:sz w:val="22"/>
          <w:szCs w:val="22"/>
        </w:rPr>
        <w:t xml:space="preserve"> interventions. </w:t>
      </w:r>
      <w:r w:rsidRPr="0002193E">
        <w:rPr>
          <w:rFonts w:eastAsia="Arial" w:cstheme="minorHAnsi"/>
          <w:sz w:val="22"/>
          <w:szCs w:val="22"/>
        </w:rPr>
        <w:t xml:space="preserve">However, income rarely acts independently, as education, employment and housing collectively influence cardiovascular risk across the life course (Marmot et al., 2020). </w:t>
      </w:r>
      <w:r w:rsidR="32AB379C" w:rsidRPr="0002193E">
        <w:rPr>
          <w:rFonts w:eastAsia="Arial" w:cstheme="minorHAnsi"/>
          <w:sz w:val="22"/>
          <w:szCs w:val="22"/>
        </w:rPr>
        <w:t xml:space="preserve">Pickett and Wilkinson (2015) further suggest that income inequality itself contributes to poorer population health through increased psychosocial stress, reduced social cohesion and unequal access to health-promoting resources. </w:t>
      </w:r>
      <w:r w:rsidRPr="0002193E">
        <w:rPr>
          <w:rFonts w:eastAsia="Arial" w:cstheme="minorHAnsi"/>
          <w:sz w:val="22"/>
          <w:szCs w:val="22"/>
        </w:rPr>
        <w:t xml:space="preserve">Public Health England (2017) </w:t>
      </w:r>
      <w:proofErr w:type="spellStart"/>
      <w:r w:rsidRPr="0002193E">
        <w:rPr>
          <w:rFonts w:eastAsia="Arial" w:cstheme="minorHAnsi"/>
          <w:sz w:val="22"/>
          <w:szCs w:val="22"/>
        </w:rPr>
        <w:t>emphasises</w:t>
      </w:r>
      <w:proofErr w:type="spellEnd"/>
      <w:r w:rsidRPr="0002193E">
        <w:rPr>
          <w:rFonts w:eastAsia="Arial" w:cstheme="minorHAnsi"/>
          <w:sz w:val="22"/>
          <w:szCs w:val="22"/>
        </w:rPr>
        <w:t xml:space="preserve"> that educational attainment supports health literacy and engagement with preventive healthcare, whereas The Health Foundation (2022) argues that educational advantage alone cannot overcome wider socioeconomic </w:t>
      </w:r>
      <w:proofErr w:type="gramStart"/>
      <w:r w:rsidRPr="0002193E">
        <w:rPr>
          <w:rFonts w:eastAsia="Arial" w:cstheme="minorHAnsi"/>
          <w:sz w:val="22"/>
          <w:szCs w:val="22"/>
        </w:rPr>
        <w:t>disadvantage</w:t>
      </w:r>
      <w:proofErr w:type="gramEnd"/>
      <w:r w:rsidRPr="0002193E">
        <w:rPr>
          <w:rFonts w:eastAsia="Arial" w:cstheme="minorHAnsi"/>
          <w:sz w:val="22"/>
          <w:szCs w:val="22"/>
        </w:rPr>
        <w:t>. Collectively, these findings indicate that cardiovascular inequalities arise through interconnected social processes rather than isolated determinants.</w:t>
      </w:r>
    </w:p>
    <w:p w14:paraId="690EEE1F" w14:textId="61EDB96A"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Employment and housing conditions further illustrate the complexity of cardiovascular inequalities. </w:t>
      </w:r>
      <w:r w:rsidR="1ED5AE9A" w:rsidRPr="0002193E">
        <w:rPr>
          <w:rFonts w:eastAsia="Arial" w:cstheme="minorHAnsi"/>
          <w:sz w:val="22"/>
          <w:szCs w:val="22"/>
        </w:rPr>
        <w:t xml:space="preserve">Bambra et al. (2020) contend that socioeconomic disadvantage compounds health inequalities by increasing cumulative exposure to multiple risk factors across the life course, thereby widening cardiovascular disparities. </w:t>
      </w:r>
      <w:r w:rsidRPr="0002193E">
        <w:rPr>
          <w:rFonts w:eastAsia="Arial" w:cstheme="minorHAnsi"/>
          <w:sz w:val="22"/>
          <w:szCs w:val="22"/>
        </w:rPr>
        <w:t xml:space="preserve">Secure employment promotes financial stability and psychological wellbeing, whereas unemployment and insecure work are associated with chronic stress and increased cardiovascular risk (Marmot et al., 2020; Schultz et al., 2018). Similarly, poor housing and </w:t>
      </w:r>
      <w:proofErr w:type="spellStart"/>
      <w:r w:rsidRPr="0002193E">
        <w:rPr>
          <w:rFonts w:eastAsia="Arial" w:cstheme="minorHAnsi"/>
          <w:sz w:val="22"/>
          <w:szCs w:val="22"/>
        </w:rPr>
        <w:t>neighbourhood</w:t>
      </w:r>
      <w:proofErr w:type="spellEnd"/>
      <w:r w:rsidRPr="0002193E">
        <w:rPr>
          <w:rFonts w:eastAsia="Arial" w:cstheme="minorHAnsi"/>
          <w:sz w:val="22"/>
          <w:szCs w:val="22"/>
        </w:rPr>
        <w:t xml:space="preserve"> deprivation may restrict opportunities for physical activity, increase environmental exposures and reduce healthcare accessibility (Public Health England, 2017). Nevertheless, differences in study design, measures of deprivation and cardiovascular outcomes have produced methodological inconsistencies that limit comparison across the existing literature (Hart, 2018).</w:t>
      </w:r>
    </w:p>
    <w:p w14:paraId="44380F21" w14:textId="62EFE9DE"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Current debate </w:t>
      </w:r>
      <w:proofErr w:type="spellStart"/>
      <w:r w:rsidRPr="0002193E">
        <w:rPr>
          <w:rFonts w:eastAsia="Arial" w:cstheme="minorHAnsi"/>
          <w:sz w:val="22"/>
          <w:szCs w:val="22"/>
        </w:rPr>
        <w:t>centres</w:t>
      </w:r>
      <w:proofErr w:type="spellEnd"/>
      <w:r w:rsidRPr="0002193E">
        <w:rPr>
          <w:rFonts w:eastAsia="Arial" w:cstheme="minorHAnsi"/>
          <w:sz w:val="22"/>
          <w:szCs w:val="22"/>
        </w:rPr>
        <w:t xml:space="preserve"> on whether cardiovascular disease prevention should </w:t>
      </w:r>
      <w:proofErr w:type="spellStart"/>
      <w:r w:rsidRPr="0002193E">
        <w:rPr>
          <w:rFonts w:eastAsia="Arial" w:cstheme="minorHAnsi"/>
          <w:sz w:val="22"/>
          <w:szCs w:val="22"/>
        </w:rPr>
        <w:t>prioritise</w:t>
      </w:r>
      <w:proofErr w:type="spellEnd"/>
      <w:r w:rsidRPr="0002193E">
        <w:rPr>
          <w:rFonts w:eastAsia="Arial" w:cstheme="minorHAnsi"/>
          <w:sz w:val="22"/>
          <w:szCs w:val="22"/>
        </w:rPr>
        <w:t xml:space="preserve"> modifying individual </w:t>
      </w:r>
      <w:proofErr w:type="spellStart"/>
      <w:r w:rsidRPr="0002193E">
        <w:rPr>
          <w:rFonts w:eastAsia="Arial" w:cstheme="minorHAnsi"/>
          <w:sz w:val="22"/>
          <w:szCs w:val="22"/>
        </w:rPr>
        <w:t>behaviours</w:t>
      </w:r>
      <w:proofErr w:type="spellEnd"/>
      <w:r w:rsidRPr="0002193E">
        <w:rPr>
          <w:rFonts w:eastAsia="Arial" w:cstheme="minorHAnsi"/>
          <w:sz w:val="22"/>
          <w:szCs w:val="22"/>
        </w:rPr>
        <w:t xml:space="preserve"> or addressing the structural conditions that shape those </w:t>
      </w:r>
      <w:proofErr w:type="spellStart"/>
      <w:r w:rsidRPr="0002193E">
        <w:rPr>
          <w:rFonts w:eastAsia="Arial" w:cstheme="minorHAnsi"/>
          <w:sz w:val="22"/>
          <w:szCs w:val="22"/>
        </w:rPr>
        <w:t>behaviours</w:t>
      </w:r>
      <w:proofErr w:type="spellEnd"/>
      <w:r w:rsidRPr="0002193E">
        <w:rPr>
          <w:rFonts w:eastAsia="Arial" w:cstheme="minorHAnsi"/>
          <w:sz w:val="22"/>
          <w:szCs w:val="22"/>
        </w:rPr>
        <w:t xml:space="preserve"> (National Institute for Health and Care Excellence, 2023). Traditional prevention </w:t>
      </w:r>
      <w:proofErr w:type="spellStart"/>
      <w:r w:rsidRPr="0002193E">
        <w:rPr>
          <w:rFonts w:eastAsia="Arial" w:cstheme="minorHAnsi"/>
          <w:sz w:val="22"/>
          <w:szCs w:val="22"/>
        </w:rPr>
        <w:t>programmes</w:t>
      </w:r>
      <w:proofErr w:type="spellEnd"/>
      <w:r w:rsidRPr="0002193E">
        <w:rPr>
          <w:rFonts w:eastAsia="Arial" w:cstheme="minorHAnsi"/>
          <w:sz w:val="22"/>
          <w:szCs w:val="22"/>
        </w:rPr>
        <w:t xml:space="preserve"> </w:t>
      </w:r>
      <w:proofErr w:type="spellStart"/>
      <w:r w:rsidRPr="0002193E">
        <w:rPr>
          <w:rFonts w:eastAsia="Arial" w:cstheme="minorHAnsi"/>
          <w:sz w:val="22"/>
          <w:szCs w:val="22"/>
        </w:rPr>
        <w:t>emphasise</w:t>
      </w:r>
      <w:proofErr w:type="spellEnd"/>
      <w:r w:rsidRPr="0002193E">
        <w:rPr>
          <w:rFonts w:eastAsia="Arial" w:cstheme="minorHAnsi"/>
          <w:sz w:val="22"/>
          <w:szCs w:val="22"/>
        </w:rPr>
        <w:t xml:space="preserve"> smoking cessation, healthier diets and increased physical activity because of their demonstrated effectiveness in reducing individual cardiovascular risk (National Institute for Health and Care Excellence, 2023). Conversely, critics argue that </w:t>
      </w:r>
      <w:proofErr w:type="spellStart"/>
      <w:r w:rsidRPr="0002193E">
        <w:rPr>
          <w:rFonts w:eastAsia="Arial" w:cstheme="minorHAnsi"/>
          <w:sz w:val="22"/>
          <w:szCs w:val="22"/>
        </w:rPr>
        <w:t>behavioural</w:t>
      </w:r>
      <w:proofErr w:type="spellEnd"/>
      <w:r w:rsidRPr="0002193E">
        <w:rPr>
          <w:rFonts w:eastAsia="Arial" w:cstheme="minorHAnsi"/>
          <w:sz w:val="22"/>
          <w:szCs w:val="22"/>
        </w:rPr>
        <w:t xml:space="preserve"> approaches alone overlook structural barriers, including poverty, poor housing and unequal educational opportunities, thereby limiting their effectiveness among disadvantaged populations (Marmot et al., 2020; The Health Foundation, 2022). </w:t>
      </w:r>
      <w:r w:rsidR="08C8718F" w:rsidRPr="0002193E">
        <w:rPr>
          <w:rFonts w:eastAsia="Arial" w:cstheme="minorHAnsi"/>
          <w:sz w:val="22"/>
          <w:szCs w:val="22"/>
        </w:rPr>
        <w:t xml:space="preserve">McCartney, Collins and Mackenzie (2013) similarly argue that sustainable reductions in health inequalities require policy interventions addressing the underlying social and economic determinants of health rather than focusing </w:t>
      </w:r>
      <w:r w:rsidR="08C8718F" w:rsidRPr="0002193E">
        <w:rPr>
          <w:rFonts w:eastAsia="Arial" w:cstheme="minorHAnsi"/>
          <w:sz w:val="22"/>
          <w:szCs w:val="22"/>
        </w:rPr>
        <w:lastRenderedPageBreak/>
        <w:t xml:space="preserve">exclusively on individual </w:t>
      </w:r>
      <w:proofErr w:type="spellStart"/>
      <w:r w:rsidR="08C8718F" w:rsidRPr="0002193E">
        <w:rPr>
          <w:rFonts w:eastAsia="Arial" w:cstheme="minorHAnsi"/>
          <w:sz w:val="22"/>
          <w:szCs w:val="22"/>
        </w:rPr>
        <w:t>behaviour</w:t>
      </w:r>
      <w:proofErr w:type="spellEnd"/>
      <w:r w:rsidR="08C8718F" w:rsidRPr="0002193E">
        <w:rPr>
          <w:rFonts w:eastAsia="Arial" w:cstheme="minorHAnsi"/>
          <w:sz w:val="22"/>
          <w:szCs w:val="22"/>
        </w:rPr>
        <w:t xml:space="preserve"> change. </w:t>
      </w:r>
      <w:r w:rsidRPr="0002193E">
        <w:rPr>
          <w:rFonts w:eastAsia="Arial" w:cstheme="minorHAnsi"/>
          <w:sz w:val="22"/>
          <w:szCs w:val="22"/>
        </w:rPr>
        <w:t xml:space="preserve">Consequently, increasing attention has been directed towards integrated approaches combining </w:t>
      </w:r>
      <w:proofErr w:type="spellStart"/>
      <w:r w:rsidRPr="0002193E">
        <w:rPr>
          <w:rFonts w:eastAsia="Arial" w:cstheme="minorHAnsi"/>
          <w:sz w:val="22"/>
          <w:szCs w:val="22"/>
        </w:rPr>
        <w:t>behavioural</w:t>
      </w:r>
      <w:proofErr w:type="spellEnd"/>
      <w:r w:rsidRPr="0002193E">
        <w:rPr>
          <w:rFonts w:eastAsia="Arial" w:cstheme="minorHAnsi"/>
          <w:sz w:val="22"/>
          <w:szCs w:val="22"/>
        </w:rPr>
        <w:t xml:space="preserve"> interventions with policies addressing wider social determinants (Jefferies et al., 2025).</w:t>
      </w:r>
    </w:p>
    <w:p w14:paraId="4872F92D" w14:textId="7A70F4C6"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A further policy debate concerns whether interventions should be universally delivered or targeted towards the most deprived populations. </w:t>
      </w:r>
      <w:proofErr w:type="spellStart"/>
      <w:r w:rsidR="15A8AD2B" w:rsidRPr="0002193E">
        <w:rPr>
          <w:rFonts w:eastAsia="Arial" w:cstheme="minorHAnsi"/>
          <w:sz w:val="22"/>
          <w:szCs w:val="22"/>
        </w:rPr>
        <w:t>Mackenbach</w:t>
      </w:r>
      <w:proofErr w:type="spellEnd"/>
      <w:r w:rsidR="15A8AD2B" w:rsidRPr="0002193E">
        <w:rPr>
          <w:rFonts w:eastAsia="Arial" w:cstheme="minorHAnsi"/>
          <w:sz w:val="22"/>
          <w:szCs w:val="22"/>
        </w:rPr>
        <w:t xml:space="preserve"> et al. (2018) argue that persistent inequalities in life expectancy across European populations demonstrate the limited effectiveness of healthcare interventions when wider socioeconomic inequalities remain unaddressed. </w:t>
      </w:r>
      <w:r w:rsidRPr="0002193E">
        <w:rPr>
          <w:rFonts w:eastAsia="Arial" w:cstheme="minorHAnsi"/>
          <w:sz w:val="22"/>
          <w:szCs w:val="22"/>
        </w:rPr>
        <w:t xml:space="preserve">Marmot et al. (2010) proposed proportionate universalism, whereby interventions remain universal but are delivered with greater intensity according to need. Although this principle has influenced UK public health policy, evidence evaluating its long-term impact on cardiovascular inequalities remains limited (Jefferies et al., 2025). Furthermore, much of the existing literature examines determinants individually rather than considering their cumulative effects, while methodological heterogeneity continues to restrict comparison across studies (Schultz et al., 2018; Hart, 2018). Therefore, a systematic review of contemporary UK evidence is required to provide a comprehensive understanding of how multiple social determinants collectively influence cardiovascular disease occurrence and outcomes and to identify priorities for future research and policy development (Booth, Sutton and Papaioannou, 2021; NHS England, </w:t>
      </w:r>
      <w:proofErr w:type="spellStart"/>
      <w:r w:rsidRPr="0002193E">
        <w:rPr>
          <w:rFonts w:eastAsia="Arial" w:cstheme="minorHAnsi"/>
          <w:sz w:val="22"/>
          <w:szCs w:val="22"/>
        </w:rPr>
        <w:t>n.d.b</w:t>
      </w:r>
      <w:proofErr w:type="spellEnd"/>
      <w:r w:rsidRPr="0002193E">
        <w:rPr>
          <w:rFonts w:eastAsia="Arial" w:cstheme="minorHAnsi"/>
          <w:sz w:val="22"/>
          <w:szCs w:val="22"/>
        </w:rPr>
        <w:t>).</w:t>
      </w:r>
    </w:p>
    <w:p w14:paraId="08D91650" w14:textId="3B3E6868" w:rsidR="3FFB0BD5" w:rsidRPr="0002193E" w:rsidRDefault="7F506390"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4. Rationale</w:t>
      </w:r>
    </w:p>
    <w:p w14:paraId="0510E571" w14:textId="6345D7BD"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Despite advances in cardiovascular disease (CVD) prevention and management, substantial socioeconomic inequalities continue to influence disease occurrence, healthcare access and health outcomes across the United Kingdom (Marmot et al., 2020). Individuals living in deprived communities experience disproportionately poorer cardiovascular outcomes, indicating that improvements in clinical care alone are insufficient to reduce health inequalities (British Heart Foundation, 2025a; Office for National Statistics, 2022). Consequently, there is increasing recognition that public health research must examine the wider social determinants influencing cardiovascular health throughout the life course rather than focusing solely on individual </w:t>
      </w:r>
      <w:proofErr w:type="spellStart"/>
      <w:r w:rsidRPr="0002193E">
        <w:rPr>
          <w:rFonts w:eastAsia="Arial" w:cstheme="minorHAnsi"/>
          <w:sz w:val="22"/>
          <w:szCs w:val="22"/>
        </w:rPr>
        <w:t>behavioural</w:t>
      </w:r>
      <w:proofErr w:type="spellEnd"/>
      <w:r w:rsidRPr="0002193E">
        <w:rPr>
          <w:rFonts w:eastAsia="Arial" w:cstheme="minorHAnsi"/>
          <w:sz w:val="22"/>
          <w:szCs w:val="22"/>
        </w:rPr>
        <w:t xml:space="preserve"> risk factors (World Health Organization, 2024).</w:t>
      </w:r>
    </w:p>
    <w:p w14:paraId="42ECF741" w14:textId="705E62B4"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Although considerable research has explored associations between social determinants and cardiovascular disease, the evidence remains fragmented because many studies examine individual determinants independently rather than their cumulative effects (Schultz et al., 2018). Furthermore, methodological differences in study design and measures of socioeconomic </w:t>
      </w:r>
      <w:r w:rsidRPr="0002193E">
        <w:rPr>
          <w:rFonts w:eastAsia="Arial" w:cstheme="minorHAnsi"/>
          <w:sz w:val="22"/>
          <w:szCs w:val="22"/>
        </w:rPr>
        <w:lastRenderedPageBreak/>
        <w:t>deprivation have limited comparison across the literature and contributed to inconsistent findings (Hart, 2018). These limitations highlight the need for a systematic synthesis of contemporary UK evidence to provide a more comprehensive understanding of how social determinants collectively influence cardiovascular disease occurrence and outcomes (Booth, Sutton and Papaioannou, 2021).</w:t>
      </w:r>
    </w:p>
    <w:p w14:paraId="44E33ECF" w14:textId="250B68DE"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The proposed study </w:t>
      </w:r>
      <w:proofErr w:type="gramStart"/>
      <w:r w:rsidRPr="0002193E">
        <w:rPr>
          <w:rFonts w:eastAsia="Arial" w:cstheme="minorHAnsi"/>
          <w:sz w:val="22"/>
          <w:szCs w:val="22"/>
        </w:rPr>
        <w:t>aligns with</w:t>
      </w:r>
      <w:proofErr w:type="gramEnd"/>
      <w:r w:rsidRPr="0002193E">
        <w:rPr>
          <w:rFonts w:eastAsia="Arial" w:cstheme="minorHAnsi"/>
          <w:sz w:val="22"/>
          <w:szCs w:val="22"/>
        </w:rPr>
        <w:t xml:space="preserve"> NHS priorities to reduce health inequalities through prevention and person-</w:t>
      </w:r>
      <w:proofErr w:type="spellStart"/>
      <w:r w:rsidRPr="0002193E">
        <w:rPr>
          <w:rFonts w:eastAsia="Arial" w:cstheme="minorHAnsi"/>
          <w:sz w:val="22"/>
          <w:szCs w:val="22"/>
        </w:rPr>
        <w:t>centred</w:t>
      </w:r>
      <w:proofErr w:type="spellEnd"/>
      <w:r w:rsidRPr="0002193E">
        <w:rPr>
          <w:rFonts w:eastAsia="Arial" w:cstheme="minorHAnsi"/>
          <w:sz w:val="22"/>
          <w:szCs w:val="22"/>
        </w:rPr>
        <w:t xml:space="preserve"> care and aims to generate evidence capable of informing public health policy, healthcare practice and future service improvement initiatives (NHS England, </w:t>
      </w:r>
      <w:proofErr w:type="spellStart"/>
      <w:r w:rsidRPr="0002193E">
        <w:rPr>
          <w:rFonts w:eastAsia="Arial" w:cstheme="minorHAnsi"/>
          <w:sz w:val="22"/>
          <w:szCs w:val="22"/>
        </w:rPr>
        <w:t>n.d.a</w:t>
      </w:r>
      <w:proofErr w:type="spellEnd"/>
      <w:r w:rsidRPr="0002193E">
        <w:rPr>
          <w:rFonts w:eastAsia="Arial" w:cstheme="minorHAnsi"/>
          <w:sz w:val="22"/>
          <w:szCs w:val="22"/>
        </w:rPr>
        <w:t xml:space="preserve">; NHS England, </w:t>
      </w:r>
      <w:proofErr w:type="spellStart"/>
      <w:r w:rsidRPr="0002193E">
        <w:rPr>
          <w:rFonts w:eastAsia="Arial" w:cstheme="minorHAnsi"/>
          <w:sz w:val="22"/>
          <w:szCs w:val="22"/>
        </w:rPr>
        <w:t>n.d.b</w:t>
      </w:r>
      <w:proofErr w:type="spellEnd"/>
      <w:r w:rsidRPr="0002193E">
        <w:rPr>
          <w:rFonts w:eastAsia="Arial" w:cstheme="minorHAnsi"/>
          <w:sz w:val="22"/>
          <w:szCs w:val="22"/>
        </w:rPr>
        <w:t>; Jefferies et al., 2025).</w:t>
      </w:r>
    </w:p>
    <w:p w14:paraId="5DF738CD" w14:textId="7ECE219E" w:rsidR="0A159609" w:rsidRPr="0002193E" w:rsidRDefault="0A159609" w:rsidP="0002193E">
      <w:pPr>
        <w:spacing w:line="360" w:lineRule="auto"/>
        <w:rPr>
          <w:rFonts w:cstheme="minorHAnsi"/>
          <w:sz w:val="22"/>
          <w:szCs w:val="22"/>
        </w:rPr>
      </w:pPr>
    </w:p>
    <w:p w14:paraId="190F5ACE" w14:textId="72A5DB54" w:rsidR="3FFB0BD5" w:rsidRPr="0002193E" w:rsidRDefault="7F506390"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5. Research Question, Aim and Objectives</w:t>
      </w:r>
    </w:p>
    <w:p w14:paraId="6143AD81" w14:textId="171B6DF0"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The proposed study will address the following research </w:t>
      </w:r>
      <w:proofErr w:type="gramStart"/>
      <w:r w:rsidRPr="0002193E">
        <w:rPr>
          <w:rFonts w:eastAsia="Arial" w:cstheme="minorHAnsi"/>
          <w:sz w:val="22"/>
          <w:szCs w:val="22"/>
        </w:rPr>
        <w:t>question</w:t>
      </w:r>
      <w:proofErr w:type="gramEnd"/>
      <w:r w:rsidRPr="0002193E">
        <w:rPr>
          <w:rFonts w:eastAsia="Arial" w:cstheme="minorHAnsi"/>
          <w:sz w:val="22"/>
          <w:szCs w:val="22"/>
        </w:rPr>
        <w:t>:</w:t>
      </w:r>
    </w:p>
    <w:p w14:paraId="34471454" w14:textId="300D515E"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How do social determinants of health influence the occurrence and outcomes of cardiovascular disease within the UK population?</w:t>
      </w:r>
    </w:p>
    <w:p w14:paraId="6F8F42F8" w14:textId="11C35DAF"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The aim of this study is to investigate the impact of social determinants of health on the occurrence and outcomes of cardiovascular disease within the UK through a systematic literature review (World Health Organization, 2024; Marmot et al., 2020).</w:t>
      </w:r>
    </w:p>
    <w:p w14:paraId="4D2C463B" w14:textId="6EA0A27B"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The study has four objectives. Firstly, it will critically examine how income, education, employment, housing and healthcare access influence CVD occurrence and outcomes within the UK (Public Health England, 2017; World Health Organization, 2024). Secondly, it will critically </w:t>
      </w:r>
      <w:proofErr w:type="spellStart"/>
      <w:r w:rsidRPr="0002193E">
        <w:rPr>
          <w:rFonts w:eastAsia="Arial" w:cstheme="minorHAnsi"/>
          <w:sz w:val="22"/>
          <w:szCs w:val="22"/>
        </w:rPr>
        <w:t>synthesise</w:t>
      </w:r>
      <w:proofErr w:type="spellEnd"/>
      <w:r w:rsidRPr="0002193E">
        <w:rPr>
          <w:rFonts w:eastAsia="Arial" w:cstheme="minorHAnsi"/>
          <w:sz w:val="22"/>
          <w:szCs w:val="22"/>
        </w:rPr>
        <w:t xml:space="preserve"> contemporary evidence relating to socioeconomic inequalities and cardiovascular disease while identifying methodological strengths and limitations within the literature (Schultz et al., 2018; Hart, 2018). Thirdly, it will identify evidence gaps requiring further investigation (Booth, Sutton and Papaioannou, 2021). Finally, it will evaluate recommendations capable of informing NHS policy, public health strategies and healthcare service improvement aimed at reducing cardiovascular inequalities (NHS England, </w:t>
      </w:r>
      <w:proofErr w:type="spellStart"/>
      <w:r w:rsidRPr="0002193E">
        <w:rPr>
          <w:rFonts w:eastAsia="Arial" w:cstheme="minorHAnsi"/>
          <w:sz w:val="22"/>
          <w:szCs w:val="22"/>
        </w:rPr>
        <w:t>n.d.b</w:t>
      </w:r>
      <w:proofErr w:type="spellEnd"/>
      <w:r w:rsidRPr="0002193E">
        <w:rPr>
          <w:rFonts w:eastAsia="Arial" w:cstheme="minorHAnsi"/>
          <w:sz w:val="22"/>
          <w:szCs w:val="22"/>
        </w:rPr>
        <w:t>; Jefferies et al., 2025).</w:t>
      </w:r>
    </w:p>
    <w:p w14:paraId="65FE32E0" w14:textId="7F2A5586" w:rsidR="0A159609" w:rsidRPr="0002193E" w:rsidRDefault="0A159609" w:rsidP="0002193E">
      <w:pPr>
        <w:spacing w:line="360" w:lineRule="auto"/>
        <w:rPr>
          <w:rFonts w:cstheme="minorHAnsi"/>
          <w:sz w:val="22"/>
          <w:szCs w:val="22"/>
        </w:rPr>
      </w:pPr>
    </w:p>
    <w:p w14:paraId="0DB7777E" w14:textId="368A9128" w:rsidR="3FFB0BD5" w:rsidRPr="0002193E" w:rsidRDefault="7F506390"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lastRenderedPageBreak/>
        <w:t>6. Research Methodology</w:t>
      </w:r>
    </w:p>
    <w:p w14:paraId="756A0DC6" w14:textId="46AF8F56"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Selecting an appropriate research methodology is essential to </w:t>
      </w:r>
      <w:proofErr w:type="gramStart"/>
      <w:r w:rsidRPr="0002193E">
        <w:rPr>
          <w:rFonts w:eastAsia="Arial" w:cstheme="minorHAnsi"/>
          <w:sz w:val="22"/>
          <w:szCs w:val="22"/>
        </w:rPr>
        <w:t>ensuring</w:t>
      </w:r>
      <w:proofErr w:type="gramEnd"/>
      <w:r w:rsidRPr="0002193E">
        <w:rPr>
          <w:rFonts w:eastAsia="Arial" w:cstheme="minorHAnsi"/>
          <w:sz w:val="22"/>
          <w:szCs w:val="22"/>
        </w:rPr>
        <w:t xml:space="preserve"> that the proposed study addresses the research question through a rigorous and credible process (Saunders, Lewis and Thornhill, 2023). </w:t>
      </w:r>
      <w:r w:rsidR="23ED26D3" w:rsidRPr="0002193E">
        <w:rPr>
          <w:rFonts w:eastAsia="Arial" w:cstheme="minorHAnsi"/>
          <w:sz w:val="22"/>
          <w:szCs w:val="22"/>
        </w:rPr>
        <w:t xml:space="preserve">Bowling (2023) similarly </w:t>
      </w:r>
      <w:proofErr w:type="spellStart"/>
      <w:r w:rsidR="23ED26D3" w:rsidRPr="0002193E">
        <w:rPr>
          <w:rFonts w:eastAsia="Arial" w:cstheme="minorHAnsi"/>
          <w:sz w:val="22"/>
          <w:szCs w:val="22"/>
        </w:rPr>
        <w:t>emphasises</w:t>
      </w:r>
      <w:proofErr w:type="spellEnd"/>
      <w:r w:rsidR="23ED26D3" w:rsidRPr="0002193E">
        <w:rPr>
          <w:rFonts w:eastAsia="Arial" w:cstheme="minorHAnsi"/>
          <w:sz w:val="22"/>
          <w:szCs w:val="22"/>
        </w:rPr>
        <w:t xml:space="preserve"> that selecting a methodology aligned with the research question is fundamental to producing valid and meaningful findings within health research. </w:t>
      </w:r>
      <w:r w:rsidR="74E34751" w:rsidRPr="0002193E">
        <w:rPr>
          <w:rFonts w:eastAsia="Arial" w:cstheme="minorHAnsi"/>
          <w:sz w:val="22"/>
          <w:szCs w:val="22"/>
        </w:rPr>
        <w:t>As this study seeks to investigate how social determinants of health influence cardiovascular disease (CVD) occurrence and outcomes through the synthesis of existing evidence, a qualitative secondary research methodology has been selected because it provides a rigorous framework for evidence synthesis (Booth, Sutton and Papaioannou, 2021; Hart, 2018).</w:t>
      </w:r>
    </w:p>
    <w:p w14:paraId="1AE02F6B" w14:textId="0C728CB2"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 xml:space="preserve">The research will adopt an interpretivist philosophy, </w:t>
      </w:r>
      <w:proofErr w:type="spellStart"/>
      <w:r w:rsidRPr="0002193E">
        <w:rPr>
          <w:rFonts w:eastAsia="Arial" w:cstheme="minorHAnsi"/>
          <w:sz w:val="22"/>
          <w:szCs w:val="22"/>
        </w:rPr>
        <w:t>recognising</w:t>
      </w:r>
      <w:proofErr w:type="spellEnd"/>
      <w:r w:rsidRPr="0002193E">
        <w:rPr>
          <w:rFonts w:eastAsia="Arial" w:cstheme="minorHAnsi"/>
          <w:sz w:val="22"/>
          <w:szCs w:val="22"/>
        </w:rPr>
        <w:t xml:space="preserve"> that cardiovascular inequalities are shaped by complex social, economic and environmental influences requiring contextual understanding rather than solely statistical measurement (Saunders, Lewis and Thornhill, 2023). Although quantitative research has established associations between socioeconomic deprivation and cardiovascular disease, it provides limited explanation of the broader mechanisms underlying these inequalities (Schultz et al., 2018). Consequently, an interpretivist perspective is considered more appropriate for critically exploring how published evidence explains these relationships (Creswell and Creswell, 2023).</w:t>
      </w:r>
    </w:p>
    <w:p w14:paraId="5799C7C2" w14:textId="2445BDA7"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A qualitative approach will facilitate the integration and interpretation of evidence from epidemiological studies, public health research and healthcare policy, enabling similarities, inconsistencies and evidence gaps to be critically evaluated (Booth, Sutton and Papaioannou, 2021). While qualitative synthesis involves researcher interpretation, transparency will be enhanced through predefined search strategies, explicit eligibility criteria and structured quality appraisal procedures (Page et al., 2021).</w:t>
      </w:r>
    </w:p>
    <w:p w14:paraId="5D0D4DC3" w14:textId="32818AD8"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t>Secondary research has been selected because substantial high-quality evidence relating to cardiovascular disease and social determinants already exists within peer-reviewed literature, government reports and public health publications (World Health Organization, 2024; British Heart Foundation, 2025a). This approach enables the synthesis of evidence from multiple study designs while remaining feasible within the scope of a master's research project (Booth, Sutton and Papaioannou, 2021). However, because the reliability of secondary research depends on the quality of included studies, systematic selection and critical appraisal will be undertaken to ensure that conclusions are based upon robust evidence (Hart, 2018).</w:t>
      </w:r>
    </w:p>
    <w:p w14:paraId="7DCC0C51" w14:textId="0ABFA111" w:rsidR="3FFB0BD5" w:rsidRPr="0002193E" w:rsidRDefault="7F506390" w:rsidP="0002193E">
      <w:pPr>
        <w:spacing w:line="360" w:lineRule="auto"/>
        <w:rPr>
          <w:rFonts w:eastAsia="Arial" w:cstheme="minorHAnsi"/>
          <w:sz w:val="22"/>
          <w:szCs w:val="22"/>
        </w:rPr>
      </w:pPr>
      <w:r w:rsidRPr="0002193E">
        <w:rPr>
          <w:rFonts w:eastAsia="Arial" w:cstheme="minorHAnsi"/>
          <w:sz w:val="22"/>
          <w:szCs w:val="22"/>
        </w:rPr>
        <w:lastRenderedPageBreak/>
        <w:t xml:space="preserve">Overall, the selected methodology provides a suitable framework for critically evaluating contemporary evidence and informing future public health policy, healthcare practice and research relating to cardiovascular inequalities (NHS England, </w:t>
      </w:r>
      <w:proofErr w:type="spellStart"/>
      <w:r w:rsidRPr="0002193E">
        <w:rPr>
          <w:rFonts w:eastAsia="Arial" w:cstheme="minorHAnsi"/>
          <w:sz w:val="22"/>
          <w:szCs w:val="22"/>
        </w:rPr>
        <w:t>n.d.b</w:t>
      </w:r>
      <w:proofErr w:type="spellEnd"/>
      <w:r w:rsidRPr="0002193E">
        <w:rPr>
          <w:rFonts w:eastAsia="Arial" w:cstheme="minorHAnsi"/>
          <w:sz w:val="22"/>
          <w:szCs w:val="22"/>
        </w:rPr>
        <w:t>; World Health Organization, 2024).</w:t>
      </w:r>
    </w:p>
    <w:p w14:paraId="2AB55D94" w14:textId="23382582" w:rsidR="07A79749" w:rsidRPr="0002193E" w:rsidRDefault="68AA2CE6"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7. Research Design</w:t>
      </w:r>
    </w:p>
    <w:p w14:paraId="74A3C2A8" w14:textId="2686AF91" w:rsidR="07A79749" w:rsidRPr="0002193E" w:rsidRDefault="68AA2CE6" w:rsidP="0002193E">
      <w:pPr>
        <w:spacing w:line="360" w:lineRule="auto"/>
        <w:rPr>
          <w:rFonts w:eastAsia="Arial" w:cstheme="minorHAnsi"/>
          <w:sz w:val="22"/>
          <w:szCs w:val="22"/>
        </w:rPr>
      </w:pPr>
      <w:r w:rsidRPr="0002193E">
        <w:rPr>
          <w:rFonts w:eastAsia="Arial" w:cstheme="minorHAnsi"/>
          <w:sz w:val="22"/>
          <w:szCs w:val="22"/>
        </w:rPr>
        <w:t xml:space="preserve">A systematic literature review (SLR) has been selected because it provides a transparent and reproducible approach to identifying, evaluating and </w:t>
      </w:r>
      <w:proofErr w:type="spellStart"/>
      <w:r w:rsidRPr="0002193E">
        <w:rPr>
          <w:rFonts w:eastAsia="Arial" w:cstheme="minorHAnsi"/>
          <w:sz w:val="22"/>
          <w:szCs w:val="22"/>
        </w:rPr>
        <w:t>synthesising</w:t>
      </w:r>
      <w:proofErr w:type="spellEnd"/>
      <w:r w:rsidRPr="0002193E">
        <w:rPr>
          <w:rFonts w:eastAsia="Arial" w:cstheme="minorHAnsi"/>
          <w:sz w:val="22"/>
          <w:szCs w:val="22"/>
        </w:rPr>
        <w:t xml:space="preserve"> evidence relevant to a clearly defined research question (Booth, Sutton and Papaioannou, 2021).</w:t>
      </w:r>
      <w:r w:rsidR="191B9D9B" w:rsidRPr="0002193E">
        <w:rPr>
          <w:rFonts w:eastAsia="Arial" w:cstheme="minorHAnsi"/>
          <w:sz w:val="22"/>
          <w:szCs w:val="22"/>
        </w:rPr>
        <w:t xml:space="preserve"> Greenhalgh (2019) argues that systematic reviews provide one of the most reliable approaches for </w:t>
      </w:r>
      <w:proofErr w:type="spellStart"/>
      <w:r w:rsidR="191B9D9B" w:rsidRPr="0002193E">
        <w:rPr>
          <w:rFonts w:eastAsia="Arial" w:cstheme="minorHAnsi"/>
          <w:sz w:val="22"/>
          <w:szCs w:val="22"/>
        </w:rPr>
        <w:t>synthesising</w:t>
      </w:r>
      <w:proofErr w:type="spellEnd"/>
      <w:r w:rsidR="191B9D9B" w:rsidRPr="0002193E">
        <w:rPr>
          <w:rFonts w:eastAsia="Arial" w:cstheme="minorHAnsi"/>
          <w:sz w:val="22"/>
          <w:szCs w:val="22"/>
        </w:rPr>
        <w:t xml:space="preserve"> healthcare evidence because they employ explicit, reproducible and transparent methods of identifying and critically appraising published research.</w:t>
      </w:r>
      <w:r w:rsidRPr="0002193E">
        <w:rPr>
          <w:rFonts w:eastAsia="Arial" w:cstheme="minorHAnsi"/>
          <w:sz w:val="22"/>
          <w:szCs w:val="22"/>
        </w:rPr>
        <w:t xml:space="preserve"> Unlike traditional narrative reviews, systematic reviews follow predefined protocols that reduce selection bias, improve transparency and strengthen the reliability of findings, making them appropriate for evidence-based healthcare research (Page et al., 2021). Consequently, an SLR is considered the most suitable design for examining how multiple social determinants collectively influence cardiovascular disease (CVD) occurrence and outcomes within the UK population (Cochrane, 2024).</w:t>
      </w:r>
    </w:p>
    <w:p w14:paraId="66ECEDC6" w14:textId="3E040A5A" w:rsidR="07A79749" w:rsidRPr="0002193E" w:rsidRDefault="68AA2CE6" w:rsidP="0002193E">
      <w:pPr>
        <w:spacing w:line="360" w:lineRule="auto"/>
        <w:rPr>
          <w:rFonts w:eastAsia="Arial" w:cstheme="minorHAnsi"/>
          <w:sz w:val="22"/>
          <w:szCs w:val="22"/>
        </w:rPr>
      </w:pPr>
      <w:r w:rsidRPr="0002193E">
        <w:rPr>
          <w:rFonts w:eastAsia="Arial" w:cstheme="minorHAnsi"/>
          <w:sz w:val="22"/>
          <w:szCs w:val="22"/>
        </w:rPr>
        <w:t xml:space="preserve">The review will follow the Preferred Reporting Items for Systematic Reviews and Meta-Analyses (PRISMA) 2020 Statement, which provides internationally </w:t>
      </w:r>
      <w:proofErr w:type="spellStart"/>
      <w:r w:rsidRPr="0002193E">
        <w:rPr>
          <w:rFonts w:eastAsia="Arial" w:cstheme="minorHAnsi"/>
          <w:sz w:val="22"/>
          <w:szCs w:val="22"/>
        </w:rPr>
        <w:t>recognised</w:t>
      </w:r>
      <w:proofErr w:type="spellEnd"/>
      <w:r w:rsidRPr="0002193E">
        <w:rPr>
          <w:rFonts w:eastAsia="Arial" w:cstheme="minorHAnsi"/>
          <w:sz w:val="22"/>
          <w:szCs w:val="22"/>
        </w:rPr>
        <w:t xml:space="preserve"> guidance for study identification, screening, eligibility assessment and reporting (Page et al., 2021). Although PRISMA improves methodological transparency, it does not assess study quality; therefore, structured critical appraisal will also be undertaken to strengthen the reliability of the evidence synthesis (Booth, Sutton and Papaioannou, 2021).</w:t>
      </w:r>
    </w:p>
    <w:p w14:paraId="20363623" w14:textId="1F1D87D9" w:rsidR="07A79749" w:rsidRPr="0002193E" w:rsidRDefault="68AA2CE6" w:rsidP="0002193E">
      <w:pPr>
        <w:spacing w:line="360" w:lineRule="auto"/>
        <w:rPr>
          <w:rFonts w:eastAsia="Arial" w:cstheme="minorHAnsi"/>
          <w:sz w:val="22"/>
          <w:szCs w:val="22"/>
        </w:rPr>
      </w:pPr>
      <w:r w:rsidRPr="0002193E">
        <w:rPr>
          <w:rFonts w:eastAsia="Arial" w:cstheme="minorHAnsi"/>
          <w:sz w:val="22"/>
          <w:szCs w:val="22"/>
        </w:rPr>
        <w:t xml:space="preserve">Electronic searches will be conducted using PubMed, MEDLINE, CINAHL, Scopus, Web of Science and Google Scholar, employing controlled vocabulary, free-text keywords and Boolean operators (AND, OR and NOT) to </w:t>
      </w:r>
      <w:proofErr w:type="spellStart"/>
      <w:r w:rsidRPr="0002193E">
        <w:rPr>
          <w:rFonts w:eastAsia="Arial" w:cstheme="minorHAnsi"/>
          <w:sz w:val="22"/>
          <w:szCs w:val="22"/>
        </w:rPr>
        <w:t>maximise</w:t>
      </w:r>
      <w:proofErr w:type="spellEnd"/>
      <w:r w:rsidRPr="0002193E">
        <w:rPr>
          <w:rFonts w:eastAsia="Arial" w:cstheme="minorHAnsi"/>
          <w:sz w:val="22"/>
          <w:szCs w:val="22"/>
        </w:rPr>
        <w:t xml:space="preserve"> retrieval of relevant studies (Hart, 2018; Saunders, Lewis and Thornhill, 2023). Studies will be included if they are peer-reviewed, published in English between 2015 and 2025, involve UK adults and examine the relationship between social determinants and CVD occurrence or outcomes (Booth, Sutton and Papaioannou, 2021). Editorials, conference abstracts, dissertations, opinion papers and non-UK studies will be excluded unless they provide </w:t>
      </w:r>
      <w:proofErr w:type="spellStart"/>
      <w:r w:rsidRPr="0002193E">
        <w:rPr>
          <w:rFonts w:eastAsia="Arial" w:cstheme="minorHAnsi"/>
          <w:sz w:val="22"/>
          <w:szCs w:val="22"/>
        </w:rPr>
        <w:t>recognised</w:t>
      </w:r>
      <w:proofErr w:type="spellEnd"/>
      <w:r w:rsidRPr="0002193E">
        <w:rPr>
          <w:rFonts w:eastAsia="Arial" w:cstheme="minorHAnsi"/>
          <w:sz w:val="22"/>
          <w:szCs w:val="22"/>
        </w:rPr>
        <w:t xml:space="preserve"> theoretical or methodological guidance relevant to the review (Hart, 2018). Although these criteria may reduce international comparison, they will </w:t>
      </w:r>
      <w:r w:rsidRPr="0002193E">
        <w:rPr>
          <w:rFonts w:eastAsia="Arial" w:cstheme="minorHAnsi"/>
          <w:sz w:val="22"/>
          <w:szCs w:val="22"/>
        </w:rPr>
        <w:lastRenderedPageBreak/>
        <w:t xml:space="preserve">ensure the findings remain directly applicable to current NHS policy and UK public health practice (NHS England, </w:t>
      </w:r>
      <w:proofErr w:type="spellStart"/>
      <w:r w:rsidRPr="0002193E">
        <w:rPr>
          <w:rFonts w:eastAsia="Arial" w:cstheme="minorHAnsi"/>
          <w:sz w:val="22"/>
          <w:szCs w:val="22"/>
        </w:rPr>
        <w:t>n.d.b</w:t>
      </w:r>
      <w:proofErr w:type="spellEnd"/>
      <w:r w:rsidRPr="0002193E">
        <w:rPr>
          <w:rFonts w:eastAsia="Arial" w:cstheme="minorHAnsi"/>
          <w:sz w:val="22"/>
          <w:szCs w:val="22"/>
        </w:rPr>
        <w:t>).</w:t>
      </w:r>
    </w:p>
    <w:p w14:paraId="3F56FC75" w14:textId="4A5B447E" w:rsidR="3A480578" w:rsidRPr="0002193E" w:rsidRDefault="6A5E6C3A" w:rsidP="0002193E">
      <w:pPr>
        <w:spacing w:line="360" w:lineRule="auto"/>
        <w:rPr>
          <w:rFonts w:eastAsia="Arial" w:cstheme="minorHAnsi"/>
          <w:sz w:val="22"/>
          <w:szCs w:val="22"/>
        </w:rPr>
      </w:pPr>
      <w:r w:rsidRPr="0002193E">
        <w:rPr>
          <w:rFonts w:eastAsia="Arial" w:cstheme="minorHAnsi"/>
          <w:sz w:val="22"/>
          <w:szCs w:val="22"/>
        </w:rPr>
        <w:t xml:space="preserve">Finally, </w:t>
      </w:r>
      <w:r w:rsidR="5F9F6E71" w:rsidRPr="0002193E">
        <w:rPr>
          <w:rFonts w:eastAsia="Arial" w:cstheme="minorHAnsi"/>
          <w:sz w:val="22"/>
          <w:szCs w:val="22"/>
        </w:rPr>
        <w:t xml:space="preserve">the methodological quality of included studies will be assessed using the CASP Systematic Review Checklist, CASP Cohort Study Checklist and CASP Qualitative Studies Checklist, as appropriate to the study design (Critical Appraisal Skills </w:t>
      </w:r>
      <w:proofErr w:type="spellStart"/>
      <w:r w:rsidR="5F9F6E71" w:rsidRPr="0002193E">
        <w:rPr>
          <w:rFonts w:eastAsia="Arial" w:cstheme="minorHAnsi"/>
          <w:sz w:val="22"/>
          <w:szCs w:val="22"/>
        </w:rPr>
        <w:t>Programme</w:t>
      </w:r>
      <w:proofErr w:type="spellEnd"/>
      <w:r w:rsidR="5F9F6E71" w:rsidRPr="0002193E">
        <w:rPr>
          <w:rFonts w:eastAsia="Arial" w:cstheme="minorHAnsi"/>
          <w:sz w:val="22"/>
          <w:szCs w:val="22"/>
        </w:rPr>
        <w:t xml:space="preserve">, 2024a; Critical Appraisal Skills </w:t>
      </w:r>
      <w:proofErr w:type="spellStart"/>
      <w:r w:rsidR="5F9F6E71" w:rsidRPr="0002193E">
        <w:rPr>
          <w:rFonts w:eastAsia="Arial" w:cstheme="minorHAnsi"/>
          <w:sz w:val="22"/>
          <w:szCs w:val="22"/>
        </w:rPr>
        <w:t>Programme</w:t>
      </w:r>
      <w:proofErr w:type="spellEnd"/>
      <w:r w:rsidR="5F9F6E71" w:rsidRPr="0002193E">
        <w:rPr>
          <w:rFonts w:eastAsia="Arial" w:cstheme="minorHAnsi"/>
          <w:sz w:val="22"/>
          <w:szCs w:val="22"/>
        </w:rPr>
        <w:t xml:space="preserve">, 2024b; Critical Appraisal Skills </w:t>
      </w:r>
      <w:proofErr w:type="spellStart"/>
      <w:r w:rsidR="5F9F6E71" w:rsidRPr="0002193E">
        <w:rPr>
          <w:rFonts w:eastAsia="Arial" w:cstheme="minorHAnsi"/>
          <w:sz w:val="22"/>
          <w:szCs w:val="22"/>
        </w:rPr>
        <w:t>Programme</w:t>
      </w:r>
      <w:proofErr w:type="spellEnd"/>
      <w:r w:rsidR="5F9F6E71" w:rsidRPr="0002193E">
        <w:rPr>
          <w:rFonts w:eastAsia="Arial" w:cstheme="minorHAnsi"/>
          <w:sz w:val="22"/>
          <w:szCs w:val="22"/>
        </w:rPr>
        <w:t>, 2024c). Cross-sectional studies will be appraised using the Joanna Briggs Institute (JBI) Analytical Cross-Sectional Checklist (Joanna Briggs Institute, 2023).</w:t>
      </w:r>
      <w:r w:rsidRPr="0002193E">
        <w:rPr>
          <w:rFonts w:eastAsia="Arial" w:cstheme="minorHAnsi"/>
          <w:sz w:val="22"/>
          <w:szCs w:val="22"/>
        </w:rPr>
        <w:t xml:space="preserve"> Polit and Beck (2021) argue that systematic quality appraisal is essential for establishing </w:t>
      </w:r>
      <w:proofErr w:type="gramStart"/>
      <w:r w:rsidRPr="0002193E">
        <w:rPr>
          <w:rFonts w:eastAsia="Arial" w:cstheme="minorHAnsi"/>
          <w:sz w:val="22"/>
          <w:szCs w:val="22"/>
        </w:rPr>
        <w:t>the credibility</w:t>
      </w:r>
      <w:proofErr w:type="gramEnd"/>
      <w:r w:rsidRPr="0002193E">
        <w:rPr>
          <w:rFonts w:eastAsia="Arial" w:cstheme="minorHAnsi"/>
          <w:sz w:val="22"/>
          <w:szCs w:val="22"/>
        </w:rPr>
        <w:t xml:space="preserve">, transferability, and trustworthiness of evidence included within qualitative evidence syntheses. Consequently, applying these appraisal frameworks will strengthen the reliability of </w:t>
      </w:r>
      <w:proofErr w:type="gramStart"/>
      <w:r w:rsidRPr="0002193E">
        <w:rPr>
          <w:rFonts w:eastAsia="Arial" w:cstheme="minorHAnsi"/>
          <w:sz w:val="22"/>
          <w:szCs w:val="22"/>
        </w:rPr>
        <w:t>the evidence</w:t>
      </w:r>
      <w:proofErr w:type="gramEnd"/>
      <w:r w:rsidRPr="0002193E">
        <w:rPr>
          <w:rFonts w:eastAsia="Arial" w:cstheme="minorHAnsi"/>
          <w:sz w:val="22"/>
          <w:szCs w:val="22"/>
        </w:rPr>
        <w:t xml:space="preserve"> synthesis by ensuring that conclusions are based upon robust and methodologically sound research (Polit and Beck, 2021).</w:t>
      </w:r>
    </w:p>
    <w:p w14:paraId="3E2C833E" w14:textId="77A44F53" w:rsidR="0A159609" w:rsidRPr="0002193E" w:rsidRDefault="0A159609" w:rsidP="0002193E">
      <w:pPr>
        <w:spacing w:line="360" w:lineRule="auto"/>
        <w:rPr>
          <w:rFonts w:cstheme="minorHAnsi"/>
          <w:sz w:val="22"/>
          <w:szCs w:val="22"/>
        </w:rPr>
      </w:pPr>
    </w:p>
    <w:p w14:paraId="7FB8CDDF" w14:textId="51A6380D" w:rsidR="07A79749" w:rsidRPr="0002193E" w:rsidRDefault="68AA2CE6"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8. Recruitment, Sampling and Study Participants</w:t>
      </w:r>
    </w:p>
    <w:p w14:paraId="1F0C3F8F" w14:textId="266DC917" w:rsidR="07A79749" w:rsidRPr="0002193E" w:rsidRDefault="68AA2CE6" w:rsidP="0002193E">
      <w:pPr>
        <w:spacing w:line="360" w:lineRule="auto"/>
        <w:rPr>
          <w:rFonts w:eastAsia="Arial" w:cstheme="minorHAnsi"/>
          <w:sz w:val="22"/>
          <w:szCs w:val="22"/>
        </w:rPr>
      </w:pPr>
      <w:r w:rsidRPr="0002193E">
        <w:rPr>
          <w:rFonts w:eastAsia="Arial" w:cstheme="minorHAnsi"/>
          <w:sz w:val="22"/>
          <w:szCs w:val="22"/>
        </w:rPr>
        <w:t>As this study is based on a systematic literature review, no human participants will be recruited and no primary data will be collected (Saunders, Lewis and Thornhill, 2023). Instead, the sampling process will involve the purposive selection of published studies investigating the relationship between social determinants of health and cardiovascular disease within the UK (Booth, Sutton and Papaioannou, 2021). This approach is appropriate because systematic reviews seek to identify information-rich evidence capable of addressing predefined research questions rather than obtaining statistically representative participant samples (Creswell and Creswell, 2023).</w:t>
      </w:r>
    </w:p>
    <w:p w14:paraId="4ED377FF" w14:textId="2E467053" w:rsidR="07A79749" w:rsidRPr="0002193E" w:rsidRDefault="68AA2CE6" w:rsidP="0002193E">
      <w:pPr>
        <w:spacing w:line="360" w:lineRule="auto"/>
        <w:rPr>
          <w:rFonts w:eastAsia="Arial" w:cstheme="minorHAnsi"/>
          <w:sz w:val="22"/>
          <w:szCs w:val="22"/>
        </w:rPr>
      </w:pPr>
      <w:r w:rsidRPr="0002193E">
        <w:rPr>
          <w:rFonts w:eastAsia="Arial" w:cstheme="minorHAnsi"/>
          <w:sz w:val="22"/>
          <w:szCs w:val="22"/>
        </w:rPr>
        <w:t>Eligible studies will include peer-reviewed publications involving UK adults and examining the influence of income, education, employment, housing or healthcare access on CVD occurrence or outcomes (Booth, Sutton and Papaioannou, 2021). Studies failing to meet the eligibility criteria, including editorials, conference abstracts and non-peer-reviewed publications, will be excluded to enhance the quality and relevance of the evidence base (Hart, 2018). Following database searches, duplicate records will be removed before titles, abstracts and full-text articles are screened using the predefined eligibility criteria, thereby improving transparency and reducing selection bias (Page et al., 2021).</w:t>
      </w:r>
    </w:p>
    <w:p w14:paraId="7188D6B9" w14:textId="6B64C8EB" w:rsidR="0A159609" w:rsidRPr="0002193E" w:rsidRDefault="0A159609" w:rsidP="0002193E">
      <w:pPr>
        <w:spacing w:line="360" w:lineRule="auto"/>
        <w:rPr>
          <w:rFonts w:cstheme="minorHAnsi"/>
          <w:sz w:val="22"/>
          <w:szCs w:val="22"/>
        </w:rPr>
      </w:pPr>
    </w:p>
    <w:p w14:paraId="6BB225F3" w14:textId="42BE3C8B" w:rsidR="07A79749" w:rsidRPr="0002193E" w:rsidRDefault="68AA2CE6"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9. Materials and Data Collection Methods</w:t>
      </w:r>
    </w:p>
    <w:p w14:paraId="367964D1" w14:textId="4316DBC0" w:rsidR="07A79749" w:rsidRPr="0002193E" w:rsidRDefault="68AA2CE6" w:rsidP="0002193E">
      <w:pPr>
        <w:spacing w:line="360" w:lineRule="auto"/>
        <w:rPr>
          <w:rFonts w:eastAsia="Arial" w:cstheme="minorHAnsi"/>
          <w:sz w:val="22"/>
          <w:szCs w:val="22"/>
        </w:rPr>
      </w:pPr>
      <w:r w:rsidRPr="0002193E">
        <w:rPr>
          <w:rFonts w:eastAsia="Arial" w:cstheme="minorHAnsi"/>
          <w:sz w:val="22"/>
          <w:szCs w:val="22"/>
        </w:rPr>
        <w:t xml:space="preserve">Data collection will involve </w:t>
      </w:r>
      <w:proofErr w:type="gramStart"/>
      <w:r w:rsidRPr="0002193E">
        <w:rPr>
          <w:rFonts w:eastAsia="Arial" w:cstheme="minorHAnsi"/>
          <w:sz w:val="22"/>
          <w:szCs w:val="22"/>
        </w:rPr>
        <w:t>the systematic</w:t>
      </w:r>
      <w:proofErr w:type="gramEnd"/>
      <w:r w:rsidRPr="0002193E">
        <w:rPr>
          <w:rFonts w:eastAsia="Arial" w:cstheme="minorHAnsi"/>
          <w:sz w:val="22"/>
          <w:szCs w:val="22"/>
        </w:rPr>
        <w:t xml:space="preserve"> identification, screening and extraction of published evidence rather than the collection of primary data (Saunders, Lewis and Thornhill, 2023). Relevant literature will be identified through searches of PubMed, MEDLINE, CINAHL, Scopus, Web of Science and Google Scholar using predefined keywords relating to cardiovascular disease, social determinants of health, health inequalities and the United Kingdom, combined with Boolean operators to improve search precision (Hart, 2018; Saunders, Lewis and Thornhill, 2023).</w:t>
      </w:r>
    </w:p>
    <w:p w14:paraId="31B3EA06" w14:textId="7CFA2AA3" w:rsidR="07A79749" w:rsidRPr="0002193E" w:rsidRDefault="68AA2CE6" w:rsidP="0002193E">
      <w:pPr>
        <w:spacing w:line="360" w:lineRule="auto"/>
        <w:rPr>
          <w:rFonts w:eastAsia="Arial" w:cstheme="minorHAnsi"/>
          <w:sz w:val="22"/>
          <w:szCs w:val="22"/>
        </w:rPr>
      </w:pPr>
      <w:r w:rsidRPr="0002193E">
        <w:rPr>
          <w:rFonts w:eastAsia="Arial" w:cstheme="minorHAnsi"/>
          <w:sz w:val="22"/>
          <w:szCs w:val="22"/>
        </w:rPr>
        <w:t xml:space="preserve">Following study selection, data will be extracted using a </w:t>
      </w:r>
      <w:proofErr w:type="spellStart"/>
      <w:r w:rsidRPr="0002193E">
        <w:rPr>
          <w:rFonts w:eastAsia="Arial" w:cstheme="minorHAnsi"/>
          <w:sz w:val="22"/>
          <w:szCs w:val="22"/>
        </w:rPr>
        <w:t>standardised</w:t>
      </w:r>
      <w:proofErr w:type="spellEnd"/>
      <w:r w:rsidRPr="0002193E">
        <w:rPr>
          <w:rFonts w:eastAsia="Arial" w:cstheme="minorHAnsi"/>
          <w:sz w:val="22"/>
          <w:szCs w:val="22"/>
        </w:rPr>
        <w:t xml:space="preserve"> form to ensure consistency throughout the review (Booth, Sutton and Papaioannou, 2021). Information recorded will include study characteristics, population, research design, measures of social determinants, cardiovascular outcomes, principal findings and methodological limitations, thereby facilitating systematic comparison across the included studies (Booth, Sutton and Papaioannou, 2021).</w:t>
      </w:r>
    </w:p>
    <w:p w14:paraId="622DFDEE" w14:textId="43DC7087" w:rsidR="0AFE5DCE" w:rsidRPr="0002193E" w:rsidRDefault="68A0C95E"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10. Proposed Data Analysis Technique</w:t>
      </w:r>
    </w:p>
    <w:p w14:paraId="54CED6D2" w14:textId="4AFBE89F" w:rsidR="0AFE5DCE" w:rsidRPr="0002193E" w:rsidRDefault="68A0C95E" w:rsidP="0002193E">
      <w:pPr>
        <w:spacing w:line="360" w:lineRule="auto"/>
        <w:rPr>
          <w:rFonts w:eastAsia="Arial" w:cstheme="minorHAnsi"/>
          <w:sz w:val="22"/>
          <w:szCs w:val="22"/>
        </w:rPr>
      </w:pPr>
      <w:r w:rsidRPr="0002193E">
        <w:rPr>
          <w:rFonts w:eastAsia="Arial" w:cstheme="minorHAnsi"/>
          <w:sz w:val="22"/>
          <w:szCs w:val="22"/>
        </w:rPr>
        <w:t xml:space="preserve">The extracted evidence will be </w:t>
      </w:r>
      <w:proofErr w:type="spellStart"/>
      <w:r w:rsidRPr="0002193E">
        <w:rPr>
          <w:rFonts w:eastAsia="Arial" w:cstheme="minorHAnsi"/>
          <w:sz w:val="22"/>
          <w:szCs w:val="22"/>
        </w:rPr>
        <w:t>analysed</w:t>
      </w:r>
      <w:proofErr w:type="spellEnd"/>
      <w:r w:rsidRPr="0002193E">
        <w:rPr>
          <w:rFonts w:eastAsia="Arial" w:cstheme="minorHAnsi"/>
          <w:sz w:val="22"/>
          <w:szCs w:val="22"/>
        </w:rPr>
        <w:t xml:space="preserve"> using Braun and Clarke's (2022) six-phase thematic analysis, as this approach provides a systematic framework for identifying, </w:t>
      </w:r>
      <w:proofErr w:type="spellStart"/>
      <w:r w:rsidRPr="0002193E">
        <w:rPr>
          <w:rFonts w:eastAsia="Arial" w:cstheme="minorHAnsi"/>
          <w:sz w:val="22"/>
          <w:szCs w:val="22"/>
        </w:rPr>
        <w:t>analysing</w:t>
      </w:r>
      <w:proofErr w:type="spellEnd"/>
      <w:r w:rsidRPr="0002193E">
        <w:rPr>
          <w:rFonts w:eastAsia="Arial" w:cstheme="minorHAnsi"/>
          <w:sz w:val="22"/>
          <w:szCs w:val="22"/>
        </w:rPr>
        <w:t xml:space="preserve"> and interpreting recurring patterns across qualitative evidence (Braun and Clarke, 2022). Thematic analysis is particularly appropriate because it enables findings from epidemiological studies, public health research and policy documents to be integrated into meaningful themes relevant to the research question (Nowell et al., 2017).</w:t>
      </w:r>
    </w:p>
    <w:p w14:paraId="6A385B5A" w14:textId="421E8E1B" w:rsidR="0AFE5DCE" w:rsidRPr="0002193E" w:rsidRDefault="68A0C95E" w:rsidP="0002193E">
      <w:pPr>
        <w:spacing w:line="360" w:lineRule="auto"/>
        <w:rPr>
          <w:rFonts w:eastAsia="Arial" w:cstheme="minorHAnsi"/>
          <w:sz w:val="22"/>
          <w:szCs w:val="22"/>
        </w:rPr>
      </w:pPr>
      <w:r w:rsidRPr="0002193E">
        <w:rPr>
          <w:rFonts w:eastAsia="Arial" w:cstheme="minorHAnsi"/>
          <w:sz w:val="22"/>
          <w:szCs w:val="22"/>
        </w:rPr>
        <w:t xml:space="preserve">The analysis will progress through six stages: </w:t>
      </w:r>
      <w:proofErr w:type="spellStart"/>
      <w:r w:rsidRPr="0002193E">
        <w:rPr>
          <w:rFonts w:eastAsia="Arial" w:cstheme="minorHAnsi"/>
          <w:sz w:val="22"/>
          <w:szCs w:val="22"/>
        </w:rPr>
        <w:t>familiarisation</w:t>
      </w:r>
      <w:proofErr w:type="spellEnd"/>
      <w:r w:rsidRPr="0002193E">
        <w:rPr>
          <w:rFonts w:eastAsia="Arial" w:cstheme="minorHAnsi"/>
          <w:sz w:val="22"/>
          <w:szCs w:val="22"/>
        </w:rPr>
        <w:t xml:space="preserve"> with the data, generation of initial codes, development of candidate themes, review and refinement of themes, definition and naming of themes, and production of the final analytical narrative (Braun and Clarke, 2022). Applying this structured framework will facilitate the identification of similarities, differences and evidence gaps while ensuring transparency throughout the analytical process (Nowell et al., 2017). Although thematic analysis involves researcher interpretation, following an established framework will enhance the credibility and dependability of the findings by ensuring that conclusions remain grounded in the reviewed evidence (Braun and Clarke, 2022).</w:t>
      </w:r>
    </w:p>
    <w:p w14:paraId="5802CBE2" w14:textId="7EF8955B" w:rsidR="0A159609" w:rsidRPr="0002193E" w:rsidRDefault="0A159609" w:rsidP="0002193E">
      <w:pPr>
        <w:spacing w:line="360" w:lineRule="auto"/>
        <w:rPr>
          <w:rFonts w:cstheme="minorHAnsi"/>
          <w:sz w:val="22"/>
          <w:szCs w:val="22"/>
        </w:rPr>
      </w:pPr>
    </w:p>
    <w:p w14:paraId="795FD702" w14:textId="4A8928F2" w:rsidR="0AFE5DCE" w:rsidRPr="0002193E" w:rsidRDefault="68A0C95E"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11. Ethical Considerations</w:t>
      </w:r>
    </w:p>
    <w:p w14:paraId="0BBA4799" w14:textId="49C8F51B" w:rsidR="0AFE5DCE" w:rsidRPr="0002193E" w:rsidRDefault="68A0C95E" w:rsidP="0002193E">
      <w:pPr>
        <w:spacing w:line="360" w:lineRule="auto"/>
        <w:rPr>
          <w:rFonts w:eastAsia="Arial" w:cstheme="minorHAnsi"/>
          <w:sz w:val="22"/>
          <w:szCs w:val="22"/>
        </w:rPr>
      </w:pPr>
      <w:r w:rsidRPr="0002193E">
        <w:rPr>
          <w:rFonts w:eastAsia="Arial" w:cstheme="minorHAnsi"/>
          <w:sz w:val="22"/>
          <w:szCs w:val="22"/>
        </w:rPr>
        <w:t xml:space="preserve">Although this study will not involve human participants or primary data collection, ethical principles remain fundamental to ensuring academic integrity, transparency and methodological </w:t>
      </w:r>
      <w:proofErr w:type="spellStart"/>
      <w:r w:rsidRPr="0002193E">
        <w:rPr>
          <w:rFonts w:eastAsia="Arial" w:cstheme="minorHAnsi"/>
          <w:sz w:val="22"/>
          <w:szCs w:val="22"/>
        </w:rPr>
        <w:t>rigour</w:t>
      </w:r>
      <w:proofErr w:type="spellEnd"/>
      <w:r w:rsidRPr="0002193E">
        <w:rPr>
          <w:rFonts w:eastAsia="Arial" w:cstheme="minorHAnsi"/>
          <w:sz w:val="22"/>
          <w:szCs w:val="22"/>
        </w:rPr>
        <w:t xml:space="preserve"> throughout the research process (Saunders, Lewis and Thornhill, 2023). As the review will use publicly available literature, NHS Research Ethics Committee approval is not anticipated because no personal or identifiable information will be collected (Health Research Authority, 2024). Consequently, the UK General Data Protection Regulation (UK GDPR) will not apply to participant data, although all published evidence will be accurately represented and appropriately referenced (Health Research Authority, 2024).</w:t>
      </w:r>
    </w:p>
    <w:p w14:paraId="100689BA" w14:textId="7433F95C" w:rsidR="0AFE5DCE" w:rsidRPr="0002193E" w:rsidRDefault="68A0C95E" w:rsidP="0002193E">
      <w:pPr>
        <w:spacing w:line="360" w:lineRule="auto"/>
        <w:rPr>
          <w:rFonts w:eastAsia="Arial" w:cstheme="minorHAnsi"/>
          <w:sz w:val="22"/>
          <w:szCs w:val="22"/>
        </w:rPr>
      </w:pPr>
      <w:r w:rsidRPr="0002193E">
        <w:rPr>
          <w:rFonts w:eastAsia="Arial" w:cstheme="minorHAnsi"/>
          <w:sz w:val="22"/>
          <w:szCs w:val="22"/>
        </w:rPr>
        <w:t xml:space="preserve">Potential researcher bias during study selection and interpretation represents a </w:t>
      </w:r>
      <w:proofErr w:type="spellStart"/>
      <w:r w:rsidRPr="0002193E">
        <w:rPr>
          <w:rFonts w:eastAsia="Arial" w:cstheme="minorHAnsi"/>
          <w:sz w:val="22"/>
          <w:szCs w:val="22"/>
        </w:rPr>
        <w:t>recognised</w:t>
      </w:r>
      <w:proofErr w:type="spellEnd"/>
      <w:r w:rsidRPr="0002193E">
        <w:rPr>
          <w:rFonts w:eastAsia="Arial" w:cstheme="minorHAnsi"/>
          <w:sz w:val="22"/>
          <w:szCs w:val="22"/>
        </w:rPr>
        <w:t xml:space="preserve"> limitation of systematic reviews (Hart, 2018). To </w:t>
      </w:r>
      <w:proofErr w:type="spellStart"/>
      <w:r w:rsidRPr="0002193E">
        <w:rPr>
          <w:rFonts w:eastAsia="Arial" w:cstheme="minorHAnsi"/>
          <w:sz w:val="22"/>
          <w:szCs w:val="22"/>
        </w:rPr>
        <w:t>minimise</w:t>
      </w:r>
      <w:proofErr w:type="spellEnd"/>
      <w:r w:rsidRPr="0002193E">
        <w:rPr>
          <w:rFonts w:eastAsia="Arial" w:cstheme="minorHAnsi"/>
          <w:sz w:val="22"/>
          <w:szCs w:val="22"/>
        </w:rPr>
        <w:t xml:space="preserve"> this risk, predefined eligibility criteria, transparent search procedures and structured quality appraisal will be applied consistently throughout the review (Page et al., 2021). Included studies will be critically evaluated using the Critical Appraisal Skills </w:t>
      </w:r>
      <w:proofErr w:type="spellStart"/>
      <w:r w:rsidRPr="0002193E">
        <w:rPr>
          <w:rFonts w:eastAsia="Arial" w:cstheme="minorHAnsi"/>
          <w:sz w:val="22"/>
          <w:szCs w:val="22"/>
        </w:rPr>
        <w:t>Programme</w:t>
      </w:r>
      <w:proofErr w:type="spellEnd"/>
      <w:r w:rsidRPr="0002193E">
        <w:rPr>
          <w:rFonts w:eastAsia="Arial" w:cstheme="minorHAnsi"/>
          <w:sz w:val="22"/>
          <w:szCs w:val="22"/>
        </w:rPr>
        <w:t xml:space="preserve"> (CASP) Checklists and, where appropriate, the Joanna Briggs Institute (JBI) Critical Appraisal Tools, thereby strengthening the credibility and trustworthiness of the evidence synthesis (Critical Appraisal Skills </w:t>
      </w:r>
      <w:proofErr w:type="spellStart"/>
      <w:r w:rsidRPr="0002193E">
        <w:rPr>
          <w:rFonts w:eastAsia="Arial" w:cstheme="minorHAnsi"/>
          <w:sz w:val="22"/>
          <w:szCs w:val="22"/>
        </w:rPr>
        <w:t>Programme</w:t>
      </w:r>
      <w:proofErr w:type="spellEnd"/>
      <w:r w:rsidRPr="0002193E">
        <w:rPr>
          <w:rFonts w:eastAsia="Arial" w:cstheme="minorHAnsi"/>
          <w:sz w:val="22"/>
          <w:szCs w:val="22"/>
        </w:rPr>
        <w:t>, 2024; Joanna Briggs Institute, 2023).</w:t>
      </w:r>
    </w:p>
    <w:p w14:paraId="59ADF807" w14:textId="449BC9DB" w:rsidR="0A159609" w:rsidRPr="0002193E" w:rsidRDefault="0A159609" w:rsidP="0002193E">
      <w:pPr>
        <w:spacing w:line="360" w:lineRule="auto"/>
        <w:rPr>
          <w:rFonts w:cstheme="minorHAnsi"/>
          <w:sz w:val="22"/>
          <w:szCs w:val="22"/>
        </w:rPr>
      </w:pPr>
    </w:p>
    <w:p w14:paraId="76CCF415" w14:textId="0CC1E53E" w:rsidR="0AFE5DCE" w:rsidRPr="0002193E" w:rsidRDefault="68A0C95E"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12. Implications of the Research</w:t>
      </w:r>
    </w:p>
    <w:p w14:paraId="1E2E6D32" w14:textId="475C439E" w:rsidR="0AFE5DCE" w:rsidRPr="0002193E" w:rsidRDefault="68A0C95E" w:rsidP="0002193E">
      <w:pPr>
        <w:spacing w:line="360" w:lineRule="auto"/>
        <w:rPr>
          <w:rFonts w:eastAsia="Arial" w:cstheme="minorHAnsi"/>
          <w:sz w:val="22"/>
          <w:szCs w:val="22"/>
        </w:rPr>
      </w:pPr>
      <w:r w:rsidRPr="0002193E">
        <w:rPr>
          <w:rFonts w:eastAsia="Arial" w:cstheme="minorHAnsi"/>
          <w:sz w:val="22"/>
          <w:szCs w:val="22"/>
        </w:rPr>
        <w:t xml:space="preserve">The proposed research is expected to enhance understanding of how social determinants of health influence cardiovascular disease occurrence and outcomes within the UK (World Health Organization, 2024). By </w:t>
      </w:r>
      <w:proofErr w:type="spellStart"/>
      <w:r w:rsidRPr="0002193E">
        <w:rPr>
          <w:rFonts w:eastAsia="Arial" w:cstheme="minorHAnsi"/>
          <w:sz w:val="22"/>
          <w:szCs w:val="22"/>
        </w:rPr>
        <w:t>synthesising</w:t>
      </w:r>
      <w:proofErr w:type="spellEnd"/>
      <w:r w:rsidRPr="0002193E">
        <w:rPr>
          <w:rFonts w:eastAsia="Arial" w:cstheme="minorHAnsi"/>
          <w:sz w:val="22"/>
          <w:szCs w:val="22"/>
        </w:rPr>
        <w:t xml:space="preserve"> contemporary evidence, the review may support policymakers in developing strategies that address both </w:t>
      </w:r>
      <w:proofErr w:type="spellStart"/>
      <w:r w:rsidRPr="0002193E">
        <w:rPr>
          <w:rFonts w:eastAsia="Arial" w:cstheme="minorHAnsi"/>
          <w:sz w:val="22"/>
          <w:szCs w:val="22"/>
        </w:rPr>
        <w:t>behavioural</w:t>
      </w:r>
      <w:proofErr w:type="spellEnd"/>
      <w:r w:rsidRPr="0002193E">
        <w:rPr>
          <w:rFonts w:eastAsia="Arial" w:cstheme="minorHAnsi"/>
          <w:sz w:val="22"/>
          <w:szCs w:val="22"/>
        </w:rPr>
        <w:t xml:space="preserve"> risk factors and wider socioeconomic inequalities contributing to cardiovascular disease (Jefferies et al., 2025; NHS England, </w:t>
      </w:r>
      <w:proofErr w:type="spellStart"/>
      <w:r w:rsidRPr="0002193E">
        <w:rPr>
          <w:rFonts w:eastAsia="Arial" w:cstheme="minorHAnsi"/>
          <w:sz w:val="22"/>
          <w:szCs w:val="22"/>
        </w:rPr>
        <w:t>n.d.b</w:t>
      </w:r>
      <w:proofErr w:type="spellEnd"/>
      <w:r w:rsidRPr="0002193E">
        <w:rPr>
          <w:rFonts w:eastAsia="Arial" w:cstheme="minorHAnsi"/>
          <w:sz w:val="22"/>
          <w:szCs w:val="22"/>
        </w:rPr>
        <w:t>). The findings may also assist healthcare professionals in delivering more equitable, person-</w:t>
      </w:r>
      <w:proofErr w:type="spellStart"/>
      <w:r w:rsidRPr="0002193E">
        <w:rPr>
          <w:rFonts w:eastAsia="Arial" w:cstheme="minorHAnsi"/>
          <w:sz w:val="22"/>
          <w:szCs w:val="22"/>
        </w:rPr>
        <w:t>centred</w:t>
      </w:r>
      <w:proofErr w:type="spellEnd"/>
      <w:r w:rsidRPr="0002193E">
        <w:rPr>
          <w:rFonts w:eastAsia="Arial" w:cstheme="minorHAnsi"/>
          <w:sz w:val="22"/>
          <w:szCs w:val="22"/>
        </w:rPr>
        <w:t xml:space="preserve"> cardiovascular care while identifying priorities for future research and service improvement aimed at reducing health inequalities (The Health Foundation, 2022; Marmot et al., 2020).</w:t>
      </w:r>
    </w:p>
    <w:p w14:paraId="546DE804" w14:textId="2FAA577B" w:rsidR="0AFE5DCE" w:rsidRPr="0002193E" w:rsidRDefault="68A0C95E" w:rsidP="0002193E">
      <w:pPr>
        <w:pStyle w:val="Heading1"/>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lastRenderedPageBreak/>
        <w:t>13. Conclusion</w:t>
      </w:r>
    </w:p>
    <w:p w14:paraId="61723EF9" w14:textId="122ACA29" w:rsidR="0AFE5DCE" w:rsidRPr="0002193E" w:rsidRDefault="68A0C95E" w:rsidP="0002193E">
      <w:pPr>
        <w:spacing w:line="360" w:lineRule="auto"/>
        <w:rPr>
          <w:rFonts w:eastAsia="Arial" w:cstheme="minorHAnsi"/>
          <w:sz w:val="22"/>
          <w:szCs w:val="22"/>
        </w:rPr>
      </w:pPr>
      <w:r w:rsidRPr="0002193E">
        <w:rPr>
          <w:rFonts w:eastAsia="Arial" w:cstheme="minorHAnsi"/>
          <w:sz w:val="22"/>
          <w:szCs w:val="22"/>
        </w:rPr>
        <w:t>Cardiovascular disease remains a major public health challenge within the United Kingdom, with substantial evidence demonstrating that social determinants significantly influence disease occurrence and outcomes (British Heart Foundation, 2025b; World Health Organization, 2024). Despite extensive research, methodological inconsistencies and evidence gaps remain, justifying the need for a systematic review of contemporary literature (Schultz et al., 2018; Hart, 2018).</w:t>
      </w:r>
    </w:p>
    <w:p w14:paraId="1028EA52" w14:textId="5F4DB677" w:rsidR="0AFE5DCE" w:rsidRPr="0002193E" w:rsidRDefault="68A0C95E" w:rsidP="0002193E">
      <w:pPr>
        <w:spacing w:line="360" w:lineRule="auto"/>
        <w:rPr>
          <w:rFonts w:eastAsia="Arial" w:cstheme="minorHAnsi"/>
          <w:sz w:val="22"/>
          <w:szCs w:val="22"/>
        </w:rPr>
      </w:pPr>
      <w:r w:rsidRPr="0002193E">
        <w:rPr>
          <w:rFonts w:eastAsia="Arial" w:cstheme="minorHAnsi"/>
          <w:sz w:val="22"/>
          <w:szCs w:val="22"/>
        </w:rPr>
        <w:t xml:space="preserve">Overall, this proposal demonstrates that a systematic literature review provides an appropriate approach for investigating the relationship between social determinants of health and cardiovascular disease within the UK (Booth, Sutton and Papaioannou, 2021). The findings are expected to inform future public health policy, healthcare practice and research aimed at reducing cardiovascular inequalities and improving population health outcomes (NHS England, </w:t>
      </w:r>
      <w:proofErr w:type="spellStart"/>
      <w:r w:rsidRPr="0002193E">
        <w:rPr>
          <w:rFonts w:eastAsia="Arial" w:cstheme="minorHAnsi"/>
          <w:sz w:val="22"/>
          <w:szCs w:val="22"/>
        </w:rPr>
        <w:t>n.d.b</w:t>
      </w:r>
      <w:proofErr w:type="spellEnd"/>
      <w:r w:rsidRPr="0002193E">
        <w:rPr>
          <w:rFonts w:eastAsia="Arial" w:cstheme="minorHAnsi"/>
          <w:sz w:val="22"/>
          <w:szCs w:val="22"/>
        </w:rPr>
        <w:t>; World Health Organization, 2024).</w:t>
      </w:r>
    </w:p>
    <w:p w14:paraId="4973668A" w14:textId="12090435" w:rsidR="0A159609" w:rsidRPr="0002193E" w:rsidRDefault="28CEE8D0" w:rsidP="0002193E">
      <w:pPr>
        <w:pStyle w:val="Heading2"/>
        <w:spacing w:line="360" w:lineRule="auto"/>
        <w:rPr>
          <w:rFonts w:asciiTheme="minorHAnsi" w:eastAsia="Arial" w:hAnsiTheme="minorHAnsi" w:cstheme="minorHAnsi"/>
          <w:color w:val="auto"/>
          <w:sz w:val="22"/>
          <w:szCs w:val="22"/>
        </w:rPr>
      </w:pPr>
      <w:r w:rsidRPr="0002193E">
        <w:rPr>
          <w:rFonts w:asciiTheme="minorHAnsi" w:eastAsia="Arial" w:hAnsiTheme="minorHAnsi" w:cstheme="minorHAnsi"/>
          <w:color w:val="auto"/>
          <w:sz w:val="22"/>
          <w:szCs w:val="22"/>
        </w:rPr>
        <w:t>14. Plan of Work and Time Schedule</w:t>
      </w:r>
    </w:p>
    <w:p w14:paraId="565B1E51" w14:textId="7E0274D0" w:rsidR="007F331B" w:rsidRDefault="28CEE8D0" w:rsidP="0002193E">
      <w:pPr>
        <w:spacing w:line="360" w:lineRule="auto"/>
        <w:rPr>
          <w:rFonts w:eastAsia="Arial" w:cstheme="minorHAnsi"/>
          <w:sz w:val="22"/>
          <w:szCs w:val="22"/>
        </w:rPr>
      </w:pPr>
      <w:r w:rsidRPr="0002193E">
        <w:rPr>
          <w:rFonts w:eastAsia="Arial" w:cstheme="minorHAnsi"/>
          <w:sz w:val="22"/>
          <w:szCs w:val="22"/>
        </w:rPr>
        <w:t>A proposed timetable has been developed to demonstrate the planned sequence of activities required to complete the systematic literature review within the allocated timeframe. The schedule provides a structured approach to managing each stage of the research process, from proposal development and literature searching to critical appraisal, data analysis and final report preparation, thereby supporting effective project management and ensuring that the research is conducted in a systematic, transparent and achievable manner (Saunders, Lewis and Thornhill, 2023).</w:t>
      </w:r>
    </w:p>
    <w:p w14:paraId="4EBD370E" w14:textId="77777777" w:rsidR="0002193E" w:rsidRDefault="0002193E" w:rsidP="0002193E">
      <w:pPr>
        <w:spacing w:line="360" w:lineRule="auto"/>
        <w:rPr>
          <w:rFonts w:eastAsia="Arial" w:cstheme="minorHAnsi"/>
          <w:sz w:val="22"/>
          <w:szCs w:val="22"/>
        </w:rPr>
      </w:pPr>
    </w:p>
    <w:p w14:paraId="348D3095" w14:textId="77777777" w:rsidR="0002193E" w:rsidRDefault="0002193E" w:rsidP="0002193E">
      <w:pPr>
        <w:spacing w:line="360" w:lineRule="auto"/>
        <w:rPr>
          <w:rFonts w:eastAsia="Arial" w:cstheme="minorHAnsi"/>
          <w:sz w:val="22"/>
          <w:szCs w:val="22"/>
        </w:rPr>
      </w:pPr>
    </w:p>
    <w:p w14:paraId="7C06A663" w14:textId="77777777" w:rsidR="0002193E" w:rsidRDefault="0002193E" w:rsidP="0002193E">
      <w:pPr>
        <w:spacing w:line="360" w:lineRule="auto"/>
        <w:rPr>
          <w:rFonts w:eastAsia="Arial" w:cstheme="minorHAnsi"/>
          <w:sz w:val="22"/>
          <w:szCs w:val="22"/>
        </w:rPr>
      </w:pPr>
    </w:p>
    <w:p w14:paraId="39419CCD" w14:textId="77777777" w:rsidR="0002193E" w:rsidRDefault="0002193E" w:rsidP="0002193E">
      <w:pPr>
        <w:spacing w:line="360" w:lineRule="auto"/>
        <w:rPr>
          <w:rFonts w:eastAsia="Arial" w:cstheme="minorHAnsi"/>
          <w:sz w:val="22"/>
          <w:szCs w:val="22"/>
        </w:rPr>
      </w:pPr>
    </w:p>
    <w:p w14:paraId="3873C9D1" w14:textId="77777777" w:rsidR="0002193E" w:rsidRDefault="0002193E" w:rsidP="0002193E">
      <w:pPr>
        <w:spacing w:line="360" w:lineRule="auto"/>
        <w:rPr>
          <w:rFonts w:eastAsia="Arial" w:cstheme="minorHAnsi"/>
          <w:sz w:val="22"/>
          <w:szCs w:val="22"/>
        </w:rPr>
      </w:pPr>
    </w:p>
    <w:p w14:paraId="4B02E21D" w14:textId="77777777" w:rsidR="0002193E" w:rsidRDefault="0002193E" w:rsidP="0002193E">
      <w:pPr>
        <w:spacing w:line="360" w:lineRule="auto"/>
        <w:rPr>
          <w:rFonts w:eastAsia="Arial" w:cstheme="minorHAnsi"/>
          <w:sz w:val="22"/>
          <w:szCs w:val="22"/>
        </w:rPr>
      </w:pPr>
    </w:p>
    <w:p w14:paraId="6CBB1E11" w14:textId="77777777" w:rsidR="0002193E" w:rsidRDefault="0002193E" w:rsidP="0002193E">
      <w:pPr>
        <w:spacing w:line="360" w:lineRule="auto"/>
        <w:rPr>
          <w:rFonts w:eastAsia="Arial" w:cstheme="minorHAnsi"/>
          <w:sz w:val="22"/>
          <w:szCs w:val="22"/>
        </w:rPr>
      </w:pPr>
    </w:p>
    <w:p w14:paraId="22D95929" w14:textId="77777777" w:rsidR="0002193E" w:rsidRPr="0002193E" w:rsidRDefault="0002193E" w:rsidP="0002193E">
      <w:pPr>
        <w:spacing w:line="360" w:lineRule="auto"/>
        <w:rPr>
          <w:rFonts w:eastAsia="Arial" w:cstheme="minorHAnsi"/>
          <w:sz w:val="22"/>
          <w:szCs w:val="22"/>
        </w:rPr>
      </w:pPr>
    </w:p>
    <w:p w14:paraId="7B0F0189" w14:textId="77777777" w:rsidR="007F331B" w:rsidRPr="0002193E" w:rsidRDefault="007F331B" w:rsidP="0002193E">
      <w:pPr>
        <w:spacing w:before="100" w:beforeAutospacing="1" w:after="100" w:afterAutospacing="1" w:line="360" w:lineRule="auto"/>
        <w:outlineLvl w:val="2"/>
        <w:rPr>
          <w:rFonts w:eastAsia="Times New Roman" w:cstheme="minorHAnsi"/>
          <w:b/>
          <w:bCs/>
          <w:sz w:val="22"/>
          <w:szCs w:val="22"/>
          <w:lang w:eastAsia="en-GB"/>
        </w:rPr>
      </w:pPr>
      <w:r w:rsidRPr="0002193E">
        <w:rPr>
          <w:rFonts w:eastAsia="Times New Roman" w:cstheme="minorHAnsi"/>
          <w:b/>
          <w:bCs/>
          <w:sz w:val="22"/>
          <w:szCs w:val="22"/>
          <w:lang w:eastAsia="en-GB"/>
        </w:rPr>
        <w:lastRenderedPageBreak/>
        <w:t>Table 1. Proposed Gantt Chart</w:t>
      </w:r>
    </w:p>
    <w:tbl>
      <w:tblPr>
        <w:tblW w:w="9307" w:type="dxa"/>
        <w:tblCellSpacing w:w="15" w:type="dxa"/>
        <w:tblCellMar>
          <w:top w:w="15" w:type="dxa"/>
          <w:left w:w="15" w:type="dxa"/>
          <w:bottom w:w="15" w:type="dxa"/>
          <w:right w:w="15" w:type="dxa"/>
        </w:tblCellMar>
        <w:tblLook w:val="04A0" w:firstRow="1" w:lastRow="0" w:firstColumn="1" w:lastColumn="0" w:noHBand="0" w:noVBand="1"/>
      </w:tblPr>
      <w:tblGrid>
        <w:gridCol w:w="3154"/>
        <w:gridCol w:w="990"/>
        <w:gridCol w:w="990"/>
        <w:gridCol w:w="990"/>
        <w:gridCol w:w="990"/>
        <w:gridCol w:w="1056"/>
        <w:gridCol w:w="1137"/>
      </w:tblGrid>
      <w:tr w:rsidR="007F331B" w:rsidRPr="0002193E" w14:paraId="09681410" w14:textId="77777777" w:rsidTr="005E1C42">
        <w:trPr>
          <w:trHeight w:val="570"/>
          <w:tblHeader/>
          <w:tblCellSpacing w:w="15" w:type="dxa"/>
        </w:trPr>
        <w:tc>
          <w:tcPr>
            <w:tcW w:w="0" w:type="auto"/>
            <w:vAlign w:val="center"/>
            <w:hideMark/>
          </w:tcPr>
          <w:p w14:paraId="09BADD68" w14:textId="77777777" w:rsidR="007F331B" w:rsidRPr="0002193E" w:rsidRDefault="007F331B" w:rsidP="0002193E">
            <w:pPr>
              <w:spacing w:after="0" w:line="360" w:lineRule="auto"/>
              <w:jc w:val="center"/>
              <w:rPr>
                <w:rFonts w:eastAsia="Times New Roman" w:cstheme="minorHAnsi"/>
                <w:b/>
                <w:bCs/>
                <w:sz w:val="22"/>
                <w:szCs w:val="22"/>
                <w:lang w:eastAsia="en-GB"/>
              </w:rPr>
            </w:pPr>
            <w:r w:rsidRPr="0002193E">
              <w:rPr>
                <w:rFonts w:eastAsia="Times New Roman" w:cstheme="minorHAnsi"/>
                <w:b/>
                <w:bCs/>
                <w:sz w:val="22"/>
                <w:szCs w:val="22"/>
                <w:lang w:eastAsia="en-GB"/>
              </w:rPr>
              <w:t>Research Activity</w:t>
            </w:r>
          </w:p>
        </w:tc>
        <w:tc>
          <w:tcPr>
            <w:tcW w:w="0" w:type="auto"/>
            <w:vAlign w:val="center"/>
            <w:hideMark/>
          </w:tcPr>
          <w:p w14:paraId="60CCA357" w14:textId="77777777" w:rsidR="007F331B" w:rsidRPr="0002193E" w:rsidRDefault="007F331B" w:rsidP="0002193E">
            <w:pPr>
              <w:spacing w:after="0" w:line="360" w:lineRule="auto"/>
              <w:jc w:val="center"/>
              <w:rPr>
                <w:rFonts w:eastAsia="Times New Roman" w:cstheme="minorHAnsi"/>
                <w:b/>
                <w:bCs/>
                <w:sz w:val="22"/>
                <w:szCs w:val="22"/>
                <w:lang w:eastAsia="en-GB"/>
              </w:rPr>
            </w:pPr>
            <w:r w:rsidRPr="0002193E">
              <w:rPr>
                <w:rFonts w:eastAsia="Times New Roman" w:cstheme="minorHAnsi"/>
                <w:b/>
                <w:bCs/>
                <w:sz w:val="22"/>
                <w:szCs w:val="22"/>
                <w:lang w:eastAsia="en-GB"/>
              </w:rPr>
              <w:t>Weeks 1–2</w:t>
            </w:r>
          </w:p>
        </w:tc>
        <w:tc>
          <w:tcPr>
            <w:tcW w:w="0" w:type="auto"/>
            <w:vAlign w:val="center"/>
            <w:hideMark/>
          </w:tcPr>
          <w:p w14:paraId="25A3222A" w14:textId="77777777" w:rsidR="007F331B" w:rsidRPr="0002193E" w:rsidRDefault="007F331B" w:rsidP="0002193E">
            <w:pPr>
              <w:spacing w:after="0" w:line="360" w:lineRule="auto"/>
              <w:jc w:val="center"/>
              <w:rPr>
                <w:rFonts w:eastAsia="Times New Roman" w:cstheme="minorHAnsi"/>
                <w:b/>
                <w:bCs/>
                <w:sz w:val="22"/>
                <w:szCs w:val="22"/>
                <w:lang w:eastAsia="en-GB"/>
              </w:rPr>
            </w:pPr>
            <w:r w:rsidRPr="0002193E">
              <w:rPr>
                <w:rFonts w:eastAsia="Times New Roman" w:cstheme="minorHAnsi"/>
                <w:b/>
                <w:bCs/>
                <w:sz w:val="22"/>
                <w:szCs w:val="22"/>
                <w:lang w:eastAsia="en-GB"/>
              </w:rPr>
              <w:t>Weeks 3–4</w:t>
            </w:r>
          </w:p>
        </w:tc>
        <w:tc>
          <w:tcPr>
            <w:tcW w:w="0" w:type="auto"/>
            <w:vAlign w:val="center"/>
            <w:hideMark/>
          </w:tcPr>
          <w:p w14:paraId="7E626BC3" w14:textId="77777777" w:rsidR="007F331B" w:rsidRPr="0002193E" w:rsidRDefault="007F331B" w:rsidP="0002193E">
            <w:pPr>
              <w:spacing w:after="0" w:line="360" w:lineRule="auto"/>
              <w:jc w:val="center"/>
              <w:rPr>
                <w:rFonts w:eastAsia="Times New Roman" w:cstheme="minorHAnsi"/>
                <w:b/>
                <w:bCs/>
                <w:sz w:val="22"/>
                <w:szCs w:val="22"/>
                <w:lang w:eastAsia="en-GB"/>
              </w:rPr>
            </w:pPr>
            <w:r w:rsidRPr="0002193E">
              <w:rPr>
                <w:rFonts w:eastAsia="Times New Roman" w:cstheme="minorHAnsi"/>
                <w:b/>
                <w:bCs/>
                <w:sz w:val="22"/>
                <w:szCs w:val="22"/>
                <w:lang w:eastAsia="en-GB"/>
              </w:rPr>
              <w:t>Weeks 5–6</w:t>
            </w:r>
          </w:p>
        </w:tc>
        <w:tc>
          <w:tcPr>
            <w:tcW w:w="0" w:type="auto"/>
            <w:vAlign w:val="center"/>
            <w:hideMark/>
          </w:tcPr>
          <w:p w14:paraId="20CD151F" w14:textId="77777777" w:rsidR="007F331B" w:rsidRPr="0002193E" w:rsidRDefault="007F331B" w:rsidP="0002193E">
            <w:pPr>
              <w:spacing w:after="0" w:line="360" w:lineRule="auto"/>
              <w:jc w:val="center"/>
              <w:rPr>
                <w:rFonts w:eastAsia="Times New Roman" w:cstheme="minorHAnsi"/>
                <w:b/>
                <w:bCs/>
                <w:sz w:val="22"/>
                <w:szCs w:val="22"/>
                <w:lang w:eastAsia="en-GB"/>
              </w:rPr>
            </w:pPr>
            <w:r w:rsidRPr="0002193E">
              <w:rPr>
                <w:rFonts w:eastAsia="Times New Roman" w:cstheme="minorHAnsi"/>
                <w:b/>
                <w:bCs/>
                <w:sz w:val="22"/>
                <w:szCs w:val="22"/>
                <w:lang w:eastAsia="en-GB"/>
              </w:rPr>
              <w:t>Weeks 7–8</w:t>
            </w:r>
          </w:p>
        </w:tc>
        <w:tc>
          <w:tcPr>
            <w:tcW w:w="0" w:type="auto"/>
            <w:vAlign w:val="center"/>
            <w:hideMark/>
          </w:tcPr>
          <w:p w14:paraId="76B014B5" w14:textId="77777777" w:rsidR="007F331B" w:rsidRPr="0002193E" w:rsidRDefault="007F331B" w:rsidP="0002193E">
            <w:pPr>
              <w:spacing w:after="0" w:line="360" w:lineRule="auto"/>
              <w:jc w:val="center"/>
              <w:rPr>
                <w:rFonts w:eastAsia="Times New Roman" w:cstheme="minorHAnsi"/>
                <w:b/>
                <w:bCs/>
                <w:sz w:val="22"/>
                <w:szCs w:val="22"/>
                <w:lang w:eastAsia="en-GB"/>
              </w:rPr>
            </w:pPr>
            <w:r w:rsidRPr="0002193E">
              <w:rPr>
                <w:rFonts w:eastAsia="Times New Roman" w:cstheme="minorHAnsi"/>
                <w:b/>
                <w:bCs/>
                <w:sz w:val="22"/>
                <w:szCs w:val="22"/>
                <w:lang w:eastAsia="en-GB"/>
              </w:rPr>
              <w:t>Weeks 9–10</w:t>
            </w:r>
          </w:p>
        </w:tc>
        <w:tc>
          <w:tcPr>
            <w:tcW w:w="0" w:type="auto"/>
            <w:vAlign w:val="center"/>
            <w:hideMark/>
          </w:tcPr>
          <w:p w14:paraId="5C176AC6" w14:textId="77777777" w:rsidR="007F331B" w:rsidRPr="0002193E" w:rsidRDefault="007F331B" w:rsidP="0002193E">
            <w:pPr>
              <w:spacing w:after="0" w:line="360" w:lineRule="auto"/>
              <w:jc w:val="center"/>
              <w:rPr>
                <w:rFonts w:eastAsia="Times New Roman" w:cstheme="minorHAnsi"/>
                <w:b/>
                <w:bCs/>
                <w:sz w:val="22"/>
                <w:szCs w:val="22"/>
                <w:lang w:eastAsia="en-GB"/>
              </w:rPr>
            </w:pPr>
            <w:r w:rsidRPr="0002193E">
              <w:rPr>
                <w:rFonts w:eastAsia="Times New Roman" w:cstheme="minorHAnsi"/>
                <w:b/>
                <w:bCs/>
                <w:sz w:val="22"/>
                <w:szCs w:val="22"/>
                <w:lang w:eastAsia="en-GB"/>
              </w:rPr>
              <w:t>Weeks 11–12</w:t>
            </w:r>
          </w:p>
        </w:tc>
      </w:tr>
      <w:tr w:rsidR="007F331B" w:rsidRPr="0002193E" w14:paraId="116C5926" w14:textId="77777777" w:rsidTr="005E1C42">
        <w:trPr>
          <w:trHeight w:val="327"/>
          <w:tblCellSpacing w:w="15" w:type="dxa"/>
        </w:trPr>
        <w:tc>
          <w:tcPr>
            <w:tcW w:w="0" w:type="auto"/>
            <w:vAlign w:val="center"/>
            <w:hideMark/>
          </w:tcPr>
          <w:p w14:paraId="78D64D07"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Develop research proposal</w:t>
            </w:r>
          </w:p>
        </w:tc>
        <w:tc>
          <w:tcPr>
            <w:tcW w:w="0" w:type="auto"/>
            <w:vAlign w:val="center"/>
            <w:hideMark/>
          </w:tcPr>
          <w:p w14:paraId="5055ED9E"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0B89ABC8"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3B8FC1EB"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150F18EF"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7F3C4404"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460A3A53" w14:textId="77777777" w:rsidR="007F331B" w:rsidRPr="0002193E" w:rsidRDefault="007F331B" w:rsidP="0002193E">
            <w:pPr>
              <w:spacing w:after="0" w:line="360" w:lineRule="auto"/>
              <w:rPr>
                <w:rFonts w:eastAsia="Times New Roman" w:cstheme="minorHAnsi"/>
                <w:sz w:val="22"/>
                <w:szCs w:val="22"/>
                <w:lang w:eastAsia="en-GB"/>
              </w:rPr>
            </w:pPr>
          </w:p>
        </w:tc>
      </w:tr>
      <w:tr w:rsidR="007F331B" w:rsidRPr="0002193E" w14:paraId="7052D2D9" w14:textId="77777777" w:rsidTr="005E1C42">
        <w:trPr>
          <w:trHeight w:val="336"/>
          <w:tblCellSpacing w:w="15" w:type="dxa"/>
        </w:trPr>
        <w:tc>
          <w:tcPr>
            <w:tcW w:w="0" w:type="auto"/>
            <w:vAlign w:val="center"/>
            <w:hideMark/>
          </w:tcPr>
          <w:p w14:paraId="04A4B5DD"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Preliminary literature search</w:t>
            </w:r>
          </w:p>
        </w:tc>
        <w:tc>
          <w:tcPr>
            <w:tcW w:w="0" w:type="auto"/>
            <w:vAlign w:val="center"/>
            <w:hideMark/>
          </w:tcPr>
          <w:p w14:paraId="3DE19575"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122F8FDC"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45AEA30B"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57B1B8B5"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5807DE2E"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40E3702A" w14:textId="77777777" w:rsidR="007F331B" w:rsidRPr="0002193E" w:rsidRDefault="007F331B" w:rsidP="0002193E">
            <w:pPr>
              <w:spacing w:after="0" w:line="360" w:lineRule="auto"/>
              <w:rPr>
                <w:rFonts w:eastAsia="Times New Roman" w:cstheme="minorHAnsi"/>
                <w:sz w:val="22"/>
                <w:szCs w:val="22"/>
                <w:lang w:eastAsia="en-GB"/>
              </w:rPr>
            </w:pPr>
          </w:p>
        </w:tc>
      </w:tr>
      <w:tr w:rsidR="007F331B" w:rsidRPr="0002193E" w14:paraId="37BDF337" w14:textId="77777777" w:rsidTr="005E1C42">
        <w:trPr>
          <w:trHeight w:val="570"/>
          <w:tblCellSpacing w:w="15" w:type="dxa"/>
        </w:trPr>
        <w:tc>
          <w:tcPr>
            <w:tcW w:w="0" w:type="auto"/>
            <w:vAlign w:val="center"/>
            <w:hideMark/>
          </w:tcPr>
          <w:p w14:paraId="346FB5A2"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Develop search strategy and eligibility criteria</w:t>
            </w:r>
          </w:p>
        </w:tc>
        <w:tc>
          <w:tcPr>
            <w:tcW w:w="0" w:type="auto"/>
            <w:vAlign w:val="center"/>
            <w:hideMark/>
          </w:tcPr>
          <w:p w14:paraId="3C97E9C9"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2AF08702"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68781A09"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628BC1F4"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269CA30E"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62281BC3" w14:textId="77777777" w:rsidR="007F331B" w:rsidRPr="0002193E" w:rsidRDefault="007F331B" w:rsidP="0002193E">
            <w:pPr>
              <w:spacing w:after="0" w:line="360" w:lineRule="auto"/>
              <w:rPr>
                <w:rFonts w:eastAsia="Times New Roman" w:cstheme="minorHAnsi"/>
                <w:sz w:val="22"/>
                <w:szCs w:val="22"/>
                <w:lang w:eastAsia="en-GB"/>
              </w:rPr>
            </w:pPr>
          </w:p>
        </w:tc>
      </w:tr>
      <w:tr w:rsidR="007F331B" w:rsidRPr="0002193E" w14:paraId="70DB49A3" w14:textId="77777777" w:rsidTr="005E1C42">
        <w:trPr>
          <w:trHeight w:val="336"/>
          <w:tblCellSpacing w:w="15" w:type="dxa"/>
        </w:trPr>
        <w:tc>
          <w:tcPr>
            <w:tcW w:w="0" w:type="auto"/>
            <w:vAlign w:val="center"/>
            <w:hideMark/>
          </w:tcPr>
          <w:p w14:paraId="0D2843A0"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Conduct database searches</w:t>
            </w:r>
          </w:p>
        </w:tc>
        <w:tc>
          <w:tcPr>
            <w:tcW w:w="0" w:type="auto"/>
            <w:vAlign w:val="center"/>
            <w:hideMark/>
          </w:tcPr>
          <w:p w14:paraId="5CB6FEE8"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735DE371"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73EB6C18"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299ED346"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4D1BF653"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44C5BC72" w14:textId="77777777" w:rsidR="007F331B" w:rsidRPr="0002193E" w:rsidRDefault="007F331B" w:rsidP="0002193E">
            <w:pPr>
              <w:spacing w:after="0" w:line="360" w:lineRule="auto"/>
              <w:rPr>
                <w:rFonts w:eastAsia="Times New Roman" w:cstheme="minorHAnsi"/>
                <w:sz w:val="22"/>
                <w:szCs w:val="22"/>
                <w:lang w:eastAsia="en-GB"/>
              </w:rPr>
            </w:pPr>
          </w:p>
        </w:tc>
      </w:tr>
      <w:tr w:rsidR="007F331B" w:rsidRPr="0002193E" w14:paraId="002A1C30" w14:textId="77777777" w:rsidTr="005E1C42">
        <w:trPr>
          <w:trHeight w:val="570"/>
          <w:tblCellSpacing w:w="15" w:type="dxa"/>
        </w:trPr>
        <w:tc>
          <w:tcPr>
            <w:tcW w:w="0" w:type="auto"/>
            <w:vAlign w:val="center"/>
            <w:hideMark/>
          </w:tcPr>
          <w:p w14:paraId="27A4E575"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Remove duplicates and screen titles/abstracts</w:t>
            </w:r>
          </w:p>
        </w:tc>
        <w:tc>
          <w:tcPr>
            <w:tcW w:w="0" w:type="auto"/>
            <w:vAlign w:val="center"/>
            <w:hideMark/>
          </w:tcPr>
          <w:p w14:paraId="7C037B10"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2C95128B"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6DF5308A"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72541A5C"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1F8441EC"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2FE1B002" w14:textId="77777777" w:rsidR="007F331B" w:rsidRPr="0002193E" w:rsidRDefault="007F331B" w:rsidP="0002193E">
            <w:pPr>
              <w:spacing w:after="0" w:line="360" w:lineRule="auto"/>
              <w:rPr>
                <w:rFonts w:eastAsia="Times New Roman" w:cstheme="minorHAnsi"/>
                <w:sz w:val="22"/>
                <w:szCs w:val="22"/>
                <w:lang w:eastAsia="en-GB"/>
              </w:rPr>
            </w:pPr>
          </w:p>
        </w:tc>
      </w:tr>
      <w:tr w:rsidR="007F331B" w:rsidRPr="0002193E" w14:paraId="62DFCE7D" w14:textId="77777777" w:rsidTr="005E1C42">
        <w:trPr>
          <w:trHeight w:val="336"/>
          <w:tblCellSpacing w:w="15" w:type="dxa"/>
        </w:trPr>
        <w:tc>
          <w:tcPr>
            <w:tcW w:w="0" w:type="auto"/>
            <w:vAlign w:val="center"/>
            <w:hideMark/>
          </w:tcPr>
          <w:p w14:paraId="6A8820A5"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Full-text eligibility screening</w:t>
            </w:r>
          </w:p>
        </w:tc>
        <w:tc>
          <w:tcPr>
            <w:tcW w:w="0" w:type="auto"/>
            <w:vAlign w:val="center"/>
            <w:hideMark/>
          </w:tcPr>
          <w:p w14:paraId="03595787"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157F8207"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57AC11EB"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7F385A3B"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2FEA7EEC"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5213F661" w14:textId="77777777" w:rsidR="007F331B" w:rsidRPr="0002193E" w:rsidRDefault="007F331B" w:rsidP="0002193E">
            <w:pPr>
              <w:spacing w:after="0" w:line="360" w:lineRule="auto"/>
              <w:rPr>
                <w:rFonts w:eastAsia="Times New Roman" w:cstheme="minorHAnsi"/>
                <w:sz w:val="22"/>
                <w:szCs w:val="22"/>
                <w:lang w:eastAsia="en-GB"/>
              </w:rPr>
            </w:pPr>
          </w:p>
        </w:tc>
      </w:tr>
      <w:tr w:rsidR="007F331B" w:rsidRPr="0002193E" w14:paraId="032D604C" w14:textId="77777777" w:rsidTr="005E1C42">
        <w:trPr>
          <w:trHeight w:val="327"/>
          <w:tblCellSpacing w:w="15" w:type="dxa"/>
        </w:trPr>
        <w:tc>
          <w:tcPr>
            <w:tcW w:w="0" w:type="auto"/>
            <w:vAlign w:val="center"/>
            <w:hideMark/>
          </w:tcPr>
          <w:p w14:paraId="3F0176CA"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Critical appraisal (CASP/JBI)</w:t>
            </w:r>
          </w:p>
        </w:tc>
        <w:tc>
          <w:tcPr>
            <w:tcW w:w="0" w:type="auto"/>
            <w:vAlign w:val="center"/>
            <w:hideMark/>
          </w:tcPr>
          <w:p w14:paraId="3636F402"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753BB548"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0EA69314"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27652CED"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6F793E96"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1962ED11" w14:textId="77777777" w:rsidR="007F331B" w:rsidRPr="0002193E" w:rsidRDefault="007F331B" w:rsidP="0002193E">
            <w:pPr>
              <w:spacing w:after="0" w:line="360" w:lineRule="auto"/>
              <w:rPr>
                <w:rFonts w:eastAsia="Times New Roman" w:cstheme="minorHAnsi"/>
                <w:sz w:val="22"/>
                <w:szCs w:val="22"/>
                <w:lang w:eastAsia="en-GB"/>
              </w:rPr>
            </w:pPr>
          </w:p>
        </w:tc>
      </w:tr>
      <w:tr w:rsidR="007F331B" w:rsidRPr="0002193E" w14:paraId="4311392F" w14:textId="77777777" w:rsidTr="005E1C42">
        <w:trPr>
          <w:trHeight w:val="336"/>
          <w:tblCellSpacing w:w="15" w:type="dxa"/>
        </w:trPr>
        <w:tc>
          <w:tcPr>
            <w:tcW w:w="0" w:type="auto"/>
            <w:vAlign w:val="center"/>
            <w:hideMark/>
          </w:tcPr>
          <w:p w14:paraId="7ED40325"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Data extraction</w:t>
            </w:r>
          </w:p>
        </w:tc>
        <w:tc>
          <w:tcPr>
            <w:tcW w:w="0" w:type="auto"/>
            <w:vAlign w:val="center"/>
            <w:hideMark/>
          </w:tcPr>
          <w:p w14:paraId="2689A3D9"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095F7A8D"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2EED27F9"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5B235080"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74D41E8E"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08A5288C" w14:textId="77777777" w:rsidR="007F331B" w:rsidRPr="0002193E" w:rsidRDefault="007F331B" w:rsidP="0002193E">
            <w:pPr>
              <w:spacing w:after="0" w:line="360" w:lineRule="auto"/>
              <w:rPr>
                <w:rFonts w:eastAsia="Times New Roman" w:cstheme="minorHAnsi"/>
                <w:sz w:val="22"/>
                <w:szCs w:val="22"/>
                <w:lang w:eastAsia="en-GB"/>
              </w:rPr>
            </w:pPr>
          </w:p>
        </w:tc>
      </w:tr>
      <w:tr w:rsidR="007F331B" w:rsidRPr="0002193E" w14:paraId="0D669CD5" w14:textId="77777777" w:rsidTr="005E1C42">
        <w:trPr>
          <w:trHeight w:val="327"/>
          <w:tblCellSpacing w:w="15" w:type="dxa"/>
        </w:trPr>
        <w:tc>
          <w:tcPr>
            <w:tcW w:w="0" w:type="auto"/>
            <w:vAlign w:val="center"/>
            <w:hideMark/>
          </w:tcPr>
          <w:p w14:paraId="06CB8E01"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Thematic analysis</w:t>
            </w:r>
          </w:p>
        </w:tc>
        <w:tc>
          <w:tcPr>
            <w:tcW w:w="0" w:type="auto"/>
            <w:vAlign w:val="center"/>
            <w:hideMark/>
          </w:tcPr>
          <w:p w14:paraId="4A136C3E"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662C62FC"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4FDE3CEE"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1BD45912"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3C69BC84"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3F71D78A" w14:textId="77777777" w:rsidR="007F331B" w:rsidRPr="0002193E" w:rsidRDefault="007F331B" w:rsidP="0002193E">
            <w:pPr>
              <w:spacing w:after="0" w:line="360" w:lineRule="auto"/>
              <w:rPr>
                <w:rFonts w:eastAsia="Times New Roman" w:cstheme="minorHAnsi"/>
                <w:sz w:val="22"/>
                <w:szCs w:val="22"/>
                <w:lang w:eastAsia="en-GB"/>
              </w:rPr>
            </w:pPr>
          </w:p>
        </w:tc>
      </w:tr>
      <w:tr w:rsidR="007F331B" w:rsidRPr="0002193E" w14:paraId="76EB9F78" w14:textId="77777777" w:rsidTr="005E1C42">
        <w:trPr>
          <w:trHeight w:val="570"/>
          <w:tblCellSpacing w:w="15" w:type="dxa"/>
        </w:trPr>
        <w:tc>
          <w:tcPr>
            <w:tcW w:w="0" w:type="auto"/>
            <w:vAlign w:val="center"/>
            <w:hideMark/>
          </w:tcPr>
          <w:p w14:paraId="349B46BC"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Interpretation and synthesis of findings</w:t>
            </w:r>
          </w:p>
        </w:tc>
        <w:tc>
          <w:tcPr>
            <w:tcW w:w="0" w:type="auto"/>
            <w:vAlign w:val="center"/>
            <w:hideMark/>
          </w:tcPr>
          <w:p w14:paraId="43F56C58"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394A41D6"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70CC8EB9"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728C4331"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09FAB5E6"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c>
          <w:tcPr>
            <w:tcW w:w="0" w:type="auto"/>
            <w:vAlign w:val="center"/>
            <w:hideMark/>
          </w:tcPr>
          <w:p w14:paraId="7220FF36"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r>
      <w:tr w:rsidR="007F331B" w:rsidRPr="0002193E" w14:paraId="4CEB0F38" w14:textId="77777777" w:rsidTr="005E1C42">
        <w:trPr>
          <w:trHeight w:val="570"/>
          <w:tblCellSpacing w:w="15" w:type="dxa"/>
        </w:trPr>
        <w:tc>
          <w:tcPr>
            <w:tcW w:w="0" w:type="auto"/>
            <w:vAlign w:val="center"/>
            <w:hideMark/>
          </w:tcPr>
          <w:p w14:paraId="4851AB51" w14:textId="77777777" w:rsidR="007F331B" w:rsidRPr="0002193E" w:rsidRDefault="007F331B" w:rsidP="0002193E">
            <w:pPr>
              <w:spacing w:after="0" w:line="360" w:lineRule="auto"/>
              <w:rPr>
                <w:rFonts w:eastAsia="Times New Roman" w:cstheme="minorHAnsi"/>
                <w:sz w:val="22"/>
                <w:szCs w:val="22"/>
                <w:lang w:eastAsia="en-GB"/>
              </w:rPr>
            </w:pPr>
            <w:r w:rsidRPr="0002193E">
              <w:rPr>
                <w:rFonts w:eastAsia="Times New Roman" w:cstheme="minorHAnsi"/>
                <w:sz w:val="22"/>
                <w:szCs w:val="22"/>
                <w:lang w:eastAsia="en-GB"/>
              </w:rPr>
              <w:t>Final writing, proofreading and submission</w:t>
            </w:r>
          </w:p>
        </w:tc>
        <w:tc>
          <w:tcPr>
            <w:tcW w:w="0" w:type="auto"/>
            <w:vAlign w:val="center"/>
            <w:hideMark/>
          </w:tcPr>
          <w:p w14:paraId="00260B7C"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4E934B58"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03BE4AC3"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3646C9E5"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54BC32BA" w14:textId="77777777" w:rsidR="007F331B" w:rsidRPr="0002193E" w:rsidRDefault="007F331B" w:rsidP="0002193E">
            <w:pPr>
              <w:spacing w:after="0" w:line="360" w:lineRule="auto"/>
              <w:rPr>
                <w:rFonts w:eastAsia="Times New Roman" w:cstheme="minorHAnsi"/>
                <w:sz w:val="22"/>
                <w:szCs w:val="22"/>
                <w:lang w:eastAsia="en-GB"/>
              </w:rPr>
            </w:pPr>
          </w:p>
        </w:tc>
        <w:tc>
          <w:tcPr>
            <w:tcW w:w="0" w:type="auto"/>
            <w:vAlign w:val="center"/>
            <w:hideMark/>
          </w:tcPr>
          <w:p w14:paraId="52F2EFEC" w14:textId="77777777" w:rsidR="007F331B" w:rsidRPr="0002193E" w:rsidRDefault="007F331B" w:rsidP="0002193E">
            <w:pPr>
              <w:spacing w:after="0" w:line="360" w:lineRule="auto"/>
              <w:rPr>
                <w:rFonts w:eastAsia="Times New Roman" w:cstheme="minorHAnsi"/>
                <w:sz w:val="22"/>
                <w:szCs w:val="22"/>
                <w:lang w:eastAsia="en-GB"/>
              </w:rPr>
            </w:pPr>
            <w:r w:rsidRPr="0002193E">
              <w:rPr>
                <w:rFonts w:ascii="Segoe UI Symbol" w:eastAsia="Times New Roman" w:hAnsi="Segoe UI Symbol" w:cs="Segoe UI Symbol"/>
                <w:sz w:val="22"/>
                <w:szCs w:val="22"/>
                <w:lang w:eastAsia="en-GB"/>
              </w:rPr>
              <w:t>✓</w:t>
            </w:r>
          </w:p>
        </w:tc>
      </w:tr>
    </w:tbl>
    <w:p w14:paraId="74370C1A" w14:textId="6389C52A" w:rsidR="0A159609" w:rsidRPr="0002193E" w:rsidRDefault="0A159609" w:rsidP="0002193E">
      <w:pPr>
        <w:spacing w:line="360" w:lineRule="auto"/>
        <w:rPr>
          <w:rFonts w:eastAsia="Arial" w:cstheme="minorHAnsi"/>
          <w:sz w:val="22"/>
          <w:szCs w:val="22"/>
        </w:rPr>
      </w:pPr>
    </w:p>
    <w:p w14:paraId="0A8300A8" w14:textId="61FC770D" w:rsidR="1896124A" w:rsidRPr="0002193E" w:rsidRDefault="1896124A" w:rsidP="0002193E">
      <w:pPr>
        <w:spacing w:line="360" w:lineRule="auto"/>
        <w:rPr>
          <w:rFonts w:eastAsia="Arial" w:cstheme="minorHAnsi"/>
          <w:sz w:val="22"/>
          <w:szCs w:val="22"/>
        </w:rPr>
      </w:pPr>
    </w:p>
    <w:p w14:paraId="1E6F78CB" w14:textId="5D01C816" w:rsidR="1896124A" w:rsidRPr="0002193E" w:rsidRDefault="1896124A" w:rsidP="0002193E">
      <w:pPr>
        <w:spacing w:line="360" w:lineRule="auto"/>
        <w:rPr>
          <w:rFonts w:eastAsia="Arial" w:cstheme="minorHAnsi"/>
          <w:b/>
          <w:bCs/>
          <w:sz w:val="22"/>
          <w:szCs w:val="22"/>
        </w:rPr>
      </w:pPr>
    </w:p>
    <w:p w14:paraId="1C5BC1DE" w14:textId="3EACC987" w:rsidR="0002193E" w:rsidRDefault="28CEE8D0" w:rsidP="0002193E">
      <w:pPr>
        <w:spacing w:line="360" w:lineRule="auto"/>
        <w:rPr>
          <w:rFonts w:eastAsia="Arial" w:cstheme="minorHAnsi"/>
          <w:sz w:val="22"/>
          <w:szCs w:val="22"/>
        </w:rPr>
      </w:pPr>
      <w:r w:rsidRPr="0002193E">
        <w:rPr>
          <w:rFonts w:eastAsia="Arial" w:cstheme="minorHAnsi"/>
          <w:b/>
          <w:bCs/>
          <w:sz w:val="22"/>
          <w:szCs w:val="22"/>
        </w:rPr>
        <w:t>Table 1.</w:t>
      </w:r>
      <w:r w:rsidRPr="0002193E">
        <w:rPr>
          <w:rFonts w:eastAsia="Arial" w:cstheme="minorHAnsi"/>
          <w:sz w:val="22"/>
          <w:szCs w:val="22"/>
        </w:rPr>
        <w:t xml:space="preserve"> Proposed timetable for completion of the systematic literature review (adapted from Saunders, Lewis and Thornhill, 2023)</w:t>
      </w:r>
      <w:r w:rsidR="0002193E">
        <w:rPr>
          <w:rFonts w:eastAsia="Arial" w:cstheme="minorHAnsi"/>
          <w:sz w:val="22"/>
          <w:szCs w:val="22"/>
        </w:rPr>
        <w:t>.</w:t>
      </w:r>
    </w:p>
    <w:p w14:paraId="1E282E88" w14:textId="77777777" w:rsidR="0002193E" w:rsidRDefault="0002193E" w:rsidP="0002193E">
      <w:pPr>
        <w:spacing w:line="360" w:lineRule="auto"/>
        <w:rPr>
          <w:rFonts w:eastAsia="Arial" w:cstheme="minorHAnsi"/>
          <w:sz w:val="22"/>
          <w:szCs w:val="22"/>
        </w:rPr>
      </w:pPr>
    </w:p>
    <w:p w14:paraId="0B9E2FE5" w14:textId="77777777" w:rsidR="0002193E" w:rsidRDefault="0002193E" w:rsidP="0002193E">
      <w:pPr>
        <w:spacing w:line="360" w:lineRule="auto"/>
        <w:rPr>
          <w:rFonts w:eastAsia="Arial" w:cstheme="minorHAnsi"/>
          <w:sz w:val="22"/>
          <w:szCs w:val="22"/>
        </w:rPr>
      </w:pPr>
    </w:p>
    <w:p w14:paraId="6DD2D723" w14:textId="77777777" w:rsidR="0002193E" w:rsidRDefault="0002193E" w:rsidP="0002193E">
      <w:pPr>
        <w:spacing w:line="360" w:lineRule="auto"/>
        <w:rPr>
          <w:rFonts w:eastAsia="Arial" w:cstheme="minorHAnsi"/>
          <w:sz w:val="22"/>
          <w:szCs w:val="22"/>
        </w:rPr>
      </w:pPr>
    </w:p>
    <w:p w14:paraId="6FE339CA" w14:textId="77777777" w:rsidR="0002193E" w:rsidRPr="0002193E" w:rsidRDefault="0002193E" w:rsidP="0002193E">
      <w:pPr>
        <w:spacing w:line="360" w:lineRule="auto"/>
        <w:rPr>
          <w:rFonts w:eastAsia="Arial" w:cstheme="minorHAnsi"/>
          <w:sz w:val="22"/>
          <w:szCs w:val="22"/>
        </w:rPr>
      </w:pPr>
    </w:p>
    <w:p w14:paraId="0FF1DEAC" w14:textId="7790D40B" w:rsidR="06F08BB6" w:rsidRPr="0002193E" w:rsidRDefault="004B38DA" w:rsidP="0002193E">
      <w:pPr>
        <w:spacing w:line="360" w:lineRule="auto"/>
        <w:jc w:val="center"/>
        <w:rPr>
          <w:rFonts w:cstheme="minorHAnsi"/>
          <w:sz w:val="22"/>
          <w:szCs w:val="22"/>
        </w:rPr>
      </w:pPr>
      <w:r w:rsidRPr="0002193E">
        <w:rPr>
          <w:rFonts w:eastAsia="Arial" w:cstheme="minorHAnsi"/>
          <w:sz w:val="22"/>
          <w:szCs w:val="22"/>
        </w:rPr>
        <w:lastRenderedPageBreak/>
        <w:t>Reference</w:t>
      </w:r>
      <w:r w:rsidR="0313C046" w:rsidRPr="0002193E">
        <w:rPr>
          <w:rFonts w:eastAsia="Arial" w:cstheme="minorHAnsi"/>
          <w:sz w:val="22"/>
          <w:szCs w:val="22"/>
        </w:rPr>
        <w:t xml:space="preserve"> list</w:t>
      </w:r>
    </w:p>
    <w:p w14:paraId="4AF02A6E" w14:textId="4545D538" w:rsidR="1896124A" w:rsidRPr="0002193E" w:rsidRDefault="1896124A" w:rsidP="0002193E">
      <w:pPr>
        <w:spacing w:line="360" w:lineRule="auto"/>
        <w:rPr>
          <w:rFonts w:cstheme="minorHAnsi"/>
          <w:sz w:val="22"/>
          <w:szCs w:val="22"/>
        </w:rPr>
      </w:pPr>
    </w:p>
    <w:p w14:paraId="5A2DC5B5" w14:textId="43B3E695"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Bambra, C., Riordan, R., Ford, J. and Matthews, F. (2020) ‘The COVID-19 pandemic and health inequalities’, </w:t>
      </w:r>
      <w:r w:rsidRPr="0002193E">
        <w:rPr>
          <w:rFonts w:eastAsia="Arial" w:cstheme="minorHAnsi"/>
          <w:i/>
          <w:iCs/>
          <w:sz w:val="22"/>
          <w:szCs w:val="22"/>
        </w:rPr>
        <w:t>Journal of Epidemiology and Community Health</w:t>
      </w:r>
      <w:r w:rsidRPr="0002193E">
        <w:rPr>
          <w:rFonts w:eastAsia="Arial" w:cstheme="minorHAnsi"/>
          <w:sz w:val="22"/>
          <w:szCs w:val="22"/>
        </w:rPr>
        <w:t xml:space="preserve">, 74(11), pp. 964–968. Available at: </w:t>
      </w:r>
      <w:hyperlink r:id="rId5">
        <w:r w:rsidRPr="0002193E">
          <w:rPr>
            <w:rStyle w:val="Hyperlink"/>
            <w:rFonts w:cstheme="minorHAnsi"/>
            <w:color w:val="auto"/>
            <w:sz w:val="22"/>
            <w:szCs w:val="22"/>
          </w:rPr>
          <w:t>https://doi.org/10.1136/jech-2020-214401</w:t>
        </w:r>
      </w:hyperlink>
      <w:r w:rsidRPr="0002193E">
        <w:rPr>
          <w:rFonts w:eastAsia="Arial" w:cstheme="minorHAnsi"/>
          <w:sz w:val="22"/>
          <w:szCs w:val="22"/>
        </w:rPr>
        <w:t xml:space="preserve"> (Accessed: 5 July 2026).</w:t>
      </w:r>
    </w:p>
    <w:p w14:paraId="01C80C01" w14:textId="59F2E763"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Booth, A., Sutton, A. and Papaioannou, D. (2021) </w:t>
      </w:r>
      <w:r w:rsidRPr="0002193E">
        <w:rPr>
          <w:rFonts w:eastAsia="Arial" w:cstheme="minorHAnsi"/>
          <w:i/>
          <w:iCs/>
          <w:sz w:val="22"/>
          <w:szCs w:val="22"/>
        </w:rPr>
        <w:t>Systematic Approaches to a Successful Literature Review</w:t>
      </w:r>
      <w:r w:rsidRPr="0002193E">
        <w:rPr>
          <w:rFonts w:eastAsia="Arial" w:cstheme="minorHAnsi"/>
          <w:sz w:val="22"/>
          <w:szCs w:val="22"/>
        </w:rPr>
        <w:t xml:space="preserve">. 3rd </w:t>
      </w:r>
      <w:proofErr w:type="spellStart"/>
      <w:r w:rsidRPr="0002193E">
        <w:rPr>
          <w:rFonts w:eastAsia="Arial" w:cstheme="minorHAnsi"/>
          <w:sz w:val="22"/>
          <w:szCs w:val="22"/>
        </w:rPr>
        <w:t>edn</w:t>
      </w:r>
      <w:proofErr w:type="spellEnd"/>
      <w:r w:rsidRPr="0002193E">
        <w:rPr>
          <w:rFonts w:eastAsia="Arial" w:cstheme="minorHAnsi"/>
          <w:sz w:val="22"/>
          <w:szCs w:val="22"/>
        </w:rPr>
        <w:t>. London: Sage.</w:t>
      </w:r>
    </w:p>
    <w:p w14:paraId="447EF234" w14:textId="32F40289"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Bowling, A. (2023) </w:t>
      </w:r>
      <w:r w:rsidRPr="0002193E">
        <w:rPr>
          <w:rFonts w:eastAsia="Arial" w:cstheme="minorHAnsi"/>
          <w:i/>
          <w:iCs/>
          <w:sz w:val="22"/>
          <w:szCs w:val="22"/>
        </w:rPr>
        <w:t>Research Methods in Health: Investigating Health and Health Services</w:t>
      </w:r>
      <w:r w:rsidRPr="0002193E">
        <w:rPr>
          <w:rFonts w:eastAsia="Arial" w:cstheme="minorHAnsi"/>
          <w:sz w:val="22"/>
          <w:szCs w:val="22"/>
        </w:rPr>
        <w:t xml:space="preserve">. 5th </w:t>
      </w:r>
      <w:proofErr w:type="spellStart"/>
      <w:r w:rsidRPr="0002193E">
        <w:rPr>
          <w:rFonts w:eastAsia="Arial" w:cstheme="minorHAnsi"/>
          <w:sz w:val="22"/>
          <w:szCs w:val="22"/>
        </w:rPr>
        <w:t>edn</w:t>
      </w:r>
      <w:proofErr w:type="spellEnd"/>
      <w:r w:rsidRPr="0002193E">
        <w:rPr>
          <w:rFonts w:eastAsia="Arial" w:cstheme="minorHAnsi"/>
          <w:sz w:val="22"/>
          <w:szCs w:val="22"/>
        </w:rPr>
        <w:t>. Maidenhead: Open University Press.</w:t>
      </w:r>
    </w:p>
    <w:p w14:paraId="771A2165" w14:textId="0193103F"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Braveman, P. and Gottlieb, L. (2014) ‘The social determinants of health: It's time to consider the causes of the causes’, </w:t>
      </w:r>
      <w:r w:rsidRPr="0002193E">
        <w:rPr>
          <w:rFonts w:eastAsia="Arial" w:cstheme="minorHAnsi"/>
          <w:i/>
          <w:iCs/>
          <w:sz w:val="22"/>
          <w:szCs w:val="22"/>
        </w:rPr>
        <w:t>Public Health Reports</w:t>
      </w:r>
      <w:r w:rsidRPr="0002193E">
        <w:rPr>
          <w:rFonts w:eastAsia="Arial" w:cstheme="minorHAnsi"/>
          <w:sz w:val="22"/>
          <w:szCs w:val="22"/>
        </w:rPr>
        <w:t xml:space="preserve">, 129(Suppl. 2), pp. 19–31. Available at: </w:t>
      </w:r>
      <w:hyperlink r:id="rId6">
        <w:r w:rsidRPr="0002193E">
          <w:rPr>
            <w:rStyle w:val="Hyperlink"/>
            <w:rFonts w:cstheme="minorHAnsi"/>
            <w:color w:val="auto"/>
            <w:sz w:val="22"/>
            <w:szCs w:val="22"/>
          </w:rPr>
          <w:t>https://doi.org/10.1177/00333549141</w:t>
        </w:r>
        <w:r w:rsidR="087D914A" w:rsidRPr="0002193E">
          <w:rPr>
            <w:rStyle w:val="Hyperlink"/>
            <w:rFonts w:cstheme="minorHAnsi"/>
            <w:color w:val="auto"/>
            <w:sz w:val="22"/>
            <w:szCs w:val="22"/>
          </w:rPr>
          <w:t xml:space="preserve"> </w:t>
        </w:r>
        <w:r w:rsidRPr="0002193E">
          <w:rPr>
            <w:rStyle w:val="Hyperlink"/>
            <w:rFonts w:cstheme="minorHAnsi"/>
            <w:color w:val="auto"/>
            <w:sz w:val="22"/>
            <w:szCs w:val="22"/>
          </w:rPr>
          <w:t>291S206</w:t>
        </w:r>
      </w:hyperlink>
      <w:r w:rsidRPr="0002193E">
        <w:rPr>
          <w:rFonts w:eastAsia="Arial" w:cstheme="minorHAnsi"/>
          <w:sz w:val="22"/>
          <w:szCs w:val="22"/>
        </w:rPr>
        <w:t xml:space="preserve"> (Accessed: 5 July 2026).</w:t>
      </w:r>
    </w:p>
    <w:p w14:paraId="0C2E1AF8" w14:textId="52C65D70"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Braun, V. and Clarke, V. (2022) </w:t>
      </w:r>
      <w:r w:rsidRPr="0002193E">
        <w:rPr>
          <w:rFonts w:eastAsia="Arial" w:cstheme="minorHAnsi"/>
          <w:i/>
          <w:iCs/>
          <w:sz w:val="22"/>
          <w:szCs w:val="22"/>
        </w:rPr>
        <w:t>Thematic Analysis: A Practical Guide</w:t>
      </w:r>
      <w:r w:rsidRPr="0002193E">
        <w:rPr>
          <w:rFonts w:eastAsia="Arial" w:cstheme="minorHAnsi"/>
          <w:sz w:val="22"/>
          <w:szCs w:val="22"/>
        </w:rPr>
        <w:t>. London: Sage.</w:t>
      </w:r>
    </w:p>
    <w:p w14:paraId="5E6666ED" w14:textId="6CB9681C"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British Heart Foundation (2025a) </w:t>
      </w:r>
      <w:r w:rsidRPr="0002193E">
        <w:rPr>
          <w:rFonts w:eastAsia="Arial" w:cstheme="minorHAnsi"/>
          <w:i/>
          <w:iCs/>
          <w:sz w:val="22"/>
          <w:szCs w:val="22"/>
        </w:rPr>
        <w:t>Cardiovascular inequalities in England: An analysis</w:t>
      </w:r>
      <w:r w:rsidRPr="0002193E">
        <w:rPr>
          <w:rFonts w:eastAsia="Arial" w:cstheme="minorHAnsi"/>
          <w:sz w:val="22"/>
          <w:szCs w:val="22"/>
        </w:rPr>
        <w:t xml:space="preserve">. London: British Heart Foundation. Available at: </w:t>
      </w:r>
      <w:hyperlink r:id="rId7">
        <w:r w:rsidRPr="0002193E">
          <w:rPr>
            <w:rStyle w:val="Hyperlink"/>
            <w:rFonts w:cstheme="minorHAnsi"/>
            <w:color w:val="auto"/>
            <w:sz w:val="22"/>
            <w:szCs w:val="22"/>
          </w:rPr>
          <w:t>https://www.bhf.org.uk/what-we-do/our-research/heart-statistics/health-inequalities-research/cardiovascular-inequalities-in-england-an-analysis</w:t>
        </w:r>
      </w:hyperlink>
      <w:r w:rsidRPr="0002193E">
        <w:rPr>
          <w:rFonts w:eastAsia="Arial" w:cstheme="minorHAnsi"/>
          <w:sz w:val="22"/>
          <w:szCs w:val="22"/>
        </w:rPr>
        <w:t xml:space="preserve"> (Accessed: </w:t>
      </w:r>
      <w:r w:rsidR="009E2017" w:rsidRPr="0002193E">
        <w:rPr>
          <w:rFonts w:eastAsia="Arial" w:cstheme="minorHAnsi"/>
          <w:sz w:val="22"/>
          <w:szCs w:val="22"/>
        </w:rPr>
        <w:t>25</w:t>
      </w:r>
      <w:r w:rsidRPr="0002193E">
        <w:rPr>
          <w:rFonts w:eastAsia="Arial" w:cstheme="minorHAnsi"/>
          <w:sz w:val="22"/>
          <w:szCs w:val="22"/>
        </w:rPr>
        <w:t xml:space="preserve"> June 2026).</w:t>
      </w:r>
    </w:p>
    <w:p w14:paraId="238227F0" w14:textId="6A2D406C"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British Heart Foundation (2025b) </w:t>
      </w:r>
      <w:r w:rsidRPr="0002193E">
        <w:rPr>
          <w:rFonts w:eastAsia="Arial" w:cstheme="minorHAnsi"/>
          <w:i/>
          <w:iCs/>
          <w:sz w:val="22"/>
          <w:szCs w:val="22"/>
        </w:rPr>
        <w:t>Heart &amp; Circulatory Disease Statistics 2025</w:t>
      </w:r>
      <w:r w:rsidRPr="0002193E">
        <w:rPr>
          <w:rFonts w:eastAsia="Arial" w:cstheme="minorHAnsi"/>
          <w:sz w:val="22"/>
          <w:szCs w:val="22"/>
        </w:rPr>
        <w:t xml:space="preserve">. London: British Heart Foundation. Available at: </w:t>
      </w:r>
      <w:hyperlink r:id="rId8">
        <w:r w:rsidRPr="0002193E">
          <w:rPr>
            <w:rStyle w:val="Hyperlink"/>
            <w:rFonts w:cstheme="minorHAnsi"/>
            <w:color w:val="auto"/>
            <w:sz w:val="22"/>
            <w:szCs w:val="22"/>
          </w:rPr>
          <w:t>https://www.bhf.org.uk/what-we-do/our-research/heart-statistics/heart-statistics-publications/cardiovascular-disease-statistics-2025</w:t>
        </w:r>
      </w:hyperlink>
      <w:r w:rsidRPr="0002193E">
        <w:rPr>
          <w:rFonts w:eastAsia="Arial" w:cstheme="minorHAnsi"/>
          <w:sz w:val="22"/>
          <w:szCs w:val="22"/>
        </w:rPr>
        <w:t xml:space="preserve"> (Accessed: </w:t>
      </w:r>
      <w:r w:rsidR="1F4BA852" w:rsidRPr="0002193E">
        <w:rPr>
          <w:rFonts w:eastAsia="Arial" w:cstheme="minorHAnsi"/>
          <w:sz w:val="22"/>
          <w:szCs w:val="22"/>
        </w:rPr>
        <w:t>26</w:t>
      </w:r>
      <w:r w:rsidRPr="0002193E">
        <w:rPr>
          <w:rFonts w:eastAsia="Arial" w:cstheme="minorHAnsi"/>
          <w:sz w:val="22"/>
          <w:szCs w:val="22"/>
        </w:rPr>
        <w:t xml:space="preserve"> June 2026).</w:t>
      </w:r>
    </w:p>
    <w:p w14:paraId="786ED87C" w14:textId="4C03B689"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Cochrane (2024) </w:t>
      </w:r>
      <w:r w:rsidRPr="0002193E">
        <w:rPr>
          <w:rFonts w:eastAsia="Arial" w:cstheme="minorHAnsi"/>
          <w:i/>
          <w:iCs/>
          <w:sz w:val="22"/>
          <w:szCs w:val="22"/>
        </w:rPr>
        <w:t>Cochrane Handbook for Systematic Reviews of Interventions</w:t>
      </w:r>
      <w:r w:rsidRPr="0002193E">
        <w:rPr>
          <w:rFonts w:eastAsia="Arial" w:cstheme="minorHAnsi"/>
          <w:sz w:val="22"/>
          <w:szCs w:val="22"/>
        </w:rPr>
        <w:t xml:space="preserve">. Version 6.5. Available at: </w:t>
      </w:r>
      <w:hyperlink r:id="rId9">
        <w:r w:rsidRPr="0002193E">
          <w:rPr>
            <w:rStyle w:val="Hyperlink"/>
            <w:rFonts w:cstheme="minorHAnsi"/>
            <w:color w:val="auto"/>
            <w:sz w:val="22"/>
            <w:szCs w:val="22"/>
          </w:rPr>
          <w:t>https://training.cochrane.org/handbook</w:t>
        </w:r>
      </w:hyperlink>
      <w:r w:rsidRPr="0002193E">
        <w:rPr>
          <w:rFonts w:eastAsia="Arial" w:cstheme="minorHAnsi"/>
          <w:sz w:val="22"/>
          <w:szCs w:val="22"/>
        </w:rPr>
        <w:t xml:space="preserve"> (Accessed: 20 June 2026).</w:t>
      </w:r>
    </w:p>
    <w:p w14:paraId="73AE2B50" w14:textId="2713983C"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Creswell, J.W. and Creswell, J.D. (2023) </w:t>
      </w:r>
      <w:r w:rsidRPr="0002193E">
        <w:rPr>
          <w:rFonts w:eastAsia="Arial" w:cstheme="minorHAnsi"/>
          <w:i/>
          <w:iCs/>
          <w:sz w:val="22"/>
          <w:szCs w:val="22"/>
        </w:rPr>
        <w:t>Research Design: Qualitative, Quantitative and Mixed Methods Approaches</w:t>
      </w:r>
      <w:r w:rsidRPr="0002193E">
        <w:rPr>
          <w:rFonts w:eastAsia="Arial" w:cstheme="minorHAnsi"/>
          <w:sz w:val="22"/>
          <w:szCs w:val="22"/>
        </w:rPr>
        <w:t xml:space="preserve">. 6th </w:t>
      </w:r>
      <w:proofErr w:type="spellStart"/>
      <w:r w:rsidRPr="0002193E">
        <w:rPr>
          <w:rFonts w:eastAsia="Arial" w:cstheme="minorHAnsi"/>
          <w:sz w:val="22"/>
          <w:szCs w:val="22"/>
        </w:rPr>
        <w:t>edn</w:t>
      </w:r>
      <w:proofErr w:type="spellEnd"/>
      <w:r w:rsidRPr="0002193E">
        <w:rPr>
          <w:rFonts w:eastAsia="Arial" w:cstheme="minorHAnsi"/>
          <w:sz w:val="22"/>
          <w:szCs w:val="22"/>
        </w:rPr>
        <w:t>. Thousand Oaks, CA: Sage.</w:t>
      </w:r>
    </w:p>
    <w:p w14:paraId="45F85BE8" w14:textId="33B9E8FE" w:rsidR="125D6AD3" w:rsidRPr="0002193E" w:rsidRDefault="125D6AD3" w:rsidP="0002193E">
      <w:pPr>
        <w:spacing w:line="360" w:lineRule="auto"/>
        <w:rPr>
          <w:rFonts w:eastAsia="Arial" w:cstheme="minorHAnsi"/>
          <w:sz w:val="22"/>
          <w:szCs w:val="22"/>
        </w:rPr>
      </w:pPr>
      <w:r w:rsidRPr="0002193E">
        <w:rPr>
          <w:rFonts w:eastAsia="Arial" w:cstheme="minorHAnsi"/>
          <w:sz w:val="22"/>
          <w:szCs w:val="22"/>
        </w:rPr>
        <w:t xml:space="preserve">Critical Appraisal Skills </w:t>
      </w:r>
      <w:proofErr w:type="spellStart"/>
      <w:r w:rsidRPr="0002193E">
        <w:rPr>
          <w:rFonts w:eastAsia="Arial" w:cstheme="minorHAnsi"/>
          <w:sz w:val="22"/>
          <w:szCs w:val="22"/>
        </w:rPr>
        <w:t>Programme</w:t>
      </w:r>
      <w:proofErr w:type="spellEnd"/>
      <w:r w:rsidRPr="0002193E">
        <w:rPr>
          <w:rFonts w:eastAsia="Arial" w:cstheme="minorHAnsi"/>
          <w:sz w:val="22"/>
          <w:szCs w:val="22"/>
        </w:rPr>
        <w:t xml:space="preserve"> (2024a) </w:t>
      </w:r>
      <w:r w:rsidRPr="0002193E">
        <w:rPr>
          <w:rFonts w:eastAsia="Arial" w:cstheme="minorHAnsi"/>
          <w:i/>
          <w:iCs/>
          <w:sz w:val="22"/>
          <w:szCs w:val="22"/>
        </w:rPr>
        <w:t>CASP Systematic Review Checklist</w:t>
      </w:r>
      <w:r w:rsidRPr="0002193E">
        <w:rPr>
          <w:rFonts w:eastAsia="Arial" w:cstheme="minorHAnsi"/>
          <w:sz w:val="22"/>
          <w:szCs w:val="22"/>
        </w:rPr>
        <w:t xml:space="preserve">. Available at: </w:t>
      </w:r>
      <w:hyperlink r:id="rId10">
        <w:r w:rsidRPr="0002193E">
          <w:rPr>
            <w:rStyle w:val="Hyperlink"/>
            <w:rFonts w:cstheme="minorHAnsi"/>
            <w:color w:val="auto"/>
            <w:sz w:val="22"/>
            <w:szCs w:val="22"/>
          </w:rPr>
          <w:t>https://casp-uk.net/casp-tools-checklists/systematic-review-checklist/</w:t>
        </w:r>
      </w:hyperlink>
      <w:r w:rsidRPr="0002193E">
        <w:rPr>
          <w:rFonts w:eastAsia="Arial" w:cstheme="minorHAnsi"/>
          <w:sz w:val="22"/>
          <w:szCs w:val="22"/>
        </w:rPr>
        <w:t xml:space="preserve"> (Accessed: 20 June 2026).</w:t>
      </w:r>
    </w:p>
    <w:p w14:paraId="7F9EC4E7" w14:textId="75FDD399" w:rsidR="125D6AD3" w:rsidRPr="0002193E" w:rsidRDefault="125D6AD3" w:rsidP="0002193E">
      <w:pPr>
        <w:spacing w:line="360" w:lineRule="auto"/>
        <w:rPr>
          <w:rFonts w:eastAsia="Arial" w:cstheme="minorHAnsi"/>
          <w:sz w:val="22"/>
          <w:szCs w:val="22"/>
        </w:rPr>
      </w:pPr>
      <w:r w:rsidRPr="0002193E">
        <w:rPr>
          <w:rFonts w:eastAsia="Arial" w:cstheme="minorHAnsi"/>
          <w:sz w:val="22"/>
          <w:szCs w:val="22"/>
        </w:rPr>
        <w:t xml:space="preserve">Critical Appraisal Skills </w:t>
      </w:r>
      <w:proofErr w:type="spellStart"/>
      <w:r w:rsidRPr="0002193E">
        <w:rPr>
          <w:rFonts w:eastAsia="Arial" w:cstheme="minorHAnsi"/>
          <w:sz w:val="22"/>
          <w:szCs w:val="22"/>
        </w:rPr>
        <w:t>Programme</w:t>
      </w:r>
      <w:proofErr w:type="spellEnd"/>
      <w:r w:rsidRPr="0002193E">
        <w:rPr>
          <w:rFonts w:eastAsia="Arial" w:cstheme="minorHAnsi"/>
          <w:sz w:val="22"/>
          <w:szCs w:val="22"/>
        </w:rPr>
        <w:t xml:space="preserve"> (2024b) </w:t>
      </w:r>
      <w:r w:rsidRPr="0002193E">
        <w:rPr>
          <w:rFonts w:eastAsia="Arial" w:cstheme="minorHAnsi"/>
          <w:i/>
          <w:iCs/>
          <w:sz w:val="22"/>
          <w:szCs w:val="22"/>
        </w:rPr>
        <w:t>CASP Cohort Study Checklist</w:t>
      </w:r>
      <w:r w:rsidRPr="0002193E">
        <w:rPr>
          <w:rFonts w:eastAsia="Arial" w:cstheme="minorHAnsi"/>
          <w:sz w:val="22"/>
          <w:szCs w:val="22"/>
        </w:rPr>
        <w:t xml:space="preserve">. Available at: </w:t>
      </w:r>
      <w:hyperlink r:id="rId11">
        <w:r w:rsidRPr="0002193E">
          <w:rPr>
            <w:rStyle w:val="Hyperlink"/>
            <w:rFonts w:cstheme="minorHAnsi"/>
            <w:color w:val="auto"/>
            <w:sz w:val="22"/>
            <w:szCs w:val="22"/>
          </w:rPr>
          <w:t>https://casp-uk.net/casp-tools-checklists/cohort-study-checklist/</w:t>
        </w:r>
      </w:hyperlink>
      <w:r w:rsidRPr="0002193E">
        <w:rPr>
          <w:rFonts w:eastAsia="Arial" w:cstheme="minorHAnsi"/>
          <w:sz w:val="22"/>
          <w:szCs w:val="22"/>
        </w:rPr>
        <w:t xml:space="preserve"> (Accessed: 20 June 2026).</w:t>
      </w:r>
    </w:p>
    <w:p w14:paraId="2324C306" w14:textId="4F4D2339" w:rsidR="125D6AD3" w:rsidRPr="0002193E" w:rsidRDefault="125D6AD3" w:rsidP="0002193E">
      <w:pPr>
        <w:spacing w:line="360" w:lineRule="auto"/>
        <w:rPr>
          <w:rFonts w:eastAsia="Arial" w:cstheme="minorHAnsi"/>
          <w:sz w:val="22"/>
          <w:szCs w:val="22"/>
        </w:rPr>
      </w:pPr>
      <w:r w:rsidRPr="0002193E">
        <w:rPr>
          <w:rFonts w:eastAsia="Arial" w:cstheme="minorHAnsi"/>
          <w:sz w:val="22"/>
          <w:szCs w:val="22"/>
        </w:rPr>
        <w:lastRenderedPageBreak/>
        <w:t xml:space="preserve">Critical Appraisal Skills </w:t>
      </w:r>
      <w:proofErr w:type="spellStart"/>
      <w:r w:rsidRPr="0002193E">
        <w:rPr>
          <w:rFonts w:eastAsia="Arial" w:cstheme="minorHAnsi"/>
          <w:sz w:val="22"/>
          <w:szCs w:val="22"/>
        </w:rPr>
        <w:t>Programme</w:t>
      </w:r>
      <w:proofErr w:type="spellEnd"/>
      <w:r w:rsidRPr="0002193E">
        <w:rPr>
          <w:rFonts w:eastAsia="Arial" w:cstheme="minorHAnsi"/>
          <w:sz w:val="22"/>
          <w:szCs w:val="22"/>
        </w:rPr>
        <w:t xml:space="preserve"> (2024c) </w:t>
      </w:r>
      <w:r w:rsidRPr="0002193E">
        <w:rPr>
          <w:rFonts w:eastAsia="Arial" w:cstheme="minorHAnsi"/>
          <w:i/>
          <w:iCs/>
          <w:sz w:val="22"/>
          <w:szCs w:val="22"/>
        </w:rPr>
        <w:t>CASP Qualitative Studies Checklist</w:t>
      </w:r>
      <w:r w:rsidRPr="0002193E">
        <w:rPr>
          <w:rFonts w:eastAsia="Arial" w:cstheme="minorHAnsi"/>
          <w:sz w:val="22"/>
          <w:szCs w:val="22"/>
        </w:rPr>
        <w:t xml:space="preserve">. Available at: </w:t>
      </w:r>
      <w:hyperlink r:id="rId12">
        <w:r w:rsidRPr="0002193E">
          <w:rPr>
            <w:rStyle w:val="Hyperlink"/>
            <w:rFonts w:cstheme="minorHAnsi"/>
            <w:color w:val="auto"/>
            <w:sz w:val="22"/>
            <w:szCs w:val="22"/>
          </w:rPr>
          <w:t>https://casp-uk.net/casp-tools-checklists/qualitative-studies-checklist/</w:t>
        </w:r>
      </w:hyperlink>
      <w:r w:rsidRPr="0002193E">
        <w:rPr>
          <w:rFonts w:eastAsia="Arial" w:cstheme="minorHAnsi"/>
          <w:sz w:val="22"/>
          <w:szCs w:val="22"/>
        </w:rPr>
        <w:t xml:space="preserve"> (Accessed: 20 June 2026).</w:t>
      </w:r>
    </w:p>
    <w:p w14:paraId="18A57DFA" w14:textId="560DE0CD" w:rsidR="125D6AD3" w:rsidRPr="0002193E" w:rsidRDefault="125D6AD3" w:rsidP="0002193E">
      <w:pPr>
        <w:spacing w:line="360" w:lineRule="auto"/>
        <w:rPr>
          <w:rFonts w:eastAsia="Arial" w:cstheme="minorHAnsi"/>
          <w:sz w:val="22"/>
          <w:szCs w:val="22"/>
        </w:rPr>
      </w:pPr>
      <w:r w:rsidRPr="0002193E">
        <w:rPr>
          <w:rFonts w:eastAsia="Arial" w:cstheme="minorHAnsi"/>
          <w:sz w:val="22"/>
          <w:szCs w:val="22"/>
        </w:rPr>
        <w:t xml:space="preserve">Joanna Briggs Institute (2023) </w:t>
      </w:r>
      <w:r w:rsidRPr="0002193E">
        <w:rPr>
          <w:rFonts w:eastAsia="Arial" w:cstheme="minorHAnsi"/>
          <w:i/>
          <w:iCs/>
          <w:sz w:val="22"/>
          <w:szCs w:val="22"/>
        </w:rPr>
        <w:t>JBI Critical Appraisal Tools</w:t>
      </w:r>
      <w:r w:rsidRPr="0002193E">
        <w:rPr>
          <w:rFonts w:eastAsia="Arial" w:cstheme="minorHAnsi"/>
          <w:sz w:val="22"/>
          <w:szCs w:val="22"/>
        </w:rPr>
        <w:t xml:space="preserve">. Available at: </w:t>
      </w:r>
      <w:hyperlink r:id="rId13">
        <w:r w:rsidRPr="0002193E">
          <w:rPr>
            <w:rStyle w:val="Hyperlink"/>
            <w:rFonts w:cstheme="minorHAnsi"/>
            <w:color w:val="auto"/>
            <w:sz w:val="22"/>
            <w:szCs w:val="22"/>
          </w:rPr>
          <w:t>https://jbi.global/critical-appraisal-tools</w:t>
        </w:r>
      </w:hyperlink>
      <w:r w:rsidRPr="0002193E">
        <w:rPr>
          <w:rFonts w:eastAsia="Arial" w:cstheme="minorHAnsi"/>
          <w:sz w:val="22"/>
          <w:szCs w:val="22"/>
        </w:rPr>
        <w:t xml:space="preserve"> (Accessed: 20 June 2026).</w:t>
      </w:r>
    </w:p>
    <w:p w14:paraId="1886817B" w14:textId="69D17539"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Greenhalgh, T. (2019) </w:t>
      </w:r>
      <w:r w:rsidRPr="0002193E">
        <w:rPr>
          <w:rFonts w:eastAsia="Arial" w:cstheme="minorHAnsi"/>
          <w:i/>
          <w:iCs/>
          <w:sz w:val="22"/>
          <w:szCs w:val="22"/>
        </w:rPr>
        <w:t>How to Read a Paper: The Basics of Evidence-Based Medicine and Healthcare</w:t>
      </w:r>
      <w:r w:rsidRPr="0002193E">
        <w:rPr>
          <w:rFonts w:eastAsia="Arial" w:cstheme="minorHAnsi"/>
          <w:sz w:val="22"/>
          <w:szCs w:val="22"/>
        </w:rPr>
        <w:t xml:space="preserve">. 6th </w:t>
      </w:r>
      <w:proofErr w:type="spellStart"/>
      <w:r w:rsidRPr="0002193E">
        <w:rPr>
          <w:rFonts w:eastAsia="Arial" w:cstheme="minorHAnsi"/>
          <w:sz w:val="22"/>
          <w:szCs w:val="22"/>
        </w:rPr>
        <w:t>edn</w:t>
      </w:r>
      <w:proofErr w:type="spellEnd"/>
      <w:r w:rsidRPr="0002193E">
        <w:rPr>
          <w:rFonts w:eastAsia="Arial" w:cstheme="minorHAnsi"/>
          <w:sz w:val="22"/>
          <w:szCs w:val="22"/>
        </w:rPr>
        <w:t>. Hoboken, NJ: Wiley-Blackwell.</w:t>
      </w:r>
    </w:p>
    <w:p w14:paraId="387EE779" w14:textId="4A350962"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Hart, C. (2018) </w:t>
      </w:r>
      <w:r w:rsidRPr="0002193E">
        <w:rPr>
          <w:rFonts w:eastAsia="Arial" w:cstheme="minorHAnsi"/>
          <w:i/>
          <w:iCs/>
          <w:sz w:val="22"/>
          <w:szCs w:val="22"/>
        </w:rPr>
        <w:t xml:space="preserve">Doing a Literature Review: Releasing </w:t>
      </w:r>
      <w:proofErr w:type="gramStart"/>
      <w:r w:rsidRPr="0002193E">
        <w:rPr>
          <w:rFonts w:eastAsia="Arial" w:cstheme="minorHAnsi"/>
          <w:i/>
          <w:iCs/>
          <w:sz w:val="22"/>
          <w:szCs w:val="22"/>
        </w:rPr>
        <w:t>the Research</w:t>
      </w:r>
      <w:proofErr w:type="gramEnd"/>
      <w:r w:rsidRPr="0002193E">
        <w:rPr>
          <w:rFonts w:eastAsia="Arial" w:cstheme="minorHAnsi"/>
          <w:i/>
          <w:iCs/>
          <w:sz w:val="22"/>
          <w:szCs w:val="22"/>
        </w:rPr>
        <w:t xml:space="preserve"> Imagination</w:t>
      </w:r>
      <w:r w:rsidRPr="0002193E">
        <w:rPr>
          <w:rFonts w:eastAsia="Arial" w:cstheme="minorHAnsi"/>
          <w:sz w:val="22"/>
          <w:szCs w:val="22"/>
        </w:rPr>
        <w:t xml:space="preserve">. 2nd </w:t>
      </w:r>
      <w:proofErr w:type="spellStart"/>
      <w:r w:rsidRPr="0002193E">
        <w:rPr>
          <w:rFonts w:eastAsia="Arial" w:cstheme="minorHAnsi"/>
          <w:sz w:val="22"/>
          <w:szCs w:val="22"/>
        </w:rPr>
        <w:t>edn</w:t>
      </w:r>
      <w:proofErr w:type="spellEnd"/>
      <w:r w:rsidRPr="0002193E">
        <w:rPr>
          <w:rFonts w:eastAsia="Arial" w:cstheme="minorHAnsi"/>
          <w:sz w:val="22"/>
          <w:szCs w:val="22"/>
        </w:rPr>
        <w:t>. London: Sage.</w:t>
      </w:r>
    </w:p>
    <w:p w14:paraId="23481C10" w14:textId="3F12C635"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Health Research Authority (2024) </w:t>
      </w:r>
      <w:r w:rsidRPr="0002193E">
        <w:rPr>
          <w:rFonts w:eastAsia="Arial" w:cstheme="minorHAnsi"/>
          <w:i/>
          <w:iCs/>
          <w:sz w:val="22"/>
          <w:szCs w:val="22"/>
        </w:rPr>
        <w:t>Do I need NHS Research Ethics Committee review?</w:t>
      </w:r>
      <w:r w:rsidRPr="0002193E">
        <w:rPr>
          <w:rFonts w:eastAsia="Arial" w:cstheme="minorHAnsi"/>
          <w:sz w:val="22"/>
          <w:szCs w:val="22"/>
        </w:rPr>
        <w:t xml:space="preserve"> Available at: </w:t>
      </w:r>
      <w:hyperlink r:id="rId14">
        <w:r w:rsidRPr="0002193E">
          <w:rPr>
            <w:rStyle w:val="Hyperlink"/>
            <w:rFonts w:cstheme="minorHAnsi"/>
            <w:color w:val="auto"/>
            <w:sz w:val="22"/>
            <w:szCs w:val="22"/>
          </w:rPr>
          <w:t>https://www.hra.nhs.uk/approvals-amendments/what-approvals-do-i-need/research-ethics-committee-review/</w:t>
        </w:r>
      </w:hyperlink>
      <w:r w:rsidRPr="0002193E">
        <w:rPr>
          <w:rFonts w:eastAsia="Arial" w:cstheme="minorHAnsi"/>
          <w:sz w:val="22"/>
          <w:szCs w:val="22"/>
        </w:rPr>
        <w:t xml:space="preserve"> (Accessed: 20 June 2026).</w:t>
      </w:r>
    </w:p>
    <w:p w14:paraId="07CD795A" w14:textId="78E298A5"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Jefferies, D., Williams, E., Buck, D., Babalola, G. and Maguire, D. (2025) </w:t>
      </w:r>
      <w:r w:rsidRPr="0002193E">
        <w:rPr>
          <w:rFonts w:eastAsia="Arial" w:cstheme="minorHAnsi"/>
          <w:i/>
          <w:iCs/>
          <w:sz w:val="22"/>
          <w:szCs w:val="22"/>
        </w:rPr>
        <w:t>What are health inequalities?</w:t>
      </w:r>
      <w:r w:rsidRPr="0002193E">
        <w:rPr>
          <w:rFonts w:eastAsia="Arial" w:cstheme="minorHAnsi"/>
          <w:sz w:val="22"/>
          <w:szCs w:val="22"/>
        </w:rPr>
        <w:t xml:space="preserve"> London: The King's Fund. Available at: </w:t>
      </w:r>
      <w:hyperlink r:id="rId15">
        <w:r w:rsidRPr="0002193E">
          <w:rPr>
            <w:rStyle w:val="Hyperlink"/>
            <w:rFonts w:cstheme="minorHAnsi"/>
            <w:color w:val="auto"/>
            <w:sz w:val="22"/>
            <w:szCs w:val="22"/>
          </w:rPr>
          <w:t>https://www.kingsfund.org.uk/insight-and-analysis/long-reads/what-are-health-inequalities</w:t>
        </w:r>
      </w:hyperlink>
      <w:r w:rsidRPr="0002193E">
        <w:rPr>
          <w:rFonts w:eastAsia="Arial" w:cstheme="minorHAnsi"/>
          <w:sz w:val="22"/>
          <w:szCs w:val="22"/>
        </w:rPr>
        <w:t xml:space="preserve"> (Accessed: 7 June 2026).</w:t>
      </w:r>
    </w:p>
    <w:p w14:paraId="40D63608" w14:textId="34E7839E"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Joanna Briggs Institute (2023) </w:t>
      </w:r>
      <w:r w:rsidRPr="0002193E">
        <w:rPr>
          <w:rFonts w:eastAsia="Arial" w:cstheme="minorHAnsi"/>
          <w:i/>
          <w:iCs/>
          <w:sz w:val="22"/>
          <w:szCs w:val="22"/>
        </w:rPr>
        <w:t>JBI Critical Appraisal Tools</w:t>
      </w:r>
      <w:r w:rsidRPr="0002193E">
        <w:rPr>
          <w:rFonts w:eastAsia="Arial" w:cstheme="minorHAnsi"/>
          <w:sz w:val="22"/>
          <w:szCs w:val="22"/>
        </w:rPr>
        <w:t xml:space="preserve">. Available at: </w:t>
      </w:r>
      <w:hyperlink r:id="rId16">
        <w:r w:rsidRPr="0002193E">
          <w:rPr>
            <w:rStyle w:val="Hyperlink"/>
            <w:rFonts w:cstheme="minorHAnsi"/>
            <w:color w:val="auto"/>
            <w:sz w:val="22"/>
            <w:szCs w:val="22"/>
          </w:rPr>
          <w:t>https://jbi.global/critical-appraisal-tools</w:t>
        </w:r>
      </w:hyperlink>
      <w:r w:rsidRPr="0002193E">
        <w:rPr>
          <w:rFonts w:eastAsia="Arial" w:cstheme="minorHAnsi"/>
          <w:sz w:val="22"/>
          <w:szCs w:val="22"/>
        </w:rPr>
        <w:t xml:space="preserve"> (Accessed: 20 June 2026).</w:t>
      </w:r>
    </w:p>
    <w:p w14:paraId="65991C7D" w14:textId="5BBEC81B" w:rsidR="06F08BB6" w:rsidRPr="0002193E" w:rsidRDefault="6A65DCDF" w:rsidP="0002193E">
      <w:pPr>
        <w:spacing w:line="360" w:lineRule="auto"/>
        <w:rPr>
          <w:rFonts w:eastAsia="Arial" w:cstheme="minorHAnsi"/>
          <w:sz w:val="22"/>
          <w:szCs w:val="22"/>
        </w:rPr>
      </w:pPr>
      <w:proofErr w:type="spellStart"/>
      <w:r w:rsidRPr="0002193E">
        <w:rPr>
          <w:rFonts w:eastAsia="Arial" w:cstheme="minorHAnsi"/>
          <w:sz w:val="22"/>
          <w:szCs w:val="22"/>
        </w:rPr>
        <w:t>Mackenbach</w:t>
      </w:r>
      <w:proofErr w:type="spellEnd"/>
      <w:r w:rsidRPr="0002193E">
        <w:rPr>
          <w:rFonts w:eastAsia="Arial" w:cstheme="minorHAnsi"/>
          <w:sz w:val="22"/>
          <w:szCs w:val="22"/>
        </w:rPr>
        <w:t xml:space="preserve">, J.P., Valverde, J.R., </w:t>
      </w:r>
      <w:proofErr w:type="spellStart"/>
      <w:r w:rsidRPr="0002193E">
        <w:rPr>
          <w:rFonts w:eastAsia="Arial" w:cstheme="minorHAnsi"/>
          <w:sz w:val="22"/>
          <w:szCs w:val="22"/>
        </w:rPr>
        <w:t>Artnik</w:t>
      </w:r>
      <w:proofErr w:type="spellEnd"/>
      <w:r w:rsidRPr="0002193E">
        <w:rPr>
          <w:rFonts w:eastAsia="Arial" w:cstheme="minorHAnsi"/>
          <w:sz w:val="22"/>
          <w:szCs w:val="22"/>
        </w:rPr>
        <w:t xml:space="preserve">, B., Bopp, M., Brønnum-Hansen, H., </w:t>
      </w:r>
      <w:proofErr w:type="spellStart"/>
      <w:r w:rsidRPr="0002193E">
        <w:rPr>
          <w:rFonts w:eastAsia="Arial" w:cstheme="minorHAnsi"/>
          <w:sz w:val="22"/>
          <w:szCs w:val="22"/>
        </w:rPr>
        <w:t>Deboosere</w:t>
      </w:r>
      <w:proofErr w:type="spellEnd"/>
      <w:r w:rsidRPr="0002193E">
        <w:rPr>
          <w:rFonts w:eastAsia="Arial" w:cstheme="minorHAnsi"/>
          <w:sz w:val="22"/>
          <w:szCs w:val="22"/>
        </w:rPr>
        <w:t xml:space="preserve">, P., </w:t>
      </w:r>
      <w:proofErr w:type="spellStart"/>
      <w:r w:rsidRPr="0002193E">
        <w:rPr>
          <w:rFonts w:eastAsia="Arial" w:cstheme="minorHAnsi"/>
          <w:sz w:val="22"/>
          <w:szCs w:val="22"/>
        </w:rPr>
        <w:t>Kalediene</w:t>
      </w:r>
      <w:proofErr w:type="spellEnd"/>
      <w:r w:rsidRPr="0002193E">
        <w:rPr>
          <w:rFonts w:eastAsia="Arial" w:cstheme="minorHAnsi"/>
          <w:sz w:val="22"/>
          <w:szCs w:val="22"/>
        </w:rPr>
        <w:t xml:space="preserve">, R., Kovács, K., </w:t>
      </w:r>
      <w:proofErr w:type="spellStart"/>
      <w:r w:rsidRPr="0002193E">
        <w:rPr>
          <w:rFonts w:eastAsia="Arial" w:cstheme="minorHAnsi"/>
          <w:sz w:val="22"/>
          <w:szCs w:val="22"/>
        </w:rPr>
        <w:t>Leinsalu</w:t>
      </w:r>
      <w:proofErr w:type="spellEnd"/>
      <w:r w:rsidRPr="0002193E">
        <w:rPr>
          <w:rFonts w:eastAsia="Arial" w:cstheme="minorHAnsi"/>
          <w:sz w:val="22"/>
          <w:szCs w:val="22"/>
        </w:rPr>
        <w:t xml:space="preserve">, M., Martikainen, P., </w:t>
      </w:r>
      <w:proofErr w:type="spellStart"/>
      <w:r w:rsidRPr="0002193E">
        <w:rPr>
          <w:rFonts w:eastAsia="Arial" w:cstheme="minorHAnsi"/>
          <w:sz w:val="22"/>
          <w:szCs w:val="22"/>
        </w:rPr>
        <w:t>Menvielle</w:t>
      </w:r>
      <w:proofErr w:type="spellEnd"/>
      <w:r w:rsidRPr="0002193E">
        <w:rPr>
          <w:rFonts w:eastAsia="Arial" w:cstheme="minorHAnsi"/>
          <w:sz w:val="22"/>
          <w:szCs w:val="22"/>
        </w:rPr>
        <w:t xml:space="preserve">, G., Regidor, E., </w:t>
      </w:r>
      <w:proofErr w:type="spellStart"/>
      <w:r w:rsidRPr="0002193E">
        <w:rPr>
          <w:rFonts w:eastAsia="Arial" w:cstheme="minorHAnsi"/>
          <w:sz w:val="22"/>
          <w:szCs w:val="22"/>
        </w:rPr>
        <w:t>Rychtaříková</w:t>
      </w:r>
      <w:proofErr w:type="spellEnd"/>
      <w:r w:rsidRPr="0002193E">
        <w:rPr>
          <w:rFonts w:eastAsia="Arial" w:cstheme="minorHAnsi"/>
          <w:sz w:val="22"/>
          <w:szCs w:val="22"/>
        </w:rPr>
        <w:t xml:space="preserve">, J., Rodriguez-Sanz, M., </w:t>
      </w:r>
      <w:proofErr w:type="spellStart"/>
      <w:r w:rsidRPr="0002193E">
        <w:rPr>
          <w:rFonts w:eastAsia="Arial" w:cstheme="minorHAnsi"/>
          <w:sz w:val="22"/>
          <w:szCs w:val="22"/>
        </w:rPr>
        <w:t>Rychtarikova</w:t>
      </w:r>
      <w:proofErr w:type="spellEnd"/>
      <w:r w:rsidRPr="0002193E">
        <w:rPr>
          <w:rFonts w:eastAsia="Arial" w:cstheme="minorHAnsi"/>
          <w:sz w:val="22"/>
          <w:szCs w:val="22"/>
        </w:rPr>
        <w:t xml:space="preserve">, J., Santana, P. and Lundberg, O. (2018) ‘Trends in health inequalities in 27 European countries’, </w:t>
      </w:r>
      <w:r w:rsidRPr="0002193E">
        <w:rPr>
          <w:rFonts w:eastAsia="Arial" w:cstheme="minorHAnsi"/>
          <w:i/>
          <w:iCs/>
          <w:sz w:val="22"/>
          <w:szCs w:val="22"/>
        </w:rPr>
        <w:t>Proceedings of the National Academy of Sciences</w:t>
      </w:r>
      <w:r w:rsidRPr="0002193E">
        <w:rPr>
          <w:rFonts w:eastAsia="Arial" w:cstheme="minorHAnsi"/>
          <w:sz w:val="22"/>
          <w:szCs w:val="22"/>
        </w:rPr>
        <w:t xml:space="preserve">, 115(25), pp. 6440–6445. Available at: </w:t>
      </w:r>
      <w:hyperlink r:id="rId17">
        <w:r w:rsidRPr="0002193E">
          <w:rPr>
            <w:rStyle w:val="Hyperlink"/>
            <w:rFonts w:cstheme="minorHAnsi"/>
            <w:color w:val="auto"/>
            <w:sz w:val="22"/>
            <w:szCs w:val="22"/>
          </w:rPr>
          <w:t>https://doi.org/10.1073/pnas.1800028115</w:t>
        </w:r>
      </w:hyperlink>
      <w:r w:rsidRPr="0002193E">
        <w:rPr>
          <w:rFonts w:eastAsia="Arial" w:cstheme="minorHAnsi"/>
          <w:sz w:val="22"/>
          <w:szCs w:val="22"/>
        </w:rPr>
        <w:t xml:space="preserve"> (Accessed: 5 July 2026).</w:t>
      </w:r>
    </w:p>
    <w:p w14:paraId="40220D4C" w14:textId="6F33496B"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Marmot, M., Allen, J., Boyce, T., Goldblatt, P. and Morrison, J. (2020) </w:t>
      </w:r>
      <w:r w:rsidRPr="0002193E">
        <w:rPr>
          <w:rFonts w:eastAsia="Arial" w:cstheme="minorHAnsi"/>
          <w:i/>
          <w:iCs/>
          <w:sz w:val="22"/>
          <w:szCs w:val="22"/>
        </w:rPr>
        <w:t>Health Equity in England: The Marmot Review 10 Years On</w:t>
      </w:r>
      <w:r w:rsidRPr="0002193E">
        <w:rPr>
          <w:rFonts w:eastAsia="Arial" w:cstheme="minorHAnsi"/>
          <w:sz w:val="22"/>
          <w:szCs w:val="22"/>
        </w:rPr>
        <w:t xml:space="preserve">. London: Institute of Health Equity. Available at: </w:t>
      </w:r>
      <w:hyperlink r:id="rId18">
        <w:r w:rsidRPr="0002193E">
          <w:rPr>
            <w:rStyle w:val="Hyperlink"/>
            <w:rFonts w:cstheme="minorHAnsi"/>
            <w:color w:val="auto"/>
            <w:sz w:val="22"/>
            <w:szCs w:val="22"/>
          </w:rPr>
          <w:t>https://www.health.org.uk/publications/reports/the-marmot-review-10-years-on</w:t>
        </w:r>
      </w:hyperlink>
      <w:r w:rsidRPr="0002193E">
        <w:rPr>
          <w:rFonts w:eastAsia="Arial" w:cstheme="minorHAnsi"/>
          <w:sz w:val="22"/>
          <w:szCs w:val="22"/>
        </w:rPr>
        <w:t xml:space="preserve"> (Accessed: 3 J</w:t>
      </w:r>
      <w:r w:rsidR="0D9E3225" w:rsidRPr="0002193E">
        <w:rPr>
          <w:rFonts w:eastAsia="Arial" w:cstheme="minorHAnsi"/>
          <w:sz w:val="22"/>
          <w:szCs w:val="22"/>
        </w:rPr>
        <w:t>uly</w:t>
      </w:r>
      <w:r w:rsidRPr="0002193E">
        <w:rPr>
          <w:rFonts w:eastAsia="Arial" w:cstheme="minorHAnsi"/>
          <w:sz w:val="22"/>
          <w:szCs w:val="22"/>
        </w:rPr>
        <w:t xml:space="preserve"> 2026).</w:t>
      </w:r>
    </w:p>
    <w:p w14:paraId="58959661" w14:textId="2A4508E7"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Marmot, M., Allen, J., Goldblatt, P., Boyce, T., McNeish, D., Grady, M. and Geddes, I. (2010) </w:t>
      </w:r>
      <w:r w:rsidRPr="0002193E">
        <w:rPr>
          <w:rFonts w:eastAsia="Arial" w:cstheme="minorHAnsi"/>
          <w:i/>
          <w:iCs/>
          <w:sz w:val="22"/>
          <w:szCs w:val="22"/>
        </w:rPr>
        <w:t>Fair Society, Healthy Lives (The Marmot Review)</w:t>
      </w:r>
      <w:r w:rsidRPr="0002193E">
        <w:rPr>
          <w:rFonts w:eastAsia="Arial" w:cstheme="minorHAnsi"/>
          <w:sz w:val="22"/>
          <w:szCs w:val="22"/>
        </w:rPr>
        <w:t xml:space="preserve">. London: The Marmot Review. Available at: </w:t>
      </w:r>
      <w:hyperlink r:id="rId19">
        <w:r w:rsidRPr="0002193E">
          <w:rPr>
            <w:rStyle w:val="Hyperlink"/>
            <w:rFonts w:cstheme="minorHAnsi"/>
            <w:color w:val="auto"/>
            <w:sz w:val="22"/>
            <w:szCs w:val="22"/>
          </w:rPr>
          <w:t>https://www.instituteofhealthequity.org/resources-reports/fair-society-healthy-lives-the-marmot-review</w:t>
        </w:r>
      </w:hyperlink>
      <w:r w:rsidRPr="0002193E">
        <w:rPr>
          <w:rFonts w:eastAsia="Arial" w:cstheme="minorHAnsi"/>
          <w:sz w:val="22"/>
          <w:szCs w:val="22"/>
        </w:rPr>
        <w:t xml:space="preserve"> (Accessed: 11 June 2026).</w:t>
      </w:r>
    </w:p>
    <w:p w14:paraId="4FAFE40B" w14:textId="68A2E7E4"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McCartney, G., Collins, C. and Mackenzie, M. (2013) ‘What (or who) causes health inequalities: Theories, evidence and implications?’, </w:t>
      </w:r>
      <w:r w:rsidRPr="0002193E">
        <w:rPr>
          <w:rFonts w:eastAsia="Arial" w:cstheme="minorHAnsi"/>
          <w:i/>
          <w:iCs/>
          <w:sz w:val="22"/>
          <w:szCs w:val="22"/>
        </w:rPr>
        <w:t>Health Policy</w:t>
      </w:r>
      <w:r w:rsidRPr="0002193E">
        <w:rPr>
          <w:rFonts w:eastAsia="Arial" w:cstheme="minorHAnsi"/>
          <w:sz w:val="22"/>
          <w:szCs w:val="22"/>
        </w:rPr>
        <w:t xml:space="preserve">, 113(3), pp. 221–227. Available at: </w:t>
      </w:r>
      <w:hyperlink r:id="rId20">
        <w:r w:rsidRPr="0002193E">
          <w:rPr>
            <w:rStyle w:val="Hyperlink"/>
            <w:rFonts w:cstheme="minorHAnsi"/>
            <w:color w:val="auto"/>
            <w:sz w:val="22"/>
            <w:szCs w:val="22"/>
          </w:rPr>
          <w:t>https://doi.org/10.1016/j.healthpol.2013.05.021</w:t>
        </w:r>
      </w:hyperlink>
      <w:r w:rsidRPr="0002193E">
        <w:rPr>
          <w:rFonts w:eastAsia="Arial" w:cstheme="minorHAnsi"/>
          <w:sz w:val="22"/>
          <w:szCs w:val="22"/>
        </w:rPr>
        <w:t xml:space="preserve"> (Accessed: 5 July 2026).</w:t>
      </w:r>
    </w:p>
    <w:p w14:paraId="28E30374" w14:textId="6C531F4B"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National Institute for Health and Care Excellence (2023) </w:t>
      </w:r>
      <w:proofErr w:type="gramStart"/>
      <w:r w:rsidRPr="0002193E">
        <w:rPr>
          <w:rFonts w:eastAsia="Arial" w:cstheme="minorHAnsi"/>
          <w:i/>
          <w:iCs/>
          <w:sz w:val="22"/>
          <w:szCs w:val="22"/>
        </w:rPr>
        <w:t>Cardiovascular disease</w:t>
      </w:r>
      <w:proofErr w:type="gramEnd"/>
      <w:r w:rsidRPr="0002193E">
        <w:rPr>
          <w:rFonts w:eastAsia="Arial" w:cstheme="minorHAnsi"/>
          <w:i/>
          <w:iCs/>
          <w:sz w:val="22"/>
          <w:szCs w:val="22"/>
        </w:rPr>
        <w:t>: Risk assessment and reduction, including lipid modification (NG238)</w:t>
      </w:r>
      <w:r w:rsidRPr="0002193E">
        <w:rPr>
          <w:rFonts w:eastAsia="Arial" w:cstheme="minorHAnsi"/>
          <w:sz w:val="22"/>
          <w:szCs w:val="22"/>
        </w:rPr>
        <w:t xml:space="preserve">. London: NICE. Available at: </w:t>
      </w:r>
      <w:hyperlink r:id="rId21">
        <w:r w:rsidRPr="0002193E">
          <w:rPr>
            <w:rStyle w:val="Hyperlink"/>
            <w:rFonts w:cstheme="minorHAnsi"/>
            <w:color w:val="auto"/>
            <w:sz w:val="22"/>
            <w:szCs w:val="22"/>
          </w:rPr>
          <w:t>https://www.nice.org.uk/guidance/ng238</w:t>
        </w:r>
      </w:hyperlink>
      <w:r w:rsidRPr="0002193E">
        <w:rPr>
          <w:rFonts w:eastAsia="Arial" w:cstheme="minorHAnsi"/>
          <w:sz w:val="22"/>
          <w:szCs w:val="22"/>
        </w:rPr>
        <w:t xml:space="preserve"> (Accessed: 11 June 2026).</w:t>
      </w:r>
    </w:p>
    <w:p w14:paraId="61397A8A" w14:textId="43C54CB1"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NHS England (no date a) </w:t>
      </w:r>
      <w:r w:rsidRPr="0002193E">
        <w:rPr>
          <w:rFonts w:eastAsia="Arial" w:cstheme="minorHAnsi"/>
          <w:i/>
          <w:iCs/>
          <w:sz w:val="22"/>
          <w:szCs w:val="22"/>
        </w:rPr>
        <w:t xml:space="preserve">Comprehensive Model of </w:t>
      </w:r>
      <w:proofErr w:type="spellStart"/>
      <w:r w:rsidRPr="0002193E">
        <w:rPr>
          <w:rFonts w:eastAsia="Arial" w:cstheme="minorHAnsi"/>
          <w:i/>
          <w:iCs/>
          <w:sz w:val="22"/>
          <w:szCs w:val="22"/>
        </w:rPr>
        <w:t>Personalised</w:t>
      </w:r>
      <w:proofErr w:type="spellEnd"/>
      <w:r w:rsidRPr="0002193E">
        <w:rPr>
          <w:rFonts w:eastAsia="Arial" w:cstheme="minorHAnsi"/>
          <w:i/>
          <w:iCs/>
          <w:sz w:val="22"/>
          <w:szCs w:val="22"/>
        </w:rPr>
        <w:t xml:space="preserve"> Care</w:t>
      </w:r>
      <w:r w:rsidRPr="0002193E">
        <w:rPr>
          <w:rFonts w:eastAsia="Arial" w:cstheme="minorHAnsi"/>
          <w:sz w:val="22"/>
          <w:szCs w:val="22"/>
        </w:rPr>
        <w:t xml:space="preserve">. Leeds: NHS England. Available at: </w:t>
      </w:r>
      <w:hyperlink r:id="rId22">
        <w:r w:rsidRPr="0002193E">
          <w:rPr>
            <w:rStyle w:val="Hyperlink"/>
            <w:rFonts w:cstheme="minorHAnsi"/>
            <w:color w:val="auto"/>
            <w:sz w:val="22"/>
            <w:szCs w:val="22"/>
          </w:rPr>
          <w:t>https://www.england.nhs.uk/personalisedcare/comprehensive-model-of-personalised-care/</w:t>
        </w:r>
      </w:hyperlink>
      <w:r w:rsidRPr="0002193E">
        <w:rPr>
          <w:rFonts w:eastAsia="Arial" w:cstheme="minorHAnsi"/>
          <w:sz w:val="22"/>
          <w:szCs w:val="22"/>
        </w:rPr>
        <w:t xml:space="preserve"> (Accessed: </w:t>
      </w:r>
      <w:r w:rsidR="606C1A20" w:rsidRPr="0002193E">
        <w:rPr>
          <w:rFonts w:eastAsia="Arial" w:cstheme="minorHAnsi"/>
          <w:sz w:val="22"/>
          <w:szCs w:val="22"/>
        </w:rPr>
        <w:t>1</w:t>
      </w:r>
      <w:r w:rsidRPr="0002193E">
        <w:rPr>
          <w:rFonts w:eastAsia="Arial" w:cstheme="minorHAnsi"/>
          <w:sz w:val="22"/>
          <w:szCs w:val="22"/>
        </w:rPr>
        <w:t xml:space="preserve"> Ju</w:t>
      </w:r>
      <w:r w:rsidR="54981B18" w:rsidRPr="0002193E">
        <w:rPr>
          <w:rFonts w:eastAsia="Arial" w:cstheme="minorHAnsi"/>
          <w:sz w:val="22"/>
          <w:szCs w:val="22"/>
        </w:rPr>
        <w:t>ly</w:t>
      </w:r>
      <w:r w:rsidRPr="0002193E">
        <w:rPr>
          <w:rFonts w:eastAsia="Arial" w:cstheme="minorHAnsi"/>
          <w:sz w:val="22"/>
          <w:szCs w:val="22"/>
        </w:rPr>
        <w:t xml:space="preserve"> 2026).</w:t>
      </w:r>
    </w:p>
    <w:p w14:paraId="3D6074F4" w14:textId="4BE93F9D"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NHS England (no date b) </w:t>
      </w:r>
      <w:proofErr w:type="gramStart"/>
      <w:r w:rsidRPr="0002193E">
        <w:rPr>
          <w:rFonts w:eastAsia="Arial" w:cstheme="minorHAnsi"/>
          <w:i/>
          <w:iCs/>
          <w:sz w:val="22"/>
          <w:szCs w:val="22"/>
        </w:rPr>
        <w:t>Cardiovascular Disease</w:t>
      </w:r>
      <w:proofErr w:type="gramEnd"/>
      <w:r w:rsidRPr="0002193E">
        <w:rPr>
          <w:rFonts w:eastAsia="Arial" w:cstheme="minorHAnsi"/>
          <w:i/>
          <w:iCs/>
          <w:sz w:val="22"/>
          <w:szCs w:val="22"/>
        </w:rPr>
        <w:t xml:space="preserve"> (CVD) </w:t>
      </w:r>
      <w:proofErr w:type="spellStart"/>
      <w:r w:rsidRPr="0002193E">
        <w:rPr>
          <w:rFonts w:eastAsia="Arial" w:cstheme="minorHAnsi"/>
          <w:i/>
          <w:iCs/>
          <w:sz w:val="22"/>
          <w:szCs w:val="22"/>
        </w:rPr>
        <w:t>Programme</w:t>
      </w:r>
      <w:proofErr w:type="spellEnd"/>
      <w:r w:rsidRPr="0002193E">
        <w:rPr>
          <w:rFonts w:eastAsia="Arial" w:cstheme="minorHAnsi"/>
          <w:sz w:val="22"/>
          <w:szCs w:val="22"/>
        </w:rPr>
        <w:t xml:space="preserve">. Leeds: NHS England. Available at: </w:t>
      </w:r>
      <w:hyperlink r:id="rId23">
        <w:r w:rsidRPr="0002193E">
          <w:rPr>
            <w:rStyle w:val="Hyperlink"/>
            <w:rFonts w:cstheme="minorHAnsi"/>
            <w:color w:val="auto"/>
            <w:sz w:val="22"/>
            <w:szCs w:val="22"/>
          </w:rPr>
          <w:t>https://www.england.nhs.uk/ourwork/clinical-policy/cvd/</w:t>
        </w:r>
      </w:hyperlink>
      <w:r w:rsidRPr="0002193E">
        <w:rPr>
          <w:rFonts w:eastAsia="Arial" w:cstheme="minorHAnsi"/>
          <w:sz w:val="22"/>
          <w:szCs w:val="22"/>
        </w:rPr>
        <w:t xml:space="preserve"> (Accessed: </w:t>
      </w:r>
      <w:r w:rsidR="1D6879AF" w:rsidRPr="0002193E">
        <w:rPr>
          <w:rFonts w:eastAsia="Arial" w:cstheme="minorHAnsi"/>
          <w:sz w:val="22"/>
          <w:szCs w:val="22"/>
        </w:rPr>
        <w:t>28</w:t>
      </w:r>
      <w:r w:rsidRPr="0002193E">
        <w:rPr>
          <w:rFonts w:eastAsia="Arial" w:cstheme="minorHAnsi"/>
          <w:sz w:val="22"/>
          <w:szCs w:val="22"/>
        </w:rPr>
        <w:t xml:space="preserve"> June 2026).</w:t>
      </w:r>
    </w:p>
    <w:p w14:paraId="3B37A500" w14:textId="5421F66B"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Nowell, L.S., Norris, J.M., White, D.E. and Moules, N.J. (2017) ‘Thematic analysis: Striving to meet the trustworthiness criteria’, </w:t>
      </w:r>
      <w:r w:rsidRPr="0002193E">
        <w:rPr>
          <w:rFonts w:eastAsia="Arial" w:cstheme="minorHAnsi"/>
          <w:i/>
          <w:iCs/>
          <w:sz w:val="22"/>
          <w:szCs w:val="22"/>
        </w:rPr>
        <w:t>International Journal of Qualitative Methods</w:t>
      </w:r>
      <w:r w:rsidRPr="0002193E">
        <w:rPr>
          <w:rFonts w:eastAsia="Arial" w:cstheme="minorHAnsi"/>
          <w:sz w:val="22"/>
          <w:szCs w:val="22"/>
        </w:rPr>
        <w:t xml:space="preserve">, 16(1), pp. 1–13. Available at: </w:t>
      </w:r>
      <w:hyperlink r:id="rId24">
        <w:r w:rsidRPr="0002193E">
          <w:rPr>
            <w:rStyle w:val="Hyperlink"/>
            <w:rFonts w:cstheme="minorHAnsi"/>
            <w:color w:val="auto"/>
            <w:sz w:val="22"/>
            <w:szCs w:val="22"/>
          </w:rPr>
          <w:t>https://doi.org/10.1177/1609406917733847</w:t>
        </w:r>
      </w:hyperlink>
      <w:r w:rsidRPr="0002193E">
        <w:rPr>
          <w:rFonts w:eastAsia="Arial" w:cstheme="minorHAnsi"/>
          <w:sz w:val="22"/>
          <w:szCs w:val="22"/>
        </w:rPr>
        <w:t xml:space="preserve"> (Accessed: 20 June 2026).</w:t>
      </w:r>
    </w:p>
    <w:p w14:paraId="15D19153" w14:textId="483E4CB4"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Office for National Statistics (2022) </w:t>
      </w:r>
      <w:r w:rsidRPr="0002193E">
        <w:rPr>
          <w:rFonts w:eastAsia="Arial" w:cstheme="minorHAnsi"/>
          <w:i/>
          <w:iCs/>
          <w:sz w:val="22"/>
          <w:szCs w:val="22"/>
        </w:rPr>
        <w:t>Health state life expectancies by national deprivation deciles, England: 2018 to 2020</w:t>
      </w:r>
      <w:r w:rsidRPr="0002193E">
        <w:rPr>
          <w:rFonts w:eastAsia="Arial" w:cstheme="minorHAnsi"/>
          <w:sz w:val="22"/>
          <w:szCs w:val="22"/>
        </w:rPr>
        <w:t xml:space="preserve">. Newport: Office for National Statistics. Available at: </w:t>
      </w:r>
      <w:hyperlink r:id="rId25">
        <w:r w:rsidRPr="0002193E">
          <w:rPr>
            <w:rStyle w:val="Hyperlink"/>
            <w:rFonts w:cstheme="minorHAnsi"/>
            <w:color w:val="auto"/>
            <w:sz w:val="22"/>
            <w:szCs w:val="22"/>
          </w:rPr>
          <w:t>https://www.ons.gov.uk/peoplepopulationandcommunity/healthandsocialcare/healthinequalities/bulletins/healthstatelifeexpectanciesbyindexofmultipledeprivationimd/2018to2020</w:t>
        </w:r>
      </w:hyperlink>
      <w:r w:rsidRPr="0002193E">
        <w:rPr>
          <w:rFonts w:eastAsia="Arial" w:cstheme="minorHAnsi"/>
          <w:sz w:val="22"/>
          <w:szCs w:val="22"/>
        </w:rPr>
        <w:t xml:space="preserve"> (Accessed: 9 June 2026).</w:t>
      </w:r>
    </w:p>
    <w:p w14:paraId="04CAB696" w14:textId="771E0AEA"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Page, M.J., McKenzie, J.E., Bossuyt, P.M., </w:t>
      </w:r>
      <w:proofErr w:type="spellStart"/>
      <w:r w:rsidRPr="0002193E">
        <w:rPr>
          <w:rFonts w:eastAsia="Arial" w:cstheme="minorHAnsi"/>
          <w:sz w:val="22"/>
          <w:szCs w:val="22"/>
        </w:rPr>
        <w:t>Boutron</w:t>
      </w:r>
      <w:proofErr w:type="spellEnd"/>
      <w:r w:rsidRPr="0002193E">
        <w:rPr>
          <w:rFonts w:eastAsia="Arial" w:cstheme="minorHAnsi"/>
          <w:sz w:val="22"/>
          <w:szCs w:val="22"/>
        </w:rPr>
        <w:t xml:space="preserve">, I., Hoffmann, T.C., Mulrow, C.D., </w:t>
      </w:r>
      <w:proofErr w:type="spellStart"/>
      <w:r w:rsidRPr="0002193E">
        <w:rPr>
          <w:rFonts w:eastAsia="Arial" w:cstheme="minorHAnsi"/>
          <w:sz w:val="22"/>
          <w:szCs w:val="22"/>
        </w:rPr>
        <w:t>Shamseer</w:t>
      </w:r>
      <w:proofErr w:type="spellEnd"/>
      <w:r w:rsidRPr="0002193E">
        <w:rPr>
          <w:rFonts w:eastAsia="Arial" w:cstheme="minorHAnsi"/>
          <w:sz w:val="22"/>
          <w:szCs w:val="22"/>
        </w:rPr>
        <w:t xml:space="preserve">, L., Tetzlaff, J.M., Akl, E.A., Brennan, S.E., Chou, R., Glanville, J., Grimshaw, J.M., Hróbjartsson, A., Lalu, M.M., Li, T., Loder, E.W., Mayo-Wilson, E., McDonald, S., McGuinness, L.A., Stewart, L.A., Thomas, J., </w:t>
      </w:r>
      <w:proofErr w:type="spellStart"/>
      <w:r w:rsidRPr="0002193E">
        <w:rPr>
          <w:rFonts w:eastAsia="Arial" w:cstheme="minorHAnsi"/>
          <w:sz w:val="22"/>
          <w:szCs w:val="22"/>
        </w:rPr>
        <w:t>Tricco</w:t>
      </w:r>
      <w:proofErr w:type="spellEnd"/>
      <w:r w:rsidRPr="0002193E">
        <w:rPr>
          <w:rFonts w:eastAsia="Arial" w:cstheme="minorHAnsi"/>
          <w:sz w:val="22"/>
          <w:szCs w:val="22"/>
        </w:rPr>
        <w:t xml:space="preserve">, A.C., Welch, V.A., Whiting, P. and Moher, D. (2021) ‘The PRISMA 2020 statement: An updated guideline for reporting systematic reviews’, </w:t>
      </w:r>
      <w:r w:rsidRPr="0002193E">
        <w:rPr>
          <w:rFonts w:eastAsia="Arial" w:cstheme="minorHAnsi"/>
          <w:i/>
          <w:iCs/>
          <w:sz w:val="22"/>
          <w:szCs w:val="22"/>
        </w:rPr>
        <w:t>BMJ</w:t>
      </w:r>
      <w:r w:rsidRPr="0002193E">
        <w:rPr>
          <w:rFonts w:eastAsia="Arial" w:cstheme="minorHAnsi"/>
          <w:sz w:val="22"/>
          <w:szCs w:val="22"/>
        </w:rPr>
        <w:t xml:space="preserve">, 372, n71. Available at: </w:t>
      </w:r>
      <w:hyperlink r:id="rId26">
        <w:r w:rsidRPr="0002193E">
          <w:rPr>
            <w:rStyle w:val="Hyperlink"/>
            <w:rFonts w:cstheme="minorHAnsi"/>
            <w:color w:val="auto"/>
            <w:sz w:val="22"/>
            <w:szCs w:val="22"/>
          </w:rPr>
          <w:t>https://www.bmj.com/content/372/bmj.n71</w:t>
        </w:r>
      </w:hyperlink>
      <w:r w:rsidRPr="0002193E">
        <w:rPr>
          <w:rFonts w:eastAsia="Arial" w:cstheme="minorHAnsi"/>
          <w:sz w:val="22"/>
          <w:szCs w:val="22"/>
        </w:rPr>
        <w:t xml:space="preserve"> (Accessed: 2</w:t>
      </w:r>
      <w:r w:rsidR="796097C2" w:rsidRPr="0002193E">
        <w:rPr>
          <w:rFonts w:eastAsia="Arial" w:cstheme="minorHAnsi"/>
          <w:sz w:val="22"/>
          <w:szCs w:val="22"/>
        </w:rPr>
        <w:t>5</w:t>
      </w:r>
      <w:r w:rsidRPr="0002193E">
        <w:rPr>
          <w:rFonts w:eastAsia="Arial" w:cstheme="minorHAnsi"/>
          <w:sz w:val="22"/>
          <w:szCs w:val="22"/>
        </w:rPr>
        <w:t xml:space="preserve"> June 2026).</w:t>
      </w:r>
    </w:p>
    <w:p w14:paraId="5B0CC5D1" w14:textId="1B6509E7"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Pickett, K.E. and Wilkinson, R.G. (2015) ‘Income inequality and health: A causal review’, </w:t>
      </w:r>
      <w:r w:rsidRPr="0002193E">
        <w:rPr>
          <w:rFonts w:eastAsia="Arial" w:cstheme="minorHAnsi"/>
          <w:i/>
          <w:iCs/>
          <w:sz w:val="22"/>
          <w:szCs w:val="22"/>
        </w:rPr>
        <w:t>Social Science &amp; Medicine</w:t>
      </w:r>
      <w:r w:rsidRPr="0002193E">
        <w:rPr>
          <w:rFonts w:eastAsia="Arial" w:cstheme="minorHAnsi"/>
          <w:sz w:val="22"/>
          <w:szCs w:val="22"/>
        </w:rPr>
        <w:t xml:space="preserve">, 128, pp. 316–326. Available at: </w:t>
      </w:r>
      <w:hyperlink r:id="rId27">
        <w:r w:rsidRPr="0002193E">
          <w:rPr>
            <w:rStyle w:val="Hyperlink"/>
            <w:rFonts w:cstheme="minorHAnsi"/>
            <w:color w:val="auto"/>
            <w:sz w:val="22"/>
            <w:szCs w:val="22"/>
          </w:rPr>
          <w:t>https://doi.org/10.1016/j.socscimed.2014.12.031</w:t>
        </w:r>
      </w:hyperlink>
      <w:r w:rsidRPr="0002193E">
        <w:rPr>
          <w:rFonts w:eastAsia="Arial" w:cstheme="minorHAnsi"/>
          <w:sz w:val="22"/>
          <w:szCs w:val="22"/>
        </w:rPr>
        <w:t xml:space="preserve"> (Accessed: 5 July 2026).</w:t>
      </w:r>
    </w:p>
    <w:p w14:paraId="2F748423" w14:textId="177D5A66"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lastRenderedPageBreak/>
        <w:t xml:space="preserve">Polit, D.F. and Beck, C.T. (2021) </w:t>
      </w:r>
      <w:r w:rsidRPr="0002193E">
        <w:rPr>
          <w:rFonts w:eastAsia="Arial" w:cstheme="minorHAnsi"/>
          <w:i/>
          <w:iCs/>
          <w:sz w:val="22"/>
          <w:szCs w:val="22"/>
        </w:rPr>
        <w:t>Nursing Research: Generating and Assessing Evidence for Nursing Practice</w:t>
      </w:r>
      <w:r w:rsidRPr="0002193E">
        <w:rPr>
          <w:rFonts w:eastAsia="Arial" w:cstheme="minorHAnsi"/>
          <w:sz w:val="22"/>
          <w:szCs w:val="22"/>
        </w:rPr>
        <w:t xml:space="preserve">. 11th </w:t>
      </w:r>
      <w:proofErr w:type="spellStart"/>
      <w:r w:rsidRPr="0002193E">
        <w:rPr>
          <w:rFonts w:eastAsia="Arial" w:cstheme="minorHAnsi"/>
          <w:sz w:val="22"/>
          <w:szCs w:val="22"/>
        </w:rPr>
        <w:t>edn</w:t>
      </w:r>
      <w:proofErr w:type="spellEnd"/>
      <w:r w:rsidRPr="0002193E">
        <w:rPr>
          <w:rFonts w:eastAsia="Arial" w:cstheme="minorHAnsi"/>
          <w:sz w:val="22"/>
          <w:szCs w:val="22"/>
        </w:rPr>
        <w:t>. Philadelphia, PA: Wolters Kluwer.</w:t>
      </w:r>
    </w:p>
    <w:p w14:paraId="0CFDB252" w14:textId="598D373E"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Public Health England (2017) </w:t>
      </w:r>
      <w:r w:rsidRPr="0002193E">
        <w:rPr>
          <w:rFonts w:eastAsia="Arial" w:cstheme="minorHAnsi"/>
          <w:i/>
          <w:iCs/>
          <w:sz w:val="22"/>
          <w:szCs w:val="22"/>
        </w:rPr>
        <w:t>Chapter 6: Social Determinants of Health</w:t>
      </w:r>
      <w:r w:rsidRPr="0002193E">
        <w:rPr>
          <w:rFonts w:eastAsia="Arial" w:cstheme="minorHAnsi"/>
          <w:sz w:val="22"/>
          <w:szCs w:val="22"/>
        </w:rPr>
        <w:t xml:space="preserve">. In: </w:t>
      </w:r>
      <w:r w:rsidRPr="0002193E">
        <w:rPr>
          <w:rFonts w:eastAsia="Arial" w:cstheme="minorHAnsi"/>
          <w:i/>
          <w:iCs/>
          <w:sz w:val="22"/>
          <w:szCs w:val="22"/>
        </w:rPr>
        <w:t>Health Profile for England 2017</w:t>
      </w:r>
      <w:r w:rsidRPr="0002193E">
        <w:rPr>
          <w:rFonts w:eastAsia="Arial" w:cstheme="minorHAnsi"/>
          <w:sz w:val="22"/>
          <w:szCs w:val="22"/>
        </w:rPr>
        <w:t xml:space="preserve">. London: Public Health England. Available at: </w:t>
      </w:r>
      <w:hyperlink r:id="rId28">
        <w:r w:rsidRPr="0002193E">
          <w:rPr>
            <w:rStyle w:val="Hyperlink"/>
            <w:rFonts w:cstheme="minorHAnsi"/>
            <w:color w:val="auto"/>
            <w:sz w:val="22"/>
            <w:szCs w:val="22"/>
          </w:rPr>
          <w:t>https://www.gov.uk/government/publications/health-profile-for-england/chapter-6-social-determinants-of-health</w:t>
        </w:r>
      </w:hyperlink>
      <w:r w:rsidRPr="0002193E">
        <w:rPr>
          <w:rFonts w:eastAsia="Arial" w:cstheme="minorHAnsi"/>
          <w:sz w:val="22"/>
          <w:szCs w:val="22"/>
        </w:rPr>
        <w:t xml:space="preserve"> (Accessed: </w:t>
      </w:r>
      <w:r w:rsidR="4608468B" w:rsidRPr="0002193E">
        <w:rPr>
          <w:rFonts w:eastAsia="Arial" w:cstheme="minorHAnsi"/>
          <w:sz w:val="22"/>
          <w:szCs w:val="22"/>
        </w:rPr>
        <w:t>19</w:t>
      </w:r>
      <w:r w:rsidRPr="0002193E">
        <w:rPr>
          <w:rFonts w:eastAsia="Arial" w:cstheme="minorHAnsi"/>
          <w:sz w:val="22"/>
          <w:szCs w:val="22"/>
        </w:rPr>
        <w:t xml:space="preserve"> June 2026).</w:t>
      </w:r>
    </w:p>
    <w:p w14:paraId="5D96FCE5" w14:textId="04E89837"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Public Health England (2019) </w:t>
      </w:r>
      <w:r w:rsidRPr="0002193E">
        <w:rPr>
          <w:rFonts w:eastAsia="Arial" w:cstheme="minorHAnsi"/>
          <w:i/>
          <w:iCs/>
          <w:sz w:val="22"/>
          <w:szCs w:val="22"/>
        </w:rPr>
        <w:t>Health matters: Ambitions to tackle persisting inequalities in cardiovascular disease</w:t>
      </w:r>
      <w:r w:rsidRPr="0002193E">
        <w:rPr>
          <w:rFonts w:eastAsia="Arial" w:cstheme="minorHAnsi"/>
          <w:sz w:val="22"/>
          <w:szCs w:val="22"/>
        </w:rPr>
        <w:t xml:space="preserve">. London: Public Health England. Available at: </w:t>
      </w:r>
      <w:hyperlink r:id="rId29">
        <w:r w:rsidRPr="0002193E">
          <w:rPr>
            <w:rStyle w:val="Hyperlink"/>
            <w:rFonts w:cstheme="minorHAnsi"/>
            <w:color w:val="auto"/>
            <w:sz w:val="22"/>
            <w:szCs w:val="22"/>
          </w:rPr>
          <w:t>https://ukhsa.blog.gov.uk/2019/03/04/health-matters-ambitions-to-tackle-persisting-inequalities-in-cardiovascular-disease/</w:t>
        </w:r>
      </w:hyperlink>
      <w:r w:rsidRPr="0002193E">
        <w:rPr>
          <w:rFonts w:eastAsia="Arial" w:cstheme="minorHAnsi"/>
          <w:sz w:val="22"/>
          <w:szCs w:val="22"/>
        </w:rPr>
        <w:t xml:space="preserve"> (Accessed: 1</w:t>
      </w:r>
      <w:r w:rsidR="009E2017" w:rsidRPr="0002193E">
        <w:rPr>
          <w:rFonts w:eastAsia="Arial" w:cstheme="minorHAnsi"/>
          <w:sz w:val="22"/>
          <w:szCs w:val="22"/>
        </w:rPr>
        <w:t>7</w:t>
      </w:r>
      <w:r w:rsidRPr="0002193E">
        <w:rPr>
          <w:rFonts w:eastAsia="Arial" w:cstheme="minorHAnsi"/>
          <w:sz w:val="22"/>
          <w:szCs w:val="22"/>
        </w:rPr>
        <w:t xml:space="preserve"> June 2026).</w:t>
      </w:r>
    </w:p>
    <w:p w14:paraId="2ACE6FE1" w14:textId="6ED63C43" w:rsidR="00582BDE"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Saunders, M., Lewis, P. and Thornhill, A. (2023) </w:t>
      </w:r>
      <w:r w:rsidRPr="0002193E">
        <w:rPr>
          <w:rFonts w:eastAsia="Arial" w:cstheme="minorHAnsi"/>
          <w:i/>
          <w:iCs/>
          <w:sz w:val="22"/>
          <w:szCs w:val="22"/>
        </w:rPr>
        <w:t>Research Methods for Business Students</w:t>
      </w:r>
      <w:r w:rsidRPr="0002193E">
        <w:rPr>
          <w:rFonts w:eastAsia="Arial" w:cstheme="minorHAnsi"/>
          <w:sz w:val="22"/>
          <w:szCs w:val="22"/>
        </w:rPr>
        <w:t xml:space="preserve">. 9th </w:t>
      </w:r>
      <w:proofErr w:type="spellStart"/>
      <w:r w:rsidRPr="0002193E">
        <w:rPr>
          <w:rFonts w:eastAsia="Arial" w:cstheme="minorHAnsi"/>
          <w:sz w:val="22"/>
          <w:szCs w:val="22"/>
        </w:rPr>
        <w:t>edn</w:t>
      </w:r>
      <w:proofErr w:type="spellEnd"/>
      <w:r w:rsidRPr="0002193E">
        <w:rPr>
          <w:rFonts w:eastAsia="Arial" w:cstheme="minorHAnsi"/>
          <w:sz w:val="22"/>
          <w:szCs w:val="22"/>
        </w:rPr>
        <w:t>. Harlow: Pearson.</w:t>
      </w:r>
    </w:p>
    <w:p w14:paraId="44991AC9" w14:textId="49448D52"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Schultz, W.M., Kelli, H.M., Lisko, J.C., Varghese, T., Shen, J., </w:t>
      </w:r>
      <w:proofErr w:type="spellStart"/>
      <w:r w:rsidRPr="0002193E">
        <w:rPr>
          <w:rFonts w:eastAsia="Arial" w:cstheme="minorHAnsi"/>
          <w:sz w:val="22"/>
          <w:szCs w:val="22"/>
        </w:rPr>
        <w:t>Sandesara</w:t>
      </w:r>
      <w:proofErr w:type="spellEnd"/>
      <w:r w:rsidRPr="0002193E">
        <w:rPr>
          <w:rFonts w:eastAsia="Arial" w:cstheme="minorHAnsi"/>
          <w:sz w:val="22"/>
          <w:szCs w:val="22"/>
        </w:rPr>
        <w:t xml:space="preserve">, P., Quyyumi, A.A., Taylor, H.A., Gulati, M. and Harold, J.G. (2018) ‘Socioeconomic status and cardiovascular outcomes: Challenges and interventions’, </w:t>
      </w:r>
      <w:r w:rsidRPr="0002193E">
        <w:rPr>
          <w:rFonts w:eastAsia="Arial" w:cstheme="minorHAnsi"/>
          <w:i/>
          <w:iCs/>
          <w:sz w:val="22"/>
          <w:szCs w:val="22"/>
        </w:rPr>
        <w:t>Circulation</w:t>
      </w:r>
      <w:r w:rsidRPr="0002193E">
        <w:rPr>
          <w:rFonts w:eastAsia="Arial" w:cstheme="minorHAnsi"/>
          <w:sz w:val="22"/>
          <w:szCs w:val="22"/>
        </w:rPr>
        <w:t xml:space="preserve">, 137(20), pp. 2166–2178. Available at: </w:t>
      </w:r>
      <w:hyperlink r:id="rId30">
        <w:r w:rsidRPr="0002193E">
          <w:rPr>
            <w:rStyle w:val="Hyperlink"/>
            <w:rFonts w:cstheme="minorHAnsi"/>
            <w:color w:val="auto"/>
            <w:sz w:val="22"/>
            <w:szCs w:val="22"/>
          </w:rPr>
          <w:t>https://doi.org/10.1161/CIRCULATIONAHA.117.029652</w:t>
        </w:r>
      </w:hyperlink>
      <w:r w:rsidRPr="0002193E">
        <w:rPr>
          <w:rFonts w:eastAsia="Arial" w:cstheme="minorHAnsi"/>
          <w:sz w:val="22"/>
          <w:szCs w:val="22"/>
        </w:rPr>
        <w:t xml:space="preserve"> (Accessed: 1</w:t>
      </w:r>
      <w:r w:rsidR="009E2017" w:rsidRPr="0002193E">
        <w:rPr>
          <w:rFonts w:eastAsia="Arial" w:cstheme="minorHAnsi"/>
          <w:sz w:val="22"/>
          <w:szCs w:val="22"/>
        </w:rPr>
        <w:t>8</w:t>
      </w:r>
      <w:r w:rsidRPr="0002193E">
        <w:rPr>
          <w:rFonts w:eastAsia="Arial" w:cstheme="minorHAnsi"/>
          <w:sz w:val="22"/>
          <w:szCs w:val="22"/>
        </w:rPr>
        <w:t xml:space="preserve"> June 2026).</w:t>
      </w:r>
    </w:p>
    <w:p w14:paraId="26861510" w14:textId="050F8CBE"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Solar, O. and Irwin, A. (2010) </w:t>
      </w:r>
      <w:r w:rsidRPr="0002193E">
        <w:rPr>
          <w:rFonts w:eastAsia="Arial" w:cstheme="minorHAnsi"/>
          <w:i/>
          <w:iCs/>
          <w:sz w:val="22"/>
          <w:szCs w:val="22"/>
        </w:rPr>
        <w:t>A Conceptual Framework for Action on the Social Determinants of Health</w:t>
      </w:r>
      <w:r w:rsidRPr="0002193E">
        <w:rPr>
          <w:rFonts w:eastAsia="Arial" w:cstheme="minorHAnsi"/>
          <w:sz w:val="22"/>
          <w:szCs w:val="22"/>
        </w:rPr>
        <w:t>. Geneva: World Health Organization.</w:t>
      </w:r>
    </w:p>
    <w:p w14:paraId="00876157" w14:textId="2DFB94F3"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The Health Foundation (2022) </w:t>
      </w:r>
      <w:r w:rsidRPr="0002193E">
        <w:rPr>
          <w:rFonts w:eastAsia="Arial" w:cstheme="minorHAnsi"/>
          <w:i/>
          <w:iCs/>
          <w:sz w:val="22"/>
          <w:szCs w:val="22"/>
        </w:rPr>
        <w:t>A Framework for NHS Action on Social Determinants of Health</w:t>
      </w:r>
      <w:r w:rsidRPr="0002193E">
        <w:rPr>
          <w:rFonts w:eastAsia="Arial" w:cstheme="minorHAnsi"/>
          <w:sz w:val="22"/>
          <w:szCs w:val="22"/>
        </w:rPr>
        <w:t xml:space="preserve">. London: The Health Foundation. Available at: </w:t>
      </w:r>
      <w:hyperlink r:id="rId31">
        <w:r w:rsidRPr="0002193E">
          <w:rPr>
            <w:rStyle w:val="Hyperlink"/>
            <w:rFonts w:cstheme="minorHAnsi"/>
            <w:color w:val="auto"/>
            <w:sz w:val="22"/>
            <w:szCs w:val="22"/>
          </w:rPr>
          <w:t>https://www.health.org.uk/publications/long-reads/a-framework-for-nhs-action-on-social-determinants-of-health</w:t>
        </w:r>
      </w:hyperlink>
      <w:r w:rsidRPr="0002193E">
        <w:rPr>
          <w:rFonts w:eastAsia="Arial" w:cstheme="minorHAnsi"/>
          <w:sz w:val="22"/>
          <w:szCs w:val="22"/>
        </w:rPr>
        <w:t xml:space="preserve"> (Accessed: </w:t>
      </w:r>
      <w:r w:rsidR="4E3B3142" w:rsidRPr="0002193E">
        <w:rPr>
          <w:rFonts w:eastAsia="Arial" w:cstheme="minorHAnsi"/>
          <w:sz w:val="22"/>
          <w:szCs w:val="22"/>
        </w:rPr>
        <w:t>18</w:t>
      </w:r>
      <w:r w:rsidRPr="0002193E">
        <w:rPr>
          <w:rFonts w:eastAsia="Arial" w:cstheme="minorHAnsi"/>
          <w:sz w:val="22"/>
          <w:szCs w:val="22"/>
        </w:rPr>
        <w:t xml:space="preserve"> June 2026).</w:t>
      </w:r>
    </w:p>
    <w:p w14:paraId="2BB260A7" w14:textId="0879A9C3"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World Health Organization (2024) </w:t>
      </w:r>
      <w:r w:rsidRPr="0002193E">
        <w:rPr>
          <w:rFonts w:eastAsia="Arial" w:cstheme="minorHAnsi"/>
          <w:i/>
          <w:iCs/>
          <w:sz w:val="22"/>
          <w:szCs w:val="22"/>
        </w:rPr>
        <w:t>Social determinants of health</w:t>
      </w:r>
      <w:r w:rsidRPr="0002193E">
        <w:rPr>
          <w:rFonts w:eastAsia="Arial" w:cstheme="minorHAnsi"/>
          <w:sz w:val="22"/>
          <w:szCs w:val="22"/>
        </w:rPr>
        <w:t xml:space="preserve">. Geneva: World Health Organization. Available at: </w:t>
      </w:r>
      <w:hyperlink r:id="rId32">
        <w:r w:rsidRPr="0002193E">
          <w:rPr>
            <w:rStyle w:val="Hyperlink"/>
            <w:rFonts w:cstheme="minorHAnsi"/>
            <w:color w:val="auto"/>
            <w:sz w:val="22"/>
            <w:szCs w:val="22"/>
          </w:rPr>
          <w:t>https://www.who.int/health-topics/social-determinants-of-health</w:t>
        </w:r>
      </w:hyperlink>
      <w:r w:rsidRPr="0002193E">
        <w:rPr>
          <w:rFonts w:eastAsia="Arial" w:cstheme="minorHAnsi"/>
          <w:sz w:val="22"/>
          <w:szCs w:val="22"/>
        </w:rPr>
        <w:t xml:space="preserve"> (Accessed: </w:t>
      </w:r>
      <w:r w:rsidR="487A5CF1" w:rsidRPr="0002193E">
        <w:rPr>
          <w:rFonts w:eastAsia="Arial" w:cstheme="minorHAnsi"/>
          <w:sz w:val="22"/>
          <w:szCs w:val="22"/>
        </w:rPr>
        <w:t>22</w:t>
      </w:r>
      <w:r w:rsidRPr="0002193E">
        <w:rPr>
          <w:rFonts w:eastAsia="Arial" w:cstheme="minorHAnsi"/>
          <w:sz w:val="22"/>
          <w:szCs w:val="22"/>
        </w:rPr>
        <w:t xml:space="preserve"> June 2026).</w:t>
      </w:r>
    </w:p>
    <w:p w14:paraId="6218D45F" w14:textId="3218D725" w:rsidR="06F08BB6" w:rsidRPr="0002193E" w:rsidRDefault="6A65DCDF" w:rsidP="0002193E">
      <w:pPr>
        <w:spacing w:line="360" w:lineRule="auto"/>
        <w:rPr>
          <w:rFonts w:eastAsia="Arial" w:cstheme="minorHAnsi"/>
          <w:sz w:val="22"/>
          <w:szCs w:val="22"/>
        </w:rPr>
      </w:pPr>
      <w:r w:rsidRPr="0002193E">
        <w:rPr>
          <w:rFonts w:eastAsia="Arial" w:cstheme="minorHAnsi"/>
          <w:sz w:val="22"/>
          <w:szCs w:val="22"/>
        </w:rPr>
        <w:t xml:space="preserve">World Health Organization (2025) </w:t>
      </w:r>
      <w:proofErr w:type="gramStart"/>
      <w:r w:rsidRPr="0002193E">
        <w:rPr>
          <w:rFonts w:eastAsia="Arial" w:cstheme="minorHAnsi"/>
          <w:i/>
          <w:iCs/>
          <w:sz w:val="22"/>
          <w:szCs w:val="22"/>
        </w:rPr>
        <w:t>Cardiovascular diseases</w:t>
      </w:r>
      <w:proofErr w:type="gramEnd"/>
      <w:r w:rsidRPr="0002193E">
        <w:rPr>
          <w:rFonts w:eastAsia="Arial" w:cstheme="minorHAnsi"/>
          <w:i/>
          <w:iCs/>
          <w:sz w:val="22"/>
          <w:szCs w:val="22"/>
        </w:rPr>
        <w:t xml:space="preserve"> (CVDs)</w:t>
      </w:r>
      <w:r w:rsidRPr="0002193E">
        <w:rPr>
          <w:rFonts w:eastAsia="Arial" w:cstheme="minorHAnsi"/>
          <w:sz w:val="22"/>
          <w:szCs w:val="22"/>
        </w:rPr>
        <w:t xml:space="preserve">. Geneva: World Health Organization. Available at: </w:t>
      </w:r>
      <w:hyperlink r:id="rId33">
        <w:r w:rsidRPr="0002193E">
          <w:rPr>
            <w:rStyle w:val="Hyperlink"/>
            <w:rFonts w:cstheme="minorHAnsi"/>
            <w:color w:val="auto"/>
            <w:sz w:val="22"/>
            <w:szCs w:val="22"/>
          </w:rPr>
          <w:t>https://www.who.int/news-room/fact-sheets/detail/cardiovascular-diseases-(cvds)</w:t>
        </w:r>
      </w:hyperlink>
      <w:r w:rsidRPr="0002193E">
        <w:rPr>
          <w:rFonts w:eastAsia="Arial" w:cstheme="minorHAnsi"/>
          <w:sz w:val="22"/>
          <w:szCs w:val="22"/>
        </w:rPr>
        <w:t xml:space="preserve"> (Accessed: </w:t>
      </w:r>
      <w:r w:rsidR="00582BDE" w:rsidRPr="0002193E">
        <w:rPr>
          <w:rFonts w:eastAsia="Arial" w:cstheme="minorHAnsi"/>
          <w:sz w:val="22"/>
          <w:szCs w:val="22"/>
        </w:rPr>
        <w:t xml:space="preserve">20 </w:t>
      </w:r>
      <w:r w:rsidRPr="0002193E">
        <w:rPr>
          <w:rFonts w:eastAsia="Arial" w:cstheme="minorHAnsi"/>
          <w:sz w:val="22"/>
          <w:szCs w:val="22"/>
        </w:rPr>
        <w:t>June 2026).</w:t>
      </w:r>
    </w:p>
    <w:p w14:paraId="7CE8C18C" w14:textId="056D8750" w:rsidR="0A159609" w:rsidRPr="0002193E" w:rsidRDefault="0A159609" w:rsidP="0002193E">
      <w:pPr>
        <w:spacing w:line="360" w:lineRule="auto"/>
        <w:rPr>
          <w:rFonts w:eastAsia="Arial" w:cstheme="minorHAnsi"/>
          <w:sz w:val="22"/>
          <w:szCs w:val="22"/>
        </w:rPr>
      </w:pPr>
    </w:p>
    <w:p w14:paraId="7FD305AD" w14:textId="752A6CD6" w:rsidR="0A159609" w:rsidRPr="0002193E" w:rsidRDefault="0A159609" w:rsidP="0002193E">
      <w:pPr>
        <w:spacing w:line="360" w:lineRule="auto"/>
        <w:rPr>
          <w:rFonts w:eastAsia="Arial" w:cstheme="minorHAnsi"/>
          <w:sz w:val="22"/>
          <w:szCs w:val="22"/>
        </w:rPr>
      </w:pPr>
    </w:p>
    <w:p w14:paraId="1A93153A" w14:textId="0D6EBBD1" w:rsidR="0A159609" w:rsidRPr="0002193E" w:rsidRDefault="0A159609" w:rsidP="0002193E">
      <w:pPr>
        <w:spacing w:line="360" w:lineRule="auto"/>
        <w:rPr>
          <w:rFonts w:cstheme="minorHAnsi"/>
          <w:sz w:val="22"/>
          <w:szCs w:val="22"/>
        </w:rPr>
      </w:pPr>
    </w:p>
    <w:sectPr w:rsidR="0A159609" w:rsidRPr="000219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DFE622"/>
    <w:rsid w:val="0002193E"/>
    <w:rsid w:val="004B38DA"/>
    <w:rsid w:val="00582BDE"/>
    <w:rsid w:val="007F331B"/>
    <w:rsid w:val="009E2017"/>
    <w:rsid w:val="00BA376C"/>
    <w:rsid w:val="0313C046"/>
    <w:rsid w:val="0529ADD3"/>
    <w:rsid w:val="06F08BB6"/>
    <w:rsid w:val="07A79749"/>
    <w:rsid w:val="087D914A"/>
    <w:rsid w:val="0882A537"/>
    <w:rsid w:val="08C8718F"/>
    <w:rsid w:val="0A159609"/>
    <w:rsid w:val="0AD2E4BA"/>
    <w:rsid w:val="0AFE5DCE"/>
    <w:rsid w:val="0D9E3225"/>
    <w:rsid w:val="0FD1E978"/>
    <w:rsid w:val="1138A89D"/>
    <w:rsid w:val="11DFE622"/>
    <w:rsid w:val="125D6AD3"/>
    <w:rsid w:val="15A8AD2B"/>
    <w:rsid w:val="17044120"/>
    <w:rsid w:val="1896124A"/>
    <w:rsid w:val="191B9D9B"/>
    <w:rsid w:val="194B04C0"/>
    <w:rsid w:val="19A57BAA"/>
    <w:rsid w:val="1BC5BBF6"/>
    <w:rsid w:val="1D6879AF"/>
    <w:rsid w:val="1DB32342"/>
    <w:rsid w:val="1E6FB3D7"/>
    <w:rsid w:val="1ED5AE9A"/>
    <w:rsid w:val="1F1FDC68"/>
    <w:rsid w:val="1F4BA852"/>
    <w:rsid w:val="1F5446C5"/>
    <w:rsid w:val="2080DBEF"/>
    <w:rsid w:val="21C3EE0C"/>
    <w:rsid w:val="21D8E558"/>
    <w:rsid w:val="22270702"/>
    <w:rsid w:val="23ED26D3"/>
    <w:rsid w:val="23F56424"/>
    <w:rsid w:val="2438607E"/>
    <w:rsid w:val="2467BB94"/>
    <w:rsid w:val="2492CF27"/>
    <w:rsid w:val="26B6798A"/>
    <w:rsid w:val="28CEE8D0"/>
    <w:rsid w:val="2AAC8FC0"/>
    <w:rsid w:val="2B500782"/>
    <w:rsid w:val="2C383AF7"/>
    <w:rsid w:val="2E587359"/>
    <w:rsid w:val="2FC01A2A"/>
    <w:rsid w:val="2FCCC632"/>
    <w:rsid w:val="30674203"/>
    <w:rsid w:val="3152A2CE"/>
    <w:rsid w:val="32263547"/>
    <w:rsid w:val="32316849"/>
    <w:rsid w:val="32AB379C"/>
    <w:rsid w:val="32FA883A"/>
    <w:rsid w:val="3357C55E"/>
    <w:rsid w:val="33CD63FB"/>
    <w:rsid w:val="343F0D12"/>
    <w:rsid w:val="3496A8F9"/>
    <w:rsid w:val="34F35745"/>
    <w:rsid w:val="395A33F1"/>
    <w:rsid w:val="3A480578"/>
    <w:rsid w:val="3DEFE001"/>
    <w:rsid w:val="3FFB0BD5"/>
    <w:rsid w:val="416803A2"/>
    <w:rsid w:val="43F26920"/>
    <w:rsid w:val="44F52F63"/>
    <w:rsid w:val="458F702E"/>
    <w:rsid w:val="4608468B"/>
    <w:rsid w:val="46F82DEF"/>
    <w:rsid w:val="487A5CF1"/>
    <w:rsid w:val="4DE979E0"/>
    <w:rsid w:val="4E3B3142"/>
    <w:rsid w:val="4E669E12"/>
    <w:rsid w:val="50689A02"/>
    <w:rsid w:val="515B2D3E"/>
    <w:rsid w:val="529A456C"/>
    <w:rsid w:val="53C07164"/>
    <w:rsid w:val="54603466"/>
    <w:rsid w:val="54981B18"/>
    <w:rsid w:val="55904448"/>
    <w:rsid w:val="5B188DB4"/>
    <w:rsid w:val="5B7E6307"/>
    <w:rsid w:val="5B887CB3"/>
    <w:rsid w:val="5E14CE44"/>
    <w:rsid w:val="5E76E8A2"/>
    <w:rsid w:val="5F9F6E71"/>
    <w:rsid w:val="606C1A20"/>
    <w:rsid w:val="60A10DB0"/>
    <w:rsid w:val="6117F94D"/>
    <w:rsid w:val="612CBD43"/>
    <w:rsid w:val="62F88D7F"/>
    <w:rsid w:val="670F7A0F"/>
    <w:rsid w:val="68A0C95E"/>
    <w:rsid w:val="68AA2CE6"/>
    <w:rsid w:val="6A5E6C3A"/>
    <w:rsid w:val="6A65DCDF"/>
    <w:rsid w:val="7058A734"/>
    <w:rsid w:val="71FC7C7E"/>
    <w:rsid w:val="73365E2A"/>
    <w:rsid w:val="7481B181"/>
    <w:rsid w:val="74E34751"/>
    <w:rsid w:val="763D1F1B"/>
    <w:rsid w:val="76F9AC85"/>
    <w:rsid w:val="778E22DD"/>
    <w:rsid w:val="796097C2"/>
    <w:rsid w:val="7B0901DE"/>
    <w:rsid w:val="7F506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10192"/>
  <w15:chartTrackingRefBased/>
  <w15:docId w15:val="{F7F92D33-D1CC-4AE3-BF78-8EEAEE382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A1596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A1596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A15960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A159609"/>
    <w:pPr>
      <w:ind w:left="720"/>
      <w:contextualSpacing/>
    </w:pPr>
  </w:style>
  <w:style w:type="character" w:styleId="Hyperlink">
    <w:name w:val="Hyperlink"/>
    <w:basedOn w:val="DefaultParagraphFont"/>
    <w:uiPriority w:val="99"/>
    <w:unhideWhenUsed/>
    <w:rsid w:val="0A15960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bi.global/critical-appraisal-tools" TargetMode="External"/><Relationship Id="rId18" Type="http://schemas.openxmlformats.org/officeDocument/2006/relationships/hyperlink" Target="https://www.health.org.uk/publications/reports/the-marmot-review-10-years-on" TargetMode="External"/><Relationship Id="rId26" Type="http://schemas.openxmlformats.org/officeDocument/2006/relationships/hyperlink" Target="https://www.bmj.com/content/372/bmj.n71" TargetMode="External"/><Relationship Id="rId3" Type="http://schemas.openxmlformats.org/officeDocument/2006/relationships/settings" Target="settings.xml"/><Relationship Id="rId21" Type="http://schemas.openxmlformats.org/officeDocument/2006/relationships/hyperlink" Target="https://www.nice.org.uk/guidance/ng238" TargetMode="External"/><Relationship Id="rId34" Type="http://schemas.openxmlformats.org/officeDocument/2006/relationships/fontTable" Target="fontTable.xml"/><Relationship Id="rId7" Type="http://schemas.openxmlformats.org/officeDocument/2006/relationships/hyperlink" Target="https://www.bhf.org.uk/what-we-do/our-research/heart-statistics/health-inequalities-research/cardiovascular-inequalities-in-england-an-analysis" TargetMode="External"/><Relationship Id="rId12" Type="http://schemas.openxmlformats.org/officeDocument/2006/relationships/hyperlink" Target="https://casp-uk.net/casp-tools-checklists/qualitative-studies-checklist/" TargetMode="External"/><Relationship Id="rId17" Type="http://schemas.openxmlformats.org/officeDocument/2006/relationships/hyperlink" Target="https://doi.org/10.1073/pnas.1800028115" TargetMode="External"/><Relationship Id="rId25" Type="http://schemas.openxmlformats.org/officeDocument/2006/relationships/hyperlink" Target="https://www.ons.gov.uk/peoplepopulationandcommunity/healthandsocialcare/healthinequalities/bulletins/healthstatelifeexpectanciesbyindexofmultipledeprivationimd/2018to2020" TargetMode="External"/><Relationship Id="rId33" Type="http://schemas.openxmlformats.org/officeDocument/2006/relationships/hyperlink" Target="https://www.who.int/news-room/fact-sheets/detail/cardiovascular-diseases-(cvds)" TargetMode="External"/><Relationship Id="rId2" Type="http://schemas.openxmlformats.org/officeDocument/2006/relationships/styles" Target="styles.xml"/><Relationship Id="rId16" Type="http://schemas.openxmlformats.org/officeDocument/2006/relationships/hyperlink" Target="https://jbi.global/critical-appraisal-tools" TargetMode="External"/><Relationship Id="rId20" Type="http://schemas.openxmlformats.org/officeDocument/2006/relationships/hyperlink" Target="https://doi.org/10.1016/j.healthpol.2013.05.021" TargetMode="External"/><Relationship Id="rId29" Type="http://schemas.openxmlformats.org/officeDocument/2006/relationships/hyperlink" Target="https://ukhsa.blog.gov.uk/2019/03/04/health-matters-ambitions-to-tackle-persisting-inequalities-in-cardiovascular-disease/" TargetMode="External"/><Relationship Id="rId1" Type="http://schemas.openxmlformats.org/officeDocument/2006/relationships/customXml" Target="../customXml/item1.xml"/><Relationship Id="rId6" Type="http://schemas.openxmlformats.org/officeDocument/2006/relationships/hyperlink" Target="https://doi.org/10.1177/00333549141291S206" TargetMode="External"/><Relationship Id="rId11" Type="http://schemas.openxmlformats.org/officeDocument/2006/relationships/hyperlink" Target="https://casp-uk.net/casp-tools-checklists/cohort-study-checklist/" TargetMode="External"/><Relationship Id="rId24" Type="http://schemas.openxmlformats.org/officeDocument/2006/relationships/hyperlink" Target="https://doi.org/10.1177/1609406917733847" TargetMode="External"/><Relationship Id="rId32" Type="http://schemas.openxmlformats.org/officeDocument/2006/relationships/hyperlink" Target="https://www.who.int/health-topics/social-determinants-of-health?utm_source=chatgpt.com" TargetMode="External"/><Relationship Id="rId5" Type="http://schemas.openxmlformats.org/officeDocument/2006/relationships/hyperlink" Target="https://doi.org/10.1136/jech-2020-214401" TargetMode="External"/><Relationship Id="rId15" Type="http://schemas.openxmlformats.org/officeDocument/2006/relationships/hyperlink" Target="https://www.kingsfund.org.uk/insight-and-analysis/long-reads/what-are-health-inequalities?utm_source=chatgpt.com" TargetMode="External"/><Relationship Id="rId23" Type="http://schemas.openxmlformats.org/officeDocument/2006/relationships/hyperlink" Target="https://www.england.nhs.uk/ourwork/clinical-policy/cvd/" TargetMode="External"/><Relationship Id="rId28" Type="http://schemas.openxmlformats.org/officeDocument/2006/relationships/hyperlink" Target="https://www.gov.uk/government/publications/health-profile-for-england/chapter-6-social-determinants-of-health?utm_source=chatgpt.com" TargetMode="External"/><Relationship Id="rId10" Type="http://schemas.openxmlformats.org/officeDocument/2006/relationships/hyperlink" Target="https://casp-uk.net/casp-tools-checklists/systematic-review-checklist/" TargetMode="External"/><Relationship Id="rId19" Type="http://schemas.openxmlformats.org/officeDocument/2006/relationships/hyperlink" Target="https://www.instituteofhealthequity.org/resources-reports/fair-society-healthy-lives-the-marmot-review?utm_source=chatgpt.com" TargetMode="External"/><Relationship Id="rId31" Type="http://schemas.openxmlformats.org/officeDocument/2006/relationships/hyperlink" Target="https://www.health.org.uk/publications/long-reads/a-framework-for-nhs-action-on-social-determinants-of-health" TargetMode="External"/><Relationship Id="rId4" Type="http://schemas.openxmlformats.org/officeDocument/2006/relationships/webSettings" Target="webSettings.xml"/><Relationship Id="rId9" Type="http://schemas.openxmlformats.org/officeDocument/2006/relationships/hyperlink" Target="https://training.cochrane.org/handbook" TargetMode="External"/><Relationship Id="rId14" Type="http://schemas.openxmlformats.org/officeDocument/2006/relationships/hyperlink" Target="https://www.hra.nhs.uk/approvals-amendments/what-approvals-do-i-need/research-ethics-committee-review/" TargetMode="External"/><Relationship Id="rId22" Type="http://schemas.openxmlformats.org/officeDocument/2006/relationships/hyperlink" Target="https://www.england.nhs.uk/personalisedcare/comprehensive-model-of-personalised-care/" TargetMode="External"/><Relationship Id="rId27" Type="http://schemas.openxmlformats.org/officeDocument/2006/relationships/hyperlink" Target="https://doi.org/10.1016/j.socscimed.2014.12.031" TargetMode="External"/><Relationship Id="rId30" Type="http://schemas.openxmlformats.org/officeDocument/2006/relationships/hyperlink" Target="https://doi.org/10.1161/CIRCULATIONAHA.117.029652" TargetMode="External"/><Relationship Id="rId35" Type="http://schemas.openxmlformats.org/officeDocument/2006/relationships/theme" Target="theme/theme1.xml"/><Relationship Id="rId8" Type="http://schemas.openxmlformats.org/officeDocument/2006/relationships/hyperlink" Target="https://www.bhf.org.uk/what-we-do/our-research/heart-statistics/heart-statistics-publications/cardiovascular-disease-statistics-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BFD4B-4574-44E5-AD25-6F081C032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5854</Words>
  <Characters>33369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Markova (2512936)</dc:creator>
  <cp:keywords/>
  <dc:description/>
  <cp:lastModifiedBy>Desi Markova</cp:lastModifiedBy>
  <cp:revision>4</cp:revision>
  <dcterms:created xsi:type="dcterms:W3CDTF">2026-07-06T15:48:00Z</dcterms:created>
  <dcterms:modified xsi:type="dcterms:W3CDTF">2026-07-07T14:03:00Z</dcterms:modified>
</cp:coreProperties>
</file>