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47AB3" w:rsidRPr="00747AB3" w:rsidRDefault="00747AB3" w:rsidP="00747AB3">
      <w:pPr>
        <w:spacing w:line="360" w:lineRule="auto"/>
        <w:jc w:val="both"/>
        <w:rPr>
          <w:rFonts w:ascii="Times New Roman" w:hAnsi="Times New Roman" w:cs="Times New Roman"/>
        </w:rPr>
      </w:pPr>
      <w:r w:rsidRPr="00747AB3">
        <w:rPr>
          <w:rFonts w:ascii="Times New Roman" w:hAnsi="Times New Roman" w:cs="Times New Roman"/>
        </w:rPr>
        <w:t xml:space="preserve">Title: </w:t>
      </w:r>
      <w:r w:rsidRPr="00747AB3">
        <w:rPr>
          <w:rFonts w:ascii="Times New Roman" w:hAnsi="Times New Roman" w:cs="Times New Roman"/>
          <w:color w:val="000000"/>
        </w:rPr>
        <w:t>Does switching between two languages have any value or purpose?</w:t>
      </w:r>
    </w:p>
    <w:p w:rsidR="00747AB3" w:rsidRPr="00747AB3" w:rsidRDefault="00747AB3" w:rsidP="00747AB3">
      <w:pPr>
        <w:spacing w:line="360" w:lineRule="auto"/>
        <w:jc w:val="both"/>
        <w:rPr>
          <w:rFonts w:ascii="Times New Roman" w:hAnsi="Times New Roman" w:cs="Times New Roman"/>
        </w:rPr>
      </w:pPr>
      <w:r w:rsidRPr="00747AB3">
        <w:rPr>
          <w:rFonts w:ascii="Times New Roman" w:hAnsi="Times New Roman" w:cs="Times New Roman"/>
        </w:rPr>
        <w:t>Lecturer: Dr Jessica Clapham</w:t>
      </w:r>
    </w:p>
    <w:p w:rsidR="00747AB3" w:rsidRPr="00747AB3" w:rsidRDefault="00747AB3" w:rsidP="00747AB3">
      <w:pPr>
        <w:spacing w:line="360" w:lineRule="auto"/>
        <w:jc w:val="both"/>
        <w:rPr>
          <w:rFonts w:ascii="Times New Roman" w:hAnsi="Times New Roman" w:cs="Times New Roman"/>
        </w:rPr>
      </w:pPr>
      <w:r w:rsidRPr="00747AB3">
        <w:rPr>
          <w:rFonts w:ascii="Times New Roman" w:hAnsi="Times New Roman" w:cs="Times New Roman"/>
        </w:rPr>
        <w:t xml:space="preserve">Student Name: Galen </w:t>
      </w:r>
      <w:proofErr w:type="spellStart"/>
      <w:r w:rsidRPr="00747AB3">
        <w:rPr>
          <w:rFonts w:ascii="Times New Roman" w:hAnsi="Times New Roman" w:cs="Times New Roman"/>
        </w:rPr>
        <w:t>Atanasov</w:t>
      </w:r>
      <w:proofErr w:type="spellEnd"/>
    </w:p>
    <w:p w:rsidR="00747AB3" w:rsidRPr="00747AB3" w:rsidRDefault="00747AB3" w:rsidP="00747AB3">
      <w:pPr>
        <w:spacing w:line="360" w:lineRule="auto"/>
        <w:jc w:val="both"/>
        <w:rPr>
          <w:rFonts w:ascii="Times New Roman" w:hAnsi="Times New Roman" w:cs="Times New Roman"/>
        </w:rPr>
      </w:pPr>
      <w:r w:rsidRPr="00747AB3">
        <w:rPr>
          <w:rFonts w:ascii="Times New Roman" w:hAnsi="Times New Roman" w:cs="Times New Roman"/>
        </w:rPr>
        <w:t>Student Number: 2212026</w:t>
      </w:r>
    </w:p>
    <w:p w:rsidR="00747AB3" w:rsidRPr="00747AB3" w:rsidRDefault="00747AB3" w:rsidP="00747AB3">
      <w:pPr>
        <w:spacing w:line="360" w:lineRule="auto"/>
        <w:jc w:val="both"/>
        <w:rPr>
          <w:rFonts w:ascii="Times New Roman" w:hAnsi="Times New Roman" w:cs="Times New Roman"/>
        </w:rPr>
      </w:pPr>
      <w:r w:rsidRPr="00747AB3">
        <w:rPr>
          <w:rFonts w:ascii="Times New Roman" w:hAnsi="Times New Roman" w:cs="Times New Roman"/>
        </w:rPr>
        <w:t>Module: Current Theories of Second Language Acquisition 7006</w:t>
      </w:r>
    </w:p>
    <w:p w:rsidR="00747AB3" w:rsidRPr="00747AB3" w:rsidRDefault="00747AB3" w:rsidP="00747AB3">
      <w:pPr>
        <w:spacing w:line="360" w:lineRule="auto"/>
        <w:jc w:val="both"/>
        <w:rPr>
          <w:rFonts w:ascii="Times New Roman" w:hAnsi="Times New Roman" w:cs="Times New Roman"/>
        </w:rPr>
      </w:pPr>
      <w:r w:rsidRPr="00747AB3">
        <w:rPr>
          <w:rFonts w:ascii="Times New Roman" w:hAnsi="Times New Roman" w:cs="Times New Roman"/>
        </w:rPr>
        <w:t>Wordcount: 2650</w:t>
      </w:r>
    </w:p>
    <w:p w:rsidR="00747AB3" w:rsidRPr="00747AB3" w:rsidRDefault="00747AB3" w:rsidP="00747AB3">
      <w:pPr>
        <w:spacing w:line="360" w:lineRule="auto"/>
        <w:jc w:val="both"/>
        <w:rPr>
          <w:rFonts w:ascii="Times New Roman" w:hAnsi="Times New Roman" w:cs="Times New Roman"/>
        </w:rPr>
      </w:pPr>
    </w:p>
    <w:p w:rsidR="00747AB3" w:rsidRPr="00747AB3" w:rsidRDefault="00747AB3" w:rsidP="00747AB3">
      <w:pPr>
        <w:spacing w:line="360" w:lineRule="auto"/>
        <w:jc w:val="both"/>
        <w:rPr>
          <w:rFonts w:ascii="Times New Roman" w:hAnsi="Times New Roman" w:cs="Times New Roman"/>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AD4C6C" w:rsidRDefault="00AD4C6C" w:rsidP="00747AB3">
      <w:pPr>
        <w:pStyle w:val="Heading2"/>
        <w:spacing w:line="360" w:lineRule="auto"/>
        <w:jc w:val="both"/>
        <w:rPr>
          <w:color w:val="000000"/>
          <w:sz w:val="24"/>
          <w:szCs w:val="24"/>
        </w:rPr>
      </w:pPr>
    </w:p>
    <w:p w:rsidR="004C6605" w:rsidRDefault="004C6605" w:rsidP="00747AB3">
      <w:pPr>
        <w:pStyle w:val="Heading2"/>
        <w:spacing w:line="360" w:lineRule="auto"/>
        <w:jc w:val="both"/>
        <w:rPr>
          <w:color w:val="000000"/>
          <w:sz w:val="24"/>
          <w:szCs w:val="24"/>
        </w:rPr>
      </w:pPr>
    </w:p>
    <w:p w:rsidR="00747AB3" w:rsidRPr="00747AB3" w:rsidRDefault="00747AB3" w:rsidP="00747AB3">
      <w:pPr>
        <w:pStyle w:val="Heading2"/>
        <w:spacing w:line="360" w:lineRule="auto"/>
        <w:jc w:val="both"/>
        <w:rPr>
          <w:color w:val="000000"/>
          <w:sz w:val="24"/>
          <w:szCs w:val="24"/>
        </w:rPr>
      </w:pPr>
      <w:r w:rsidRPr="00747AB3">
        <w:rPr>
          <w:color w:val="000000"/>
          <w:sz w:val="24"/>
          <w:szCs w:val="24"/>
        </w:rPr>
        <w:lastRenderedPageBreak/>
        <w:t xml:space="preserve">Part A: Essay </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Introduction</w:t>
      </w:r>
    </w:p>
    <w:p w:rsidR="00747AB3" w:rsidRPr="00747AB3" w:rsidRDefault="00747AB3" w:rsidP="00747AB3">
      <w:pPr>
        <w:pStyle w:val="NormalWeb"/>
        <w:spacing w:line="360" w:lineRule="auto"/>
        <w:jc w:val="both"/>
        <w:rPr>
          <w:color w:val="000000"/>
        </w:rPr>
      </w:pPr>
      <w:r w:rsidRPr="00747AB3">
        <w:rPr>
          <w:color w:val="000000"/>
        </w:rPr>
        <w:t xml:space="preserve">A question many parents ask when raising bilingual children is whether switching between two languages has any value or purpose. When a child alternates languages within a conversation, or even within a single sentence, adults sometimes interpret this as confusion, poor language development, or a “bad habit” that should be corrected. Baker treats this concern as one of the most frequent parent questions about bilingualism and generally reframes switching as normal, often purposeful, and not inherently harmful (Baker, 2014). This essay examines Baker’s advice critically by connecting it to key theories and research in bilingualism and second language acquisition (SLA): interactional sociolinguistics, developmental psycholinguistics switching as a strategy during acquisition, and contemporary </w:t>
      </w:r>
      <w:proofErr w:type="spellStart"/>
      <w:r w:rsidRPr="00747AB3">
        <w:rPr>
          <w:color w:val="000000"/>
        </w:rPr>
        <w:t>translanguaging</w:t>
      </w:r>
      <w:proofErr w:type="spellEnd"/>
      <w:r w:rsidRPr="00747AB3">
        <w:rPr>
          <w:color w:val="000000"/>
        </w:rPr>
        <w:t xml:space="preserve"> perspectives switching as an integrated use of linguistic resources.</w:t>
      </w:r>
    </w:p>
    <w:p w:rsidR="00747AB3" w:rsidRPr="00A26602" w:rsidRDefault="00747AB3" w:rsidP="00A26602">
      <w:pPr>
        <w:pStyle w:val="NormalWeb"/>
        <w:spacing w:line="360" w:lineRule="auto"/>
        <w:jc w:val="both"/>
        <w:rPr>
          <w:color w:val="000000"/>
        </w:rPr>
      </w:pPr>
      <w:r w:rsidRPr="00747AB3">
        <w:rPr>
          <w:color w:val="000000"/>
        </w:rPr>
        <w:t>The essay also responds to the reflective requirement by discussing whether Baker’s advice (a) matches experience and (b) remains relevant for parents today. The central argument is that switching typically</w:t>
      </w:r>
      <w:r w:rsidRPr="00747AB3">
        <w:rPr>
          <w:rStyle w:val="apple-converted-space"/>
          <w:color w:val="000000"/>
        </w:rPr>
        <w:t> </w:t>
      </w:r>
      <w:r w:rsidRPr="00A26602">
        <w:rPr>
          <w:rStyle w:val="Strong"/>
          <w:b w:val="0"/>
          <w:bCs w:val="0"/>
          <w:color w:val="000000"/>
        </w:rPr>
        <w:t>does</w:t>
      </w:r>
      <w:r w:rsidRPr="00747AB3">
        <w:rPr>
          <w:rStyle w:val="apple-converted-space"/>
          <w:color w:val="000000"/>
        </w:rPr>
        <w:t> </w:t>
      </w:r>
      <w:r w:rsidRPr="00747AB3">
        <w:rPr>
          <w:color w:val="000000"/>
        </w:rPr>
        <w:t xml:space="preserve">have value and purpose: it can help children maintain conversational flow, express identity, manage relationships, and communicate more precisely in different contexts. At the same time, switching must be evaluated carefully. In some families, frequent switching may reflect unequal input and broader societal pressures that lead to minority-language loss. Therefore, the most balanced position is to accept switching as normal and meaningful while also supporting parents to create conditions where both languages can develop and be used actively (De </w:t>
      </w:r>
      <w:proofErr w:type="spellStart"/>
      <w:r w:rsidRPr="00747AB3">
        <w:rPr>
          <w:color w:val="000000"/>
        </w:rPr>
        <w:t>Houwer</w:t>
      </w:r>
      <w:proofErr w:type="spellEnd"/>
      <w:r w:rsidRPr="00747AB3">
        <w:rPr>
          <w:color w:val="000000"/>
        </w:rPr>
        <w:t xml:space="preserve">, 2007; De </w:t>
      </w:r>
      <w:proofErr w:type="spellStart"/>
      <w:r w:rsidRPr="00747AB3">
        <w:rPr>
          <w:color w:val="000000"/>
        </w:rPr>
        <w:t>Houwer</w:t>
      </w:r>
      <w:proofErr w:type="spellEnd"/>
      <w:r w:rsidRPr="00747AB3">
        <w:rPr>
          <w:color w:val="000000"/>
        </w:rPr>
        <w:t>, 2009).</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1. Defining key terms in bilingual development</w:t>
      </w:r>
    </w:p>
    <w:p w:rsidR="00747AB3" w:rsidRPr="00747AB3" w:rsidRDefault="00747AB3" w:rsidP="00747AB3">
      <w:pPr>
        <w:pStyle w:val="NormalWeb"/>
        <w:spacing w:line="360" w:lineRule="auto"/>
        <w:jc w:val="both"/>
        <w:rPr>
          <w:color w:val="000000"/>
        </w:rPr>
      </w:pPr>
      <w:r w:rsidRPr="00747AB3">
        <w:rPr>
          <w:rStyle w:val="Strong"/>
          <w:color w:val="000000"/>
        </w:rPr>
        <w:t>Code-switching</w:t>
      </w:r>
      <w:r w:rsidRPr="00747AB3">
        <w:rPr>
          <w:rStyle w:val="apple-converted-space"/>
          <w:color w:val="000000"/>
        </w:rPr>
        <w:t> </w:t>
      </w:r>
      <w:r w:rsidRPr="00747AB3">
        <w:rPr>
          <w:color w:val="000000"/>
        </w:rPr>
        <w:t>is the alternating use of two or more languages within a conversation, a speaker’s turn, or sometimes within a single utterance (</w:t>
      </w:r>
      <w:proofErr w:type="spellStart"/>
      <w:r w:rsidRPr="00747AB3">
        <w:rPr>
          <w:color w:val="000000"/>
        </w:rPr>
        <w:t>Gumperz</w:t>
      </w:r>
      <w:proofErr w:type="spellEnd"/>
      <w:r w:rsidRPr="00747AB3">
        <w:rPr>
          <w:color w:val="000000"/>
        </w:rPr>
        <w:t>, 1982; Auer, 1998). Parents often describe this as “mixing”, but in research it is usually not treated as random behaviour. Instead, switching is analysed as patterned and meaningful, shaped by conversational goals and social context (</w:t>
      </w:r>
      <w:proofErr w:type="spellStart"/>
      <w:r w:rsidRPr="00747AB3">
        <w:rPr>
          <w:color w:val="000000"/>
        </w:rPr>
        <w:t>Gumperz</w:t>
      </w:r>
      <w:proofErr w:type="spellEnd"/>
      <w:r w:rsidRPr="00747AB3">
        <w:rPr>
          <w:color w:val="000000"/>
        </w:rPr>
        <w:t>, 1982).</w:t>
      </w:r>
    </w:p>
    <w:p w:rsidR="00747AB3" w:rsidRPr="00747AB3" w:rsidRDefault="00747AB3" w:rsidP="00747AB3">
      <w:pPr>
        <w:pStyle w:val="NormalWeb"/>
        <w:spacing w:line="360" w:lineRule="auto"/>
        <w:jc w:val="both"/>
        <w:rPr>
          <w:color w:val="000000"/>
        </w:rPr>
      </w:pPr>
      <w:r w:rsidRPr="00747AB3">
        <w:rPr>
          <w:color w:val="000000"/>
        </w:rPr>
        <w:t>A second essential concept is</w:t>
      </w:r>
      <w:r w:rsidRPr="00747AB3">
        <w:rPr>
          <w:rStyle w:val="apple-converted-space"/>
          <w:color w:val="000000"/>
        </w:rPr>
        <w:t> </w:t>
      </w:r>
      <w:r w:rsidRPr="00C96B29">
        <w:rPr>
          <w:rStyle w:val="Strong"/>
          <w:b w:val="0"/>
          <w:bCs w:val="0"/>
          <w:color w:val="000000"/>
        </w:rPr>
        <w:t>distributed bilingual vocabulary</w:t>
      </w:r>
      <w:r w:rsidRPr="00747AB3">
        <w:rPr>
          <w:color w:val="000000"/>
        </w:rPr>
        <w:t xml:space="preserve">. Bilingual children do not necessarily learn the same words in both languages at the same time. Their lexical knowledge </w:t>
      </w:r>
      <w:r w:rsidRPr="00747AB3">
        <w:rPr>
          <w:color w:val="000000"/>
        </w:rPr>
        <w:lastRenderedPageBreak/>
        <w:t xml:space="preserve">is often linked to where and with whom they use each language, so a child may have strong home-routine vocabulary in the family language and strong school-topic vocabulary in the community language (Genesee, Paradis and </w:t>
      </w:r>
      <w:proofErr w:type="spellStart"/>
      <w:r w:rsidRPr="00747AB3">
        <w:rPr>
          <w:color w:val="000000"/>
        </w:rPr>
        <w:t>Crago</w:t>
      </w:r>
      <w:proofErr w:type="spellEnd"/>
      <w:r w:rsidRPr="00747AB3">
        <w:rPr>
          <w:color w:val="000000"/>
        </w:rPr>
        <w:t xml:space="preserve">, 2004; De </w:t>
      </w:r>
      <w:proofErr w:type="spellStart"/>
      <w:r w:rsidRPr="00747AB3">
        <w:rPr>
          <w:color w:val="000000"/>
        </w:rPr>
        <w:t>Houwer</w:t>
      </w:r>
      <w:proofErr w:type="spellEnd"/>
      <w:r w:rsidRPr="00747AB3">
        <w:rPr>
          <w:color w:val="000000"/>
        </w:rPr>
        <w:t>, 2009). This matters because children may switch in order to fill a momentary lexical gap, not because they “do not know” a language overall.</w:t>
      </w:r>
    </w:p>
    <w:p w:rsidR="00747AB3" w:rsidRPr="00C96B29" w:rsidRDefault="00747AB3" w:rsidP="00C96B29">
      <w:pPr>
        <w:pStyle w:val="NormalWeb"/>
        <w:spacing w:line="360" w:lineRule="auto"/>
        <w:jc w:val="both"/>
        <w:rPr>
          <w:color w:val="000000"/>
        </w:rPr>
      </w:pPr>
      <w:r w:rsidRPr="00747AB3">
        <w:rPr>
          <w:color w:val="000000"/>
        </w:rPr>
        <w:t>A third concept is</w:t>
      </w:r>
      <w:r w:rsidRPr="00747AB3">
        <w:rPr>
          <w:rStyle w:val="apple-converted-space"/>
          <w:color w:val="000000"/>
        </w:rPr>
        <w:t> </w:t>
      </w:r>
      <w:proofErr w:type="spellStart"/>
      <w:r w:rsidRPr="004C6605">
        <w:rPr>
          <w:rStyle w:val="Strong"/>
          <w:b w:val="0"/>
          <w:bCs w:val="0"/>
          <w:color w:val="000000"/>
        </w:rPr>
        <w:t>translanguaging</w:t>
      </w:r>
      <w:proofErr w:type="spellEnd"/>
      <w:r w:rsidRPr="00747AB3">
        <w:rPr>
          <w:color w:val="000000"/>
        </w:rPr>
        <w:t xml:space="preserve">, a perspective emphasising that bilingual speakers draw flexibly on an integrated repertoire of linguistic resources to make meaning (García and Wei, 2014; Wei, 2018). </w:t>
      </w:r>
      <w:proofErr w:type="spellStart"/>
      <w:r w:rsidRPr="00747AB3">
        <w:rPr>
          <w:color w:val="000000"/>
        </w:rPr>
        <w:t>Translanguaging</w:t>
      </w:r>
      <w:proofErr w:type="spellEnd"/>
      <w:r w:rsidRPr="00747AB3">
        <w:rPr>
          <w:color w:val="000000"/>
        </w:rPr>
        <w:t xml:space="preserve"> frameworks challenge strict “two separate boxes” thinking and argue that bilingual communication practices are natural responses to multilingual lives. For parents, this is important because it offers an alternative to monolingual norms that treat mixed speech as error.</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2. Baker (2014) on switching: what the advice is and why parents need it</w:t>
      </w:r>
    </w:p>
    <w:p w:rsidR="00747AB3" w:rsidRPr="00747AB3" w:rsidRDefault="00747AB3" w:rsidP="00747AB3">
      <w:pPr>
        <w:pStyle w:val="NormalWeb"/>
        <w:spacing w:line="360" w:lineRule="auto"/>
        <w:jc w:val="both"/>
        <w:rPr>
          <w:color w:val="000000"/>
        </w:rPr>
      </w:pPr>
      <w:r w:rsidRPr="00747AB3">
        <w:rPr>
          <w:color w:val="000000"/>
        </w:rPr>
        <w:t>Baker’s parent guidance typically aims to reduce anxiety and correct myths. A common myth is that bilingual children are confused if they switch between languages. Baker’s response is generally reassuring: switching is common among bilinguals, can serve communicative functions, and is not in itself evidence of cognitive or linguistic confusion (Baker, 2014). Baker’s approach fits his wider aim of helping parents and teachers make informed decisions about bilingual development, rather than reacting to fear or social pressure.</w:t>
      </w:r>
    </w:p>
    <w:p w:rsidR="00747AB3" w:rsidRPr="00BA0B46" w:rsidRDefault="00747AB3" w:rsidP="00BA0B46">
      <w:pPr>
        <w:pStyle w:val="NormalWeb"/>
        <w:spacing w:line="360" w:lineRule="auto"/>
        <w:jc w:val="both"/>
        <w:rPr>
          <w:color w:val="000000"/>
        </w:rPr>
      </w:pPr>
      <w:r w:rsidRPr="00747AB3">
        <w:rPr>
          <w:color w:val="000000"/>
        </w:rPr>
        <w:t xml:space="preserve">Baker’s reassurance is pedagogically important because parental beliefs influence parental behaviour. If parents respond to switching with scolding (“Don’t mix languages!”), children may become less confident, speak less, or avoid the minority language (De </w:t>
      </w:r>
      <w:proofErr w:type="spellStart"/>
      <w:r w:rsidRPr="00747AB3">
        <w:rPr>
          <w:color w:val="000000"/>
        </w:rPr>
        <w:t>Houwer</w:t>
      </w:r>
      <w:proofErr w:type="spellEnd"/>
      <w:r w:rsidRPr="00747AB3">
        <w:rPr>
          <w:color w:val="000000"/>
        </w:rPr>
        <w:t xml:space="preserve">, 2007). If parents respond calmly, children continue receiving rich input and opportunities for use—conditions widely regarded as crucial for language development (Genesee, Paradis and </w:t>
      </w:r>
      <w:proofErr w:type="spellStart"/>
      <w:r w:rsidRPr="00747AB3">
        <w:rPr>
          <w:color w:val="000000"/>
        </w:rPr>
        <w:t>Crago</w:t>
      </w:r>
      <w:proofErr w:type="spellEnd"/>
      <w:r w:rsidRPr="00747AB3">
        <w:rPr>
          <w:color w:val="000000"/>
        </w:rPr>
        <w:t>, 2004).</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3. Switching as purposeful communication: interactional sociolinguistic perspectives</w:t>
      </w:r>
    </w:p>
    <w:p w:rsidR="00747AB3" w:rsidRPr="00747AB3" w:rsidRDefault="00747AB3" w:rsidP="00747AB3">
      <w:pPr>
        <w:pStyle w:val="NormalWeb"/>
        <w:spacing w:line="360" w:lineRule="auto"/>
        <w:jc w:val="both"/>
        <w:rPr>
          <w:color w:val="000000"/>
        </w:rPr>
      </w:pPr>
      <w:r w:rsidRPr="00747AB3">
        <w:rPr>
          <w:color w:val="000000"/>
        </w:rPr>
        <w:t xml:space="preserve">One of the strongest reasons to view switching as meaningful comes from interactional sociolinguistics. </w:t>
      </w:r>
      <w:proofErr w:type="spellStart"/>
      <w:r w:rsidRPr="00747AB3">
        <w:rPr>
          <w:color w:val="000000"/>
        </w:rPr>
        <w:t>Gumperz</w:t>
      </w:r>
      <w:proofErr w:type="spellEnd"/>
      <w:r w:rsidRPr="00747AB3">
        <w:rPr>
          <w:color w:val="000000"/>
        </w:rPr>
        <w:t xml:space="preserve"> (1982) argues that switching can function as a contextualisation cue: it helps speakers signal how an utterance should be interpreted and can mark changes in topic, stance, or interpersonal alignment. This perspective emphasises that switching can carry social </w:t>
      </w:r>
      <w:r w:rsidRPr="00747AB3">
        <w:rPr>
          <w:color w:val="000000"/>
        </w:rPr>
        <w:lastRenderedPageBreak/>
        <w:t>meaning in the same way that tone of voice or style choice can. Auer (1998) similarly shows that switching can organise conversation, mark boundaries between conversational activities, and manage relationships in real time.</w:t>
      </w:r>
    </w:p>
    <w:p w:rsidR="00747AB3" w:rsidRPr="00747AB3" w:rsidRDefault="00747AB3" w:rsidP="00747AB3">
      <w:pPr>
        <w:pStyle w:val="NormalWeb"/>
        <w:spacing w:line="360" w:lineRule="auto"/>
        <w:jc w:val="both"/>
        <w:rPr>
          <w:color w:val="000000"/>
        </w:rPr>
      </w:pPr>
      <w:r w:rsidRPr="00747AB3">
        <w:rPr>
          <w:color w:val="000000"/>
        </w:rPr>
        <w:t>In family life, children may switch languages for reasons that are recognisable even to non-linguists. They may switch to quote a teacher (often using the school language), to express humour in a language associated with siblings, or to show closeness with a grandparent. Switching can also function as accommodation: if a child knows one interlocutor has stronger proficiency in one language, switching becomes a practical strategy for ensuring understanding.</w:t>
      </w:r>
    </w:p>
    <w:p w:rsidR="00747AB3" w:rsidRPr="00F44288" w:rsidRDefault="00747AB3" w:rsidP="00F44288">
      <w:pPr>
        <w:pStyle w:val="NormalWeb"/>
        <w:spacing w:line="360" w:lineRule="auto"/>
        <w:jc w:val="both"/>
        <w:rPr>
          <w:color w:val="000000"/>
        </w:rPr>
      </w:pPr>
      <w:r w:rsidRPr="00747AB3">
        <w:rPr>
          <w:color w:val="000000"/>
        </w:rPr>
        <w:t>From this angle, switching is not a weakness but a sign of developing bilingual communicative competence. It shows that the child is learning how language choices relate to social contexts and identities. Baker’s advice is consistent with this because it encourages parents to see switching as part of bilingual life rather than as a failure to “stay in one language” (Baker, 2014).</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4. Switching as a developmental strategy: psycholinguistic perspectives</w:t>
      </w:r>
    </w:p>
    <w:p w:rsidR="00747AB3" w:rsidRPr="00747AB3" w:rsidRDefault="00747AB3" w:rsidP="00747AB3">
      <w:pPr>
        <w:pStyle w:val="NormalWeb"/>
        <w:spacing w:line="360" w:lineRule="auto"/>
        <w:jc w:val="both"/>
        <w:rPr>
          <w:color w:val="000000"/>
        </w:rPr>
      </w:pPr>
      <w:r w:rsidRPr="00747AB3">
        <w:rPr>
          <w:color w:val="000000"/>
        </w:rPr>
        <w:t xml:space="preserve">A second explanation focuses on bilingual acquisition processes. Genesee, Paradis and </w:t>
      </w:r>
      <w:proofErr w:type="spellStart"/>
      <w:r w:rsidRPr="00747AB3">
        <w:rPr>
          <w:color w:val="000000"/>
        </w:rPr>
        <w:t>Crago</w:t>
      </w:r>
      <w:proofErr w:type="spellEnd"/>
      <w:r w:rsidRPr="00747AB3">
        <w:rPr>
          <w:color w:val="000000"/>
        </w:rPr>
        <w:t xml:space="preserve"> (2004) emphasise that bilingual children are not simply learning “half of two languages”; they are developing two linguistic systems under conditions of varying input and use. Switching often occurs because children are still building vocabulary and grammatical resources in both languages, and the most accessible word may come from one language at that moment.</w:t>
      </w:r>
    </w:p>
    <w:p w:rsidR="00747AB3" w:rsidRPr="00747AB3" w:rsidRDefault="00747AB3" w:rsidP="00747AB3">
      <w:pPr>
        <w:pStyle w:val="NormalWeb"/>
        <w:spacing w:line="360" w:lineRule="auto"/>
        <w:jc w:val="both"/>
        <w:rPr>
          <w:color w:val="000000"/>
        </w:rPr>
      </w:pPr>
      <w:r w:rsidRPr="00747AB3">
        <w:rPr>
          <w:color w:val="000000"/>
        </w:rPr>
        <w:t>This is closely linked to distributed vocabulary. A child who learns the concept of “homework”, “teacher”, or “nursery” mostly through the community language may naturally use those words even while speaking the family language. Conversely, words linked to home routines, food, or cultural traditions may be stronger in the family language. Switching allows the child to maintain fluency and communicate effectively without stopping to search for a word.</w:t>
      </w:r>
    </w:p>
    <w:p w:rsidR="00747AB3" w:rsidRPr="00E735C5" w:rsidRDefault="00747AB3" w:rsidP="00E735C5">
      <w:pPr>
        <w:pStyle w:val="NormalWeb"/>
        <w:spacing w:line="360" w:lineRule="auto"/>
        <w:jc w:val="both"/>
        <w:rPr>
          <w:color w:val="000000"/>
        </w:rPr>
      </w:pPr>
      <w:r w:rsidRPr="00747AB3">
        <w:rPr>
          <w:color w:val="000000"/>
        </w:rPr>
        <w:t xml:space="preserve">Crucially, this behaviour does not necessarily imply confusion. Research suggests that bilingual children can distinguish between languages early and adjust their language choices according to the listener, even if their production includes cross-linguistic influence (Genesee, Paradis and </w:t>
      </w:r>
      <w:proofErr w:type="spellStart"/>
      <w:r w:rsidRPr="00747AB3">
        <w:rPr>
          <w:color w:val="000000"/>
        </w:rPr>
        <w:t>Crago</w:t>
      </w:r>
      <w:proofErr w:type="spellEnd"/>
      <w:r w:rsidRPr="00747AB3">
        <w:rPr>
          <w:color w:val="000000"/>
        </w:rPr>
        <w:t xml:space="preserve">, 2004; De </w:t>
      </w:r>
      <w:proofErr w:type="spellStart"/>
      <w:r w:rsidRPr="00747AB3">
        <w:rPr>
          <w:color w:val="000000"/>
        </w:rPr>
        <w:t>Houwer</w:t>
      </w:r>
      <w:proofErr w:type="spellEnd"/>
      <w:r w:rsidRPr="00747AB3">
        <w:rPr>
          <w:color w:val="000000"/>
        </w:rPr>
        <w:t xml:space="preserve">, 2009). Therefore, Baker’s reassurance is supported by </w:t>
      </w:r>
      <w:r w:rsidRPr="00747AB3">
        <w:rPr>
          <w:color w:val="000000"/>
        </w:rPr>
        <w:lastRenderedPageBreak/>
        <w:t>developmental research: switching is often an expected feature of bilingual development, especially in early years or when one language has fewer opportunities for use (Baker, 2014).</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5. Is switching random? Evidence for patterned bilingual behaviour</w:t>
      </w:r>
    </w:p>
    <w:p w:rsidR="00747AB3" w:rsidRPr="00747AB3" w:rsidRDefault="00747AB3" w:rsidP="00747AB3">
      <w:pPr>
        <w:pStyle w:val="NormalWeb"/>
        <w:spacing w:line="360" w:lineRule="auto"/>
        <w:jc w:val="both"/>
        <w:rPr>
          <w:color w:val="000000"/>
        </w:rPr>
      </w:pPr>
      <w:r w:rsidRPr="00747AB3">
        <w:rPr>
          <w:color w:val="000000"/>
        </w:rPr>
        <w:t xml:space="preserve">Parents sometimes assume that switching is “messy” or lacks structure. Classic research challenges this. </w:t>
      </w:r>
      <w:proofErr w:type="spellStart"/>
      <w:r w:rsidRPr="00747AB3">
        <w:rPr>
          <w:color w:val="000000"/>
        </w:rPr>
        <w:t>Poplack</w:t>
      </w:r>
      <w:proofErr w:type="spellEnd"/>
      <w:r w:rsidRPr="00747AB3">
        <w:rPr>
          <w:color w:val="000000"/>
        </w:rPr>
        <w:t xml:space="preserve"> (1980) argued that code-switching is not arbitrary and proposed that switching tends to occur in places that are structurally compatible across languages. While later scholarship debates whether any single set of constraints applies across all language pairs, the broader conclusion remains influential: switching often shows systematic patterning rather than random error.</w:t>
      </w:r>
    </w:p>
    <w:p w:rsidR="00747AB3" w:rsidRPr="00747AB3" w:rsidRDefault="00747AB3" w:rsidP="00747AB3">
      <w:pPr>
        <w:pStyle w:val="NormalWeb"/>
        <w:spacing w:line="360" w:lineRule="auto"/>
        <w:jc w:val="both"/>
        <w:rPr>
          <w:color w:val="000000"/>
        </w:rPr>
      </w:pPr>
      <w:r w:rsidRPr="00747AB3">
        <w:rPr>
          <w:color w:val="000000"/>
        </w:rPr>
        <w:t>Myers-</w:t>
      </w:r>
      <w:proofErr w:type="spellStart"/>
      <w:r w:rsidRPr="00747AB3">
        <w:rPr>
          <w:color w:val="000000"/>
        </w:rPr>
        <w:t>Scotton</w:t>
      </w:r>
      <w:proofErr w:type="spellEnd"/>
      <w:r w:rsidRPr="00747AB3">
        <w:rPr>
          <w:color w:val="000000"/>
        </w:rPr>
        <w:t xml:space="preserve"> (1993) also emphasises that switching can be socially motivated and structurally shaped. Her Matrix Language Frame model proposes that in many cases one language provides the grammatical frame while the other contributes inserted material. For parents, the key implication is that children can produce mixed utterances that still reflect underlying grammatical knowledge. This strengthens Baker’s argument that switching does not automatically indicate that the child lacks language competence (Baker, 2014).</w:t>
      </w:r>
    </w:p>
    <w:p w:rsidR="00747AB3" w:rsidRPr="00E735C5" w:rsidRDefault="00747AB3" w:rsidP="00E735C5">
      <w:pPr>
        <w:pStyle w:val="NormalWeb"/>
        <w:spacing w:line="360" w:lineRule="auto"/>
        <w:jc w:val="both"/>
        <w:rPr>
          <w:color w:val="000000"/>
        </w:rPr>
      </w:pPr>
      <w:r w:rsidRPr="00747AB3">
        <w:rPr>
          <w:color w:val="000000"/>
        </w:rPr>
        <w:t>A careful evaluation is needed here. Not every mixed utterance is “advanced” switching, and children’s early bilingual productions can involve simplifications or transfer. However, the existence of patterned switching and meaningful functions provides strong grounds to interpret switching as a normal bilingual resource rather than as a sign of deficit.</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 xml:space="preserve">6. </w:t>
      </w:r>
      <w:proofErr w:type="spellStart"/>
      <w:r w:rsidRPr="00747AB3">
        <w:rPr>
          <w:color w:val="000000"/>
          <w:sz w:val="24"/>
          <w:szCs w:val="24"/>
        </w:rPr>
        <w:t>Translanguaging</w:t>
      </w:r>
      <w:proofErr w:type="spellEnd"/>
      <w:r w:rsidRPr="00747AB3">
        <w:rPr>
          <w:color w:val="000000"/>
          <w:sz w:val="24"/>
          <w:szCs w:val="24"/>
        </w:rPr>
        <w:t>: a contemporary lens on switching and “value”</w:t>
      </w:r>
    </w:p>
    <w:p w:rsidR="00747AB3" w:rsidRPr="00747AB3" w:rsidRDefault="00747AB3" w:rsidP="00747AB3">
      <w:pPr>
        <w:pStyle w:val="NormalWeb"/>
        <w:spacing w:line="360" w:lineRule="auto"/>
        <w:jc w:val="both"/>
        <w:rPr>
          <w:color w:val="000000"/>
        </w:rPr>
      </w:pPr>
      <w:proofErr w:type="spellStart"/>
      <w:r w:rsidRPr="00747AB3">
        <w:rPr>
          <w:color w:val="000000"/>
        </w:rPr>
        <w:t>Translanguaging</w:t>
      </w:r>
      <w:proofErr w:type="spellEnd"/>
      <w:r w:rsidRPr="00747AB3">
        <w:rPr>
          <w:color w:val="000000"/>
        </w:rPr>
        <w:t xml:space="preserve"> scholarship broadens the question from “Does switching have purpose?” to “Why are we treating bilingual language practices as problems at all?” García and Wei (2014) argue that bilingual speakers use their full repertoire to communicate, and that strict named-language separation often reflects institutional expectations rather than how bilingual meaning-making works. Wei (2018) frames </w:t>
      </w:r>
      <w:proofErr w:type="spellStart"/>
      <w:r w:rsidRPr="00747AB3">
        <w:rPr>
          <w:color w:val="000000"/>
        </w:rPr>
        <w:t>translanguaging</w:t>
      </w:r>
      <w:proofErr w:type="spellEnd"/>
      <w:r w:rsidRPr="00747AB3">
        <w:rPr>
          <w:color w:val="000000"/>
        </w:rPr>
        <w:t xml:space="preserve"> as a practical theory that accounts for bilingual creativity and flexibility in real contexts.</w:t>
      </w:r>
    </w:p>
    <w:p w:rsidR="00747AB3" w:rsidRPr="001E794A" w:rsidRDefault="00747AB3" w:rsidP="001E794A">
      <w:pPr>
        <w:pStyle w:val="NormalWeb"/>
        <w:spacing w:line="360" w:lineRule="auto"/>
        <w:jc w:val="both"/>
        <w:rPr>
          <w:color w:val="000000"/>
        </w:rPr>
      </w:pPr>
      <w:r w:rsidRPr="00747AB3">
        <w:rPr>
          <w:color w:val="000000"/>
        </w:rPr>
        <w:t xml:space="preserve">This perspective is relevant to parents because they often face social pressure to enforce “one language at a time” rules, especially in majority-language societies. </w:t>
      </w:r>
      <w:proofErr w:type="spellStart"/>
      <w:r w:rsidRPr="00747AB3">
        <w:rPr>
          <w:color w:val="000000"/>
        </w:rPr>
        <w:t>Translanguaging</w:t>
      </w:r>
      <w:proofErr w:type="spellEnd"/>
      <w:r w:rsidRPr="00747AB3">
        <w:rPr>
          <w:color w:val="000000"/>
        </w:rPr>
        <w:t xml:space="preserve"> suggests that bilingual children’s mixed practices can be legitimate ways of communicating and </w:t>
      </w:r>
      <w:r w:rsidRPr="00747AB3">
        <w:rPr>
          <w:color w:val="000000"/>
        </w:rPr>
        <w:lastRenderedPageBreak/>
        <w:t xml:space="preserve">thinking. At the same time, parents still have practical goals: many want their child to develop confidence and competence in both named languages, including literacy in the minority language. A balanced interpretation is therefore needed. </w:t>
      </w:r>
      <w:proofErr w:type="spellStart"/>
      <w:r w:rsidRPr="00747AB3">
        <w:rPr>
          <w:color w:val="000000"/>
        </w:rPr>
        <w:t>Translanguaging</w:t>
      </w:r>
      <w:proofErr w:type="spellEnd"/>
      <w:r w:rsidRPr="00747AB3">
        <w:rPr>
          <w:color w:val="000000"/>
        </w:rPr>
        <w:t xml:space="preserve"> helps parents value bilingual meaning-making and identity, while family language planning and consistent input help ensure long-term development and maintenance of both languages (De </w:t>
      </w:r>
      <w:proofErr w:type="spellStart"/>
      <w:r w:rsidRPr="00747AB3">
        <w:rPr>
          <w:color w:val="000000"/>
        </w:rPr>
        <w:t>Houwer</w:t>
      </w:r>
      <w:proofErr w:type="spellEnd"/>
      <w:r w:rsidRPr="00747AB3">
        <w:rPr>
          <w:color w:val="000000"/>
        </w:rPr>
        <w:t xml:space="preserve">, 2007; De </w:t>
      </w:r>
      <w:proofErr w:type="spellStart"/>
      <w:r w:rsidRPr="00747AB3">
        <w:rPr>
          <w:color w:val="000000"/>
        </w:rPr>
        <w:t>Houwer</w:t>
      </w:r>
      <w:proofErr w:type="spellEnd"/>
      <w:r w:rsidRPr="00747AB3">
        <w:rPr>
          <w:color w:val="000000"/>
        </w:rPr>
        <w:t>, 2009). Baker’s work is broadly compatible with this balanced stance because it reassures parents while encouraging supportive practices (Baker, 2014).</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7. The “bilingual advantage” debate: critical evaluation for academic credibility</w:t>
      </w:r>
    </w:p>
    <w:p w:rsidR="00747AB3" w:rsidRPr="00747AB3" w:rsidRDefault="00747AB3" w:rsidP="00747AB3">
      <w:pPr>
        <w:pStyle w:val="NormalWeb"/>
        <w:spacing w:line="360" w:lineRule="auto"/>
        <w:jc w:val="both"/>
        <w:rPr>
          <w:color w:val="000000"/>
        </w:rPr>
      </w:pPr>
      <w:r w:rsidRPr="00747AB3">
        <w:rPr>
          <w:color w:val="000000"/>
        </w:rPr>
        <w:t xml:space="preserve">Some parents ask whether switching makes children cognitively stronger. Bialystok (2001) argued that bilingual experience may support aspects of executive functioning, such as attentional control, because bilinguals manage two languages. However, later research has questioned the strength and consistency of these findings, with </w:t>
      </w:r>
      <w:proofErr w:type="spellStart"/>
      <w:r w:rsidRPr="00747AB3">
        <w:rPr>
          <w:color w:val="000000"/>
        </w:rPr>
        <w:t>Paap</w:t>
      </w:r>
      <w:proofErr w:type="spellEnd"/>
      <w:r w:rsidRPr="00747AB3">
        <w:rPr>
          <w:color w:val="000000"/>
        </w:rPr>
        <w:t xml:space="preserve"> and Greenberg (2013) arguing there is no coherent evidence for a general bilingual advantage across tasks and populations.</w:t>
      </w:r>
    </w:p>
    <w:p w:rsidR="00747AB3" w:rsidRPr="006E6001" w:rsidRDefault="00747AB3" w:rsidP="006E6001">
      <w:pPr>
        <w:pStyle w:val="NormalWeb"/>
        <w:spacing w:line="360" w:lineRule="auto"/>
        <w:jc w:val="both"/>
        <w:rPr>
          <w:color w:val="000000"/>
        </w:rPr>
      </w:pPr>
      <w:r w:rsidRPr="00747AB3">
        <w:rPr>
          <w:color w:val="000000"/>
        </w:rPr>
        <w:t>Switching may involve monitoring and control, particularly when children adapt to different interlocutors. Yet the strongest and least disputed “value” of switching is social and communicative: it supports meaning-making across contexts, allows children to participate fully in multilingual family life, and can express identity and belonging. Baker’s advice tends to be most persuasive when it focuses on these realistic benefits rather than promising guaranteed cognitive outcomes (Baker, 2014).</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8. Part A reflective component: does Baker’s advice match experience and seem relevant?</w:t>
      </w:r>
    </w:p>
    <w:p w:rsidR="00747AB3" w:rsidRPr="00747AB3" w:rsidRDefault="00747AB3" w:rsidP="00747AB3">
      <w:pPr>
        <w:pStyle w:val="Heading4"/>
        <w:spacing w:line="360" w:lineRule="auto"/>
        <w:jc w:val="both"/>
        <w:rPr>
          <w:rFonts w:ascii="Times New Roman" w:hAnsi="Times New Roman" w:cs="Times New Roman"/>
          <w:color w:val="000000"/>
        </w:rPr>
      </w:pPr>
      <w:r w:rsidRPr="00747AB3">
        <w:rPr>
          <w:rFonts w:ascii="Times New Roman" w:hAnsi="Times New Roman" w:cs="Times New Roman"/>
          <w:color w:val="000000"/>
        </w:rPr>
        <w:t>8.1 (a) Does it match experience?</w:t>
      </w:r>
    </w:p>
    <w:p w:rsidR="00747AB3" w:rsidRPr="00747AB3" w:rsidRDefault="00747AB3" w:rsidP="00747AB3">
      <w:pPr>
        <w:pStyle w:val="NormalWeb"/>
        <w:spacing w:line="360" w:lineRule="auto"/>
        <w:jc w:val="both"/>
        <w:rPr>
          <w:color w:val="000000"/>
        </w:rPr>
      </w:pPr>
      <w:r w:rsidRPr="00747AB3">
        <w:rPr>
          <w:color w:val="000000"/>
        </w:rPr>
        <w:t xml:space="preserve">In many bilingual families and communities, switching appears highly context-sensitive. Children may use more majority-language vocabulary when discussing school-related topics, while using more family-language vocabulary in routines and cultural contexts. Switching may increase when the child is excited or telling a story, as the child prioritises fluency over strict language separation. Switching also often changes depending on the listener: children may use one language with grandparents and another with siblings, with switching occurring during group conversations. These patterns support the research view that bilingual language practices </w:t>
      </w:r>
      <w:r w:rsidRPr="00747AB3">
        <w:rPr>
          <w:color w:val="000000"/>
        </w:rPr>
        <w:lastRenderedPageBreak/>
        <w:t xml:space="preserve">are shaped by input, relationships, and settings (De </w:t>
      </w:r>
      <w:proofErr w:type="spellStart"/>
      <w:r w:rsidRPr="00747AB3">
        <w:rPr>
          <w:color w:val="000000"/>
        </w:rPr>
        <w:t>Houwer</w:t>
      </w:r>
      <w:proofErr w:type="spellEnd"/>
      <w:r w:rsidRPr="00747AB3">
        <w:rPr>
          <w:color w:val="000000"/>
        </w:rPr>
        <w:t xml:space="preserve">, 2009; Genesee, Paradis and </w:t>
      </w:r>
      <w:proofErr w:type="spellStart"/>
      <w:r w:rsidRPr="00747AB3">
        <w:rPr>
          <w:color w:val="000000"/>
        </w:rPr>
        <w:t>Crago</w:t>
      </w:r>
      <w:proofErr w:type="spellEnd"/>
      <w:r w:rsidRPr="00747AB3">
        <w:rPr>
          <w:color w:val="000000"/>
        </w:rPr>
        <w:t>, 2004).</w:t>
      </w:r>
    </w:p>
    <w:p w:rsidR="00747AB3" w:rsidRPr="00747AB3" w:rsidRDefault="00747AB3" w:rsidP="00747AB3">
      <w:pPr>
        <w:pStyle w:val="NormalWeb"/>
        <w:spacing w:line="360" w:lineRule="auto"/>
        <w:jc w:val="both"/>
        <w:rPr>
          <w:color w:val="000000"/>
        </w:rPr>
      </w:pPr>
      <w:r w:rsidRPr="00747AB3">
        <w:rPr>
          <w:color w:val="000000"/>
        </w:rPr>
        <w:t xml:space="preserve">In that sense, Baker’s reassurance generally matches lived experience: switching often has a clear purpose and does not prevent communication. It can even indicate that the child is comfortable using both languages and is learning the social rules of language choice (Baker, 2014; </w:t>
      </w:r>
      <w:proofErr w:type="spellStart"/>
      <w:r w:rsidRPr="00747AB3">
        <w:rPr>
          <w:color w:val="000000"/>
        </w:rPr>
        <w:t>Gumperz</w:t>
      </w:r>
      <w:proofErr w:type="spellEnd"/>
      <w:r w:rsidRPr="00747AB3">
        <w:rPr>
          <w:color w:val="000000"/>
        </w:rPr>
        <w:t>, 1982).</w:t>
      </w:r>
    </w:p>
    <w:p w:rsidR="00747AB3" w:rsidRPr="00747AB3" w:rsidRDefault="00747AB3" w:rsidP="00747AB3">
      <w:pPr>
        <w:pStyle w:val="NormalWeb"/>
        <w:spacing w:line="360" w:lineRule="auto"/>
        <w:jc w:val="both"/>
        <w:rPr>
          <w:color w:val="000000"/>
        </w:rPr>
      </w:pPr>
      <w:r w:rsidRPr="00747AB3">
        <w:rPr>
          <w:color w:val="000000"/>
        </w:rPr>
        <w:t xml:space="preserve">A critical reflection, however, is that switching can feel different depending on direction. Some parents are not concerned if a child occasionally inserts the minority language into majority-language speech; they become concerned when the child consistently shifts into the majority language and rarely uses the minority language. In such cases, switching can be a symptom of broader language shift rather than a neutral communicative tool. This observation aligns with De </w:t>
      </w:r>
      <w:proofErr w:type="spellStart"/>
      <w:r w:rsidRPr="00747AB3">
        <w:rPr>
          <w:color w:val="000000"/>
        </w:rPr>
        <w:t>Houwer’s</w:t>
      </w:r>
      <w:proofErr w:type="spellEnd"/>
      <w:r w:rsidRPr="00747AB3">
        <w:rPr>
          <w:color w:val="000000"/>
        </w:rPr>
        <w:t xml:space="preserve"> (2007) emphasis that parental language input patterns and family practices influence whether children actively use the minority language.</w:t>
      </w:r>
    </w:p>
    <w:p w:rsidR="00747AB3" w:rsidRPr="00747AB3" w:rsidRDefault="00747AB3" w:rsidP="00747AB3">
      <w:pPr>
        <w:pStyle w:val="Heading4"/>
        <w:spacing w:line="360" w:lineRule="auto"/>
        <w:jc w:val="both"/>
        <w:rPr>
          <w:rFonts w:ascii="Times New Roman" w:hAnsi="Times New Roman" w:cs="Times New Roman"/>
          <w:color w:val="000000"/>
        </w:rPr>
      </w:pPr>
      <w:r w:rsidRPr="00747AB3">
        <w:rPr>
          <w:rFonts w:ascii="Times New Roman" w:hAnsi="Times New Roman" w:cs="Times New Roman"/>
          <w:color w:val="000000"/>
        </w:rPr>
        <w:t>8.2 (b) Does it seem relevant today?</w:t>
      </w:r>
    </w:p>
    <w:p w:rsidR="00747AB3" w:rsidRPr="00747AB3" w:rsidRDefault="00747AB3" w:rsidP="00747AB3">
      <w:pPr>
        <w:pStyle w:val="NormalWeb"/>
        <w:spacing w:line="360" w:lineRule="auto"/>
        <w:jc w:val="both"/>
        <w:rPr>
          <w:color w:val="000000"/>
        </w:rPr>
      </w:pPr>
      <w:r w:rsidRPr="00747AB3">
        <w:rPr>
          <w:color w:val="000000"/>
        </w:rPr>
        <w:t>Baker’s advice remains highly relevant because contemporary parents are exposed to competing ideologies. Many societies still treat monolingualism as the default norm, and parents may receive advice—sometimes from well-meaning professionals—that encourages them to prioritise the majority language and worry about “mixing”. Baker’s guidance counters this by offering reassurance and a more accurate picture of bilingual development (Baker, 2014).</w:t>
      </w:r>
    </w:p>
    <w:p w:rsidR="00747AB3" w:rsidRPr="00747AB3" w:rsidRDefault="00747AB3" w:rsidP="00747AB3">
      <w:pPr>
        <w:pStyle w:val="NormalWeb"/>
        <w:spacing w:line="360" w:lineRule="auto"/>
        <w:jc w:val="both"/>
        <w:rPr>
          <w:color w:val="000000"/>
        </w:rPr>
      </w:pPr>
      <w:r w:rsidRPr="00747AB3">
        <w:rPr>
          <w:color w:val="000000"/>
        </w:rPr>
        <w:t>Relevance has increased due to global mobility, online media, and multilingual peer networks. Children often encounter languages across platforms, and families may include multiple languages within the same household. In these conditions, switching is likely to be common, and parents benefit from understanding it as meaningful rather than problematic.</w:t>
      </w:r>
    </w:p>
    <w:p w:rsidR="00747AB3" w:rsidRPr="00FB1B68" w:rsidRDefault="00747AB3" w:rsidP="00FB1B68">
      <w:pPr>
        <w:pStyle w:val="NormalWeb"/>
        <w:spacing w:line="360" w:lineRule="auto"/>
        <w:jc w:val="both"/>
        <w:rPr>
          <w:color w:val="000000"/>
        </w:rPr>
      </w:pPr>
      <w:r w:rsidRPr="00747AB3">
        <w:rPr>
          <w:color w:val="000000"/>
        </w:rPr>
        <w:t xml:space="preserve">A limitation worth noting for higher-level critical evaluation is that broad reassurance is not always enough. Families in majority-language environments may need practical support to ensure the minority language remains active and valued, including routines, literacy, and community links (De </w:t>
      </w:r>
      <w:proofErr w:type="spellStart"/>
      <w:r w:rsidRPr="00747AB3">
        <w:rPr>
          <w:color w:val="000000"/>
        </w:rPr>
        <w:t>Houwer</w:t>
      </w:r>
      <w:proofErr w:type="spellEnd"/>
      <w:r w:rsidRPr="00747AB3">
        <w:rPr>
          <w:color w:val="000000"/>
        </w:rPr>
        <w:t>, 2009). Therefore, Baker’s advice is relevant and well-</w:t>
      </w:r>
      <w:r w:rsidRPr="00747AB3">
        <w:rPr>
          <w:color w:val="000000"/>
        </w:rPr>
        <w:lastRenderedPageBreak/>
        <w:t>supported, but its effectiveness depends on whether parents can translate reassurance into sustainable daily practices.</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9. Implications: what a research-informed parenting stance looks like</w:t>
      </w:r>
    </w:p>
    <w:p w:rsidR="00747AB3" w:rsidRPr="00FB1B68" w:rsidRDefault="00747AB3" w:rsidP="00FB1B68">
      <w:pPr>
        <w:pStyle w:val="NormalWeb"/>
        <w:spacing w:line="360" w:lineRule="auto"/>
        <w:jc w:val="both"/>
        <w:rPr>
          <w:color w:val="000000"/>
        </w:rPr>
      </w:pPr>
      <w:r w:rsidRPr="00747AB3">
        <w:rPr>
          <w:color w:val="000000"/>
        </w:rPr>
        <w:t xml:space="preserve">A research-informed stance towards switching includes three principles. First, parents should prioritise communication and emotional security. If the child is communicating successfully, switching is not a crisis. Second, parents should understand that bilingual vocabulary development is context-bound; switching may signal that one language is stronger for certain topics, which can be addressed through targeted exposure rather than punishment (Genesee, Paradis and </w:t>
      </w:r>
      <w:proofErr w:type="spellStart"/>
      <w:r w:rsidRPr="00747AB3">
        <w:rPr>
          <w:color w:val="000000"/>
        </w:rPr>
        <w:t>Crago</w:t>
      </w:r>
      <w:proofErr w:type="spellEnd"/>
      <w:r w:rsidRPr="00747AB3">
        <w:rPr>
          <w:color w:val="000000"/>
        </w:rPr>
        <w:t xml:space="preserve">, 2004). Third, parents should be aware of social power and language maintenance. In majority-language contexts, switching may gradually become one-directional drift. Parents who want strong minority-language outcomes often need to create genuine “jobs” for that language: relationships, routines, stories, literacy, and identity practices where the language matters (De </w:t>
      </w:r>
      <w:proofErr w:type="spellStart"/>
      <w:r w:rsidRPr="00747AB3">
        <w:rPr>
          <w:color w:val="000000"/>
        </w:rPr>
        <w:t>Houwer</w:t>
      </w:r>
      <w:proofErr w:type="spellEnd"/>
      <w:r w:rsidRPr="00747AB3">
        <w:rPr>
          <w:color w:val="000000"/>
        </w:rPr>
        <w:t xml:space="preserve">, 2007; De </w:t>
      </w:r>
      <w:proofErr w:type="spellStart"/>
      <w:r w:rsidRPr="00747AB3">
        <w:rPr>
          <w:color w:val="000000"/>
        </w:rPr>
        <w:t>Houwer</w:t>
      </w:r>
      <w:proofErr w:type="spellEnd"/>
      <w:r w:rsidRPr="00747AB3">
        <w:rPr>
          <w:color w:val="000000"/>
        </w:rPr>
        <w:t>, 2009).</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Conclusion</w:t>
      </w:r>
    </w:p>
    <w:p w:rsidR="00747AB3" w:rsidRPr="00747AB3" w:rsidRDefault="00747AB3" w:rsidP="00747AB3">
      <w:pPr>
        <w:pStyle w:val="NormalWeb"/>
        <w:spacing w:line="360" w:lineRule="auto"/>
        <w:jc w:val="both"/>
        <w:rPr>
          <w:color w:val="000000"/>
        </w:rPr>
      </w:pPr>
      <w:r w:rsidRPr="00747AB3">
        <w:rPr>
          <w:color w:val="000000"/>
        </w:rPr>
        <w:t>The question “Does switching between two languages have any value or purpose?” can be answered positively when examined through bilingualism and SLA research. Interactional sociolinguistics shows switching can be a resource for signalling stance, managing relationships, marking identity, and organising discourse (</w:t>
      </w:r>
      <w:proofErr w:type="spellStart"/>
      <w:r w:rsidRPr="00747AB3">
        <w:rPr>
          <w:color w:val="000000"/>
        </w:rPr>
        <w:t>Gumperz</w:t>
      </w:r>
      <w:proofErr w:type="spellEnd"/>
      <w:r w:rsidRPr="00747AB3">
        <w:rPr>
          <w:color w:val="000000"/>
        </w:rPr>
        <w:t xml:space="preserve">, 1982; Auer, 1998). Developmental research shows switching can help children maintain fluency and communicate effectively when vocabulary and experience are distributed across languages (Genesee, Paradis and </w:t>
      </w:r>
      <w:proofErr w:type="spellStart"/>
      <w:r w:rsidRPr="00747AB3">
        <w:rPr>
          <w:color w:val="000000"/>
        </w:rPr>
        <w:t>Crago</w:t>
      </w:r>
      <w:proofErr w:type="spellEnd"/>
      <w:r w:rsidRPr="00747AB3">
        <w:rPr>
          <w:color w:val="000000"/>
        </w:rPr>
        <w:t xml:space="preserve">, 2004; De </w:t>
      </w:r>
      <w:proofErr w:type="spellStart"/>
      <w:r w:rsidRPr="00747AB3">
        <w:rPr>
          <w:color w:val="000000"/>
        </w:rPr>
        <w:t>Houwer</w:t>
      </w:r>
      <w:proofErr w:type="spellEnd"/>
      <w:r w:rsidRPr="00747AB3">
        <w:rPr>
          <w:color w:val="000000"/>
        </w:rPr>
        <w:t>, 2009). Structural accounts demonstrate that switching is often patterned rather than random (</w:t>
      </w:r>
      <w:proofErr w:type="spellStart"/>
      <w:r w:rsidRPr="00747AB3">
        <w:rPr>
          <w:color w:val="000000"/>
        </w:rPr>
        <w:t>Poplack</w:t>
      </w:r>
      <w:proofErr w:type="spellEnd"/>
      <w:r w:rsidRPr="00747AB3">
        <w:rPr>
          <w:color w:val="000000"/>
        </w:rPr>
        <w:t>, 1980; Myers-</w:t>
      </w:r>
      <w:proofErr w:type="spellStart"/>
      <w:r w:rsidRPr="00747AB3">
        <w:rPr>
          <w:color w:val="000000"/>
        </w:rPr>
        <w:t>Scotton</w:t>
      </w:r>
      <w:proofErr w:type="spellEnd"/>
      <w:r w:rsidRPr="00747AB3">
        <w:rPr>
          <w:color w:val="000000"/>
        </w:rPr>
        <w:t xml:space="preserve">, 1993). </w:t>
      </w:r>
      <w:proofErr w:type="spellStart"/>
      <w:r w:rsidRPr="00747AB3">
        <w:rPr>
          <w:color w:val="000000"/>
        </w:rPr>
        <w:t>Translanguaging</w:t>
      </w:r>
      <w:proofErr w:type="spellEnd"/>
      <w:r w:rsidRPr="00747AB3">
        <w:rPr>
          <w:color w:val="000000"/>
        </w:rPr>
        <w:t xml:space="preserve"> perspectives further legitimise bilingual flexibility as a natural meaning-making practice shaped by social context (García and Wei, 2014; Wei, 2018).</w:t>
      </w:r>
    </w:p>
    <w:p w:rsidR="00747AB3" w:rsidRPr="00A66F40" w:rsidRDefault="00747AB3" w:rsidP="00A66F40">
      <w:pPr>
        <w:pStyle w:val="NormalWeb"/>
        <w:spacing w:line="360" w:lineRule="auto"/>
        <w:jc w:val="both"/>
        <w:rPr>
          <w:color w:val="000000"/>
        </w:rPr>
      </w:pPr>
      <w:r w:rsidRPr="00747AB3">
        <w:rPr>
          <w:color w:val="000000"/>
        </w:rPr>
        <w:t xml:space="preserve">Baker’s advice to parents—to view switching as normal and not automatically as confusion—is therefore well-supported and highly relevant (Baker, 2014). However, critical evaluation suggests that switching should be interpreted within the wider ecology of language exposure and power. In majority-language environments, parents who want their child to maintain the minority language may need deliberate strategies to create meaningful opportunities for that language. Overall, the most defensible conclusion is that switching is typically a purposeful </w:t>
      </w:r>
      <w:r w:rsidRPr="00747AB3">
        <w:rPr>
          <w:color w:val="000000"/>
        </w:rPr>
        <w:lastRenderedPageBreak/>
        <w:t>bilingual resource, and parents can respond in ways that protect confidence while supporting long-term development in both languages.</w:t>
      </w:r>
    </w:p>
    <w:p w:rsidR="00747AB3" w:rsidRPr="00747AB3" w:rsidRDefault="00747AB3" w:rsidP="00747AB3">
      <w:pPr>
        <w:pStyle w:val="Heading2"/>
        <w:spacing w:line="360" w:lineRule="auto"/>
        <w:jc w:val="both"/>
        <w:rPr>
          <w:color w:val="000000"/>
          <w:sz w:val="24"/>
          <w:szCs w:val="24"/>
        </w:rPr>
      </w:pPr>
      <w:r w:rsidRPr="00747AB3">
        <w:rPr>
          <w:color w:val="000000"/>
          <w:sz w:val="24"/>
          <w:szCs w:val="24"/>
        </w:rPr>
        <w:t>Part B: Short report for parents</w:t>
      </w:r>
    </w:p>
    <w:p w:rsidR="00747AB3" w:rsidRPr="00747AB3" w:rsidRDefault="00747AB3" w:rsidP="00747AB3">
      <w:pPr>
        <w:pStyle w:val="Heading3"/>
        <w:spacing w:line="360" w:lineRule="auto"/>
        <w:jc w:val="both"/>
        <w:rPr>
          <w:color w:val="000000"/>
          <w:sz w:val="24"/>
          <w:szCs w:val="24"/>
        </w:rPr>
      </w:pPr>
      <w:r w:rsidRPr="00747AB3">
        <w:rPr>
          <w:color w:val="000000"/>
          <w:sz w:val="24"/>
          <w:szCs w:val="24"/>
        </w:rPr>
        <w:t>Switching between two languages: does it have value or purpose?</w:t>
      </w:r>
    </w:p>
    <w:p w:rsidR="00747AB3" w:rsidRPr="00747AB3" w:rsidRDefault="00747AB3" w:rsidP="00747AB3">
      <w:pPr>
        <w:pStyle w:val="NormalWeb"/>
        <w:spacing w:line="360" w:lineRule="auto"/>
        <w:jc w:val="both"/>
        <w:rPr>
          <w:color w:val="000000"/>
        </w:rPr>
      </w:pPr>
      <w:r w:rsidRPr="00747AB3">
        <w:rPr>
          <w:rStyle w:val="Strong"/>
          <w:color w:val="000000"/>
        </w:rPr>
        <w:t>Yes.</w:t>
      </w:r>
      <w:r w:rsidRPr="00747AB3">
        <w:rPr>
          <w:rStyle w:val="apple-converted-space"/>
          <w:color w:val="000000"/>
        </w:rPr>
        <w:t> </w:t>
      </w:r>
      <w:r w:rsidRPr="00747AB3">
        <w:rPr>
          <w:color w:val="000000"/>
        </w:rPr>
        <w:t>Switching is usually a normal part of bilingual communication. Most children switch languages because it helps them communicate more easily and more accurately.</w:t>
      </w:r>
    </w:p>
    <w:p w:rsidR="00747AB3" w:rsidRPr="00747AB3" w:rsidRDefault="00747AB3" w:rsidP="00747AB3">
      <w:pPr>
        <w:pStyle w:val="Heading4"/>
        <w:spacing w:line="360" w:lineRule="auto"/>
        <w:jc w:val="both"/>
        <w:rPr>
          <w:rFonts w:ascii="Times New Roman" w:hAnsi="Times New Roman" w:cs="Times New Roman"/>
          <w:color w:val="000000"/>
        </w:rPr>
      </w:pPr>
      <w:r w:rsidRPr="00747AB3">
        <w:rPr>
          <w:rFonts w:ascii="Times New Roman" w:hAnsi="Times New Roman" w:cs="Times New Roman"/>
          <w:color w:val="000000"/>
        </w:rPr>
        <w:t>Why children switch</w:t>
      </w:r>
    </w:p>
    <w:p w:rsidR="00747AB3" w:rsidRPr="00747AB3" w:rsidRDefault="00747AB3" w:rsidP="00747AB3">
      <w:pPr>
        <w:pStyle w:val="NormalWeb"/>
        <w:spacing w:line="360" w:lineRule="auto"/>
        <w:jc w:val="both"/>
        <w:rPr>
          <w:color w:val="000000"/>
        </w:rPr>
      </w:pPr>
      <w:r w:rsidRPr="00747AB3">
        <w:rPr>
          <w:color w:val="000000"/>
        </w:rPr>
        <w:t>Your child may switch because:</w:t>
      </w:r>
    </w:p>
    <w:p w:rsidR="00747AB3" w:rsidRPr="00747AB3" w:rsidRDefault="00747AB3" w:rsidP="00747AB3">
      <w:pPr>
        <w:pStyle w:val="NormalWeb"/>
        <w:numPr>
          <w:ilvl w:val="0"/>
          <w:numId w:val="9"/>
        </w:numPr>
        <w:spacing w:line="360" w:lineRule="auto"/>
        <w:jc w:val="both"/>
        <w:rPr>
          <w:color w:val="000000"/>
        </w:rPr>
      </w:pPr>
      <w:r w:rsidRPr="00747AB3">
        <w:rPr>
          <w:color w:val="000000"/>
        </w:rPr>
        <w:t>a word comes faster in one language,</w:t>
      </w:r>
    </w:p>
    <w:p w:rsidR="00747AB3" w:rsidRPr="00747AB3" w:rsidRDefault="00747AB3" w:rsidP="00747AB3">
      <w:pPr>
        <w:pStyle w:val="NormalWeb"/>
        <w:numPr>
          <w:ilvl w:val="0"/>
          <w:numId w:val="9"/>
        </w:numPr>
        <w:spacing w:line="360" w:lineRule="auto"/>
        <w:jc w:val="both"/>
        <w:rPr>
          <w:color w:val="000000"/>
        </w:rPr>
      </w:pPr>
      <w:r w:rsidRPr="00747AB3">
        <w:rPr>
          <w:color w:val="000000"/>
        </w:rPr>
        <w:t>the topic belongs to school or home,</w:t>
      </w:r>
    </w:p>
    <w:p w:rsidR="00747AB3" w:rsidRPr="00747AB3" w:rsidRDefault="00747AB3" w:rsidP="00747AB3">
      <w:pPr>
        <w:pStyle w:val="NormalWeb"/>
        <w:numPr>
          <w:ilvl w:val="0"/>
          <w:numId w:val="9"/>
        </w:numPr>
        <w:spacing w:line="360" w:lineRule="auto"/>
        <w:jc w:val="both"/>
        <w:rPr>
          <w:color w:val="000000"/>
        </w:rPr>
      </w:pPr>
      <w:r w:rsidRPr="00747AB3">
        <w:rPr>
          <w:color w:val="000000"/>
        </w:rPr>
        <w:t>they are adjusting to who they are speaking with,</w:t>
      </w:r>
    </w:p>
    <w:p w:rsidR="00747AB3" w:rsidRPr="00747AB3" w:rsidRDefault="00747AB3" w:rsidP="00747AB3">
      <w:pPr>
        <w:pStyle w:val="NormalWeb"/>
        <w:numPr>
          <w:ilvl w:val="0"/>
          <w:numId w:val="9"/>
        </w:numPr>
        <w:spacing w:line="360" w:lineRule="auto"/>
        <w:jc w:val="both"/>
        <w:rPr>
          <w:color w:val="000000"/>
        </w:rPr>
      </w:pPr>
      <w:r w:rsidRPr="00747AB3">
        <w:rPr>
          <w:color w:val="000000"/>
        </w:rPr>
        <w:t>they are expressing emotion or identity in the language that feels most natural.</w:t>
      </w:r>
    </w:p>
    <w:p w:rsidR="00747AB3" w:rsidRPr="00747AB3" w:rsidRDefault="00747AB3" w:rsidP="00747AB3">
      <w:pPr>
        <w:pStyle w:val="Heading4"/>
        <w:spacing w:line="360" w:lineRule="auto"/>
        <w:jc w:val="both"/>
        <w:rPr>
          <w:rFonts w:ascii="Times New Roman" w:hAnsi="Times New Roman" w:cs="Times New Roman"/>
          <w:color w:val="000000"/>
        </w:rPr>
      </w:pPr>
      <w:r w:rsidRPr="00747AB3">
        <w:rPr>
          <w:rFonts w:ascii="Times New Roman" w:hAnsi="Times New Roman" w:cs="Times New Roman"/>
          <w:color w:val="000000"/>
        </w:rPr>
        <w:t>What you can do</w:t>
      </w:r>
    </w:p>
    <w:p w:rsidR="00747AB3" w:rsidRPr="00747AB3" w:rsidRDefault="00747AB3" w:rsidP="00747AB3">
      <w:pPr>
        <w:pStyle w:val="NormalWeb"/>
        <w:numPr>
          <w:ilvl w:val="0"/>
          <w:numId w:val="10"/>
        </w:numPr>
        <w:spacing w:line="360" w:lineRule="auto"/>
        <w:jc w:val="both"/>
        <w:rPr>
          <w:color w:val="000000"/>
        </w:rPr>
      </w:pPr>
      <w:r w:rsidRPr="00747AB3">
        <w:rPr>
          <w:rStyle w:val="Strong"/>
          <w:color w:val="000000"/>
        </w:rPr>
        <w:t>Don’t panic and don’t shame switching.</w:t>
      </w:r>
      <w:r w:rsidRPr="00747AB3">
        <w:rPr>
          <w:rStyle w:val="apple-converted-space"/>
          <w:color w:val="000000"/>
        </w:rPr>
        <w:t> </w:t>
      </w:r>
      <w:r w:rsidRPr="00747AB3">
        <w:rPr>
          <w:color w:val="000000"/>
        </w:rPr>
        <w:t>If your child is communicating, that is positive.</w:t>
      </w:r>
    </w:p>
    <w:p w:rsidR="00747AB3" w:rsidRPr="00747AB3" w:rsidRDefault="00747AB3" w:rsidP="00747AB3">
      <w:pPr>
        <w:pStyle w:val="NormalWeb"/>
        <w:numPr>
          <w:ilvl w:val="0"/>
          <w:numId w:val="10"/>
        </w:numPr>
        <w:spacing w:line="360" w:lineRule="auto"/>
        <w:jc w:val="both"/>
        <w:rPr>
          <w:color w:val="000000"/>
        </w:rPr>
      </w:pPr>
      <w:r w:rsidRPr="00747AB3">
        <w:rPr>
          <w:rStyle w:val="Strong"/>
          <w:color w:val="000000"/>
        </w:rPr>
        <w:t>Model the language you want to strengthen.</w:t>
      </w:r>
      <w:r w:rsidRPr="00747AB3">
        <w:rPr>
          <w:rStyle w:val="apple-converted-space"/>
          <w:color w:val="000000"/>
        </w:rPr>
        <w:t> </w:t>
      </w:r>
      <w:r w:rsidRPr="00747AB3">
        <w:rPr>
          <w:color w:val="000000"/>
        </w:rPr>
        <w:t>Reply naturally in that language, including the word your child needed.</w:t>
      </w:r>
    </w:p>
    <w:p w:rsidR="00747AB3" w:rsidRPr="00747AB3" w:rsidRDefault="00747AB3" w:rsidP="00747AB3">
      <w:pPr>
        <w:pStyle w:val="NormalWeb"/>
        <w:numPr>
          <w:ilvl w:val="1"/>
          <w:numId w:val="10"/>
        </w:numPr>
        <w:spacing w:line="360" w:lineRule="auto"/>
        <w:jc w:val="both"/>
        <w:rPr>
          <w:color w:val="000000"/>
        </w:rPr>
      </w:pPr>
      <w:r w:rsidRPr="00747AB3">
        <w:rPr>
          <w:color w:val="000000"/>
        </w:rPr>
        <w:t>Child: “I want the blue one.”</w:t>
      </w:r>
    </w:p>
    <w:p w:rsidR="00747AB3" w:rsidRPr="00747AB3" w:rsidRDefault="00747AB3" w:rsidP="00747AB3">
      <w:pPr>
        <w:pStyle w:val="NormalWeb"/>
        <w:numPr>
          <w:ilvl w:val="1"/>
          <w:numId w:val="10"/>
        </w:numPr>
        <w:spacing w:line="360" w:lineRule="auto"/>
        <w:jc w:val="both"/>
        <w:rPr>
          <w:color w:val="000000"/>
        </w:rPr>
      </w:pPr>
      <w:r w:rsidRPr="00747AB3">
        <w:rPr>
          <w:color w:val="000000"/>
        </w:rPr>
        <w:t>Parent: “Okay—</w:t>
      </w:r>
      <w:r w:rsidRPr="00747AB3">
        <w:rPr>
          <w:rStyle w:val="Emphasis"/>
          <w:rFonts w:eastAsiaTheme="majorEastAsia"/>
          <w:color w:val="000000"/>
        </w:rPr>
        <w:t>the blue one</w:t>
      </w:r>
      <w:r w:rsidRPr="00747AB3">
        <w:rPr>
          <w:color w:val="000000"/>
        </w:rPr>
        <w:t>. In [home language], ‘blue’ is ___.”</w:t>
      </w:r>
    </w:p>
    <w:p w:rsidR="00747AB3" w:rsidRPr="00747AB3" w:rsidRDefault="00747AB3" w:rsidP="00747AB3">
      <w:pPr>
        <w:pStyle w:val="NormalWeb"/>
        <w:numPr>
          <w:ilvl w:val="0"/>
          <w:numId w:val="10"/>
        </w:numPr>
        <w:spacing w:line="360" w:lineRule="auto"/>
        <w:jc w:val="both"/>
        <w:rPr>
          <w:color w:val="000000"/>
        </w:rPr>
      </w:pPr>
      <w:r w:rsidRPr="00747AB3">
        <w:rPr>
          <w:rStyle w:val="Strong"/>
          <w:color w:val="000000"/>
        </w:rPr>
        <w:t>Build missing vocabulary by topic.</w:t>
      </w:r>
      <w:r w:rsidRPr="00747AB3">
        <w:rPr>
          <w:rStyle w:val="apple-converted-space"/>
          <w:color w:val="000000"/>
        </w:rPr>
        <w:t> </w:t>
      </w:r>
      <w:r w:rsidRPr="00747AB3">
        <w:rPr>
          <w:color w:val="000000"/>
        </w:rPr>
        <w:t>If school words mostly come out in English, read a short story about school in the home language or talk about their day using home-language words.</w:t>
      </w:r>
    </w:p>
    <w:p w:rsidR="00747AB3" w:rsidRPr="00747AB3" w:rsidRDefault="00747AB3" w:rsidP="00747AB3">
      <w:pPr>
        <w:pStyle w:val="NormalWeb"/>
        <w:numPr>
          <w:ilvl w:val="0"/>
          <w:numId w:val="10"/>
        </w:numPr>
        <w:spacing w:line="360" w:lineRule="auto"/>
        <w:jc w:val="both"/>
        <w:rPr>
          <w:color w:val="000000"/>
        </w:rPr>
      </w:pPr>
      <w:r w:rsidRPr="00747AB3">
        <w:rPr>
          <w:rStyle w:val="Strong"/>
          <w:color w:val="000000"/>
        </w:rPr>
        <w:t>Give the home language real reasons to be used.</w:t>
      </w:r>
      <w:r w:rsidRPr="00747AB3">
        <w:rPr>
          <w:rStyle w:val="apple-converted-space"/>
          <w:color w:val="000000"/>
        </w:rPr>
        <w:t> </w:t>
      </w:r>
      <w:r w:rsidRPr="00747AB3">
        <w:rPr>
          <w:color w:val="000000"/>
        </w:rPr>
        <w:t>Regular calls with relatives, community friends, songs, bedtime stories, and routines help a lot.</w:t>
      </w:r>
    </w:p>
    <w:p w:rsidR="00747AB3" w:rsidRPr="00747AB3" w:rsidRDefault="00747AB3" w:rsidP="00747AB3">
      <w:pPr>
        <w:pStyle w:val="NormalWeb"/>
        <w:numPr>
          <w:ilvl w:val="0"/>
          <w:numId w:val="10"/>
        </w:numPr>
        <w:spacing w:line="360" w:lineRule="auto"/>
        <w:jc w:val="both"/>
        <w:rPr>
          <w:color w:val="000000"/>
        </w:rPr>
      </w:pPr>
      <w:r w:rsidRPr="00747AB3">
        <w:rPr>
          <w:rStyle w:val="Strong"/>
          <w:color w:val="000000"/>
        </w:rPr>
        <w:t>If you want the minority language to stay strong, be consistent.</w:t>
      </w:r>
      <w:r w:rsidRPr="00747AB3">
        <w:rPr>
          <w:rStyle w:val="apple-converted-space"/>
          <w:color w:val="000000"/>
        </w:rPr>
        <w:t> </w:t>
      </w:r>
      <w:r w:rsidRPr="00747AB3">
        <w:rPr>
          <w:color w:val="000000"/>
        </w:rPr>
        <w:t>A warm, stable routine is more effective than strict rules or correction.</w:t>
      </w:r>
    </w:p>
    <w:p w:rsidR="00747AB3" w:rsidRPr="00747AB3" w:rsidRDefault="00747AB3" w:rsidP="00747AB3">
      <w:pPr>
        <w:pStyle w:val="Heading4"/>
        <w:spacing w:line="360" w:lineRule="auto"/>
        <w:jc w:val="both"/>
        <w:rPr>
          <w:rFonts w:ascii="Times New Roman" w:hAnsi="Times New Roman" w:cs="Times New Roman"/>
          <w:color w:val="000000"/>
        </w:rPr>
      </w:pPr>
      <w:r w:rsidRPr="00747AB3">
        <w:rPr>
          <w:rFonts w:ascii="Times New Roman" w:hAnsi="Times New Roman" w:cs="Times New Roman"/>
          <w:color w:val="000000"/>
        </w:rPr>
        <w:lastRenderedPageBreak/>
        <w:t>When to get extra support</w:t>
      </w:r>
    </w:p>
    <w:p w:rsidR="00747AB3" w:rsidRDefault="00747AB3" w:rsidP="00747AB3">
      <w:pPr>
        <w:pStyle w:val="NormalWeb"/>
        <w:spacing w:line="360" w:lineRule="auto"/>
        <w:jc w:val="both"/>
        <w:rPr>
          <w:color w:val="000000"/>
        </w:rPr>
      </w:pPr>
      <w:r w:rsidRPr="00747AB3">
        <w:rPr>
          <w:color w:val="000000"/>
        </w:rPr>
        <w:t>If you are worried about your child’s communication in</w:t>
      </w:r>
      <w:r w:rsidRPr="00747AB3">
        <w:rPr>
          <w:rStyle w:val="apple-converted-space"/>
          <w:color w:val="000000"/>
        </w:rPr>
        <w:t> </w:t>
      </w:r>
      <w:r w:rsidRPr="00747AB3">
        <w:rPr>
          <w:rStyle w:val="Strong"/>
          <w:color w:val="000000"/>
        </w:rPr>
        <w:t>both</w:t>
      </w:r>
      <w:r w:rsidRPr="00747AB3">
        <w:rPr>
          <w:rStyle w:val="apple-converted-space"/>
          <w:color w:val="000000"/>
        </w:rPr>
        <w:t> </w:t>
      </w:r>
      <w:r w:rsidRPr="00747AB3">
        <w:rPr>
          <w:color w:val="000000"/>
        </w:rPr>
        <w:t>languages (not just one), or you notice regression, seek advice from a professional who understands bilingual development.</w:t>
      </w: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C758DC" w:rsidRDefault="00C758DC" w:rsidP="00747AB3">
      <w:pPr>
        <w:pStyle w:val="NormalWeb"/>
        <w:spacing w:line="360" w:lineRule="auto"/>
        <w:jc w:val="both"/>
        <w:rPr>
          <w:color w:val="000000"/>
        </w:rPr>
      </w:pPr>
    </w:p>
    <w:p w:rsidR="004C1761" w:rsidRDefault="004C1761" w:rsidP="00747AB3">
      <w:pPr>
        <w:pStyle w:val="NormalWeb"/>
        <w:spacing w:line="360" w:lineRule="auto"/>
        <w:jc w:val="both"/>
        <w:rPr>
          <w:b/>
          <w:bCs/>
          <w:color w:val="000000"/>
        </w:rPr>
      </w:pPr>
    </w:p>
    <w:p w:rsidR="004C1761" w:rsidRDefault="004C1761" w:rsidP="00747AB3">
      <w:pPr>
        <w:pStyle w:val="NormalWeb"/>
        <w:spacing w:line="360" w:lineRule="auto"/>
        <w:jc w:val="both"/>
        <w:rPr>
          <w:b/>
          <w:bCs/>
          <w:color w:val="000000"/>
        </w:rPr>
      </w:pPr>
    </w:p>
    <w:p w:rsidR="004C1761" w:rsidRDefault="004C1761" w:rsidP="00747AB3">
      <w:pPr>
        <w:pStyle w:val="NormalWeb"/>
        <w:spacing w:line="360" w:lineRule="auto"/>
        <w:jc w:val="both"/>
        <w:rPr>
          <w:b/>
          <w:bCs/>
          <w:color w:val="000000"/>
        </w:rPr>
      </w:pPr>
    </w:p>
    <w:p w:rsidR="004C1761" w:rsidRDefault="004C1761" w:rsidP="00747AB3">
      <w:pPr>
        <w:pStyle w:val="NormalWeb"/>
        <w:spacing w:line="360" w:lineRule="auto"/>
        <w:jc w:val="both"/>
        <w:rPr>
          <w:b/>
          <w:bCs/>
          <w:color w:val="000000"/>
        </w:rPr>
      </w:pPr>
    </w:p>
    <w:p w:rsidR="004C1761" w:rsidRDefault="004C1761" w:rsidP="00747AB3">
      <w:pPr>
        <w:pStyle w:val="NormalWeb"/>
        <w:spacing w:line="360" w:lineRule="auto"/>
        <w:jc w:val="both"/>
        <w:rPr>
          <w:b/>
          <w:bCs/>
          <w:color w:val="000000"/>
        </w:rPr>
      </w:pPr>
    </w:p>
    <w:p w:rsidR="00C758DC" w:rsidRDefault="00C758DC" w:rsidP="00747AB3">
      <w:pPr>
        <w:pStyle w:val="NormalWeb"/>
        <w:spacing w:line="360" w:lineRule="auto"/>
        <w:jc w:val="both"/>
        <w:rPr>
          <w:b/>
          <w:bCs/>
          <w:color w:val="000000"/>
        </w:rPr>
      </w:pPr>
      <w:r w:rsidRPr="00C758DC">
        <w:rPr>
          <w:b/>
          <w:bCs/>
          <w:color w:val="000000"/>
        </w:rPr>
        <w:lastRenderedPageBreak/>
        <w:t>References</w:t>
      </w:r>
    </w:p>
    <w:p w:rsidR="00365CE8" w:rsidRPr="00C758DC" w:rsidRDefault="00365CE8" w:rsidP="00365CE8">
      <w:pPr>
        <w:rPr>
          <w:rFonts w:ascii="Times New Roman" w:eastAsia="Times New Roman" w:hAnsi="Times New Roman" w:cs="Times New Roman"/>
          <w:kern w:val="0"/>
          <w:lang w:eastAsia="en-GB"/>
          <w14:ligatures w14:val="none"/>
        </w:rPr>
      </w:pPr>
      <w:r w:rsidRPr="00C758DC">
        <w:rPr>
          <w:rFonts w:ascii="Times New Roman" w:eastAsia="Times New Roman" w:hAnsi="Times New Roman" w:cs="Times New Roman"/>
          <w:color w:val="000000"/>
          <w:kern w:val="0"/>
          <w:lang w:eastAsia="en-GB"/>
          <w14:ligatures w14:val="none"/>
        </w:rPr>
        <w:t>American Speech-Language-Hearing Association (ASHA) (n.d.) </w:t>
      </w:r>
      <w:r w:rsidRPr="00C758DC">
        <w:rPr>
          <w:rFonts w:ascii="Times New Roman" w:eastAsia="Times New Roman" w:hAnsi="Times New Roman" w:cs="Times New Roman"/>
          <w:i/>
          <w:iCs/>
          <w:color w:val="000000"/>
          <w:kern w:val="0"/>
          <w:lang w:eastAsia="en-GB"/>
          <w14:ligatures w14:val="none"/>
        </w:rPr>
        <w:t>Learning more than one language</w:t>
      </w:r>
      <w:r w:rsidRPr="00C758DC">
        <w:rPr>
          <w:rFonts w:ascii="Times New Roman" w:eastAsia="Times New Roman" w:hAnsi="Times New Roman" w:cs="Times New Roman"/>
          <w:color w:val="000000"/>
          <w:kern w:val="0"/>
          <w:lang w:eastAsia="en-GB"/>
          <w14:ligatures w14:val="none"/>
        </w:rPr>
        <w:t>. Available at: </w:t>
      </w:r>
      <w:hyperlink r:id="rId5" w:history="1">
        <w:r w:rsidRPr="00C758DC">
          <w:rPr>
            <w:rFonts w:ascii="Times New Roman" w:eastAsia="Times New Roman" w:hAnsi="Times New Roman" w:cs="Times New Roman"/>
            <w:color w:val="0000FF"/>
            <w:kern w:val="0"/>
            <w:u w:val="single"/>
            <w:lang w:eastAsia="en-GB"/>
            <w14:ligatures w14:val="none"/>
          </w:rPr>
          <w:t>https://www.asha.org/public/speech/development/learning-more-than-one-language/</w:t>
        </w:r>
      </w:hyperlink>
      <w:r w:rsidRPr="00C758DC">
        <w:rPr>
          <w:rFonts w:ascii="Times New Roman" w:eastAsia="Times New Roman" w:hAnsi="Times New Roman" w:cs="Times New Roman"/>
          <w:color w:val="000000"/>
          <w:kern w:val="0"/>
          <w:lang w:eastAsia="en-GB"/>
          <w14:ligatures w14:val="none"/>
        </w:rPr>
        <w:t> (Accessed: 12 February 2026).</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Auer, P. (1998) </w:t>
      </w:r>
      <w:r w:rsidRPr="00C758DC">
        <w:rPr>
          <w:rFonts w:ascii="Times New Roman" w:eastAsia="Times New Roman" w:hAnsi="Times New Roman" w:cs="Times New Roman"/>
          <w:i/>
          <w:iCs/>
          <w:color w:val="000000"/>
          <w:kern w:val="0"/>
          <w:lang w:eastAsia="en-GB"/>
          <w14:ligatures w14:val="none"/>
        </w:rPr>
        <w:t>Code-Switching in Conversation: Language, Interaction and Identity</w:t>
      </w:r>
      <w:r w:rsidRPr="00C758DC">
        <w:rPr>
          <w:rFonts w:ascii="Times New Roman" w:eastAsia="Times New Roman" w:hAnsi="Times New Roman" w:cs="Times New Roman"/>
          <w:color w:val="000000"/>
          <w:kern w:val="0"/>
          <w:lang w:eastAsia="en-GB"/>
          <w14:ligatures w14:val="none"/>
        </w:rPr>
        <w:t>. London: Routledge.</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Baker, C. (2001) </w:t>
      </w:r>
      <w:r w:rsidRPr="00C758DC">
        <w:rPr>
          <w:rFonts w:ascii="Times New Roman" w:eastAsia="Times New Roman" w:hAnsi="Times New Roman" w:cs="Times New Roman"/>
          <w:i/>
          <w:iCs/>
          <w:color w:val="000000"/>
          <w:kern w:val="0"/>
          <w:lang w:eastAsia="en-GB"/>
          <w14:ligatures w14:val="none"/>
        </w:rPr>
        <w:t>Foundations of Bilingual Education and Bilingualism</w:t>
      </w:r>
      <w:r w:rsidRPr="00C758DC">
        <w:rPr>
          <w:rFonts w:ascii="Times New Roman" w:eastAsia="Times New Roman" w:hAnsi="Times New Roman" w:cs="Times New Roman"/>
          <w:color w:val="000000"/>
          <w:kern w:val="0"/>
          <w:lang w:eastAsia="en-GB"/>
          <w14:ligatures w14:val="none"/>
        </w:rPr>
        <w:t>. Clevedon: Multilingual Matters.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Baker, C. (2014) </w:t>
      </w:r>
      <w:r w:rsidRPr="00C758DC">
        <w:rPr>
          <w:rFonts w:ascii="Times New Roman" w:eastAsia="Times New Roman" w:hAnsi="Times New Roman" w:cs="Times New Roman"/>
          <w:i/>
          <w:iCs/>
          <w:color w:val="000000"/>
          <w:kern w:val="0"/>
          <w:lang w:eastAsia="en-GB"/>
          <w14:ligatures w14:val="none"/>
        </w:rPr>
        <w:t>A Parents’ and Teachers’ Guide to Bilingualism</w:t>
      </w:r>
      <w:r w:rsidRPr="00C758DC">
        <w:rPr>
          <w:rFonts w:ascii="Times New Roman" w:eastAsia="Times New Roman" w:hAnsi="Times New Roman" w:cs="Times New Roman"/>
          <w:color w:val="000000"/>
          <w:kern w:val="0"/>
          <w:lang w:eastAsia="en-GB"/>
          <w14:ligatures w14:val="none"/>
        </w:rPr>
        <w:t>. Clevedon: Multilingual Matters.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Bialystok, E. (2001) </w:t>
      </w:r>
      <w:r w:rsidRPr="00C758DC">
        <w:rPr>
          <w:rFonts w:ascii="Times New Roman" w:eastAsia="Times New Roman" w:hAnsi="Times New Roman" w:cs="Times New Roman"/>
          <w:i/>
          <w:iCs/>
          <w:color w:val="000000"/>
          <w:kern w:val="0"/>
          <w:lang w:eastAsia="en-GB"/>
          <w14:ligatures w14:val="none"/>
        </w:rPr>
        <w:t>Bilingualism in Development: Language, Literacy, and Cognition</w:t>
      </w:r>
      <w:r w:rsidRPr="00C758DC">
        <w:rPr>
          <w:rFonts w:ascii="Times New Roman" w:eastAsia="Times New Roman" w:hAnsi="Times New Roman" w:cs="Times New Roman"/>
          <w:color w:val="000000"/>
          <w:kern w:val="0"/>
          <w:lang w:eastAsia="en-GB"/>
          <w14:ligatures w14:val="none"/>
        </w:rPr>
        <w:t>. Cambridge: Cambridge University Press.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Bialystok, E. (2017) ‘The bilingual adaptation: How minds accommodate experience’, </w:t>
      </w:r>
      <w:r w:rsidRPr="00C758DC">
        <w:rPr>
          <w:rFonts w:ascii="Times New Roman" w:eastAsia="Times New Roman" w:hAnsi="Times New Roman" w:cs="Times New Roman"/>
          <w:i/>
          <w:iCs/>
          <w:color w:val="000000"/>
          <w:kern w:val="0"/>
          <w:lang w:eastAsia="en-GB"/>
          <w14:ligatures w14:val="none"/>
        </w:rPr>
        <w:t>Psychological Bulletin</w:t>
      </w:r>
      <w:r w:rsidRPr="00C758DC">
        <w:rPr>
          <w:rFonts w:ascii="Times New Roman" w:eastAsia="Times New Roman" w:hAnsi="Times New Roman" w:cs="Times New Roman"/>
          <w:color w:val="000000"/>
          <w:kern w:val="0"/>
          <w:lang w:eastAsia="en-GB"/>
          <w14:ligatures w14:val="none"/>
        </w:rPr>
        <w:t>, 143(3), pp. 233–262.</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Bilingualism Matters (University of Edinburgh) (n.d.) </w:t>
      </w:r>
      <w:r w:rsidRPr="00C758DC">
        <w:rPr>
          <w:rFonts w:ascii="Times New Roman" w:eastAsia="Times New Roman" w:hAnsi="Times New Roman" w:cs="Times New Roman"/>
          <w:i/>
          <w:iCs/>
          <w:color w:val="000000"/>
          <w:kern w:val="0"/>
          <w:lang w:eastAsia="en-GB"/>
          <w14:ligatures w14:val="none"/>
        </w:rPr>
        <w:t>Frequently asked questions from bilingual parents</w:t>
      </w:r>
      <w:r w:rsidRPr="00C758DC">
        <w:rPr>
          <w:rFonts w:ascii="Times New Roman" w:eastAsia="Times New Roman" w:hAnsi="Times New Roman" w:cs="Times New Roman"/>
          <w:color w:val="000000"/>
          <w:kern w:val="0"/>
          <w:lang w:eastAsia="en-GB"/>
          <w14:ligatures w14:val="none"/>
        </w:rPr>
        <w:t>. Available at: </w:t>
      </w:r>
      <w:hyperlink r:id="rId6" w:history="1">
        <w:r w:rsidRPr="00C758DC">
          <w:rPr>
            <w:rFonts w:ascii="Times New Roman" w:eastAsia="Times New Roman" w:hAnsi="Times New Roman" w:cs="Times New Roman"/>
            <w:color w:val="0000FF"/>
            <w:kern w:val="0"/>
            <w:u w:val="single"/>
            <w:lang w:eastAsia="en-GB"/>
            <w14:ligatures w14:val="none"/>
          </w:rPr>
          <w:t>https://www.bilingualism-matters.ppls.ed.ac.uk/parents-questions/frequently-asked-questions/</w:t>
        </w:r>
      </w:hyperlink>
      <w:r w:rsidRPr="00C758DC">
        <w:rPr>
          <w:rFonts w:ascii="Times New Roman" w:eastAsia="Times New Roman" w:hAnsi="Times New Roman" w:cs="Times New Roman"/>
          <w:color w:val="000000"/>
          <w:kern w:val="0"/>
          <w:lang w:eastAsia="en-GB"/>
          <w14:ligatures w14:val="none"/>
        </w:rPr>
        <w:t> (Accessed: 1</w:t>
      </w:r>
      <w:r>
        <w:rPr>
          <w:rFonts w:ascii="Times New Roman" w:eastAsia="Times New Roman" w:hAnsi="Times New Roman" w:cs="Times New Roman"/>
          <w:color w:val="000000"/>
          <w:kern w:val="0"/>
          <w:lang w:eastAsia="en-GB"/>
          <w14:ligatures w14:val="none"/>
        </w:rPr>
        <w:t>5</w:t>
      </w:r>
      <w:r w:rsidRPr="00C758DC">
        <w:rPr>
          <w:rFonts w:ascii="Times New Roman" w:eastAsia="Times New Roman" w:hAnsi="Times New Roman" w:cs="Times New Roman"/>
          <w:color w:val="000000"/>
          <w:kern w:val="0"/>
          <w:lang w:eastAsia="en-GB"/>
          <w14:ligatures w14:val="none"/>
        </w:rPr>
        <w:t xml:space="preserve"> February 2026).</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British Council (2015) </w:t>
      </w:r>
      <w:r w:rsidRPr="00C758DC">
        <w:rPr>
          <w:rFonts w:ascii="Times New Roman" w:eastAsia="Times New Roman" w:hAnsi="Times New Roman" w:cs="Times New Roman"/>
          <w:i/>
          <w:iCs/>
          <w:color w:val="000000"/>
          <w:kern w:val="0"/>
          <w:lang w:eastAsia="en-GB"/>
          <w14:ligatures w14:val="none"/>
        </w:rPr>
        <w:t>A few myths about speakers of multiple languages</w:t>
      </w:r>
      <w:r w:rsidRPr="00C758DC">
        <w:rPr>
          <w:rFonts w:ascii="Times New Roman" w:eastAsia="Times New Roman" w:hAnsi="Times New Roman" w:cs="Times New Roman"/>
          <w:color w:val="000000"/>
          <w:kern w:val="0"/>
          <w:lang w:eastAsia="en-GB"/>
          <w14:ligatures w14:val="none"/>
        </w:rPr>
        <w:t>. Available at: </w:t>
      </w:r>
      <w:hyperlink r:id="rId7" w:history="1">
        <w:r w:rsidRPr="00C758DC">
          <w:rPr>
            <w:rFonts w:ascii="Times New Roman" w:eastAsia="Times New Roman" w:hAnsi="Times New Roman" w:cs="Times New Roman"/>
            <w:color w:val="0000FF"/>
            <w:kern w:val="0"/>
            <w:u w:val="single"/>
            <w:lang w:eastAsia="en-GB"/>
            <w14:ligatures w14:val="none"/>
          </w:rPr>
          <w:t>https://www.britishcouncil.org/voices-magazine/few-myths-about-speakers-multiple-languages</w:t>
        </w:r>
      </w:hyperlink>
      <w:r w:rsidRPr="00C758DC">
        <w:rPr>
          <w:rFonts w:ascii="Times New Roman" w:eastAsia="Times New Roman" w:hAnsi="Times New Roman" w:cs="Times New Roman"/>
          <w:color w:val="000000"/>
          <w:kern w:val="0"/>
          <w:lang w:eastAsia="en-GB"/>
          <w14:ligatures w14:val="none"/>
        </w:rPr>
        <w:t> (Accessed: 1</w:t>
      </w:r>
      <w:r>
        <w:rPr>
          <w:rFonts w:ascii="Times New Roman" w:eastAsia="Times New Roman" w:hAnsi="Times New Roman" w:cs="Times New Roman"/>
          <w:color w:val="000000"/>
          <w:kern w:val="0"/>
          <w:lang w:eastAsia="en-GB"/>
          <w14:ligatures w14:val="none"/>
        </w:rPr>
        <w:t>7</w:t>
      </w:r>
      <w:r w:rsidRPr="00C758DC">
        <w:rPr>
          <w:rFonts w:ascii="Times New Roman" w:eastAsia="Times New Roman" w:hAnsi="Times New Roman" w:cs="Times New Roman"/>
          <w:color w:val="000000"/>
          <w:kern w:val="0"/>
          <w:lang w:eastAsia="en-GB"/>
          <w14:ligatures w14:val="none"/>
        </w:rPr>
        <w:t xml:space="preserve"> February 2026).</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British Council (</w:t>
      </w:r>
      <w:proofErr w:type="spellStart"/>
      <w:r w:rsidRPr="00C758DC">
        <w:rPr>
          <w:rFonts w:ascii="Times New Roman" w:eastAsia="Times New Roman" w:hAnsi="Times New Roman" w:cs="Times New Roman"/>
          <w:color w:val="000000"/>
          <w:kern w:val="0"/>
          <w:lang w:eastAsia="en-GB"/>
          <w14:ligatures w14:val="none"/>
        </w:rPr>
        <w:t>TeachingEnglish</w:t>
      </w:r>
      <w:proofErr w:type="spellEnd"/>
      <w:r w:rsidRPr="00C758DC">
        <w:rPr>
          <w:rFonts w:ascii="Times New Roman" w:eastAsia="Times New Roman" w:hAnsi="Times New Roman" w:cs="Times New Roman"/>
          <w:color w:val="000000"/>
          <w:kern w:val="0"/>
          <w:lang w:eastAsia="en-GB"/>
          <w14:ligatures w14:val="none"/>
        </w:rPr>
        <w:t>) (n.d.) </w:t>
      </w:r>
      <w:r w:rsidRPr="00C758DC">
        <w:rPr>
          <w:rFonts w:ascii="Times New Roman" w:eastAsia="Times New Roman" w:hAnsi="Times New Roman" w:cs="Times New Roman"/>
          <w:i/>
          <w:iCs/>
          <w:color w:val="000000"/>
          <w:kern w:val="0"/>
          <w:lang w:eastAsia="en-GB"/>
          <w14:ligatures w14:val="none"/>
        </w:rPr>
        <w:t>Family attitudes towards multilingualism in bilingual education programmes</w:t>
      </w:r>
      <w:r w:rsidRPr="00C758DC">
        <w:rPr>
          <w:rFonts w:ascii="Times New Roman" w:eastAsia="Times New Roman" w:hAnsi="Times New Roman" w:cs="Times New Roman"/>
          <w:color w:val="000000"/>
          <w:kern w:val="0"/>
          <w:lang w:eastAsia="en-GB"/>
          <w14:ligatures w14:val="none"/>
        </w:rPr>
        <w:t>. Available at: </w:t>
      </w:r>
      <w:hyperlink r:id="rId8" w:history="1">
        <w:r w:rsidRPr="00C758DC">
          <w:rPr>
            <w:rFonts w:ascii="Times New Roman" w:eastAsia="Times New Roman" w:hAnsi="Times New Roman" w:cs="Times New Roman"/>
            <w:color w:val="0000FF"/>
            <w:kern w:val="0"/>
            <w:u w:val="single"/>
            <w:lang w:eastAsia="en-GB"/>
            <w14:ligatures w14:val="none"/>
          </w:rPr>
          <w:t>https://www.teachingenglish.org.uk/publications/case-studies-insights-and-research/family-attitudes-towards-multilingualism-bilingual</w:t>
        </w:r>
      </w:hyperlink>
      <w:r w:rsidRPr="00C758DC">
        <w:rPr>
          <w:rFonts w:ascii="Times New Roman" w:eastAsia="Times New Roman" w:hAnsi="Times New Roman" w:cs="Times New Roman"/>
          <w:color w:val="000000"/>
          <w:kern w:val="0"/>
          <w:lang w:eastAsia="en-GB"/>
          <w14:ligatures w14:val="none"/>
        </w:rPr>
        <w:t> (Accessed: 1</w:t>
      </w:r>
      <w:r>
        <w:rPr>
          <w:rFonts w:ascii="Times New Roman" w:eastAsia="Times New Roman" w:hAnsi="Times New Roman" w:cs="Times New Roman"/>
          <w:color w:val="000000"/>
          <w:kern w:val="0"/>
          <w:lang w:eastAsia="en-GB"/>
          <w14:ligatures w14:val="none"/>
        </w:rPr>
        <w:t>6</w:t>
      </w:r>
      <w:r w:rsidRPr="00C758DC">
        <w:rPr>
          <w:rFonts w:ascii="Times New Roman" w:eastAsia="Times New Roman" w:hAnsi="Times New Roman" w:cs="Times New Roman"/>
          <w:color w:val="000000"/>
          <w:kern w:val="0"/>
          <w:lang w:eastAsia="en-GB"/>
          <w14:ligatures w14:val="none"/>
        </w:rPr>
        <w:t xml:space="preserve"> February 2026).</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Byers-Heinlein, K. and Lew-Williams, C. (2013) ‘Bilingualism in the early years: What the science says’, </w:t>
      </w:r>
      <w:r w:rsidRPr="00C758DC">
        <w:rPr>
          <w:rFonts w:ascii="Times New Roman" w:eastAsia="Times New Roman" w:hAnsi="Times New Roman" w:cs="Times New Roman"/>
          <w:i/>
          <w:iCs/>
          <w:color w:val="000000"/>
          <w:kern w:val="0"/>
          <w:lang w:eastAsia="en-GB"/>
          <w14:ligatures w14:val="none"/>
        </w:rPr>
        <w:t>Language and Linguistics Compass</w:t>
      </w:r>
      <w:r w:rsidRPr="00C758DC">
        <w:rPr>
          <w:rFonts w:ascii="Times New Roman" w:eastAsia="Times New Roman" w:hAnsi="Times New Roman" w:cs="Times New Roman"/>
          <w:color w:val="000000"/>
          <w:kern w:val="0"/>
          <w:lang w:eastAsia="en-GB"/>
          <w14:ligatures w14:val="none"/>
        </w:rPr>
        <w:t>. Available at: </w:t>
      </w:r>
      <w:hyperlink r:id="rId9" w:history="1">
        <w:r w:rsidRPr="00C758DC">
          <w:rPr>
            <w:rFonts w:ascii="Times New Roman" w:eastAsia="Times New Roman" w:hAnsi="Times New Roman" w:cs="Times New Roman"/>
            <w:color w:val="0000FF"/>
            <w:kern w:val="0"/>
            <w:u w:val="single"/>
            <w:lang w:eastAsia="en-GB"/>
            <w14:ligatures w14:val="none"/>
          </w:rPr>
          <w:t>https://pmc.ncbi.nlm.nih.gov/articles/PMC6168212/</w:t>
        </w:r>
      </w:hyperlink>
      <w:r w:rsidRPr="00C758DC">
        <w:rPr>
          <w:rFonts w:ascii="Times New Roman" w:eastAsia="Times New Roman" w:hAnsi="Times New Roman" w:cs="Times New Roman"/>
          <w:color w:val="000000"/>
          <w:kern w:val="0"/>
          <w:lang w:eastAsia="en-GB"/>
          <w14:ligatures w14:val="none"/>
        </w:rPr>
        <w:t> (Accessed: 1</w:t>
      </w:r>
      <w:r>
        <w:rPr>
          <w:rFonts w:ascii="Times New Roman" w:eastAsia="Times New Roman" w:hAnsi="Times New Roman" w:cs="Times New Roman"/>
          <w:color w:val="000000"/>
          <w:kern w:val="0"/>
          <w:lang w:eastAsia="en-GB"/>
          <w14:ligatures w14:val="none"/>
        </w:rPr>
        <w:t>7</w:t>
      </w:r>
      <w:r w:rsidRPr="00C758DC">
        <w:rPr>
          <w:rFonts w:ascii="Times New Roman" w:eastAsia="Times New Roman" w:hAnsi="Times New Roman" w:cs="Times New Roman"/>
          <w:color w:val="000000"/>
          <w:kern w:val="0"/>
          <w:lang w:eastAsia="en-GB"/>
          <w14:ligatures w14:val="none"/>
        </w:rPr>
        <w:t xml:space="preserve"> February 2026).</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 xml:space="preserve">De </w:t>
      </w:r>
      <w:proofErr w:type="spellStart"/>
      <w:r w:rsidRPr="00C758DC">
        <w:rPr>
          <w:rFonts w:ascii="Times New Roman" w:eastAsia="Times New Roman" w:hAnsi="Times New Roman" w:cs="Times New Roman"/>
          <w:color w:val="000000"/>
          <w:kern w:val="0"/>
          <w:lang w:eastAsia="en-GB"/>
          <w14:ligatures w14:val="none"/>
        </w:rPr>
        <w:t>Houwer</w:t>
      </w:r>
      <w:proofErr w:type="spellEnd"/>
      <w:r w:rsidRPr="00C758DC">
        <w:rPr>
          <w:rFonts w:ascii="Times New Roman" w:eastAsia="Times New Roman" w:hAnsi="Times New Roman" w:cs="Times New Roman"/>
          <w:color w:val="000000"/>
          <w:kern w:val="0"/>
          <w:lang w:eastAsia="en-GB"/>
          <w14:ligatures w14:val="none"/>
        </w:rPr>
        <w:t>, A. (2007) ‘Parental language input patterns and children’s bilingual use’, </w:t>
      </w:r>
      <w:r w:rsidRPr="00C758DC">
        <w:rPr>
          <w:rFonts w:ascii="Times New Roman" w:eastAsia="Times New Roman" w:hAnsi="Times New Roman" w:cs="Times New Roman"/>
          <w:i/>
          <w:iCs/>
          <w:color w:val="000000"/>
          <w:kern w:val="0"/>
          <w:lang w:eastAsia="en-GB"/>
          <w14:ligatures w14:val="none"/>
        </w:rPr>
        <w:t>Applied Psycholinguistics</w:t>
      </w:r>
      <w:r w:rsidRPr="00C758DC">
        <w:rPr>
          <w:rFonts w:ascii="Times New Roman" w:eastAsia="Times New Roman" w:hAnsi="Times New Roman" w:cs="Times New Roman"/>
          <w:color w:val="000000"/>
          <w:kern w:val="0"/>
          <w:lang w:eastAsia="en-GB"/>
          <w14:ligatures w14:val="none"/>
        </w:rPr>
        <w:t>, 28(3), pp. 411–424.</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 xml:space="preserve">De </w:t>
      </w:r>
      <w:proofErr w:type="spellStart"/>
      <w:r w:rsidRPr="00C758DC">
        <w:rPr>
          <w:rFonts w:ascii="Times New Roman" w:eastAsia="Times New Roman" w:hAnsi="Times New Roman" w:cs="Times New Roman"/>
          <w:color w:val="000000"/>
          <w:kern w:val="0"/>
          <w:lang w:eastAsia="en-GB"/>
          <w14:ligatures w14:val="none"/>
        </w:rPr>
        <w:t>Houwer</w:t>
      </w:r>
      <w:proofErr w:type="spellEnd"/>
      <w:r w:rsidRPr="00C758DC">
        <w:rPr>
          <w:rFonts w:ascii="Times New Roman" w:eastAsia="Times New Roman" w:hAnsi="Times New Roman" w:cs="Times New Roman"/>
          <w:color w:val="000000"/>
          <w:kern w:val="0"/>
          <w:lang w:eastAsia="en-GB"/>
          <w14:ligatures w14:val="none"/>
        </w:rPr>
        <w:t>, A. (2009) </w:t>
      </w:r>
      <w:r w:rsidRPr="00C758DC">
        <w:rPr>
          <w:rFonts w:ascii="Times New Roman" w:eastAsia="Times New Roman" w:hAnsi="Times New Roman" w:cs="Times New Roman"/>
          <w:i/>
          <w:iCs/>
          <w:color w:val="000000"/>
          <w:kern w:val="0"/>
          <w:lang w:eastAsia="en-GB"/>
          <w14:ligatures w14:val="none"/>
        </w:rPr>
        <w:t>Bilingual First Language Acquisition</w:t>
      </w:r>
      <w:r w:rsidRPr="00C758DC">
        <w:rPr>
          <w:rFonts w:ascii="Times New Roman" w:eastAsia="Times New Roman" w:hAnsi="Times New Roman" w:cs="Times New Roman"/>
          <w:color w:val="000000"/>
          <w:kern w:val="0"/>
          <w:lang w:eastAsia="en-GB"/>
          <w14:ligatures w14:val="none"/>
        </w:rPr>
        <w:t>. Bristol: Multilingual Matters.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Devon County Council (2023) </w:t>
      </w:r>
      <w:r w:rsidRPr="00C758DC">
        <w:rPr>
          <w:rFonts w:ascii="Times New Roman" w:eastAsia="Times New Roman" w:hAnsi="Times New Roman" w:cs="Times New Roman"/>
          <w:i/>
          <w:iCs/>
          <w:color w:val="000000"/>
          <w:kern w:val="0"/>
          <w:lang w:eastAsia="en-GB"/>
          <w14:ligatures w14:val="none"/>
        </w:rPr>
        <w:t>Parents’ guide: supporting multilingual children in early years (one minute guide)</w:t>
      </w:r>
      <w:r w:rsidRPr="00C758DC">
        <w:rPr>
          <w:rFonts w:ascii="Times New Roman" w:eastAsia="Times New Roman" w:hAnsi="Times New Roman" w:cs="Times New Roman"/>
          <w:color w:val="000000"/>
          <w:kern w:val="0"/>
          <w:lang w:eastAsia="en-GB"/>
          <w14:ligatures w14:val="none"/>
        </w:rPr>
        <w:t>. Available at: </w:t>
      </w:r>
      <w:hyperlink r:id="rId10" w:history="1">
        <w:r w:rsidRPr="00C758DC">
          <w:rPr>
            <w:rFonts w:ascii="Times New Roman" w:eastAsia="Times New Roman" w:hAnsi="Times New Roman" w:cs="Times New Roman"/>
            <w:color w:val="0000FF"/>
            <w:kern w:val="0"/>
            <w:u w:val="single"/>
            <w:lang w:eastAsia="en-GB"/>
            <w14:ligatures w14:val="none"/>
          </w:rPr>
          <w:t>https://www.devon.gov.uk/support-schools-settings/inclusion/ethnically-diverse-education-achievement-service/early-years/parents-guide-supporting-children-with-english-as-an-additional-language-in-early-years-one-minute-guide/</w:t>
        </w:r>
      </w:hyperlink>
      <w:r w:rsidRPr="00C758DC">
        <w:rPr>
          <w:rFonts w:ascii="Times New Roman" w:eastAsia="Times New Roman" w:hAnsi="Times New Roman" w:cs="Times New Roman"/>
          <w:color w:val="000000"/>
          <w:kern w:val="0"/>
          <w:lang w:eastAsia="en-GB"/>
          <w14:ligatures w14:val="none"/>
        </w:rPr>
        <w:t xml:space="preserve"> (Accessed: </w:t>
      </w:r>
      <w:r w:rsidR="004C6605">
        <w:rPr>
          <w:rFonts w:ascii="Times New Roman" w:eastAsia="Times New Roman" w:hAnsi="Times New Roman" w:cs="Times New Roman"/>
          <w:color w:val="000000"/>
          <w:kern w:val="0"/>
          <w:lang w:eastAsia="en-GB"/>
          <w14:ligatures w14:val="none"/>
        </w:rPr>
        <w:t>09 March</w:t>
      </w:r>
      <w:r w:rsidRPr="00C758DC">
        <w:rPr>
          <w:rFonts w:ascii="Times New Roman" w:eastAsia="Times New Roman" w:hAnsi="Times New Roman" w:cs="Times New Roman"/>
          <w:color w:val="000000"/>
          <w:kern w:val="0"/>
          <w:lang w:eastAsia="en-GB"/>
          <w14:ligatures w14:val="none"/>
        </w:rPr>
        <w:t xml:space="preserve"> 2026).</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lastRenderedPageBreak/>
        <w:t>García, O. and Wei, L. (2014) </w:t>
      </w:r>
      <w:proofErr w:type="spellStart"/>
      <w:r w:rsidRPr="00C758DC">
        <w:rPr>
          <w:rFonts w:ascii="Times New Roman" w:eastAsia="Times New Roman" w:hAnsi="Times New Roman" w:cs="Times New Roman"/>
          <w:i/>
          <w:iCs/>
          <w:color w:val="000000"/>
          <w:kern w:val="0"/>
          <w:lang w:eastAsia="en-GB"/>
          <w14:ligatures w14:val="none"/>
        </w:rPr>
        <w:t>Translanguaging</w:t>
      </w:r>
      <w:proofErr w:type="spellEnd"/>
      <w:r w:rsidRPr="00C758DC">
        <w:rPr>
          <w:rFonts w:ascii="Times New Roman" w:eastAsia="Times New Roman" w:hAnsi="Times New Roman" w:cs="Times New Roman"/>
          <w:i/>
          <w:iCs/>
          <w:color w:val="000000"/>
          <w:kern w:val="0"/>
          <w:lang w:eastAsia="en-GB"/>
          <w14:ligatures w14:val="none"/>
        </w:rPr>
        <w:t>: Language, Bilingualism and Education</w:t>
      </w:r>
      <w:r w:rsidRPr="00C758DC">
        <w:rPr>
          <w:rFonts w:ascii="Times New Roman" w:eastAsia="Times New Roman" w:hAnsi="Times New Roman" w:cs="Times New Roman"/>
          <w:color w:val="000000"/>
          <w:kern w:val="0"/>
          <w:lang w:eastAsia="en-GB"/>
          <w14:ligatures w14:val="none"/>
        </w:rPr>
        <w:t>. Basingstoke: Palgrave Macmillan.</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Gardner-</w:t>
      </w:r>
      <w:proofErr w:type="spellStart"/>
      <w:r w:rsidRPr="00C758DC">
        <w:rPr>
          <w:rFonts w:ascii="Times New Roman" w:eastAsia="Times New Roman" w:hAnsi="Times New Roman" w:cs="Times New Roman"/>
          <w:color w:val="000000"/>
          <w:kern w:val="0"/>
          <w:lang w:eastAsia="en-GB"/>
          <w14:ligatures w14:val="none"/>
        </w:rPr>
        <w:t>Chloros</w:t>
      </w:r>
      <w:proofErr w:type="spellEnd"/>
      <w:r w:rsidRPr="00C758DC">
        <w:rPr>
          <w:rFonts w:ascii="Times New Roman" w:eastAsia="Times New Roman" w:hAnsi="Times New Roman" w:cs="Times New Roman"/>
          <w:color w:val="000000"/>
          <w:kern w:val="0"/>
          <w:lang w:eastAsia="en-GB"/>
          <w14:ligatures w14:val="none"/>
        </w:rPr>
        <w:t>, P. (2009) </w:t>
      </w:r>
      <w:r w:rsidRPr="00C758DC">
        <w:rPr>
          <w:rFonts w:ascii="Times New Roman" w:eastAsia="Times New Roman" w:hAnsi="Times New Roman" w:cs="Times New Roman"/>
          <w:i/>
          <w:iCs/>
          <w:color w:val="000000"/>
          <w:kern w:val="0"/>
          <w:lang w:eastAsia="en-GB"/>
          <w14:ligatures w14:val="none"/>
        </w:rPr>
        <w:t>Code-Switching</w:t>
      </w:r>
      <w:r w:rsidRPr="00C758DC">
        <w:rPr>
          <w:rFonts w:ascii="Times New Roman" w:eastAsia="Times New Roman" w:hAnsi="Times New Roman" w:cs="Times New Roman"/>
          <w:color w:val="000000"/>
          <w:kern w:val="0"/>
          <w:lang w:eastAsia="en-GB"/>
          <w14:ligatures w14:val="none"/>
        </w:rPr>
        <w:t>. Cambridge: Cambridge University Press.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 xml:space="preserve">Genesee, F., Paradis, J. and </w:t>
      </w:r>
      <w:proofErr w:type="spellStart"/>
      <w:r w:rsidRPr="00C758DC">
        <w:rPr>
          <w:rFonts w:ascii="Times New Roman" w:eastAsia="Times New Roman" w:hAnsi="Times New Roman" w:cs="Times New Roman"/>
          <w:color w:val="000000"/>
          <w:kern w:val="0"/>
          <w:lang w:eastAsia="en-GB"/>
          <w14:ligatures w14:val="none"/>
        </w:rPr>
        <w:t>Crago</w:t>
      </w:r>
      <w:proofErr w:type="spellEnd"/>
      <w:r w:rsidRPr="00C758DC">
        <w:rPr>
          <w:rFonts w:ascii="Times New Roman" w:eastAsia="Times New Roman" w:hAnsi="Times New Roman" w:cs="Times New Roman"/>
          <w:color w:val="000000"/>
          <w:kern w:val="0"/>
          <w:lang w:eastAsia="en-GB"/>
          <w14:ligatures w14:val="none"/>
        </w:rPr>
        <w:t>, M.B. (2004) </w:t>
      </w:r>
      <w:r w:rsidRPr="00C758DC">
        <w:rPr>
          <w:rFonts w:ascii="Times New Roman" w:eastAsia="Times New Roman" w:hAnsi="Times New Roman" w:cs="Times New Roman"/>
          <w:i/>
          <w:iCs/>
          <w:color w:val="000000"/>
          <w:kern w:val="0"/>
          <w:lang w:eastAsia="en-GB"/>
          <w14:ligatures w14:val="none"/>
        </w:rPr>
        <w:t>Dual Language Development and Disorders: A Handbook on Bilingualism and Second Language Learning</w:t>
      </w:r>
      <w:r w:rsidRPr="00C758DC">
        <w:rPr>
          <w:rFonts w:ascii="Times New Roman" w:eastAsia="Times New Roman" w:hAnsi="Times New Roman" w:cs="Times New Roman"/>
          <w:color w:val="000000"/>
          <w:kern w:val="0"/>
          <w:lang w:eastAsia="en-GB"/>
          <w14:ligatures w14:val="none"/>
        </w:rPr>
        <w:t>. Baltimore: Paul H. Brookes.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Grosjean, F. (1989) ‘</w:t>
      </w:r>
      <w:proofErr w:type="spellStart"/>
      <w:r w:rsidRPr="00C758DC">
        <w:rPr>
          <w:rFonts w:ascii="Times New Roman" w:eastAsia="Times New Roman" w:hAnsi="Times New Roman" w:cs="Times New Roman"/>
          <w:color w:val="000000"/>
          <w:kern w:val="0"/>
          <w:lang w:eastAsia="en-GB"/>
          <w14:ligatures w14:val="none"/>
        </w:rPr>
        <w:t>Neurolinguists</w:t>
      </w:r>
      <w:proofErr w:type="spellEnd"/>
      <w:r w:rsidRPr="00C758DC">
        <w:rPr>
          <w:rFonts w:ascii="Times New Roman" w:eastAsia="Times New Roman" w:hAnsi="Times New Roman" w:cs="Times New Roman"/>
          <w:color w:val="000000"/>
          <w:kern w:val="0"/>
          <w:lang w:eastAsia="en-GB"/>
          <w14:ligatures w14:val="none"/>
        </w:rPr>
        <w:t>, beware! The bilingual is not two monolinguals in one person’, </w:t>
      </w:r>
      <w:r w:rsidRPr="00C758DC">
        <w:rPr>
          <w:rFonts w:ascii="Times New Roman" w:eastAsia="Times New Roman" w:hAnsi="Times New Roman" w:cs="Times New Roman"/>
          <w:i/>
          <w:iCs/>
          <w:color w:val="000000"/>
          <w:kern w:val="0"/>
          <w:lang w:eastAsia="en-GB"/>
          <w14:ligatures w14:val="none"/>
        </w:rPr>
        <w:t>Brain and Language</w:t>
      </w:r>
      <w:r w:rsidRPr="00C758DC">
        <w:rPr>
          <w:rFonts w:ascii="Times New Roman" w:eastAsia="Times New Roman" w:hAnsi="Times New Roman" w:cs="Times New Roman"/>
          <w:color w:val="000000"/>
          <w:kern w:val="0"/>
          <w:lang w:eastAsia="en-GB"/>
          <w14:ligatures w14:val="none"/>
        </w:rPr>
        <w:t>, 36(1), pp. 3–15.</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Grosjean, F. (2010) </w:t>
      </w:r>
      <w:r w:rsidRPr="00C758DC">
        <w:rPr>
          <w:rFonts w:ascii="Times New Roman" w:eastAsia="Times New Roman" w:hAnsi="Times New Roman" w:cs="Times New Roman"/>
          <w:i/>
          <w:iCs/>
          <w:color w:val="000000"/>
          <w:kern w:val="0"/>
          <w:lang w:eastAsia="en-GB"/>
          <w14:ligatures w14:val="none"/>
        </w:rPr>
        <w:t>Bilingual: Life and Reality</w:t>
      </w:r>
      <w:r w:rsidRPr="00C758DC">
        <w:rPr>
          <w:rFonts w:ascii="Times New Roman" w:eastAsia="Times New Roman" w:hAnsi="Times New Roman" w:cs="Times New Roman"/>
          <w:color w:val="000000"/>
          <w:kern w:val="0"/>
          <w:lang w:eastAsia="en-GB"/>
          <w14:ligatures w14:val="none"/>
        </w:rPr>
        <w:t>. Cambridge, MA: Harvard University Press.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C758DC">
        <w:rPr>
          <w:rFonts w:ascii="Times New Roman" w:eastAsia="Times New Roman" w:hAnsi="Times New Roman" w:cs="Times New Roman"/>
          <w:color w:val="000000"/>
          <w:kern w:val="0"/>
          <w:lang w:eastAsia="en-GB"/>
          <w14:ligatures w14:val="none"/>
        </w:rPr>
        <w:t>Gumperz</w:t>
      </w:r>
      <w:proofErr w:type="spellEnd"/>
      <w:r w:rsidRPr="00C758DC">
        <w:rPr>
          <w:rFonts w:ascii="Times New Roman" w:eastAsia="Times New Roman" w:hAnsi="Times New Roman" w:cs="Times New Roman"/>
          <w:color w:val="000000"/>
          <w:kern w:val="0"/>
          <w:lang w:eastAsia="en-GB"/>
          <w14:ligatures w14:val="none"/>
        </w:rPr>
        <w:t>, J.J. (1982) </w:t>
      </w:r>
      <w:r w:rsidRPr="00C758DC">
        <w:rPr>
          <w:rFonts w:ascii="Times New Roman" w:eastAsia="Times New Roman" w:hAnsi="Times New Roman" w:cs="Times New Roman"/>
          <w:i/>
          <w:iCs/>
          <w:color w:val="000000"/>
          <w:kern w:val="0"/>
          <w:lang w:eastAsia="en-GB"/>
          <w14:ligatures w14:val="none"/>
        </w:rPr>
        <w:t>Discourse Strategies</w:t>
      </w:r>
      <w:r w:rsidRPr="00C758DC">
        <w:rPr>
          <w:rFonts w:ascii="Times New Roman" w:eastAsia="Times New Roman" w:hAnsi="Times New Roman" w:cs="Times New Roman"/>
          <w:color w:val="000000"/>
          <w:kern w:val="0"/>
          <w:lang w:eastAsia="en-GB"/>
          <w14:ligatures w14:val="none"/>
        </w:rPr>
        <w:t>. Cambridge: Cambridge University Press.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 xml:space="preserve">Hoff, E., Core, C., Place, S., </w:t>
      </w:r>
      <w:proofErr w:type="spellStart"/>
      <w:r w:rsidRPr="00C758DC">
        <w:rPr>
          <w:rFonts w:ascii="Times New Roman" w:eastAsia="Times New Roman" w:hAnsi="Times New Roman" w:cs="Times New Roman"/>
          <w:color w:val="000000"/>
          <w:kern w:val="0"/>
          <w:lang w:eastAsia="en-GB"/>
          <w14:ligatures w14:val="none"/>
        </w:rPr>
        <w:t>Rumiche</w:t>
      </w:r>
      <w:proofErr w:type="spellEnd"/>
      <w:r w:rsidRPr="00C758DC">
        <w:rPr>
          <w:rFonts w:ascii="Times New Roman" w:eastAsia="Times New Roman" w:hAnsi="Times New Roman" w:cs="Times New Roman"/>
          <w:color w:val="000000"/>
          <w:kern w:val="0"/>
          <w:lang w:eastAsia="en-GB"/>
          <w14:ligatures w14:val="none"/>
        </w:rPr>
        <w:t xml:space="preserve">, R., </w:t>
      </w:r>
      <w:proofErr w:type="spellStart"/>
      <w:r w:rsidRPr="00C758DC">
        <w:rPr>
          <w:rFonts w:ascii="Times New Roman" w:eastAsia="Times New Roman" w:hAnsi="Times New Roman" w:cs="Times New Roman"/>
          <w:color w:val="000000"/>
          <w:kern w:val="0"/>
          <w:lang w:eastAsia="en-GB"/>
          <w14:ligatures w14:val="none"/>
        </w:rPr>
        <w:t>Señor</w:t>
      </w:r>
      <w:proofErr w:type="spellEnd"/>
      <w:r w:rsidRPr="00C758DC">
        <w:rPr>
          <w:rFonts w:ascii="Times New Roman" w:eastAsia="Times New Roman" w:hAnsi="Times New Roman" w:cs="Times New Roman"/>
          <w:color w:val="000000"/>
          <w:kern w:val="0"/>
          <w:lang w:eastAsia="en-GB"/>
          <w14:ligatures w14:val="none"/>
        </w:rPr>
        <w:t>, M. and Parra, M. (2012) ‘Dual language exposure and early bilingual development’, </w:t>
      </w:r>
      <w:r w:rsidRPr="00C758DC">
        <w:rPr>
          <w:rFonts w:ascii="Times New Roman" w:eastAsia="Times New Roman" w:hAnsi="Times New Roman" w:cs="Times New Roman"/>
          <w:i/>
          <w:iCs/>
          <w:color w:val="000000"/>
          <w:kern w:val="0"/>
          <w:lang w:eastAsia="en-GB"/>
          <w14:ligatures w14:val="none"/>
        </w:rPr>
        <w:t>Journal of Child Language</w:t>
      </w:r>
      <w:r w:rsidRPr="00C758DC">
        <w:rPr>
          <w:rFonts w:ascii="Times New Roman" w:eastAsia="Times New Roman" w:hAnsi="Times New Roman" w:cs="Times New Roman"/>
          <w:color w:val="000000"/>
          <w:kern w:val="0"/>
          <w:lang w:eastAsia="en-GB"/>
          <w14:ligatures w14:val="none"/>
        </w:rPr>
        <w:t>, 39(1), pp. 1–27.</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Lanza, E. (2004) </w:t>
      </w:r>
      <w:r w:rsidRPr="00C758DC">
        <w:rPr>
          <w:rFonts w:ascii="Times New Roman" w:eastAsia="Times New Roman" w:hAnsi="Times New Roman" w:cs="Times New Roman"/>
          <w:i/>
          <w:iCs/>
          <w:color w:val="000000"/>
          <w:kern w:val="0"/>
          <w:lang w:eastAsia="en-GB"/>
          <w14:ligatures w14:val="none"/>
        </w:rPr>
        <w:t>Language Mixing in Infant Bilingualism: A Sociolinguistic Perspective</w:t>
      </w:r>
      <w:r w:rsidRPr="00C758DC">
        <w:rPr>
          <w:rFonts w:ascii="Times New Roman" w:eastAsia="Times New Roman" w:hAnsi="Times New Roman" w:cs="Times New Roman"/>
          <w:color w:val="000000"/>
          <w:kern w:val="0"/>
          <w:lang w:eastAsia="en-GB"/>
          <w14:ligatures w14:val="none"/>
        </w:rPr>
        <w:t xml:space="preserve">. 2nd </w:t>
      </w:r>
      <w:proofErr w:type="spellStart"/>
      <w:r w:rsidRPr="00C758DC">
        <w:rPr>
          <w:rFonts w:ascii="Times New Roman" w:eastAsia="Times New Roman" w:hAnsi="Times New Roman" w:cs="Times New Roman"/>
          <w:color w:val="000000"/>
          <w:kern w:val="0"/>
          <w:lang w:eastAsia="en-GB"/>
          <w14:ligatures w14:val="none"/>
        </w:rPr>
        <w:t>edn</w:t>
      </w:r>
      <w:proofErr w:type="spellEnd"/>
      <w:r w:rsidRPr="00C758DC">
        <w:rPr>
          <w:rFonts w:ascii="Times New Roman" w:eastAsia="Times New Roman" w:hAnsi="Times New Roman" w:cs="Times New Roman"/>
          <w:color w:val="000000"/>
          <w:kern w:val="0"/>
          <w:lang w:eastAsia="en-GB"/>
          <w14:ligatures w14:val="none"/>
        </w:rPr>
        <w:t>. Oxford: Oxford University Press.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C758DC">
        <w:rPr>
          <w:rFonts w:ascii="Times New Roman" w:eastAsia="Times New Roman" w:hAnsi="Times New Roman" w:cs="Times New Roman"/>
          <w:color w:val="000000"/>
          <w:kern w:val="0"/>
          <w:lang w:eastAsia="en-GB"/>
          <w14:ligatures w14:val="none"/>
        </w:rPr>
        <w:t>Lightbown</w:t>
      </w:r>
      <w:proofErr w:type="spellEnd"/>
      <w:r w:rsidRPr="00C758DC">
        <w:rPr>
          <w:rFonts w:ascii="Times New Roman" w:eastAsia="Times New Roman" w:hAnsi="Times New Roman" w:cs="Times New Roman"/>
          <w:color w:val="000000"/>
          <w:kern w:val="0"/>
          <w:lang w:eastAsia="en-GB"/>
          <w14:ligatures w14:val="none"/>
        </w:rPr>
        <w:t>, P.M. and Spada, N. (2013) </w:t>
      </w:r>
      <w:r w:rsidRPr="00C758DC">
        <w:rPr>
          <w:rFonts w:ascii="Times New Roman" w:eastAsia="Times New Roman" w:hAnsi="Times New Roman" w:cs="Times New Roman"/>
          <w:i/>
          <w:iCs/>
          <w:color w:val="000000"/>
          <w:kern w:val="0"/>
          <w:lang w:eastAsia="en-GB"/>
          <w14:ligatures w14:val="none"/>
        </w:rPr>
        <w:t>How Languages are Learned</w:t>
      </w:r>
      <w:r w:rsidRPr="00C758DC">
        <w:rPr>
          <w:rFonts w:ascii="Times New Roman" w:eastAsia="Times New Roman" w:hAnsi="Times New Roman" w:cs="Times New Roman"/>
          <w:color w:val="000000"/>
          <w:kern w:val="0"/>
          <w:lang w:eastAsia="en-GB"/>
          <w14:ligatures w14:val="none"/>
        </w:rPr>
        <w:t xml:space="preserve">. 4th </w:t>
      </w:r>
      <w:proofErr w:type="spellStart"/>
      <w:r w:rsidRPr="00C758DC">
        <w:rPr>
          <w:rFonts w:ascii="Times New Roman" w:eastAsia="Times New Roman" w:hAnsi="Times New Roman" w:cs="Times New Roman"/>
          <w:color w:val="000000"/>
          <w:kern w:val="0"/>
          <w:lang w:eastAsia="en-GB"/>
          <w14:ligatures w14:val="none"/>
        </w:rPr>
        <w:t>edn</w:t>
      </w:r>
      <w:proofErr w:type="spellEnd"/>
      <w:r w:rsidRPr="00C758DC">
        <w:rPr>
          <w:rFonts w:ascii="Times New Roman" w:eastAsia="Times New Roman" w:hAnsi="Times New Roman" w:cs="Times New Roman"/>
          <w:color w:val="000000"/>
          <w:kern w:val="0"/>
          <w:lang w:eastAsia="en-GB"/>
          <w14:ligatures w14:val="none"/>
        </w:rPr>
        <w:t>. Oxford: Oxford University Press.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C758DC">
        <w:rPr>
          <w:rFonts w:ascii="Times New Roman" w:eastAsia="Times New Roman" w:hAnsi="Times New Roman" w:cs="Times New Roman"/>
          <w:color w:val="000000"/>
          <w:kern w:val="0"/>
          <w:lang w:eastAsia="en-GB"/>
          <w14:ligatures w14:val="none"/>
        </w:rPr>
        <w:t>MacSwan</w:t>
      </w:r>
      <w:proofErr w:type="spellEnd"/>
      <w:r w:rsidRPr="00C758DC">
        <w:rPr>
          <w:rFonts w:ascii="Times New Roman" w:eastAsia="Times New Roman" w:hAnsi="Times New Roman" w:cs="Times New Roman"/>
          <w:color w:val="000000"/>
          <w:kern w:val="0"/>
          <w:lang w:eastAsia="en-GB"/>
          <w14:ligatures w14:val="none"/>
        </w:rPr>
        <w:t xml:space="preserve">, J. (2017) ‘A multilingual perspective on </w:t>
      </w:r>
      <w:proofErr w:type="spellStart"/>
      <w:r w:rsidRPr="00C758DC">
        <w:rPr>
          <w:rFonts w:ascii="Times New Roman" w:eastAsia="Times New Roman" w:hAnsi="Times New Roman" w:cs="Times New Roman"/>
          <w:color w:val="000000"/>
          <w:kern w:val="0"/>
          <w:lang w:eastAsia="en-GB"/>
          <w14:ligatures w14:val="none"/>
        </w:rPr>
        <w:t>translanguaging</w:t>
      </w:r>
      <w:proofErr w:type="spellEnd"/>
      <w:r w:rsidRPr="00C758DC">
        <w:rPr>
          <w:rFonts w:ascii="Times New Roman" w:eastAsia="Times New Roman" w:hAnsi="Times New Roman" w:cs="Times New Roman"/>
          <w:color w:val="000000"/>
          <w:kern w:val="0"/>
          <w:lang w:eastAsia="en-GB"/>
          <w14:ligatures w14:val="none"/>
        </w:rPr>
        <w:t>’, </w:t>
      </w:r>
      <w:r w:rsidRPr="00C758DC">
        <w:rPr>
          <w:rFonts w:ascii="Times New Roman" w:eastAsia="Times New Roman" w:hAnsi="Times New Roman" w:cs="Times New Roman"/>
          <w:i/>
          <w:iCs/>
          <w:color w:val="000000"/>
          <w:kern w:val="0"/>
          <w:lang w:eastAsia="en-GB"/>
          <w14:ligatures w14:val="none"/>
        </w:rPr>
        <w:t>American Educational Research Journal</w:t>
      </w:r>
      <w:r w:rsidRPr="00C758DC">
        <w:rPr>
          <w:rFonts w:ascii="Times New Roman" w:eastAsia="Times New Roman" w:hAnsi="Times New Roman" w:cs="Times New Roman"/>
          <w:color w:val="000000"/>
          <w:kern w:val="0"/>
          <w:lang w:eastAsia="en-GB"/>
          <w14:ligatures w14:val="none"/>
        </w:rPr>
        <w:t>, 54(1), pp. 167–201.</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Myers-</w:t>
      </w:r>
      <w:proofErr w:type="spellStart"/>
      <w:r w:rsidRPr="00C758DC">
        <w:rPr>
          <w:rFonts w:ascii="Times New Roman" w:eastAsia="Times New Roman" w:hAnsi="Times New Roman" w:cs="Times New Roman"/>
          <w:color w:val="000000"/>
          <w:kern w:val="0"/>
          <w:lang w:eastAsia="en-GB"/>
          <w14:ligatures w14:val="none"/>
        </w:rPr>
        <w:t>Scotton</w:t>
      </w:r>
      <w:proofErr w:type="spellEnd"/>
      <w:r w:rsidRPr="00C758DC">
        <w:rPr>
          <w:rFonts w:ascii="Times New Roman" w:eastAsia="Times New Roman" w:hAnsi="Times New Roman" w:cs="Times New Roman"/>
          <w:color w:val="000000"/>
          <w:kern w:val="0"/>
          <w:lang w:eastAsia="en-GB"/>
          <w14:ligatures w14:val="none"/>
        </w:rPr>
        <w:t>, C. (1993) </w:t>
      </w:r>
      <w:r w:rsidRPr="00C758DC">
        <w:rPr>
          <w:rFonts w:ascii="Times New Roman" w:eastAsia="Times New Roman" w:hAnsi="Times New Roman" w:cs="Times New Roman"/>
          <w:i/>
          <w:iCs/>
          <w:color w:val="000000"/>
          <w:kern w:val="0"/>
          <w:lang w:eastAsia="en-GB"/>
          <w14:ligatures w14:val="none"/>
        </w:rPr>
        <w:t>Social Motivations for Codeswitching: Evidence from Africa</w:t>
      </w:r>
      <w:r w:rsidRPr="00C758DC">
        <w:rPr>
          <w:rFonts w:ascii="Times New Roman" w:eastAsia="Times New Roman" w:hAnsi="Times New Roman" w:cs="Times New Roman"/>
          <w:color w:val="000000"/>
          <w:kern w:val="0"/>
          <w:lang w:eastAsia="en-GB"/>
          <w14:ligatures w14:val="none"/>
        </w:rPr>
        <w:t>. Oxford: Clarendon Press.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Norton, B. (2013) </w:t>
      </w:r>
      <w:r w:rsidRPr="00C758DC">
        <w:rPr>
          <w:rFonts w:ascii="Times New Roman" w:eastAsia="Times New Roman" w:hAnsi="Times New Roman" w:cs="Times New Roman"/>
          <w:i/>
          <w:iCs/>
          <w:color w:val="000000"/>
          <w:kern w:val="0"/>
          <w:lang w:eastAsia="en-GB"/>
          <w14:ligatures w14:val="none"/>
        </w:rPr>
        <w:t>Identity and Language Learning: Extending the Conversation</w:t>
      </w:r>
      <w:r w:rsidRPr="00C758DC">
        <w:rPr>
          <w:rFonts w:ascii="Times New Roman" w:eastAsia="Times New Roman" w:hAnsi="Times New Roman" w:cs="Times New Roman"/>
          <w:color w:val="000000"/>
          <w:kern w:val="0"/>
          <w:lang w:eastAsia="en-GB"/>
          <w14:ligatures w14:val="none"/>
        </w:rPr>
        <w:t xml:space="preserve">. 2nd </w:t>
      </w:r>
      <w:proofErr w:type="spellStart"/>
      <w:r w:rsidRPr="00C758DC">
        <w:rPr>
          <w:rFonts w:ascii="Times New Roman" w:eastAsia="Times New Roman" w:hAnsi="Times New Roman" w:cs="Times New Roman"/>
          <w:color w:val="000000"/>
          <w:kern w:val="0"/>
          <w:lang w:eastAsia="en-GB"/>
          <w14:ligatures w14:val="none"/>
        </w:rPr>
        <w:t>edn</w:t>
      </w:r>
      <w:proofErr w:type="spellEnd"/>
      <w:r w:rsidRPr="00C758DC">
        <w:rPr>
          <w:rFonts w:ascii="Times New Roman" w:eastAsia="Times New Roman" w:hAnsi="Times New Roman" w:cs="Times New Roman"/>
          <w:color w:val="000000"/>
          <w:kern w:val="0"/>
          <w:lang w:eastAsia="en-GB"/>
          <w14:ligatures w14:val="none"/>
        </w:rPr>
        <w:t>. Bristol: Multilingual Matters.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Oxford Health NHS Foundation Trust (2021) </w:t>
      </w:r>
      <w:r w:rsidRPr="00C758DC">
        <w:rPr>
          <w:rFonts w:ascii="Times New Roman" w:eastAsia="Times New Roman" w:hAnsi="Times New Roman" w:cs="Times New Roman"/>
          <w:i/>
          <w:iCs/>
          <w:color w:val="000000"/>
          <w:kern w:val="0"/>
          <w:lang w:eastAsia="en-GB"/>
          <w14:ligatures w14:val="none"/>
        </w:rPr>
        <w:t>Bilingualism</w:t>
      </w:r>
      <w:r w:rsidRPr="00C758DC">
        <w:rPr>
          <w:rFonts w:ascii="Times New Roman" w:eastAsia="Times New Roman" w:hAnsi="Times New Roman" w:cs="Times New Roman"/>
          <w:color w:val="000000"/>
          <w:kern w:val="0"/>
          <w:lang w:eastAsia="en-GB"/>
          <w14:ligatures w14:val="none"/>
        </w:rPr>
        <w:t> [DOCX]. Available at: </w:t>
      </w:r>
      <w:hyperlink r:id="rId11" w:history="1">
        <w:r w:rsidRPr="00C758DC">
          <w:rPr>
            <w:rFonts w:ascii="Times New Roman" w:eastAsia="Times New Roman" w:hAnsi="Times New Roman" w:cs="Times New Roman"/>
            <w:color w:val="0000FF"/>
            <w:kern w:val="0"/>
            <w:u w:val="single"/>
            <w:lang w:eastAsia="en-GB"/>
            <w14:ligatures w14:val="none"/>
          </w:rPr>
          <w:t>https://www.oxfordhealth.nhs.uk/wp-content/uploads/sites/22/2021/08/Bilingualism.docx</w:t>
        </w:r>
      </w:hyperlink>
      <w:r w:rsidRPr="00C758DC">
        <w:rPr>
          <w:rFonts w:ascii="Times New Roman" w:eastAsia="Times New Roman" w:hAnsi="Times New Roman" w:cs="Times New Roman"/>
          <w:color w:val="000000"/>
          <w:kern w:val="0"/>
          <w:lang w:eastAsia="en-GB"/>
          <w14:ligatures w14:val="none"/>
        </w:rPr>
        <w:t> (Accessed: 1</w:t>
      </w:r>
      <w:r w:rsidR="004C6605">
        <w:rPr>
          <w:rFonts w:ascii="Times New Roman" w:eastAsia="Times New Roman" w:hAnsi="Times New Roman" w:cs="Times New Roman"/>
          <w:color w:val="000000"/>
          <w:kern w:val="0"/>
          <w:lang w:eastAsia="en-GB"/>
          <w14:ligatures w14:val="none"/>
        </w:rPr>
        <w:t>9</w:t>
      </w:r>
      <w:r w:rsidRPr="00C758DC">
        <w:rPr>
          <w:rFonts w:ascii="Times New Roman" w:eastAsia="Times New Roman" w:hAnsi="Times New Roman" w:cs="Times New Roman"/>
          <w:color w:val="000000"/>
          <w:kern w:val="0"/>
          <w:lang w:eastAsia="en-GB"/>
          <w14:ligatures w14:val="none"/>
        </w:rPr>
        <w:t xml:space="preserve"> February 2026).</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C758DC">
        <w:rPr>
          <w:rFonts w:ascii="Times New Roman" w:eastAsia="Times New Roman" w:hAnsi="Times New Roman" w:cs="Times New Roman"/>
          <w:color w:val="000000"/>
          <w:kern w:val="0"/>
          <w:lang w:eastAsia="en-GB"/>
          <w14:ligatures w14:val="none"/>
        </w:rPr>
        <w:t>Paap</w:t>
      </w:r>
      <w:proofErr w:type="spellEnd"/>
      <w:r w:rsidRPr="00C758DC">
        <w:rPr>
          <w:rFonts w:ascii="Times New Roman" w:eastAsia="Times New Roman" w:hAnsi="Times New Roman" w:cs="Times New Roman"/>
          <w:color w:val="000000"/>
          <w:kern w:val="0"/>
          <w:lang w:eastAsia="en-GB"/>
          <w14:ligatures w14:val="none"/>
        </w:rPr>
        <w:t>, K.R. and Greenberg, Z.I. (2013) ‘There is no coherent evidence for a bilingual advantage in executive processing’, </w:t>
      </w:r>
      <w:r w:rsidRPr="00C758DC">
        <w:rPr>
          <w:rFonts w:ascii="Times New Roman" w:eastAsia="Times New Roman" w:hAnsi="Times New Roman" w:cs="Times New Roman"/>
          <w:i/>
          <w:iCs/>
          <w:color w:val="000000"/>
          <w:kern w:val="0"/>
          <w:lang w:eastAsia="en-GB"/>
          <w14:ligatures w14:val="none"/>
        </w:rPr>
        <w:t>Cognitive Psychology</w:t>
      </w:r>
      <w:r w:rsidRPr="00C758DC">
        <w:rPr>
          <w:rFonts w:ascii="Times New Roman" w:eastAsia="Times New Roman" w:hAnsi="Times New Roman" w:cs="Times New Roman"/>
          <w:color w:val="000000"/>
          <w:kern w:val="0"/>
          <w:lang w:eastAsia="en-GB"/>
          <w14:ligatures w14:val="none"/>
        </w:rPr>
        <w:t>, 66(2), pp. 232–258.</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Paradis, J. (2010) ‘Bilingual children’s acquisition of English verb morphology: Effects of language exposure, structure complexity, and task type’, </w:t>
      </w:r>
      <w:r w:rsidRPr="00C758DC">
        <w:rPr>
          <w:rFonts w:ascii="Times New Roman" w:eastAsia="Times New Roman" w:hAnsi="Times New Roman" w:cs="Times New Roman"/>
          <w:i/>
          <w:iCs/>
          <w:color w:val="000000"/>
          <w:kern w:val="0"/>
          <w:lang w:eastAsia="en-GB"/>
          <w14:ligatures w14:val="none"/>
        </w:rPr>
        <w:t>Language Learning</w:t>
      </w:r>
      <w:r w:rsidRPr="00C758DC">
        <w:rPr>
          <w:rFonts w:ascii="Times New Roman" w:eastAsia="Times New Roman" w:hAnsi="Times New Roman" w:cs="Times New Roman"/>
          <w:color w:val="000000"/>
          <w:kern w:val="0"/>
          <w:lang w:eastAsia="en-GB"/>
          <w14:ligatures w14:val="none"/>
        </w:rPr>
        <w:t>, 60(3), pp. 651–680.</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C758DC">
        <w:rPr>
          <w:rFonts w:ascii="Times New Roman" w:eastAsia="Times New Roman" w:hAnsi="Times New Roman" w:cs="Times New Roman"/>
          <w:color w:val="000000"/>
          <w:kern w:val="0"/>
          <w:lang w:eastAsia="en-GB"/>
          <w14:ligatures w14:val="none"/>
        </w:rPr>
        <w:t>Poplack</w:t>
      </w:r>
      <w:proofErr w:type="spellEnd"/>
      <w:r w:rsidRPr="00C758DC">
        <w:rPr>
          <w:rFonts w:ascii="Times New Roman" w:eastAsia="Times New Roman" w:hAnsi="Times New Roman" w:cs="Times New Roman"/>
          <w:color w:val="000000"/>
          <w:kern w:val="0"/>
          <w:lang w:eastAsia="en-GB"/>
          <w14:ligatures w14:val="none"/>
        </w:rPr>
        <w:t xml:space="preserve">, S. (1980) ‘Sometimes I’ll start a sentence in Spanish y </w:t>
      </w:r>
      <w:proofErr w:type="spellStart"/>
      <w:r w:rsidRPr="00C758DC">
        <w:rPr>
          <w:rFonts w:ascii="Times New Roman" w:eastAsia="Times New Roman" w:hAnsi="Times New Roman" w:cs="Times New Roman"/>
          <w:color w:val="000000"/>
          <w:kern w:val="0"/>
          <w:lang w:eastAsia="en-GB"/>
          <w14:ligatures w14:val="none"/>
        </w:rPr>
        <w:t>termino</w:t>
      </w:r>
      <w:proofErr w:type="spellEnd"/>
      <w:r w:rsidRPr="00C758DC">
        <w:rPr>
          <w:rFonts w:ascii="Times New Roman" w:eastAsia="Times New Roman" w:hAnsi="Times New Roman" w:cs="Times New Roman"/>
          <w:color w:val="000000"/>
          <w:kern w:val="0"/>
          <w:lang w:eastAsia="en-GB"/>
          <w14:ligatures w14:val="none"/>
        </w:rPr>
        <w:t xml:space="preserve"> </w:t>
      </w:r>
      <w:proofErr w:type="spellStart"/>
      <w:r w:rsidRPr="00C758DC">
        <w:rPr>
          <w:rFonts w:ascii="Times New Roman" w:eastAsia="Times New Roman" w:hAnsi="Times New Roman" w:cs="Times New Roman"/>
          <w:color w:val="000000"/>
          <w:kern w:val="0"/>
          <w:lang w:eastAsia="en-GB"/>
          <w14:ligatures w14:val="none"/>
        </w:rPr>
        <w:t>en</w:t>
      </w:r>
      <w:proofErr w:type="spellEnd"/>
      <w:r w:rsidRPr="00C758DC">
        <w:rPr>
          <w:rFonts w:ascii="Times New Roman" w:eastAsia="Times New Roman" w:hAnsi="Times New Roman" w:cs="Times New Roman"/>
          <w:color w:val="000000"/>
          <w:kern w:val="0"/>
          <w:lang w:eastAsia="en-GB"/>
          <w14:ligatures w14:val="none"/>
        </w:rPr>
        <w:t xml:space="preserve"> </w:t>
      </w:r>
      <w:proofErr w:type="spellStart"/>
      <w:r w:rsidRPr="00C758DC">
        <w:rPr>
          <w:rFonts w:ascii="Times New Roman" w:eastAsia="Times New Roman" w:hAnsi="Times New Roman" w:cs="Times New Roman"/>
          <w:color w:val="000000"/>
          <w:kern w:val="0"/>
          <w:lang w:eastAsia="en-GB"/>
          <w14:ligatures w14:val="none"/>
        </w:rPr>
        <w:t>español</w:t>
      </w:r>
      <w:proofErr w:type="spellEnd"/>
      <w:r w:rsidRPr="00C758DC">
        <w:rPr>
          <w:rFonts w:ascii="Times New Roman" w:eastAsia="Times New Roman" w:hAnsi="Times New Roman" w:cs="Times New Roman"/>
          <w:color w:val="000000"/>
          <w:kern w:val="0"/>
          <w:lang w:eastAsia="en-GB"/>
          <w14:ligatures w14:val="none"/>
        </w:rPr>
        <w:t>: Toward a typology of code-switching’, </w:t>
      </w:r>
      <w:r w:rsidRPr="00C758DC">
        <w:rPr>
          <w:rFonts w:ascii="Times New Roman" w:eastAsia="Times New Roman" w:hAnsi="Times New Roman" w:cs="Times New Roman"/>
          <w:i/>
          <w:iCs/>
          <w:color w:val="000000"/>
          <w:kern w:val="0"/>
          <w:lang w:eastAsia="en-GB"/>
          <w14:ligatures w14:val="none"/>
        </w:rPr>
        <w:t>Linguistics</w:t>
      </w:r>
      <w:r w:rsidRPr="00C758DC">
        <w:rPr>
          <w:rFonts w:ascii="Times New Roman" w:eastAsia="Times New Roman" w:hAnsi="Times New Roman" w:cs="Times New Roman"/>
          <w:color w:val="000000"/>
          <w:kern w:val="0"/>
          <w:lang w:eastAsia="en-GB"/>
          <w14:ligatures w14:val="none"/>
        </w:rPr>
        <w:t>, 18(7–8), pp. 581–618.</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Speech and Language UK (2024) </w:t>
      </w:r>
      <w:r w:rsidRPr="00C758DC">
        <w:rPr>
          <w:rFonts w:ascii="Times New Roman" w:eastAsia="Times New Roman" w:hAnsi="Times New Roman" w:cs="Times New Roman"/>
          <w:i/>
          <w:iCs/>
          <w:color w:val="000000"/>
          <w:kern w:val="0"/>
          <w:lang w:eastAsia="en-GB"/>
          <w14:ligatures w14:val="none"/>
        </w:rPr>
        <w:t>Myth-busting: Bilingualism / English as an additional language</w:t>
      </w:r>
      <w:r w:rsidRPr="00C758DC">
        <w:rPr>
          <w:rFonts w:ascii="Times New Roman" w:eastAsia="Times New Roman" w:hAnsi="Times New Roman" w:cs="Times New Roman"/>
          <w:color w:val="000000"/>
          <w:kern w:val="0"/>
          <w:lang w:eastAsia="en-GB"/>
          <w14:ligatures w14:val="none"/>
        </w:rPr>
        <w:t>. Available at: </w:t>
      </w:r>
      <w:hyperlink r:id="rId12" w:history="1">
        <w:r w:rsidRPr="00C758DC">
          <w:rPr>
            <w:rFonts w:ascii="Times New Roman" w:eastAsia="Times New Roman" w:hAnsi="Times New Roman" w:cs="Times New Roman"/>
            <w:color w:val="0000FF"/>
            <w:kern w:val="0"/>
            <w:u w:val="single"/>
            <w:lang w:eastAsia="en-GB"/>
            <w14:ligatures w14:val="none"/>
          </w:rPr>
          <w:t>https://speechandlanguage.org.uk/myth-busting-bilingualism-english-as-an-additional-language/</w:t>
        </w:r>
      </w:hyperlink>
      <w:r w:rsidRPr="00C758DC">
        <w:rPr>
          <w:rFonts w:ascii="Times New Roman" w:eastAsia="Times New Roman" w:hAnsi="Times New Roman" w:cs="Times New Roman"/>
          <w:color w:val="000000"/>
          <w:kern w:val="0"/>
          <w:lang w:eastAsia="en-GB"/>
          <w14:ligatures w14:val="none"/>
        </w:rPr>
        <w:t> (Accessed: 1</w:t>
      </w:r>
      <w:r w:rsidR="004C6605">
        <w:rPr>
          <w:rFonts w:ascii="Times New Roman" w:eastAsia="Times New Roman" w:hAnsi="Times New Roman" w:cs="Times New Roman"/>
          <w:color w:val="000000"/>
          <w:kern w:val="0"/>
          <w:lang w:eastAsia="en-GB"/>
          <w14:ligatures w14:val="none"/>
        </w:rPr>
        <w:t>6</w:t>
      </w:r>
      <w:r w:rsidRPr="00C758DC">
        <w:rPr>
          <w:rFonts w:ascii="Times New Roman" w:eastAsia="Times New Roman" w:hAnsi="Times New Roman" w:cs="Times New Roman"/>
          <w:color w:val="000000"/>
          <w:kern w:val="0"/>
          <w:lang w:eastAsia="en-GB"/>
          <w14:ligatures w14:val="none"/>
        </w:rPr>
        <w:t xml:space="preserve"> February 2026).</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lastRenderedPageBreak/>
        <w:t>Speech and Language UK (n.d.) </w:t>
      </w:r>
      <w:r w:rsidRPr="00C758DC">
        <w:rPr>
          <w:rFonts w:ascii="Times New Roman" w:eastAsia="Times New Roman" w:hAnsi="Times New Roman" w:cs="Times New Roman"/>
          <w:i/>
          <w:iCs/>
          <w:color w:val="000000"/>
          <w:kern w:val="0"/>
          <w:lang w:eastAsia="en-GB"/>
          <w14:ligatures w14:val="none"/>
        </w:rPr>
        <w:t>Children learning more than one language</w:t>
      </w:r>
      <w:r w:rsidRPr="00C758DC">
        <w:rPr>
          <w:rFonts w:ascii="Times New Roman" w:eastAsia="Times New Roman" w:hAnsi="Times New Roman" w:cs="Times New Roman"/>
          <w:color w:val="000000"/>
          <w:kern w:val="0"/>
          <w:lang w:eastAsia="en-GB"/>
          <w14:ligatures w14:val="none"/>
        </w:rPr>
        <w:t>. Available at: </w:t>
      </w:r>
      <w:hyperlink r:id="rId13" w:history="1">
        <w:r w:rsidRPr="00C758DC">
          <w:rPr>
            <w:rFonts w:ascii="Times New Roman" w:eastAsia="Times New Roman" w:hAnsi="Times New Roman" w:cs="Times New Roman"/>
            <w:color w:val="0000FF"/>
            <w:kern w:val="0"/>
            <w:u w:val="single"/>
            <w:lang w:eastAsia="en-GB"/>
            <w14:ligatures w14:val="none"/>
          </w:rPr>
          <w:t>https://speechandlanguage.org.uk/educators-and-professionals/resource-library-for-educators/children-learning-more-than-one-language/</w:t>
        </w:r>
      </w:hyperlink>
      <w:r w:rsidRPr="00C758DC">
        <w:rPr>
          <w:rFonts w:ascii="Times New Roman" w:eastAsia="Times New Roman" w:hAnsi="Times New Roman" w:cs="Times New Roman"/>
          <w:color w:val="000000"/>
          <w:kern w:val="0"/>
          <w:lang w:eastAsia="en-GB"/>
          <w14:ligatures w14:val="none"/>
        </w:rPr>
        <w:t> (Accessed: 1</w:t>
      </w:r>
      <w:r>
        <w:rPr>
          <w:rFonts w:ascii="Times New Roman" w:eastAsia="Times New Roman" w:hAnsi="Times New Roman" w:cs="Times New Roman"/>
          <w:color w:val="000000"/>
          <w:kern w:val="0"/>
          <w:lang w:eastAsia="en-GB"/>
          <w14:ligatures w14:val="none"/>
        </w:rPr>
        <w:t>4</w:t>
      </w:r>
      <w:r w:rsidRPr="00C758DC">
        <w:rPr>
          <w:rFonts w:ascii="Times New Roman" w:eastAsia="Times New Roman" w:hAnsi="Times New Roman" w:cs="Times New Roman"/>
          <w:color w:val="000000"/>
          <w:kern w:val="0"/>
          <w:lang w:eastAsia="en-GB"/>
          <w14:ligatures w14:val="none"/>
        </w:rPr>
        <w:t xml:space="preserve"> February 2026).</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C758DC">
        <w:rPr>
          <w:rFonts w:ascii="Times New Roman" w:eastAsia="Times New Roman" w:hAnsi="Times New Roman" w:cs="Times New Roman"/>
          <w:color w:val="000000"/>
          <w:kern w:val="0"/>
          <w:lang w:eastAsia="en-GB"/>
          <w14:ligatures w14:val="none"/>
        </w:rPr>
        <w:t>Spolsky</w:t>
      </w:r>
      <w:proofErr w:type="spellEnd"/>
      <w:r w:rsidRPr="00C758DC">
        <w:rPr>
          <w:rFonts w:ascii="Times New Roman" w:eastAsia="Times New Roman" w:hAnsi="Times New Roman" w:cs="Times New Roman"/>
          <w:color w:val="000000"/>
          <w:kern w:val="0"/>
          <w:lang w:eastAsia="en-GB"/>
          <w14:ligatures w14:val="none"/>
        </w:rPr>
        <w:t>, B. (2004) </w:t>
      </w:r>
      <w:r w:rsidRPr="00C758DC">
        <w:rPr>
          <w:rFonts w:ascii="Times New Roman" w:eastAsia="Times New Roman" w:hAnsi="Times New Roman" w:cs="Times New Roman"/>
          <w:i/>
          <w:iCs/>
          <w:color w:val="000000"/>
          <w:kern w:val="0"/>
          <w:lang w:eastAsia="en-GB"/>
          <w14:ligatures w14:val="none"/>
        </w:rPr>
        <w:t>Language Policy</w:t>
      </w:r>
      <w:r w:rsidRPr="00C758DC">
        <w:rPr>
          <w:rFonts w:ascii="Times New Roman" w:eastAsia="Times New Roman" w:hAnsi="Times New Roman" w:cs="Times New Roman"/>
          <w:color w:val="000000"/>
          <w:kern w:val="0"/>
          <w:lang w:eastAsia="en-GB"/>
          <w14:ligatures w14:val="none"/>
        </w:rPr>
        <w:t>. Cambridge: Cambridge University Press.</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 xml:space="preserve">van </w:t>
      </w:r>
      <w:proofErr w:type="spellStart"/>
      <w:r w:rsidRPr="00C758DC">
        <w:rPr>
          <w:rFonts w:ascii="Times New Roman" w:eastAsia="Times New Roman" w:hAnsi="Times New Roman" w:cs="Times New Roman"/>
          <w:color w:val="000000"/>
          <w:kern w:val="0"/>
          <w:lang w:eastAsia="en-GB"/>
          <w14:ligatures w14:val="none"/>
        </w:rPr>
        <w:t>Wechem</w:t>
      </w:r>
      <w:proofErr w:type="spellEnd"/>
      <w:r w:rsidRPr="00C758DC">
        <w:rPr>
          <w:rFonts w:ascii="Times New Roman" w:eastAsia="Times New Roman" w:hAnsi="Times New Roman" w:cs="Times New Roman"/>
          <w:color w:val="000000"/>
          <w:kern w:val="0"/>
          <w:lang w:eastAsia="en-GB"/>
          <w14:ligatures w14:val="none"/>
        </w:rPr>
        <w:t>, M. and Halbach, A. (2016) </w:t>
      </w:r>
      <w:r w:rsidRPr="00C758DC">
        <w:rPr>
          <w:rFonts w:ascii="Times New Roman" w:eastAsia="Times New Roman" w:hAnsi="Times New Roman" w:cs="Times New Roman"/>
          <w:i/>
          <w:iCs/>
          <w:color w:val="000000"/>
          <w:kern w:val="0"/>
          <w:lang w:eastAsia="en-GB"/>
          <w14:ligatures w14:val="none"/>
        </w:rPr>
        <w:t>A parents’ guide to bilingualism and bilingual education</w:t>
      </w:r>
      <w:r w:rsidRPr="00C758DC">
        <w:rPr>
          <w:rFonts w:ascii="Times New Roman" w:eastAsia="Times New Roman" w:hAnsi="Times New Roman" w:cs="Times New Roman"/>
          <w:color w:val="000000"/>
          <w:kern w:val="0"/>
          <w:lang w:eastAsia="en-GB"/>
          <w14:ligatures w14:val="none"/>
        </w:rPr>
        <w:t> [PDF]. British Council (Spain). Available at: </w:t>
      </w:r>
      <w:hyperlink r:id="rId14" w:history="1">
        <w:r w:rsidRPr="00C758DC">
          <w:rPr>
            <w:rFonts w:ascii="Times New Roman" w:eastAsia="Times New Roman" w:hAnsi="Times New Roman" w:cs="Times New Roman"/>
            <w:color w:val="0000FF"/>
            <w:kern w:val="0"/>
            <w:u w:val="single"/>
            <w:lang w:eastAsia="en-GB"/>
            <w14:ligatures w14:val="none"/>
          </w:rPr>
          <w:t>https://www.britishcouncil.es/sites/default/files/british-council-parents-guide-to-bilingualism-en-2016.pdf</w:t>
        </w:r>
      </w:hyperlink>
      <w:r w:rsidRPr="00C758DC">
        <w:rPr>
          <w:rFonts w:ascii="Times New Roman" w:eastAsia="Times New Roman" w:hAnsi="Times New Roman" w:cs="Times New Roman"/>
          <w:color w:val="000000"/>
          <w:kern w:val="0"/>
          <w:lang w:eastAsia="en-GB"/>
          <w14:ligatures w14:val="none"/>
        </w:rPr>
        <w:t xml:space="preserve"> (Accessed: </w:t>
      </w:r>
      <w:r w:rsidR="004C6605">
        <w:rPr>
          <w:rFonts w:ascii="Times New Roman" w:eastAsia="Times New Roman" w:hAnsi="Times New Roman" w:cs="Times New Roman"/>
          <w:color w:val="000000"/>
          <w:kern w:val="0"/>
          <w:lang w:eastAsia="en-GB"/>
          <w14:ligatures w14:val="none"/>
        </w:rPr>
        <w:t>03</w:t>
      </w:r>
      <w:r w:rsidRPr="00C758DC">
        <w:rPr>
          <w:rFonts w:ascii="Times New Roman" w:eastAsia="Times New Roman" w:hAnsi="Times New Roman" w:cs="Times New Roman"/>
          <w:color w:val="000000"/>
          <w:kern w:val="0"/>
          <w:lang w:eastAsia="en-GB"/>
          <w14:ligatures w14:val="none"/>
        </w:rPr>
        <w:t xml:space="preserve"> </w:t>
      </w:r>
      <w:r w:rsidR="004C6605">
        <w:rPr>
          <w:rFonts w:ascii="Times New Roman" w:eastAsia="Times New Roman" w:hAnsi="Times New Roman" w:cs="Times New Roman"/>
          <w:color w:val="000000"/>
          <w:kern w:val="0"/>
          <w:lang w:eastAsia="en-GB"/>
          <w14:ligatures w14:val="none"/>
        </w:rPr>
        <w:t>March</w:t>
      </w:r>
      <w:r w:rsidRPr="00C758DC">
        <w:rPr>
          <w:rFonts w:ascii="Times New Roman" w:eastAsia="Times New Roman" w:hAnsi="Times New Roman" w:cs="Times New Roman"/>
          <w:color w:val="000000"/>
          <w:kern w:val="0"/>
          <w:lang w:eastAsia="en-GB"/>
          <w14:ligatures w14:val="none"/>
        </w:rPr>
        <w:t xml:space="preserve"> 2026).</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Wei, L. (2018) ‘</w:t>
      </w:r>
      <w:proofErr w:type="spellStart"/>
      <w:r w:rsidRPr="00C758DC">
        <w:rPr>
          <w:rFonts w:ascii="Times New Roman" w:eastAsia="Times New Roman" w:hAnsi="Times New Roman" w:cs="Times New Roman"/>
          <w:color w:val="000000"/>
          <w:kern w:val="0"/>
          <w:lang w:eastAsia="en-GB"/>
          <w14:ligatures w14:val="none"/>
        </w:rPr>
        <w:t>Translanguaging</w:t>
      </w:r>
      <w:proofErr w:type="spellEnd"/>
      <w:r w:rsidRPr="00C758DC">
        <w:rPr>
          <w:rFonts w:ascii="Times New Roman" w:eastAsia="Times New Roman" w:hAnsi="Times New Roman" w:cs="Times New Roman"/>
          <w:color w:val="000000"/>
          <w:kern w:val="0"/>
          <w:lang w:eastAsia="en-GB"/>
          <w14:ligatures w14:val="none"/>
        </w:rPr>
        <w:t xml:space="preserve"> as a practical theory of language’, </w:t>
      </w:r>
      <w:r w:rsidRPr="00C758DC">
        <w:rPr>
          <w:rFonts w:ascii="Times New Roman" w:eastAsia="Times New Roman" w:hAnsi="Times New Roman" w:cs="Times New Roman"/>
          <w:i/>
          <w:iCs/>
          <w:color w:val="000000"/>
          <w:kern w:val="0"/>
          <w:lang w:eastAsia="en-GB"/>
          <w14:ligatures w14:val="none"/>
        </w:rPr>
        <w:t>Applied Linguistics</w:t>
      </w:r>
      <w:r w:rsidRPr="00C758DC">
        <w:rPr>
          <w:rFonts w:ascii="Times New Roman" w:eastAsia="Times New Roman" w:hAnsi="Times New Roman" w:cs="Times New Roman"/>
          <w:color w:val="000000"/>
          <w:kern w:val="0"/>
          <w:lang w:eastAsia="en-GB"/>
          <w14:ligatures w14:val="none"/>
        </w:rPr>
        <w:t>, 39(1), pp. 9–30.</w:t>
      </w:r>
    </w:p>
    <w:p w:rsidR="00365CE8" w:rsidRPr="00C758DC" w:rsidRDefault="00365CE8" w:rsidP="00C758DC">
      <w:pPr>
        <w:spacing w:before="100" w:beforeAutospacing="1" w:after="100" w:afterAutospacing="1"/>
        <w:rPr>
          <w:rFonts w:ascii="Times New Roman" w:eastAsia="Times New Roman" w:hAnsi="Times New Roman" w:cs="Times New Roman"/>
          <w:color w:val="000000"/>
          <w:kern w:val="0"/>
          <w:lang w:eastAsia="en-GB"/>
          <w14:ligatures w14:val="none"/>
        </w:rPr>
      </w:pPr>
      <w:r w:rsidRPr="00C758DC">
        <w:rPr>
          <w:rFonts w:ascii="Times New Roman" w:eastAsia="Times New Roman" w:hAnsi="Times New Roman" w:cs="Times New Roman"/>
          <w:color w:val="000000"/>
          <w:kern w:val="0"/>
          <w:lang w:eastAsia="en-GB"/>
          <w14:ligatures w14:val="none"/>
        </w:rPr>
        <w:t>Yip, V. and Matthews, S. (2007) </w:t>
      </w:r>
      <w:r w:rsidRPr="00C758DC">
        <w:rPr>
          <w:rFonts w:ascii="Times New Roman" w:eastAsia="Times New Roman" w:hAnsi="Times New Roman" w:cs="Times New Roman"/>
          <w:i/>
          <w:iCs/>
          <w:color w:val="000000"/>
          <w:kern w:val="0"/>
          <w:lang w:eastAsia="en-GB"/>
          <w14:ligatures w14:val="none"/>
        </w:rPr>
        <w:t>The Bilingual Child: Early Development and Language Contact</w:t>
      </w:r>
      <w:r w:rsidRPr="00C758DC">
        <w:rPr>
          <w:rFonts w:ascii="Times New Roman" w:eastAsia="Times New Roman" w:hAnsi="Times New Roman" w:cs="Times New Roman"/>
          <w:color w:val="000000"/>
          <w:kern w:val="0"/>
          <w:lang w:eastAsia="en-GB"/>
          <w14:ligatures w14:val="none"/>
        </w:rPr>
        <w:t>. Cambridge: Cambridge University Press.</w:t>
      </w:r>
    </w:p>
    <w:p w:rsidR="001638C2" w:rsidRPr="00747AB3" w:rsidRDefault="001638C2" w:rsidP="00747AB3">
      <w:pPr>
        <w:spacing w:line="360" w:lineRule="auto"/>
        <w:jc w:val="both"/>
        <w:rPr>
          <w:rFonts w:ascii="Times New Roman" w:hAnsi="Times New Roman" w:cs="Times New Roman"/>
        </w:rPr>
      </w:pPr>
    </w:p>
    <w:sectPr w:rsidR="001638C2" w:rsidRPr="00747AB3" w:rsidSect="00B7271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43139"/>
    <w:multiLevelType w:val="multilevel"/>
    <w:tmpl w:val="30CC72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87449E"/>
    <w:multiLevelType w:val="multilevel"/>
    <w:tmpl w:val="452AEA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EC7B7D"/>
    <w:multiLevelType w:val="multilevel"/>
    <w:tmpl w:val="9C0E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9814A4"/>
    <w:multiLevelType w:val="multilevel"/>
    <w:tmpl w:val="F8A2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CA3A4A"/>
    <w:multiLevelType w:val="multilevel"/>
    <w:tmpl w:val="BAD2B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4472FC"/>
    <w:multiLevelType w:val="multilevel"/>
    <w:tmpl w:val="1CB0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8C3020"/>
    <w:multiLevelType w:val="multilevel"/>
    <w:tmpl w:val="0234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273800"/>
    <w:multiLevelType w:val="multilevel"/>
    <w:tmpl w:val="22E6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BA3282"/>
    <w:multiLevelType w:val="multilevel"/>
    <w:tmpl w:val="AC50E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BC6009"/>
    <w:multiLevelType w:val="multilevel"/>
    <w:tmpl w:val="197A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82054">
    <w:abstractNumId w:val="3"/>
  </w:num>
  <w:num w:numId="2" w16cid:durableId="1288703672">
    <w:abstractNumId w:val="8"/>
  </w:num>
  <w:num w:numId="3" w16cid:durableId="1471897318">
    <w:abstractNumId w:val="9"/>
  </w:num>
  <w:num w:numId="4" w16cid:durableId="611325961">
    <w:abstractNumId w:val="4"/>
  </w:num>
  <w:num w:numId="5" w16cid:durableId="1557667083">
    <w:abstractNumId w:val="2"/>
  </w:num>
  <w:num w:numId="6" w16cid:durableId="1219248461">
    <w:abstractNumId w:val="6"/>
  </w:num>
  <w:num w:numId="7" w16cid:durableId="1401560240">
    <w:abstractNumId w:val="7"/>
  </w:num>
  <w:num w:numId="8" w16cid:durableId="1139766143">
    <w:abstractNumId w:val="1"/>
  </w:num>
  <w:num w:numId="9" w16cid:durableId="1920408608">
    <w:abstractNumId w:val="5"/>
  </w:num>
  <w:num w:numId="10" w16cid:durableId="644044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8F8"/>
    <w:rsid w:val="001638C2"/>
    <w:rsid w:val="001E794A"/>
    <w:rsid w:val="00365CE8"/>
    <w:rsid w:val="004858F8"/>
    <w:rsid w:val="004C1761"/>
    <w:rsid w:val="004C6605"/>
    <w:rsid w:val="006E6001"/>
    <w:rsid w:val="00747AB3"/>
    <w:rsid w:val="007D673C"/>
    <w:rsid w:val="00932997"/>
    <w:rsid w:val="009578AD"/>
    <w:rsid w:val="00A26602"/>
    <w:rsid w:val="00A66F40"/>
    <w:rsid w:val="00A91669"/>
    <w:rsid w:val="00AD4C6C"/>
    <w:rsid w:val="00B7271A"/>
    <w:rsid w:val="00BA0B46"/>
    <w:rsid w:val="00C758DC"/>
    <w:rsid w:val="00C96B29"/>
    <w:rsid w:val="00E735C5"/>
    <w:rsid w:val="00F44288"/>
    <w:rsid w:val="00FB1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DFAB0"/>
  <w15:chartTrackingRefBased/>
  <w15:docId w15:val="{1A4AEA4E-2ED0-104A-87E7-EFAC559E7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858F8"/>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4858F8"/>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4858F8"/>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4858F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8F8"/>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4858F8"/>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4858F8"/>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4858F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858F8"/>
    <w:rPr>
      <w:b/>
      <w:bCs/>
    </w:rPr>
  </w:style>
  <w:style w:type="character" w:styleId="Emphasis">
    <w:name w:val="Emphasis"/>
    <w:basedOn w:val="DefaultParagraphFont"/>
    <w:uiPriority w:val="20"/>
    <w:qFormat/>
    <w:rsid w:val="004858F8"/>
    <w:rPr>
      <w:i/>
      <w:iCs/>
    </w:rPr>
  </w:style>
  <w:style w:type="character" w:customStyle="1" w:styleId="apple-converted-space">
    <w:name w:val="apple-converted-space"/>
    <w:basedOn w:val="DefaultParagraphFont"/>
    <w:rsid w:val="004858F8"/>
  </w:style>
  <w:style w:type="character" w:customStyle="1" w:styleId="Heading4Char">
    <w:name w:val="Heading 4 Char"/>
    <w:basedOn w:val="DefaultParagraphFont"/>
    <w:link w:val="Heading4"/>
    <w:uiPriority w:val="9"/>
    <w:semiHidden/>
    <w:rsid w:val="004858F8"/>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C758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6175">
      <w:bodyDiv w:val="1"/>
      <w:marLeft w:val="0"/>
      <w:marRight w:val="0"/>
      <w:marTop w:val="0"/>
      <w:marBottom w:val="0"/>
      <w:divBdr>
        <w:top w:val="none" w:sz="0" w:space="0" w:color="auto"/>
        <w:left w:val="none" w:sz="0" w:space="0" w:color="auto"/>
        <w:bottom w:val="none" w:sz="0" w:space="0" w:color="auto"/>
        <w:right w:val="none" w:sz="0" w:space="0" w:color="auto"/>
      </w:divBdr>
    </w:div>
    <w:div w:id="294485062">
      <w:bodyDiv w:val="1"/>
      <w:marLeft w:val="0"/>
      <w:marRight w:val="0"/>
      <w:marTop w:val="0"/>
      <w:marBottom w:val="0"/>
      <w:divBdr>
        <w:top w:val="none" w:sz="0" w:space="0" w:color="auto"/>
        <w:left w:val="none" w:sz="0" w:space="0" w:color="auto"/>
        <w:bottom w:val="none" w:sz="0" w:space="0" w:color="auto"/>
        <w:right w:val="none" w:sz="0" w:space="0" w:color="auto"/>
      </w:divBdr>
      <w:divsChild>
        <w:div w:id="1179929889">
          <w:blockQuote w:val="1"/>
          <w:marLeft w:val="720"/>
          <w:marRight w:val="720"/>
          <w:marTop w:val="100"/>
          <w:marBottom w:val="100"/>
          <w:divBdr>
            <w:top w:val="none" w:sz="0" w:space="0" w:color="auto"/>
            <w:left w:val="none" w:sz="0" w:space="0" w:color="auto"/>
            <w:bottom w:val="none" w:sz="0" w:space="0" w:color="auto"/>
            <w:right w:val="none" w:sz="0" w:space="0" w:color="auto"/>
          </w:divBdr>
        </w:div>
        <w:div w:id="90783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6602496">
      <w:bodyDiv w:val="1"/>
      <w:marLeft w:val="0"/>
      <w:marRight w:val="0"/>
      <w:marTop w:val="0"/>
      <w:marBottom w:val="0"/>
      <w:divBdr>
        <w:top w:val="none" w:sz="0" w:space="0" w:color="auto"/>
        <w:left w:val="none" w:sz="0" w:space="0" w:color="auto"/>
        <w:bottom w:val="none" w:sz="0" w:space="0" w:color="auto"/>
        <w:right w:val="none" w:sz="0" w:space="0" w:color="auto"/>
      </w:divBdr>
      <w:divsChild>
        <w:div w:id="1344091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9220150">
      <w:bodyDiv w:val="1"/>
      <w:marLeft w:val="0"/>
      <w:marRight w:val="0"/>
      <w:marTop w:val="0"/>
      <w:marBottom w:val="0"/>
      <w:divBdr>
        <w:top w:val="none" w:sz="0" w:space="0" w:color="auto"/>
        <w:left w:val="none" w:sz="0" w:space="0" w:color="auto"/>
        <w:bottom w:val="none" w:sz="0" w:space="0" w:color="auto"/>
        <w:right w:val="none" w:sz="0" w:space="0" w:color="auto"/>
      </w:divBdr>
    </w:div>
    <w:div w:id="1837185517">
      <w:bodyDiv w:val="1"/>
      <w:marLeft w:val="0"/>
      <w:marRight w:val="0"/>
      <w:marTop w:val="0"/>
      <w:marBottom w:val="0"/>
      <w:divBdr>
        <w:top w:val="none" w:sz="0" w:space="0" w:color="auto"/>
        <w:left w:val="none" w:sz="0" w:space="0" w:color="auto"/>
        <w:bottom w:val="none" w:sz="0" w:space="0" w:color="auto"/>
        <w:right w:val="none" w:sz="0" w:space="0" w:color="auto"/>
      </w:divBdr>
      <w:divsChild>
        <w:div w:id="1422022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publications/case-studies-insights-and-research/family-attitudes-towards-multilingualism-bilingual" TargetMode="External"/><Relationship Id="rId13" Type="http://schemas.openxmlformats.org/officeDocument/2006/relationships/hyperlink" Target="https://speechandlanguage.org.uk/educators-and-professionals/resource-library-for-educators/children-learning-more-than-one-language/" TargetMode="External"/><Relationship Id="rId3" Type="http://schemas.openxmlformats.org/officeDocument/2006/relationships/settings" Target="settings.xml"/><Relationship Id="rId7" Type="http://schemas.openxmlformats.org/officeDocument/2006/relationships/hyperlink" Target="https://www.britishcouncil.org/voices-magazine/few-myths-about-speakers-multiple-languages" TargetMode="External"/><Relationship Id="rId12" Type="http://schemas.openxmlformats.org/officeDocument/2006/relationships/hyperlink" Target="https://speechandlanguage.org.uk/myth-busting-bilingualism-english-as-an-additional-languag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ilingualism-matters.ppls.ed.ac.uk/parents-questions/frequently-asked-questions/" TargetMode="External"/><Relationship Id="rId11" Type="http://schemas.openxmlformats.org/officeDocument/2006/relationships/hyperlink" Target="https://www.oxfordhealth.nhs.uk/wp-content/uploads/sites/22/2021/08/Bilingualism.docx" TargetMode="External"/><Relationship Id="rId5" Type="http://schemas.openxmlformats.org/officeDocument/2006/relationships/hyperlink" Target="https://www.asha.org/public/speech/development/learning-more-than-one-language/" TargetMode="External"/><Relationship Id="rId15" Type="http://schemas.openxmlformats.org/officeDocument/2006/relationships/fontTable" Target="fontTable.xml"/><Relationship Id="rId10" Type="http://schemas.openxmlformats.org/officeDocument/2006/relationships/hyperlink" Target="https://www.devon.gov.uk/support-schools-settings/inclusion/ethnically-diverse-education-achievement-service/early-years/parents-guide-supporting-children-with-english-as-an-additional-language-in-early-years-one-minute-guide/" TargetMode="External"/><Relationship Id="rId4" Type="http://schemas.openxmlformats.org/officeDocument/2006/relationships/webSettings" Target="webSettings.xml"/><Relationship Id="rId9" Type="http://schemas.openxmlformats.org/officeDocument/2006/relationships/hyperlink" Target="https://pmc.ncbi.nlm.nih.gov/articles/PMC6168212/" TargetMode="External"/><Relationship Id="rId14" Type="http://schemas.openxmlformats.org/officeDocument/2006/relationships/hyperlink" Target="https://www.britishcouncil.es/sites/default/files/british-council-parents-guide-to-bilingualism-en-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13</Pages>
  <Words>3805</Words>
  <Characters>21692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18</cp:revision>
  <dcterms:created xsi:type="dcterms:W3CDTF">2026-02-11T10:55:00Z</dcterms:created>
  <dcterms:modified xsi:type="dcterms:W3CDTF">2026-03-12T10:28:00Z</dcterms:modified>
</cp:coreProperties>
</file>