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F71EA"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3031FE71"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519AE6F0" wp14:editId="3E9A5D3B">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08FB0620"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2126C1A2" w14:textId="77777777" w:rsidR="007F7024" w:rsidRDefault="007F7024" w:rsidP="0065412B">
      <w:pPr>
        <w:spacing w:line="360" w:lineRule="auto"/>
        <w:jc w:val="center"/>
        <w:rPr>
          <w:rFonts w:ascii="Times New Roman" w:eastAsia="Times New Roman" w:hAnsi="Times New Roman" w:cs="Times New Roman"/>
          <w:b/>
          <w:bCs/>
          <w:sz w:val="28"/>
          <w:szCs w:val="24"/>
        </w:rPr>
      </w:pPr>
    </w:p>
    <w:p w14:paraId="66DF2CAE" w14:textId="77777777" w:rsidR="00112EEF" w:rsidRPr="00FA5A60" w:rsidRDefault="00112EEF" w:rsidP="00A404C7">
      <w:pPr>
        <w:shd w:val="clear" w:color="auto" w:fill="FFFF00"/>
        <w:spacing w:line="360" w:lineRule="auto"/>
        <w:jc w:val="center"/>
        <w:rPr>
          <w:rFonts w:ascii="Arial" w:hAnsi="Arial" w:cs="Arial"/>
          <w:b/>
          <w:sz w:val="28"/>
        </w:rPr>
      </w:pPr>
      <w:r w:rsidRPr="00FA5A60">
        <w:rPr>
          <w:rFonts w:ascii="Arial" w:hAnsi="Arial" w:cs="Arial"/>
          <w:b/>
          <w:sz w:val="28"/>
        </w:rPr>
        <w:t>Title: Assessment component - Individual report</w:t>
      </w:r>
    </w:p>
    <w:p w14:paraId="1AC1FE55"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Assignment Title:</w:t>
      </w:r>
      <w:r w:rsidRPr="00224C17">
        <w:rPr>
          <w:rFonts w:ascii="Times New Roman" w:eastAsia="Times New Roman" w:hAnsi="Times New Roman" w:cs="Times New Roman"/>
          <w:bCs/>
          <w:sz w:val="32"/>
          <w:szCs w:val="36"/>
        </w:rPr>
        <w:tab/>
        <w:t>Report</w:t>
      </w:r>
    </w:p>
    <w:p w14:paraId="1F46C4AB" w14:textId="77777777"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Student Name: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t>Saira Usman</w:t>
      </w:r>
    </w:p>
    <w:p w14:paraId="78F39A07" w14:textId="58D6F915" w:rsidR="000A044F" w:rsidRPr="00224C17" w:rsidRDefault="000A044F" w:rsidP="000A044F">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Student ID:</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t>2</w:t>
      </w:r>
      <w:r w:rsidR="000D203B">
        <w:rPr>
          <w:rFonts w:ascii="Times New Roman" w:eastAsia="Times New Roman" w:hAnsi="Times New Roman" w:cs="Times New Roman"/>
          <w:bCs/>
          <w:sz w:val="32"/>
          <w:szCs w:val="36"/>
        </w:rPr>
        <w:t>211405</w:t>
      </w:r>
    </w:p>
    <w:p w14:paraId="3468EA71" w14:textId="77777777" w:rsidR="000A044F" w:rsidRPr="00224C17" w:rsidRDefault="000A044F" w:rsidP="000A044F">
      <w:pPr>
        <w:spacing w:line="360" w:lineRule="auto"/>
        <w:ind w:left="2880" w:hanging="2880"/>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w:t>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Strategic Management</w:t>
      </w:r>
    </w:p>
    <w:p w14:paraId="50E38661" w14:textId="2BFDDAF2" w:rsidR="000A044F" w:rsidRDefault="000A044F" w:rsidP="000D203B">
      <w:pPr>
        <w:spacing w:line="360" w:lineRule="auto"/>
        <w:jc w:val="both"/>
        <w:rPr>
          <w:rFonts w:ascii="Times New Roman" w:eastAsia="Times New Roman" w:hAnsi="Times New Roman" w:cs="Times New Roman"/>
          <w:bCs/>
          <w:sz w:val="32"/>
          <w:szCs w:val="36"/>
        </w:rPr>
      </w:pPr>
      <w:r w:rsidRPr="00224C17">
        <w:rPr>
          <w:rFonts w:ascii="Times New Roman" w:eastAsia="Times New Roman" w:hAnsi="Times New Roman" w:cs="Times New Roman"/>
          <w:bCs/>
          <w:sz w:val="32"/>
          <w:szCs w:val="36"/>
        </w:rPr>
        <w:t>Module Code:</w:t>
      </w:r>
      <w:r w:rsidRPr="00224C17">
        <w:rPr>
          <w:rFonts w:ascii="Times New Roman" w:eastAsia="Times New Roman" w:hAnsi="Times New Roman" w:cs="Times New Roman"/>
          <w:bCs/>
          <w:sz w:val="32"/>
          <w:szCs w:val="36"/>
        </w:rPr>
        <w:tab/>
      </w:r>
      <w:r w:rsidRPr="00224C17">
        <w:rPr>
          <w:rFonts w:ascii="Times New Roman" w:eastAsia="Times New Roman" w:hAnsi="Times New Roman" w:cs="Times New Roman"/>
          <w:bCs/>
          <w:sz w:val="32"/>
          <w:szCs w:val="36"/>
        </w:rPr>
        <w:tab/>
      </w:r>
      <w:r>
        <w:rPr>
          <w:rFonts w:ascii="Times New Roman" w:eastAsia="Times New Roman" w:hAnsi="Times New Roman" w:cs="Times New Roman"/>
          <w:bCs/>
          <w:sz w:val="32"/>
          <w:szCs w:val="36"/>
        </w:rPr>
        <w:t>LCMB7003</w:t>
      </w:r>
    </w:p>
    <w:p w14:paraId="0E11F5EB" w14:textId="7774AAF5" w:rsidR="00216B03" w:rsidRPr="000A044F" w:rsidRDefault="00F31515" w:rsidP="000D203B">
      <w:pPr>
        <w:spacing w:line="360" w:lineRule="auto"/>
        <w:jc w:val="both"/>
        <w:rPr>
          <w:rFonts w:ascii="Times New Roman" w:eastAsia="Times New Roman" w:hAnsi="Times New Roman" w:cs="Times New Roman"/>
          <w:bCs/>
          <w:sz w:val="32"/>
          <w:szCs w:val="36"/>
        </w:rPr>
      </w:pPr>
      <w:r>
        <w:rPr>
          <w:rFonts w:ascii="Times New Roman" w:eastAsia="Times New Roman" w:hAnsi="Times New Roman" w:cs="Times New Roman"/>
          <w:bCs/>
          <w:sz w:val="32"/>
          <w:szCs w:val="36"/>
        </w:rPr>
        <w:t xml:space="preserve">Lecturer:      </w:t>
      </w:r>
      <w:r>
        <w:rPr>
          <w:rStyle w:val="Strong"/>
          <w:rFonts w:ascii="Segoe UI" w:eastAsia="Times New Roman" w:hAnsi="Segoe UI" w:cs="Segoe UI"/>
          <w:color w:val="1D2125"/>
          <w:shd w:val="clear" w:color="auto" w:fill="FFFFFF"/>
        </w:rPr>
        <w:t>Dr Zulfiqar Khan</w:t>
      </w:r>
      <w:r w:rsidR="00FD0388"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6213DF55" w14:textId="77777777"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14:paraId="2F6BAB1A" w14:textId="77777777" w:rsidR="00AB55F4"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5479797" w:history="1">
            <w:r w:rsidR="00AB55F4" w:rsidRPr="00D85F0D">
              <w:rPr>
                <w:rStyle w:val="Hyperlink"/>
                <w:rFonts w:ascii="Times New Roman" w:hAnsi="Times New Roman" w:cs="Times New Roman"/>
                <w:noProof/>
              </w:rPr>
              <w:t>Section 1</w:t>
            </w:r>
            <w:r w:rsidR="00AB55F4">
              <w:rPr>
                <w:noProof/>
                <w:webHidden/>
              </w:rPr>
              <w:tab/>
            </w:r>
            <w:r w:rsidR="00AB55F4">
              <w:rPr>
                <w:noProof/>
                <w:webHidden/>
              </w:rPr>
              <w:fldChar w:fldCharType="begin"/>
            </w:r>
            <w:r w:rsidR="00AB55F4">
              <w:rPr>
                <w:noProof/>
                <w:webHidden/>
              </w:rPr>
              <w:instrText xml:space="preserve"> PAGEREF _Toc225479797 \h </w:instrText>
            </w:r>
            <w:r w:rsidR="00AB55F4">
              <w:rPr>
                <w:noProof/>
                <w:webHidden/>
              </w:rPr>
            </w:r>
            <w:r w:rsidR="00AB55F4">
              <w:rPr>
                <w:noProof/>
                <w:webHidden/>
              </w:rPr>
              <w:fldChar w:fldCharType="separate"/>
            </w:r>
            <w:r w:rsidR="00AB55F4">
              <w:rPr>
                <w:noProof/>
                <w:webHidden/>
              </w:rPr>
              <w:t>1</w:t>
            </w:r>
            <w:r w:rsidR="00AB55F4">
              <w:rPr>
                <w:noProof/>
                <w:webHidden/>
              </w:rPr>
              <w:fldChar w:fldCharType="end"/>
            </w:r>
          </w:hyperlink>
        </w:p>
        <w:p w14:paraId="508FDB83" w14:textId="77777777" w:rsidR="00AB55F4" w:rsidRDefault="00AB55F4">
          <w:pPr>
            <w:pStyle w:val="TOC1"/>
            <w:tabs>
              <w:tab w:val="left" w:pos="440"/>
              <w:tab w:val="right" w:leader="dot" w:pos="9016"/>
            </w:tabs>
            <w:rPr>
              <w:rFonts w:eastAsiaTheme="minorEastAsia"/>
              <w:noProof/>
              <w:lang w:val="en-US"/>
            </w:rPr>
          </w:pPr>
          <w:hyperlink w:anchor="_Toc225479798" w:history="1">
            <w:r w:rsidRPr="00D85F0D">
              <w:rPr>
                <w:rStyle w:val="Hyperlink"/>
                <w:rFonts w:ascii="Times New Roman" w:hAnsi="Times New Roman" w:cs="Times New Roman"/>
                <w:noProof/>
                <w:lang w:val="en-US"/>
              </w:rPr>
              <w:t>1.</w:t>
            </w:r>
            <w:r>
              <w:rPr>
                <w:rFonts w:eastAsiaTheme="minorEastAsia"/>
                <w:noProof/>
                <w:lang w:val="en-US"/>
              </w:rPr>
              <w:tab/>
            </w:r>
            <w:r w:rsidRPr="00D85F0D">
              <w:rPr>
                <w:rStyle w:val="Hyperlink"/>
                <w:rFonts w:ascii="Times New Roman" w:hAnsi="Times New Roman" w:cs="Times New Roman"/>
                <w:noProof/>
                <w:lang w:val="en-US"/>
              </w:rPr>
              <w:t>Organizational Context and Overview</w:t>
            </w:r>
            <w:r>
              <w:rPr>
                <w:noProof/>
                <w:webHidden/>
              </w:rPr>
              <w:tab/>
            </w:r>
            <w:r>
              <w:rPr>
                <w:noProof/>
                <w:webHidden/>
              </w:rPr>
              <w:fldChar w:fldCharType="begin"/>
            </w:r>
            <w:r>
              <w:rPr>
                <w:noProof/>
                <w:webHidden/>
              </w:rPr>
              <w:instrText xml:space="preserve"> PAGEREF _Toc225479798 \h </w:instrText>
            </w:r>
            <w:r>
              <w:rPr>
                <w:noProof/>
                <w:webHidden/>
              </w:rPr>
            </w:r>
            <w:r>
              <w:rPr>
                <w:noProof/>
                <w:webHidden/>
              </w:rPr>
              <w:fldChar w:fldCharType="separate"/>
            </w:r>
            <w:r>
              <w:rPr>
                <w:noProof/>
                <w:webHidden/>
              </w:rPr>
              <w:t>1</w:t>
            </w:r>
            <w:r>
              <w:rPr>
                <w:noProof/>
                <w:webHidden/>
              </w:rPr>
              <w:fldChar w:fldCharType="end"/>
            </w:r>
          </w:hyperlink>
        </w:p>
        <w:p w14:paraId="39E50CFA" w14:textId="77777777" w:rsidR="00AB55F4" w:rsidRDefault="00AB55F4">
          <w:pPr>
            <w:pStyle w:val="TOC2"/>
            <w:tabs>
              <w:tab w:val="right" w:leader="dot" w:pos="9016"/>
            </w:tabs>
            <w:rPr>
              <w:rFonts w:eastAsiaTheme="minorEastAsia"/>
              <w:noProof/>
              <w:lang w:val="en-US"/>
            </w:rPr>
          </w:pPr>
          <w:hyperlink w:anchor="_Toc225479799" w:history="1">
            <w:r w:rsidRPr="00D85F0D">
              <w:rPr>
                <w:rStyle w:val="Hyperlink"/>
                <w:rFonts w:ascii="Times New Roman" w:hAnsi="Times New Roman" w:cs="Times New Roman"/>
                <w:noProof/>
              </w:rPr>
              <w:t>1.1 Organizational perspectives</w:t>
            </w:r>
            <w:r>
              <w:rPr>
                <w:noProof/>
                <w:webHidden/>
              </w:rPr>
              <w:tab/>
            </w:r>
            <w:r>
              <w:rPr>
                <w:noProof/>
                <w:webHidden/>
              </w:rPr>
              <w:fldChar w:fldCharType="begin"/>
            </w:r>
            <w:r>
              <w:rPr>
                <w:noProof/>
                <w:webHidden/>
              </w:rPr>
              <w:instrText xml:space="preserve"> PAGEREF _Toc225479799 \h </w:instrText>
            </w:r>
            <w:r>
              <w:rPr>
                <w:noProof/>
                <w:webHidden/>
              </w:rPr>
            </w:r>
            <w:r>
              <w:rPr>
                <w:noProof/>
                <w:webHidden/>
              </w:rPr>
              <w:fldChar w:fldCharType="separate"/>
            </w:r>
            <w:r>
              <w:rPr>
                <w:noProof/>
                <w:webHidden/>
              </w:rPr>
              <w:t>1</w:t>
            </w:r>
            <w:r>
              <w:rPr>
                <w:noProof/>
                <w:webHidden/>
              </w:rPr>
              <w:fldChar w:fldCharType="end"/>
            </w:r>
          </w:hyperlink>
        </w:p>
        <w:p w14:paraId="232FAB3D" w14:textId="77777777" w:rsidR="00AB55F4" w:rsidRDefault="00AB55F4">
          <w:pPr>
            <w:pStyle w:val="TOC2"/>
            <w:tabs>
              <w:tab w:val="right" w:leader="dot" w:pos="9016"/>
            </w:tabs>
            <w:rPr>
              <w:rFonts w:eastAsiaTheme="minorEastAsia"/>
              <w:noProof/>
              <w:lang w:val="en-US"/>
            </w:rPr>
          </w:pPr>
          <w:hyperlink w:anchor="_Toc225479800" w:history="1">
            <w:r w:rsidRPr="00D85F0D">
              <w:rPr>
                <w:rStyle w:val="Hyperlink"/>
                <w:rFonts w:ascii="Times New Roman" w:hAnsi="Times New Roman" w:cs="Times New Roman"/>
                <w:noProof/>
              </w:rPr>
              <w:t>1.2 Industry and Competitive perspectives</w:t>
            </w:r>
            <w:r>
              <w:rPr>
                <w:noProof/>
                <w:webHidden/>
              </w:rPr>
              <w:tab/>
            </w:r>
            <w:r>
              <w:rPr>
                <w:noProof/>
                <w:webHidden/>
              </w:rPr>
              <w:fldChar w:fldCharType="begin"/>
            </w:r>
            <w:r>
              <w:rPr>
                <w:noProof/>
                <w:webHidden/>
              </w:rPr>
              <w:instrText xml:space="preserve"> PAGEREF _Toc225479800 \h </w:instrText>
            </w:r>
            <w:r>
              <w:rPr>
                <w:noProof/>
                <w:webHidden/>
              </w:rPr>
            </w:r>
            <w:r>
              <w:rPr>
                <w:noProof/>
                <w:webHidden/>
              </w:rPr>
              <w:fldChar w:fldCharType="separate"/>
            </w:r>
            <w:r>
              <w:rPr>
                <w:noProof/>
                <w:webHidden/>
              </w:rPr>
              <w:t>1</w:t>
            </w:r>
            <w:r>
              <w:rPr>
                <w:noProof/>
                <w:webHidden/>
              </w:rPr>
              <w:fldChar w:fldCharType="end"/>
            </w:r>
          </w:hyperlink>
        </w:p>
        <w:p w14:paraId="76C90385" w14:textId="77777777" w:rsidR="00AB55F4" w:rsidRDefault="00AB55F4">
          <w:pPr>
            <w:pStyle w:val="TOC1"/>
            <w:tabs>
              <w:tab w:val="left" w:pos="440"/>
              <w:tab w:val="right" w:leader="dot" w:pos="9016"/>
            </w:tabs>
            <w:rPr>
              <w:rFonts w:eastAsiaTheme="minorEastAsia"/>
              <w:noProof/>
              <w:lang w:val="en-US"/>
            </w:rPr>
          </w:pPr>
          <w:hyperlink w:anchor="_Toc225479801" w:history="1">
            <w:r w:rsidRPr="00D85F0D">
              <w:rPr>
                <w:rStyle w:val="Hyperlink"/>
                <w:rFonts w:ascii="Times New Roman" w:hAnsi="Times New Roman" w:cs="Times New Roman"/>
                <w:noProof/>
                <w:lang w:val="en-US"/>
              </w:rPr>
              <w:t>2.</w:t>
            </w:r>
            <w:r>
              <w:rPr>
                <w:rFonts w:eastAsiaTheme="minorEastAsia"/>
                <w:noProof/>
                <w:lang w:val="en-US"/>
              </w:rPr>
              <w:tab/>
            </w:r>
            <w:r w:rsidRPr="00D85F0D">
              <w:rPr>
                <w:rStyle w:val="Hyperlink"/>
                <w:rFonts w:ascii="Times New Roman" w:hAnsi="Times New Roman" w:cs="Times New Roman"/>
                <w:noProof/>
                <w:lang w:val="en-US"/>
              </w:rPr>
              <w:t>External and Internal Environment Analysis</w:t>
            </w:r>
            <w:r>
              <w:rPr>
                <w:noProof/>
                <w:webHidden/>
              </w:rPr>
              <w:tab/>
            </w:r>
            <w:r>
              <w:rPr>
                <w:noProof/>
                <w:webHidden/>
              </w:rPr>
              <w:fldChar w:fldCharType="begin"/>
            </w:r>
            <w:r>
              <w:rPr>
                <w:noProof/>
                <w:webHidden/>
              </w:rPr>
              <w:instrText xml:space="preserve"> PAGEREF _Toc225479801 \h </w:instrText>
            </w:r>
            <w:r>
              <w:rPr>
                <w:noProof/>
                <w:webHidden/>
              </w:rPr>
            </w:r>
            <w:r>
              <w:rPr>
                <w:noProof/>
                <w:webHidden/>
              </w:rPr>
              <w:fldChar w:fldCharType="separate"/>
            </w:r>
            <w:r>
              <w:rPr>
                <w:noProof/>
                <w:webHidden/>
              </w:rPr>
              <w:t>2</w:t>
            </w:r>
            <w:r>
              <w:rPr>
                <w:noProof/>
                <w:webHidden/>
              </w:rPr>
              <w:fldChar w:fldCharType="end"/>
            </w:r>
          </w:hyperlink>
        </w:p>
        <w:p w14:paraId="189906A5" w14:textId="77777777" w:rsidR="00AB55F4" w:rsidRDefault="00AB55F4">
          <w:pPr>
            <w:pStyle w:val="TOC2"/>
            <w:tabs>
              <w:tab w:val="right" w:leader="dot" w:pos="9016"/>
            </w:tabs>
            <w:rPr>
              <w:rFonts w:eastAsiaTheme="minorEastAsia"/>
              <w:noProof/>
              <w:lang w:val="en-US"/>
            </w:rPr>
          </w:pPr>
          <w:hyperlink w:anchor="_Toc225479802" w:history="1">
            <w:r w:rsidRPr="00D85F0D">
              <w:rPr>
                <w:rStyle w:val="Hyperlink"/>
                <w:rFonts w:ascii="Times New Roman" w:hAnsi="Times New Roman" w:cs="Times New Roman"/>
                <w:noProof/>
                <w:lang w:val="en-US"/>
              </w:rPr>
              <w:t>2.1 External Environment Analysis (PESTEL) of Shell’s External Environment</w:t>
            </w:r>
            <w:r>
              <w:rPr>
                <w:noProof/>
                <w:webHidden/>
              </w:rPr>
              <w:tab/>
            </w:r>
            <w:r>
              <w:rPr>
                <w:noProof/>
                <w:webHidden/>
              </w:rPr>
              <w:fldChar w:fldCharType="begin"/>
            </w:r>
            <w:r>
              <w:rPr>
                <w:noProof/>
                <w:webHidden/>
              </w:rPr>
              <w:instrText xml:space="preserve"> PAGEREF _Toc225479802 \h </w:instrText>
            </w:r>
            <w:r>
              <w:rPr>
                <w:noProof/>
                <w:webHidden/>
              </w:rPr>
            </w:r>
            <w:r>
              <w:rPr>
                <w:noProof/>
                <w:webHidden/>
              </w:rPr>
              <w:fldChar w:fldCharType="separate"/>
            </w:r>
            <w:r>
              <w:rPr>
                <w:noProof/>
                <w:webHidden/>
              </w:rPr>
              <w:t>2</w:t>
            </w:r>
            <w:r>
              <w:rPr>
                <w:noProof/>
                <w:webHidden/>
              </w:rPr>
              <w:fldChar w:fldCharType="end"/>
            </w:r>
          </w:hyperlink>
        </w:p>
        <w:p w14:paraId="41A0AF0C" w14:textId="77777777" w:rsidR="00AB55F4" w:rsidRDefault="00AB55F4">
          <w:pPr>
            <w:pStyle w:val="TOC2"/>
            <w:tabs>
              <w:tab w:val="right" w:leader="dot" w:pos="9016"/>
            </w:tabs>
            <w:rPr>
              <w:rFonts w:eastAsiaTheme="minorEastAsia"/>
              <w:noProof/>
              <w:lang w:val="en-US"/>
            </w:rPr>
          </w:pPr>
          <w:hyperlink w:anchor="_Toc225479803" w:history="1">
            <w:r w:rsidRPr="00D85F0D">
              <w:rPr>
                <w:rStyle w:val="Hyperlink"/>
                <w:rFonts w:ascii="Times New Roman" w:hAnsi="Times New Roman" w:cs="Times New Roman"/>
                <w:noProof/>
                <w:lang w:val="en-US"/>
              </w:rPr>
              <w:t>2.2 Critical Success Factors and Strategic Challenges</w:t>
            </w:r>
            <w:r>
              <w:rPr>
                <w:noProof/>
                <w:webHidden/>
              </w:rPr>
              <w:tab/>
            </w:r>
            <w:r>
              <w:rPr>
                <w:noProof/>
                <w:webHidden/>
              </w:rPr>
              <w:fldChar w:fldCharType="begin"/>
            </w:r>
            <w:r>
              <w:rPr>
                <w:noProof/>
                <w:webHidden/>
              </w:rPr>
              <w:instrText xml:space="preserve"> PAGEREF _Toc225479803 \h </w:instrText>
            </w:r>
            <w:r>
              <w:rPr>
                <w:noProof/>
                <w:webHidden/>
              </w:rPr>
            </w:r>
            <w:r>
              <w:rPr>
                <w:noProof/>
                <w:webHidden/>
              </w:rPr>
              <w:fldChar w:fldCharType="separate"/>
            </w:r>
            <w:r>
              <w:rPr>
                <w:noProof/>
                <w:webHidden/>
              </w:rPr>
              <w:t>3</w:t>
            </w:r>
            <w:r>
              <w:rPr>
                <w:noProof/>
                <w:webHidden/>
              </w:rPr>
              <w:fldChar w:fldCharType="end"/>
            </w:r>
          </w:hyperlink>
        </w:p>
        <w:p w14:paraId="4C6847A9" w14:textId="77777777" w:rsidR="00AB55F4" w:rsidRDefault="00AB55F4">
          <w:pPr>
            <w:pStyle w:val="TOC2"/>
            <w:tabs>
              <w:tab w:val="right" w:leader="dot" w:pos="9016"/>
            </w:tabs>
            <w:rPr>
              <w:rFonts w:eastAsiaTheme="minorEastAsia"/>
              <w:noProof/>
              <w:lang w:val="en-US"/>
            </w:rPr>
          </w:pPr>
          <w:hyperlink w:anchor="_Toc225479804" w:history="1">
            <w:r w:rsidRPr="00D85F0D">
              <w:rPr>
                <w:rStyle w:val="Hyperlink"/>
                <w:rFonts w:ascii="Times New Roman" w:hAnsi="Times New Roman" w:cs="Times New Roman"/>
                <w:noProof/>
                <w:lang w:val="en-US"/>
              </w:rPr>
              <w:t>2.3 Analysis of Shell’s Internal Environment</w:t>
            </w:r>
            <w:r>
              <w:rPr>
                <w:noProof/>
                <w:webHidden/>
              </w:rPr>
              <w:tab/>
            </w:r>
            <w:r>
              <w:rPr>
                <w:noProof/>
                <w:webHidden/>
              </w:rPr>
              <w:fldChar w:fldCharType="begin"/>
            </w:r>
            <w:r>
              <w:rPr>
                <w:noProof/>
                <w:webHidden/>
              </w:rPr>
              <w:instrText xml:space="preserve"> PAGEREF _Toc225479804 \h </w:instrText>
            </w:r>
            <w:r>
              <w:rPr>
                <w:noProof/>
                <w:webHidden/>
              </w:rPr>
            </w:r>
            <w:r>
              <w:rPr>
                <w:noProof/>
                <w:webHidden/>
              </w:rPr>
              <w:fldChar w:fldCharType="separate"/>
            </w:r>
            <w:r>
              <w:rPr>
                <w:noProof/>
                <w:webHidden/>
              </w:rPr>
              <w:t>4</w:t>
            </w:r>
            <w:r>
              <w:rPr>
                <w:noProof/>
                <w:webHidden/>
              </w:rPr>
              <w:fldChar w:fldCharType="end"/>
            </w:r>
          </w:hyperlink>
        </w:p>
        <w:p w14:paraId="5791F23D" w14:textId="77777777" w:rsidR="00AB55F4" w:rsidRDefault="00AB55F4">
          <w:pPr>
            <w:pStyle w:val="TOC2"/>
            <w:tabs>
              <w:tab w:val="right" w:leader="dot" w:pos="9016"/>
            </w:tabs>
            <w:rPr>
              <w:rFonts w:eastAsiaTheme="minorEastAsia"/>
              <w:noProof/>
              <w:lang w:val="en-US"/>
            </w:rPr>
          </w:pPr>
          <w:hyperlink w:anchor="_Toc225479805" w:history="1">
            <w:r w:rsidRPr="00D85F0D">
              <w:rPr>
                <w:rStyle w:val="Hyperlink"/>
                <w:rFonts w:ascii="Times New Roman" w:hAnsi="Times New Roman" w:cs="Times New Roman"/>
                <w:noProof/>
                <w:lang w:val="en-US"/>
              </w:rPr>
              <w:t>2.4 VRIO Framework Analysis</w:t>
            </w:r>
            <w:r>
              <w:rPr>
                <w:noProof/>
                <w:webHidden/>
              </w:rPr>
              <w:tab/>
            </w:r>
            <w:r>
              <w:rPr>
                <w:noProof/>
                <w:webHidden/>
              </w:rPr>
              <w:fldChar w:fldCharType="begin"/>
            </w:r>
            <w:r>
              <w:rPr>
                <w:noProof/>
                <w:webHidden/>
              </w:rPr>
              <w:instrText xml:space="preserve"> PAGEREF _Toc225479805 \h </w:instrText>
            </w:r>
            <w:r>
              <w:rPr>
                <w:noProof/>
                <w:webHidden/>
              </w:rPr>
            </w:r>
            <w:r>
              <w:rPr>
                <w:noProof/>
                <w:webHidden/>
              </w:rPr>
              <w:fldChar w:fldCharType="separate"/>
            </w:r>
            <w:r>
              <w:rPr>
                <w:noProof/>
                <w:webHidden/>
              </w:rPr>
              <w:t>4</w:t>
            </w:r>
            <w:r>
              <w:rPr>
                <w:noProof/>
                <w:webHidden/>
              </w:rPr>
              <w:fldChar w:fldCharType="end"/>
            </w:r>
          </w:hyperlink>
        </w:p>
        <w:p w14:paraId="1506F1D1" w14:textId="77777777" w:rsidR="00AB55F4" w:rsidRDefault="00AB55F4">
          <w:pPr>
            <w:pStyle w:val="TOC2"/>
            <w:tabs>
              <w:tab w:val="right" w:leader="dot" w:pos="9016"/>
            </w:tabs>
            <w:rPr>
              <w:rFonts w:eastAsiaTheme="minorEastAsia"/>
              <w:noProof/>
              <w:lang w:val="en-US"/>
            </w:rPr>
          </w:pPr>
          <w:hyperlink w:anchor="_Toc225479806" w:history="1">
            <w:r w:rsidRPr="00D85F0D">
              <w:rPr>
                <w:rStyle w:val="Hyperlink"/>
                <w:rFonts w:ascii="Times New Roman" w:hAnsi="Times New Roman" w:cs="Times New Roman"/>
                <w:noProof/>
                <w:lang w:val="en-US"/>
              </w:rPr>
              <w:t>2.5 Contribution of Internal Strengths to Competitive Advantage</w:t>
            </w:r>
            <w:r>
              <w:rPr>
                <w:noProof/>
                <w:webHidden/>
              </w:rPr>
              <w:tab/>
            </w:r>
            <w:r>
              <w:rPr>
                <w:noProof/>
                <w:webHidden/>
              </w:rPr>
              <w:fldChar w:fldCharType="begin"/>
            </w:r>
            <w:r>
              <w:rPr>
                <w:noProof/>
                <w:webHidden/>
              </w:rPr>
              <w:instrText xml:space="preserve"> PAGEREF _Toc225479806 \h </w:instrText>
            </w:r>
            <w:r>
              <w:rPr>
                <w:noProof/>
                <w:webHidden/>
              </w:rPr>
            </w:r>
            <w:r>
              <w:rPr>
                <w:noProof/>
                <w:webHidden/>
              </w:rPr>
              <w:fldChar w:fldCharType="separate"/>
            </w:r>
            <w:r>
              <w:rPr>
                <w:noProof/>
                <w:webHidden/>
              </w:rPr>
              <w:t>5</w:t>
            </w:r>
            <w:r>
              <w:rPr>
                <w:noProof/>
                <w:webHidden/>
              </w:rPr>
              <w:fldChar w:fldCharType="end"/>
            </w:r>
          </w:hyperlink>
        </w:p>
        <w:p w14:paraId="4677A8BB" w14:textId="77777777" w:rsidR="00AB55F4" w:rsidRDefault="00AB55F4">
          <w:pPr>
            <w:pStyle w:val="TOC2"/>
            <w:tabs>
              <w:tab w:val="left" w:pos="660"/>
              <w:tab w:val="right" w:leader="dot" w:pos="9016"/>
            </w:tabs>
            <w:rPr>
              <w:rFonts w:eastAsiaTheme="minorEastAsia"/>
              <w:noProof/>
              <w:lang w:val="en-US"/>
            </w:rPr>
          </w:pPr>
          <w:hyperlink w:anchor="_Toc225479807" w:history="1">
            <w:r w:rsidRPr="00D85F0D">
              <w:rPr>
                <w:rStyle w:val="Hyperlink"/>
                <w:rFonts w:ascii="Times New Roman" w:hAnsi="Times New Roman" w:cs="Times New Roman"/>
                <w:noProof/>
                <w:lang w:val="en-US"/>
              </w:rPr>
              <w:t>3.</w:t>
            </w:r>
            <w:r>
              <w:rPr>
                <w:rFonts w:eastAsiaTheme="minorEastAsia"/>
                <w:noProof/>
                <w:lang w:val="en-US"/>
              </w:rPr>
              <w:tab/>
            </w:r>
            <w:r w:rsidRPr="00D85F0D">
              <w:rPr>
                <w:rStyle w:val="Hyperlink"/>
                <w:rFonts w:ascii="Times New Roman" w:hAnsi="Times New Roman" w:cs="Times New Roman"/>
                <w:noProof/>
                <w:lang w:val="en-US"/>
              </w:rPr>
              <w:t>CSR and Sustainability Objectives</w:t>
            </w:r>
            <w:r>
              <w:rPr>
                <w:noProof/>
                <w:webHidden/>
              </w:rPr>
              <w:tab/>
            </w:r>
            <w:r>
              <w:rPr>
                <w:noProof/>
                <w:webHidden/>
              </w:rPr>
              <w:fldChar w:fldCharType="begin"/>
            </w:r>
            <w:r>
              <w:rPr>
                <w:noProof/>
                <w:webHidden/>
              </w:rPr>
              <w:instrText xml:space="preserve"> PAGEREF _Toc225479807 \h </w:instrText>
            </w:r>
            <w:r>
              <w:rPr>
                <w:noProof/>
                <w:webHidden/>
              </w:rPr>
            </w:r>
            <w:r>
              <w:rPr>
                <w:noProof/>
                <w:webHidden/>
              </w:rPr>
              <w:fldChar w:fldCharType="separate"/>
            </w:r>
            <w:r>
              <w:rPr>
                <w:noProof/>
                <w:webHidden/>
              </w:rPr>
              <w:t>6</w:t>
            </w:r>
            <w:r>
              <w:rPr>
                <w:noProof/>
                <w:webHidden/>
              </w:rPr>
              <w:fldChar w:fldCharType="end"/>
            </w:r>
          </w:hyperlink>
        </w:p>
        <w:p w14:paraId="7790E48C" w14:textId="77777777" w:rsidR="00AB55F4" w:rsidRDefault="00AB55F4">
          <w:pPr>
            <w:pStyle w:val="TOC2"/>
            <w:tabs>
              <w:tab w:val="left" w:pos="660"/>
              <w:tab w:val="right" w:leader="dot" w:pos="9016"/>
            </w:tabs>
            <w:rPr>
              <w:rFonts w:eastAsiaTheme="minorEastAsia"/>
              <w:noProof/>
              <w:lang w:val="en-US"/>
            </w:rPr>
          </w:pPr>
          <w:hyperlink w:anchor="_Toc225479808" w:history="1">
            <w:r w:rsidRPr="00D85F0D">
              <w:rPr>
                <w:rStyle w:val="Hyperlink"/>
                <w:rFonts w:ascii="Times New Roman" w:hAnsi="Times New Roman" w:cs="Times New Roman"/>
                <w:noProof/>
                <w:lang w:val="en-US"/>
              </w:rPr>
              <w:t>4.</w:t>
            </w:r>
            <w:r>
              <w:rPr>
                <w:rFonts w:eastAsiaTheme="minorEastAsia"/>
                <w:noProof/>
                <w:lang w:val="en-US"/>
              </w:rPr>
              <w:tab/>
            </w:r>
            <w:r w:rsidRPr="00D85F0D">
              <w:rPr>
                <w:rStyle w:val="Hyperlink"/>
                <w:rFonts w:ascii="Times New Roman" w:hAnsi="Times New Roman" w:cs="Times New Roman"/>
                <w:noProof/>
                <w:lang w:val="en-US"/>
              </w:rPr>
              <w:t>Comprehensive and Holistic View of the Organization: The Balanced Scorecard</w:t>
            </w:r>
            <w:r>
              <w:rPr>
                <w:noProof/>
                <w:webHidden/>
              </w:rPr>
              <w:tab/>
            </w:r>
            <w:r>
              <w:rPr>
                <w:noProof/>
                <w:webHidden/>
              </w:rPr>
              <w:fldChar w:fldCharType="begin"/>
            </w:r>
            <w:r>
              <w:rPr>
                <w:noProof/>
                <w:webHidden/>
              </w:rPr>
              <w:instrText xml:space="preserve"> PAGEREF _Toc225479808 \h </w:instrText>
            </w:r>
            <w:r>
              <w:rPr>
                <w:noProof/>
                <w:webHidden/>
              </w:rPr>
            </w:r>
            <w:r>
              <w:rPr>
                <w:noProof/>
                <w:webHidden/>
              </w:rPr>
              <w:fldChar w:fldCharType="separate"/>
            </w:r>
            <w:r>
              <w:rPr>
                <w:noProof/>
                <w:webHidden/>
              </w:rPr>
              <w:t>6</w:t>
            </w:r>
            <w:r>
              <w:rPr>
                <w:noProof/>
                <w:webHidden/>
              </w:rPr>
              <w:fldChar w:fldCharType="end"/>
            </w:r>
          </w:hyperlink>
        </w:p>
        <w:p w14:paraId="0C9CCE2A" w14:textId="77777777" w:rsidR="00AB55F4" w:rsidRDefault="00AB55F4">
          <w:pPr>
            <w:pStyle w:val="TOC2"/>
            <w:tabs>
              <w:tab w:val="left" w:pos="660"/>
              <w:tab w:val="right" w:leader="dot" w:pos="9016"/>
            </w:tabs>
            <w:rPr>
              <w:rFonts w:eastAsiaTheme="minorEastAsia"/>
              <w:noProof/>
              <w:lang w:val="en-US"/>
            </w:rPr>
          </w:pPr>
          <w:hyperlink w:anchor="_Toc225479809" w:history="1">
            <w:r w:rsidRPr="00D85F0D">
              <w:rPr>
                <w:rStyle w:val="Hyperlink"/>
                <w:rFonts w:ascii="Times New Roman" w:hAnsi="Times New Roman" w:cs="Times New Roman"/>
                <w:noProof/>
                <w:lang w:val="en-US"/>
              </w:rPr>
              <w:t>5.</w:t>
            </w:r>
            <w:r>
              <w:rPr>
                <w:rFonts w:eastAsiaTheme="minorEastAsia"/>
                <w:noProof/>
                <w:lang w:val="en-US"/>
              </w:rPr>
              <w:tab/>
            </w:r>
            <w:r w:rsidRPr="00D85F0D">
              <w:rPr>
                <w:rStyle w:val="Hyperlink"/>
                <w:rFonts w:ascii="Times New Roman" w:hAnsi="Times New Roman" w:cs="Times New Roman"/>
                <w:noProof/>
                <w:lang w:val="en-US"/>
              </w:rPr>
              <w:t>Strategic Choices and Implementation</w:t>
            </w:r>
            <w:r>
              <w:rPr>
                <w:noProof/>
                <w:webHidden/>
              </w:rPr>
              <w:tab/>
            </w:r>
            <w:r>
              <w:rPr>
                <w:noProof/>
                <w:webHidden/>
              </w:rPr>
              <w:fldChar w:fldCharType="begin"/>
            </w:r>
            <w:r>
              <w:rPr>
                <w:noProof/>
                <w:webHidden/>
              </w:rPr>
              <w:instrText xml:space="preserve"> PAGEREF _Toc225479809 \h </w:instrText>
            </w:r>
            <w:r>
              <w:rPr>
                <w:noProof/>
                <w:webHidden/>
              </w:rPr>
            </w:r>
            <w:r>
              <w:rPr>
                <w:noProof/>
                <w:webHidden/>
              </w:rPr>
              <w:fldChar w:fldCharType="separate"/>
            </w:r>
            <w:r>
              <w:rPr>
                <w:noProof/>
                <w:webHidden/>
              </w:rPr>
              <w:t>8</w:t>
            </w:r>
            <w:r>
              <w:rPr>
                <w:noProof/>
                <w:webHidden/>
              </w:rPr>
              <w:fldChar w:fldCharType="end"/>
            </w:r>
          </w:hyperlink>
        </w:p>
        <w:p w14:paraId="769DEC1C" w14:textId="77777777" w:rsidR="00AB55F4" w:rsidRDefault="00AB55F4">
          <w:pPr>
            <w:pStyle w:val="TOC2"/>
            <w:tabs>
              <w:tab w:val="right" w:leader="dot" w:pos="9016"/>
            </w:tabs>
            <w:rPr>
              <w:rFonts w:eastAsiaTheme="minorEastAsia"/>
              <w:noProof/>
              <w:lang w:val="en-US"/>
            </w:rPr>
          </w:pPr>
          <w:hyperlink w:anchor="_Toc225479810" w:history="1">
            <w:r w:rsidRPr="00D85F0D">
              <w:rPr>
                <w:rStyle w:val="Hyperlink"/>
                <w:rFonts w:ascii="Times New Roman" w:hAnsi="Times New Roman" w:cs="Times New Roman"/>
                <w:noProof/>
              </w:rPr>
              <w:t>5.1 Evaluation and Recommendation of Strategic Choices</w:t>
            </w:r>
            <w:r>
              <w:rPr>
                <w:noProof/>
                <w:webHidden/>
              </w:rPr>
              <w:tab/>
            </w:r>
            <w:r>
              <w:rPr>
                <w:noProof/>
                <w:webHidden/>
              </w:rPr>
              <w:fldChar w:fldCharType="begin"/>
            </w:r>
            <w:r>
              <w:rPr>
                <w:noProof/>
                <w:webHidden/>
              </w:rPr>
              <w:instrText xml:space="preserve"> PAGEREF _Toc225479810 \h </w:instrText>
            </w:r>
            <w:r>
              <w:rPr>
                <w:noProof/>
                <w:webHidden/>
              </w:rPr>
            </w:r>
            <w:r>
              <w:rPr>
                <w:noProof/>
                <w:webHidden/>
              </w:rPr>
              <w:fldChar w:fldCharType="separate"/>
            </w:r>
            <w:r>
              <w:rPr>
                <w:noProof/>
                <w:webHidden/>
              </w:rPr>
              <w:t>8</w:t>
            </w:r>
            <w:r>
              <w:rPr>
                <w:noProof/>
                <w:webHidden/>
              </w:rPr>
              <w:fldChar w:fldCharType="end"/>
            </w:r>
          </w:hyperlink>
        </w:p>
        <w:p w14:paraId="2377D99F" w14:textId="77777777" w:rsidR="00AB55F4" w:rsidRDefault="00AB55F4">
          <w:pPr>
            <w:pStyle w:val="TOC2"/>
            <w:tabs>
              <w:tab w:val="right" w:leader="dot" w:pos="9016"/>
            </w:tabs>
            <w:rPr>
              <w:rFonts w:eastAsiaTheme="minorEastAsia"/>
              <w:noProof/>
              <w:lang w:val="en-US"/>
            </w:rPr>
          </w:pPr>
          <w:hyperlink w:anchor="_Toc225479811" w:history="1">
            <w:r w:rsidRPr="00D85F0D">
              <w:rPr>
                <w:rStyle w:val="Hyperlink"/>
                <w:rFonts w:ascii="Times New Roman" w:hAnsi="Times New Roman" w:cs="Times New Roman"/>
                <w:noProof/>
              </w:rPr>
              <w:t>5.2 Assessment of Change Management and Strategic Implementation</w:t>
            </w:r>
            <w:r>
              <w:rPr>
                <w:noProof/>
                <w:webHidden/>
              </w:rPr>
              <w:tab/>
            </w:r>
            <w:r>
              <w:rPr>
                <w:noProof/>
                <w:webHidden/>
              </w:rPr>
              <w:fldChar w:fldCharType="begin"/>
            </w:r>
            <w:r>
              <w:rPr>
                <w:noProof/>
                <w:webHidden/>
              </w:rPr>
              <w:instrText xml:space="preserve"> PAGEREF _Toc225479811 \h </w:instrText>
            </w:r>
            <w:r>
              <w:rPr>
                <w:noProof/>
                <w:webHidden/>
              </w:rPr>
            </w:r>
            <w:r>
              <w:rPr>
                <w:noProof/>
                <w:webHidden/>
              </w:rPr>
              <w:fldChar w:fldCharType="separate"/>
            </w:r>
            <w:r>
              <w:rPr>
                <w:noProof/>
                <w:webHidden/>
              </w:rPr>
              <w:t>9</w:t>
            </w:r>
            <w:r>
              <w:rPr>
                <w:noProof/>
                <w:webHidden/>
              </w:rPr>
              <w:fldChar w:fldCharType="end"/>
            </w:r>
          </w:hyperlink>
        </w:p>
        <w:p w14:paraId="47E46E5F" w14:textId="77777777" w:rsidR="00AB55F4" w:rsidRDefault="00AB55F4">
          <w:pPr>
            <w:pStyle w:val="TOC2"/>
            <w:tabs>
              <w:tab w:val="left" w:pos="660"/>
              <w:tab w:val="right" w:leader="dot" w:pos="9016"/>
            </w:tabs>
            <w:rPr>
              <w:rFonts w:eastAsiaTheme="minorEastAsia"/>
              <w:noProof/>
              <w:lang w:val="en-US"/>
            </w:rPr>
          </w:pPr>
          <w:hyperlink w:anchor="_Toc225479812" w:history="1">
            <w:r w:rsidRPr="00D85F0D">
              <w:rPr>
                <w:rStyle w:val="Hyperlink"/>
                <w:rFonts w:ascii="Times New Roman" w:hAnsi="Times New Roman" w:cs="Times New Roman"/>
                <w:noProof/>
                <w:lang w:val="en-US"/>
              </w:rPr>
              <w:t>6.</w:t>
            </w:r>
            <w:r>
              <w:rPr>
                <w:rFonts w:eastAsiaTheme="minorEastAsia"/>
                <w:noProof/>
                <w:lang w:val="en-US"/>
              </w:rPr>
              <w:tab/>
            </w:r>
            <w:r w:rsidRPr="00D85F0D">
              <w:rPr>
                <w:rStyle w:val="Hyperlink"/>
                <w:rFonts w:ascii="Times New Roman" w:hAnsi="Times New Roman" w:cs="Times New Roman"/>
                <w:noProof/>
                <w:lang w:val="en-US"/>
              </w:rPr>
              <w:t>Strategic Evaluation and Recommendations</w:t>
            </w:r>
            <w:r>
              <w:rPr>
                <w:noProof/>
                <w:webHidden/>
              </w:rPr>
              <w:tab/>
            </w:r>
            <w:r>
              <w:rPr>
                <w:noProof/>
                <w:webHidden/>
              </w:rPr>
              <w:fldChar w:fldCharType="begin"/>
            </w:r>
            <w:r>
              <w:rPr>
                <w:noProof/>
                <w:webHidden/>
              </w:rPr>
              <w:instrText xml:space="preserve"> PAGEREF _Toc225479812 \h </w:instrText>
            </w:r>
            <w:r>
              <w:rPr>
                <w:noProof/>
                <w:webHidden/>
              </w:rPr>
            </w:r>
            <w:r>
              <w:rPr>
                <w:noProof/>
                <w:webHidden/>
              </w:rPr>
              <w:fldChar w:fldCharType="separate"/>
            </w:r>
            <w:r>
              <w:rPr>
                <w:noProof/>
                <w:webHidden/>
              </w:rPr>
              <w:t>10</w:t>
            </w:r>
            <w:r>
              <w:rPr>
                <w:noProof/>
                <w:webHidden/>
              </w:rPr>
              <w:fldChar w:fldCharType="end"/>
            </w:r>
          </w:hyperlink>
        </w:p>
        <w:p w14:paraId="216B028A" w14:textId="77777777" w:rsidR="00AB55F4" w:rsidRDefault="00AB55F4">
          <w:pPr>
            <w:pStyle w:val="TOC2"/>
            <w:tabs>
              <w:tab w:val="right" w:leader="dot" w:pos="9016"/>
            </w:tabs>
            <w:rPr>
              <w:rFonts w:eastAsiaTheme="minorEastAsia"/>
              <w:noProof/>
              <w:lang w:val="en-US"/>
            </w:rPr>
          </w:pPr>
          <w:hyperlink w:anchor="_Toc225479813" w:history="1">
            <w:r w:rsidRPr="00D85F0D">
              <w:rPr>
                <w:rStyle w:val="Hyperlink"/>
                <w:rFonts w:ascii="Times New Roman" w:hAnsi="Times New Roman" w:cs="Times New Roman"/>
                <w:noProof/>
              </w:rPr>
              <w:t>6.1 Critical Evaluation of Current Strategy</w:t>
            </w:r>
            <w:r>
              <w:rPr>
                <w:noProof/>
                <w:webHidden/>
              </w:rPr>
              <w:tab/>
            </w:r>
            <w:r>
              <w:rPr>
                <w:noProof/>
                <w:webHidden/>
              </w:rPr>
              <w:fldChar w:fldCharType="begin"/>
            </w:r>
            <w:r>
              <w:rPr>
                <w:noProof/>
                <w:webHidden/>
              </w:rPr>
              <w:instrText xml:space="preserve"> PAGEREF _Toc225479813 \h </w:instrText>
            </w:r>
            <w:r>
              <w:rPr>
                <w:noProof/>
                <w:webHidden/>
              </w:rPr>
            </w:r>
            <w:r>
              <w:rPr>
                <w:noProof/>
                <w:webHidden/>
              </w:rPr>
              <w:fldChar w:fldCharType="separate"/>
            </w:r>
            <w:r>
              <w:rPr>
                <w:noProof/>
                <w:webHidden/>
              </w:rPr>
              <w:t>10</w:t>
            </w:r>
            <w:r>
              <w:rPr>
                <w:noProof/>
                <w:webHidden/>
              </w:rPr>
              <w:fldChar w:fldCharType="end"/>
            </w:r>
          </w:hyperlink>
        </w:p>
        <w:p w14:paraId="214D1B50" w14:textId="77777777" w:rsidR="00AB55F4" w:rsidRDefault="00AB55F4">
          <w:pPr>
            <w:pStyle w:val="TOC2"/>
            <w:tabs>
              <w:tab w:val="right" w:leader="dot" w:pos="9016"/>
            </w:tabs>
            <w:rPr>
              <w:rFonts w:eastAsiaTheme="minorEastAsia"/>
              <w:noProof/>
              <w:lang w:val="en-US"/>
            </w:rPr>
          </w:pPr>
          <w:hyperlink w:anchor="_Toc225479814" w:history="1">
            <w:r w:rsidRPr="00D85F0D">
              <w:rPr>
                <w:rStyle w:val="Hyperlink"/>
                <w:rFonts w:ascii="Times New Roman" w:hAnsi="Times New Roman" w:cs="Times New Roman"/>
                <w:noProof/>
              </w:rPr>
              <w:t>6.2 Recommendations for Strategic Improvement</w:t>
            </w:r>
            <w:r>
              <w:rPr>
                <w:noProof/>
                <w:webHidden/>
              </w:rPr>
              <w:tab/>
            </w:r>
            <w:r>
              <w:rPr>
                <w:noProof/>
                <w:webHidden/>
              </w:rPr>
              <w:fldChar w:fldCharType="begin"/>
            </w:r>
            <w:r>
              <w:rPr>
                <w:noProof/>
                <w:webHidden/>
              </w:rPr>
              <w:instrText xml:space="preserve"> PAGEREF _Toc225479814 \h </w:instrText>
            </w:r>
            <w:r>
              <w:rPr>
                <w:noProof/>
                <w:webHidden/>
              </w:rPr>
            </w:r>
            <w:r>
              <w:rPr>
                <w:noProof/>
                <w:webHidden/>
              </w:rPr>
              <w:fldChar w:fldCharType="separate"/>
            </w:r>
            <w:r>
              <w:rPr>
                <w:noProof/>
                <w:webHidden/>
              </w:rPr>
              <w:t>10</w:t>
            </w:r>
            <w:r>
              <w:rPr>
                <w:noProof/>
                <w:webHidden/>
              </w:rPr>
              <w:fldChar w:fldCharType="end"/>
            </w:r>
          </w:hyperlink>
        </w:p>
        <w:p w14:paraId="261D81DD" w14:textId="77777777" w:rsidR="00AB55F4" w:rsidRDefault="00AB55F4">
          <w:pPr>
            <w:pStyle w:val="TOC1"/>
            <w:tabs>
              <w:tab w:val="right" w:leader="dot" w:pos="9016"/>
            </w:tabs>
            <w:rPr>
              <w:rFonts w:eastAsiaTheme="minorEastAsia"/>
              <w:noProof/>
              <w:lang w:val="en-US"/>
            </w:rPr>
          </w:pPr>
          <w:hyperlink w:anchor="_Toc225479815" w:history="1">
            <w:r w:rsidRPr="00D85F0D">
              <w:rPr>
                <w:rStyle w:val="Hyperlink"/>
                <w:rFonts w:ascii="Times New Roman" w:hAnsi="Times New Roman" w:cs="Times New Roman"/>
                <w:noProof/>
              </w:rPr>
              <w:t>Section 2</w:t>
            </w:r>
            <w:r>
              <w:rPr>
                <w:noProof/>
                <w:webHidden/>
              </w:rPr>
              <w:tab/>
            </w:r>
            <w:r>
              <w:rPr>
                <w:noProof/>
                <w:webHidden/>
              </w:rPr>
              <w:fldChar w:fldCharType="begin"/>
            </w:r>
            <w:r>
              <w:rPr>
                <w:noProof/>
                <w:webHidden/>
              </w:rPr>
              <w:instrText xml:space="preserve"> PAGEREF _Toc225479815 \h </w:instrText>
            </w:r>
            <w:r>
              <w:rPr>
                <w:noProof/>
                <w:webHidden/>
              </w:rPr>
            </w:r>
            <w:r>
              <w:rPr>
                <w:noProof/>
                <w:webHidden/>
              </w:rPr>
              <w:fldChar w:fldCharType="separate"/>
            </w:r>
            <w:r>
              <w:rPr>
                <w:noProof/>
                <w:webHidden/>
              </w:rPr>
              <w:t>11</w:t>
            </w:r>
            <w:r>
              <w:rPr>
                <w:noProof/>
                <w:webHidden/>
              </w:rPr>
              <w:fldChar w:fldCharType="end"/>
            </w:r>
          </w:hyperlink>
        </w:p>
        <w:p w14:paraId="550BBECB" w14:textId="77777777" w:rsidR="00AB55F4" w:rsidRDefault="00AB55F4">
          <w:pPr>
            <w:pStyle w:val="TOC1"/>
            <w:tabs>
              <w:tab w:val="left" w:pos="440"/>
              <w:tab w:val="right" w:leader="dot" w:pos="9016"/>
            </w:tabs>
            <w:rPr>
              <w:rFonts w:eastAsiaTheme="minorEastAsia"/>
              <w:noProof/>
              <w:lang w:val="en-US"/>
            </w:rPr>
          </w:pPr>
          <w:hyperlink w:anchor="_Toc225479816" w:history="1">
            <w:r w:rsidRPr="00D85F0D">
              <w:rPr>
                <w:rStyle w:val="Hyperlink"/>
                <w:rFonts w:ascii="Times New Roman" w:hAnsi="Times New Roman" w:cs="Times New Roman"/>
                <w:noProof/>
                <w:lang w:val="en-US"/>
              </w:rPr>
              <w:t>7.</w:t>
            </w:r>
            <w:r>
              <w:rPr>
                <w:rFonts w:eastAsiaTheme="minorEastAsia"/>
                <w:noProof/>
                <w:lang w:val="en-US"/>
              </w:rPr>
              <w:tab/>
            </w:r>
            <w:r w:rsidRPr="00D85F0D">
              <w:rPr>
                <w:rStyle w:val="Hyperlink"/>
                <w:rFonts w:ascii="Times New Roman" w:hAnsi="Times New Roman" w:cs="Times New Roman"/>
                <w:noProof/>
                <w:lang w:val="en-US"/>
              </w:rPr>
              <w:t>Reflective Account: Researching and Analyzing Shell PLC Strategic Environment</w:t>
            </w:r>
            <w:r>
              <w:rPr>
                <w:noProof/>
                <w:webHidden/>
              </w:rPr>
              <w:tab/>
            </w:r>
            <w:r>
              <w:rPr>
                <w:noProof/>
                <w:webHidden/>
              </w:rPr>
              <w:fldChar w:fldCharType="begin"/>
            </w:r>
            <w:r>
              <w:rPr>
                <w:noProof/>
                <w:webHidden/>
              </w:rPr>
              <w:instrText xml:space="preserve"> PAGEREF _Toc225479816 \h </w:instrText>
            </w:r>
            <w:r>
              <w:rPr>
                <w:noProof/>
                <w:webHidden/>
              </w:rPr>
            </w:r>
            <w:r>
              <w:rPr>
                <w:noProof/>
                <w:webHidden/>
              </w:rPr>
              <w:fldChar w:fldCharType="separate"/>
            </w:r>
            <w:r>
              <w:rPr>
                <w:noProof/>
                <w:webHidden/>
              </w:rPr>
              <w:t>11</w:t>
            </w:r>
            <w:r>
              <w:rPr>
                <w:noProof/>
                <w:webHidden/>
              </w:rPr>
              <w:fldChar w:fldCharType="end"/>
            </w:r>
          </w:hyperlink>
        </w:p>
        <w:p w14:paraId="3EA364D6" w14:textId="77777777" w:rsidR="00AB55F4" w:rsidRDefault="00AB55F4">
          <w:pPr>
            <w:pStyle w:val="TOC1"/>
            <w:tabs>
              <w:tab w:val="right" w:leader="dot" w:pos="9016"/>
            </w:tabs>
            <w:rPr>
              <w:rFonts w:eastAsiaTheme="minorEastAsia"/>
              <w:noProof/>
              <w:lang w:val="en-US"/>
            </w:rPr>
          </w:pPr>
          <w:hyperlink w:anchor="_Toc225479817" w:history="1">
            <w:r w:rsidRPr="00D85F0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_Toc225479817 \h </w:instrText>
            </w:r>
            <w:r>
              <w:rPr>
                <w:noProof/>
                <w:webHidden/>
              </w:rPr>
            </w:r>
            <w:r>
              <w:rPr>
                <w:noProof/>
                <w:webHidden/>
              </w:rPr>
              <w:fldChar w:fldCharType="separate"/>
            </w:r>
            <w:r>
              <w:rPr>
                <w:noProof/>
                <w:webHidden/>
              </w:rPr>
              <w:t>14</w:t>
            </w:r>
            <w:r>
              <w:rPr>
                <w:noProof/>
                <w:webHidden/>
              </w:rPr>
              <w:fldChar w:fldCharType="end"/>
            </w:r>
          </w:hyperlink>
        </w:p>
        <w:p w14:paraId="1D603F95" w14:textId="77777777" w:rsidR="00AB55F4" w:rsidRDefault="00AB55F4">
          <w:pPr>
            <w:pStyle w:val="TOC1"/>
            <w:tabs>
              <w:tab w:val="right" w:leader="dot" w:pos="9016"/>
            </w:tabs>
            <w:rPr>
              <w:rFonts w:eastAsiaTheme="minorEastAsia"/>
              <w:noProof/>
              <w:lang w:val="en-US"/>
            </w:rPr>
          </w:pPr>
          <w:hyperlink w:anchor="_Toc225479818" w:history="1">
            <w:r w:rsidRPr="00D85F0D">
              <w:rPr>
                <w:rStyle w:val="Hyperlink"/>
                <w:noProof/>
              </w:rPr>
              <w:t>Appendixes</w:t>
            </w:r>
            <w:r>
              <w:rPr>
                <w:noProof/>
                <w:webHidden/>
              </w:rPr>
              <w:tab/>
            </w:r>
            <w:r>
              <w:rPr>
                <w:noProof/>
                <w:webHidden/>
              </w:rPr>
              <w:fldChar w:fldCharType="begin"/>
            </w:r>
            <w:r>
              <w:rPr>
                <w:noProof/>
                <w:webHidden/>
              </w:rPr>
              <w:instrText xml:space="preserve"> PAGEREF _Toc225479818 \h </w:instrText>
            </w:r>
            <w:r>
              <w:rPr>
                <w:noProof/>
                <w:webHidden/>
              </w:rPr>
            </w:r>
            <w:r>
              <w:rPr>
                <w:noProof/>
                <w:webHidden/>
              </w:rPr>
              <w:fldChar w:fldCharType="separate"/>
            </w:r>
            <w:r>
              <w:rPr>
                <w:noProof/>
                <w:webHidden/>
              </w:rPr>
              <w:t>19</w:t>
            </w:r>
            <w:r>
              <w:rPr>
                <w:noProof/>
                <w:webHidden/>
              </w:rPr>
              <w:fldChar w:fldCharType="end"/>
            </w:r>
          </w:hyperlink>
        </w:p>
        <w:p w14:paraId="107408CE" w14:textId="77777777" w:rsidR="00AB55F4" w:rsidRDefault="00AB55F4">
          <w:pPr>
            <w:pStyle w:val="TOC2"/>
            <w:tabs>
              <w:tab w:val="right" w:leader="dot" w:pos="9016"/>
            </w:tabs>
            <w:rPr>
              <w:rFonts w:eastAsiaTheme="minorEastAsia"/>
              <w:noProof/>
              <w:lang w:val="en-US"/>
            </w:rPr>
          </w:pPr>
          <w:hyperlink w:anchor="_Toc225479819" w:history="1">
            <w:r w:rsidRPr="00D85F0D">
              <w:rPr>
                <w:rStyle w:val="Hyperlink"/>
                <w:noProof/>
              </w:rPr>
              <w:t>Appendix-Gibbs Reflective Model</w:t>
            </w:r>
            <w:r>
              <w:rPr>
                <w:noProof/>
                <w:webHidden/>
              </w:rPr>
              <w:tab/>
            </w:r>
            <w:r>
              <w:rPr>
                <w:noProof/>
                <w:webHidden/>
              </w:rPr>
              <w:fldChar w:fldCharType="begin"/>
            </w:r>
            <w:r>
              <w:rPr>
                <w:noProof/>
                <w:webHidden/>
              </w:rPr>
              <w:instrText xml:space="preserve"> PAGEREF _Toc225479819 \h </w:instrText>
            </w:r>
            <w:r>
              <w:rPr>
                <w:noProof/>
                <w:webHidden/>
              </w:rPr>
            </w:r>
            <w:r>
              <w:rPr>
                <w:noProof/>
                <w:webHidden/>
              </w:rPr>
              <w:fldChar w:fldCharType="separate"/>
            </w:r>
            <w:r>
              <w:rPr>
                <w:noProof/>
                <w:webHidden/>
              </w:rPr>
              <w:t>19</w:t>
            </w:r>
            <w:r>
              <w:rPr>
                <w:noProof/>
                <w:webHidden/>
              </w:rPr>
              <w:fldChar w:fldCharType="end"/>
            </w:r>
          </w:hyperlink>
        </w:p>
        <w:p w14:paraId="4E8279DD"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7E89E182" w14:textId="77777777" w:rsidR="006E0F18" w:rsidRDefault="006E0F18">
      <w:pPr>
        <w:rPr>
          <w:rFonts w:ascii="Times New Roman" w:hAnsi="Times New Roman" w:cs="Times New Roman"/>
          <w:b/>
          <w:bCs/>
          <w:sz w:val="24"/>
        </w:rPr>
      </w:pPr>
      <w:r>
        <w:rPr>
          <w:rFonts w:ascii="Times New Roman" w:hAnsi="Times New Roman" w:cs="Times New Roman"/>
          <w:b/>
          <w:bCs/>
          <w:sz w:val="24"/>
        </w:rPr>
        <w:br w:type="page"/>
      </w:r>
    </w:p>
    <w:p w14:paraId="0A9D2A59" w14:textId="77777777" w:rsidR="002C29F5" w:rsidRPr="002C29F5" w:rsidRDefault="003E0BFE" w:rsidP="00F83B65">
      <w:pPr>
        <w:jc w:val="center"/>
        <w:rPr>
          <w:rStyle w:val="Strong"/>
          <w:rFonts w:ascii="Segoe UI" w:hAnsi="Segoe UI" w:cs="Segoe UI"/>
          <w:color w:val="C00000"/>
          <w:sz w:val="34"/>
          <w:szCs w:val="30"/>
        </w:rPr>
      </w:pPr>
      <w:r>
        <w:rPr>
          <w:noProof/>
          <w:lang w:val="en-US"/>
        </w:rPr>
        <w:drawing>
          <wp:anchor distT="0" distB="0" distL="114300" distR="114300" simplePos="0" relativeHeight="251665408" behindDoc="0" locked="0" layoutInCell="1" allowOverlap="1" wp14:anchorId="5EB109AD" wp14:editId="48CD1979">
            <wp:simplePos x="0" y="0"/>
            <wp:positionH relativeFrom="column">
              <wp:posOffset>4881245</wp:posOffset>
            </wp:positionH>
            <wp:positionV relativeFrom="paragraph">
              <wp:posOffset>-336825</wp:posOffset>
            </wp:positionV>
            <wp:extent cx="1390650" cy="13525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390650" cy="1352550"/>
                    </a:xfrm>
                    <a:prstGeom prst="rect">
                      <a:avLst/>
                    </a:prstGeom>
                  </pic:spPr>
                </pic:pic>
              </a:graphicData>
            </a:graphic>
            <wp14:sizeRelH relativeFrom="page">
              <wp14:pctWidth>0</wp14:pctWidth>
            </wp14:sizeRelH>
            <wp14:sizeRelV relativeFrom="page">
              <wp14:pctHeight>0</wp14:pctHeight>
            </wp14:sizeRelV>
          </wp:anchor>
        </w:drawing>
      </w:r>
      <w:r w:rsidR="002C29F5" w:rsidRPr="002C29F5">
        <w:rPr>
          <w:rStyle w:val="Strong"/>
          <w:rFonts w:ascii="Segoe UI" w:hAnsi="Segoe UI" w:cs="Segoe UI"/>
          <w:color w:val="C00000"/>
          <w:sz w:val="34"/>
          <w:szCs w:val="30"/>
        </w:rPr>
        <w:t>Strategic Management Practices</w:t>
      </w:r>
    </w:p>
    <w:p w14:paraId="4A6E3E05" w14:textId="77777777" w:rsidR="00231956" w:rsidRPr="002C29F5" w:rsidRDefault="00532463" w:rsidP="00D3208E">
      <w:pPr>
        <w:jc w:val="center"/>
        <w:rPr>
          <w:rStyle w:val="Strong"/>
          <w:rFonts w:ascii="Segoe UI" w:hAnsi="Segoe UI" w:cs="Segoe UI"/>
          <w:bCs w:val="0"/>
          <w:color w:val="C00000"/>
          <w:sz w:val="34"/>
          <w:szCs w:val="30"/>
        </w:rPr>
      </w:pPr>
      <w:r>
        <w:rPr>
          <w:rStyle w:val="Strong"/>
          <w:rFonts w:ascii="Segoe UI" w:hAnsi="Segoe UI" w:cs="Segoe UI"/>
          <w:color w:val="C00000"/>
          <w:sz w:val="34"/>
          <w:szCs w:val="30"/>
        </w:rPr>
        <w:t>Shell</w:t>
      </w:r>
      <w:r w:rsidR="00D3208E" w:rsidRPr="002C29F5">
        <w:rPr>
          <w:rStyle w:val="Strong"/>
          <w:rFonts w:ascii="Segoe UI" w:hAnsi="Segoe UI" w:cs="Segoe UI"/>
          <w:color w:val="C00000"/>
          <w:sz w:val="34"/>
          <w:szCs w:val="30"/>
        </w:rPr>
        <w:t xml:space="preserve"> PLC</w:t>
      </w:r>
      <w:r w:rsidR="003E0BFE" w:rsidRPr="003E0BFE">
        <w:rPr>
          <w:noProof/>
          <w:lang w:val="en-US"/>
        </w:rPr>
        <w:t xml:space="preserve"> </w:t>
      </w:r>
    </w:p>
    <w:p w14:paraId="024E2DAC" w14:textId="77777777" w:rsidR="00624C35" w:rsidRDefault="003E0BFE" w:rsidP="005F69B8">
      <w:pPr>
        <w:jc w:val="center"/>
        <w:rPr>
          <w:rStyle w:val="Strong"/>
          <w:rFonts w:ascii="Segoe UI" w:hAnsi="Segoe UI" w:cs="Segoe UI"/>
          <w:b w:val="0"/>
          <w:bCs w:val="0"/>
          <w:color w:val="C00000"/>
          <w:sz w:val="30"/>
          <w:szCs w:val="30"/>
        </w:rPr>
      </w:pPr>
      <w:r>
        <w:rPr>
          <w:noProof/>
          <w:lang w:val="en-US"/>
        </w:rPr>
        <w:drawing>
          <wp:anchor distT="0" distB="0" distL="114300" distR="114300" simplePos="0" relativeHeight="251666432" behindDoc="0" locked="0" layoutInCell="1" allowOverlap="1" wp14:anchorId="2E126042" wp14:editId="12037F79">
            <wp:simplePos x="0" y="0"/>
            <wp:positionH relativeFrom="column">
              <wp:posOffset>-906145</wp:posOffset>
            </wp:positionH>
            <wp:positionV relativeFrom="paragraph">
              <wp:posOffset>2998470</wp:posOffset>
            </wp:positionV>
            <wp:extent cx="7522210" cy="2656840"/>
            <wp:effectExtent l="171450" t="171450" r="383540" b="353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7522210" cy="265684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lang w:val="en-US"/>
        </w:rPr>
        <w:drawing>
          <wp:inline distT="0" distB="0" distL="0" distR="0" wp14:anchorId="5D872D44" wp14:editId="25E06F16">
            <wp:extent cx="2657475" cy="2543175"/>
            <wp:effectExtent l="19050" t="0" r="28575" b="8286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657475" cy="25431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C3AC986" w14:textId="77777777" w:rsidR="003E0BFE" w:rsidRDefault="003E0BFE" w:rsidP="005F69B8">
      <w:pPr>
        <w:jc w:val="center"/>
        <w:rPr>
          <w:rStyle w:val="Strong"/>
          <w:rFonts w:ascii="Segoe UI" w:hAnsi="Segoe UI" w:cs="Segoe UI"/>
          <w:b w:val="0"/>
          <w:bCs w:val="0"/>
          <w:color w:val="C00000"/>
          <w:sz w:val="30"/>
          <w:szCs w:val="30"/>
        </w:rPr>
      </w:pPr>
    </w:p>
    <w:p w14:paraId="4651C956" w14:textId="77777777" w:rsidR="00414646" w:rsidRDefault="00414646" w:rsidP="005F69B8">
      <w:pPr>
        <w:jc w:val="center"/>
        <w:rPr>
          <w:rStyle w:val="Strong"/>
          <w:rFonts w:ascii="Segoe UI" w:hAnsi="Segoe UI" w:cs="Segoe UI"/>
          <w:b w:val="0"/>
          <w:bCs w:val="0"/>
          <w:color w:val="C00000"/>
          <w:sz w:val="30"/>
          <w:szCs w:val="30"/>
        </w:rPr>
      </w:pPr>
    </w:p>
    <w:p w14:paraId="4AA5C6CB" w14:textId="77777777" w:rsidR="00414646" w:rsidRDefault="00414646" w:rsidP="005F69B8">
      <w:pPr>
        <w:jc w:val="center"/>
        <w:rPr>
          <w:rStyle w:val="Strong"/>
          <w:rFonts w:ascii="Segoe UI" w:hAnsi="Segoe UI" w:cs="Segoe UI"/>
          <w:b w:val="0"/>
          <w:bCs w:val="0"/>
          <w:color w:val="C00000"/>
          <w:sz w:val="30"/>
          <w:szCs w:val="30"/>
        </w:rPr>
      </w:pPr>
    </w:p>
    <w:p w14:paraId="54C82D24" w14:textId="77777777" w:rsidR="002C176E" w:rsidRDefault="002C176E" w:rsidP="005F69B8">
      <w:pPr>
        <w:jc w:val="center"/>
        <w:rPr>
          <w:rStyle w:val="Strong"/>
          <w:rFonts w:ascii="Segoe UI" w:hAnsi="Segoe UI" w:cs="Segoe UI"/>
          <w:b w:val="0"/>
          <w:bCs w:val="0"/>
          <w:color w:val="C00000"/>
          <w:sz w:val="30"/>
          <w:szCs w:val="30"/>
        </w:rPr>
      </w:pPr>
    </w:p>
    <w:p w14:paraId="1E789E4A" w14:textId="77777777" w:rsidR="002B6B70" w:rsidRDefault="002B6B70" w:rsidP="005F69B8">
      <w:pPr>
        <w:jc w:val="center"/>
        <w:rPr>
          <w:rStyle w:val="Strong"/>
          <w:rFonts w:ascii="Segoe UI" w:hAnsi="Segoe UI" w:cs="Segoe UI"/>
          <w:b w:val="0"/>
          <w:bCs w:val="0"/>
          <w:color w:val="C00000"/>
          <w:sz w:val="30"/>
          <w:szCs w:val="30"/>
        </w:rPr>
      </w:pPr>
    </w:p>
    <w:p w14:paraId="145D390E" w14:textId="77777777" w:rsidR="002B6B70" w:rsidRPr="005E69E8" w:rsidRDefault="003E0BFE" w:rsidP="005F69B8">
      <w:pPr>
        <w:jc w:val="center"/>
        <w:rPr>
          <w:rStyle w:val="Strong"/>
          <w:rFonts w:ascii="Segoe UI" w:hAnsi="Segoe UI" w:cs="Segoe UI"/>
          <w:b w:val="0"/>
          <w:bCs w:val="0"/>
          <w:color w:val="C00000"/>
          <w:sz w:val="30"/>
          <w:szCs w:val="30"/>
        </w:rPr>
      </w:pPr>
      <w:r>
        <w:rPr>
          <w:noProof/>
          <w:lang w:val="en-US"/>
        </w:rPr>
        <w:drawing>
          <wp:anchor distT="0" distB="0" distL="114300" distR="114300" simplePos="0" relativeHeight="251667456" behindDoc="0" locked="0" layoutInCell="1" allowOverlap="1" wp14:anchorId="596429B6" wp14:editId="72A109E6">
            <wp:simplePos x="0" y="0"/>
            <wp:positionH relativeFrom="column">
              <wp:posOffset>-905774</wp:posOffset>
            </wp:positionH>
            <wp:positionV relativeFrom="paragraph">
              <wp:posOffset>286553</wp:posOffset>
            </wp:positionV>
            <wp:extent cx="7516318" cy="3881887"/>
            <wp:effectExtent l="171450" t="171450" r="389890" b="36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7522210" cy="388493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14:paraId="57627C17" w14:textId="77777777" w:rsidR="005E4072" w:rsidRPr="005E4072" w:rsidRDefault="005E4072" w:rsidP="005E4072"/>
    <w:p w14:paraId="783F6C6C" w14:textId="77777777" w:rsidR="006E0F18" w:rsidRDefault="006E0F18" w:rsidP="00EC03CF">
      <w:pPr>
        <w:rPr>
          <w:rFonts w:ascii="Times New Roman" w:hAnsi="Times New Roman" w:cs="Times New Roman"/>
          <w:b/>
          <w:bCs/>
          <w:sz w:val="24"/>
        </w:rPr>
      </w:pPr>
    </w:p>
    <w:p w14:paraId="342F64EB" w14:textId="77777777" w:rsidR="00E6083D" w:rsidRPr="009225E6" w:rsidRDefault="009922AE" w:rsidP="00E6083D">
      <w:pPr>
        <w:rPr>
          <w:rFonts w:ascii="Times New Roman" w:hAnsi="Times New Roman" w:cs="Times New Roman"/>
          <w:b/>
          <w:bCs/>
          <w:sz w:val="24"/>
        </w:rPr>
      </w:pPr>
      <w:r w:rsidRPr="009225E6">
        <w:rPr>
          <w:rFonts w:ascii="Times New Roman" w:hAnsi="Times New Roman" w:cs="Times New Roman"/>
          <w:b/>
          <w:bCs/>
          <w:sz w:val="24"/>
        </w:rPr>
        <w:br w:type="page"/>
      </w:r>
    </w:p>
    <w:p w14:paraId="193F649D" w14:textId="77777777" w:rsidR="008C45E0" w:rsidRPr="009225E6" w:rsidRDefault="008C45E0" w:rsidP="00231956">
      <w:pPr>
        <w:rPr>
          <w:rFonts w:ascii="Times New Roman" w:hAnsi="Times New Roman" w:cs="Times New Roman"/>
          <w:b/>
          <w:bCs/>
          <w:sz w:val="24"/>
        </w:rPr>
        <w:sectPr w:rsidR="008C45E0" w:rsidRPr="009225E6" w:rsidSect="008C45E0">
          <w:footerReference w:type="default" r:id="rId13"/>
          <w:pgSz w:w="11906" w:h="16838"/>
          <w:pgMar w:top="1440" w:right="1440" w:bottom="1440" w:left="1440" w:header="708" w:footer="708" w:gutter="0"/>
          <w:pgNumType w:fmt="upperRoman"/>
          <w:cols w:space="708"/>
          <w:docGrid w:linePitch="360"/>
        </w:sectPr>
      </w:pPr>
    </w:p>
    <w:p w14:paraId="30039B53" w14:textId="77777777" w:rsidR="008F782D" w:rsidRPr="00223A4E" w:rsidRDefault="008F782D" w:rsidP="0047199B">
      <w:pPr>
        <w:pStyle w:val="Heading1"/>
        <w:shd w:val="clear" w:color="auto" w:fill="FFFF00"/>
        <w:rPr>
          <w:rFonts w:ascii="Times New Roman" w:hAnsi="Times New Roman" w:cs="Times New Roman"/>
        </w:rPr>
      </w:pPr>
      <w:bookmarkStart w:id="0" w:name="_Toc225479797"/>
      <w:r w:rsidRPr="00223A4E">
        <w:rPr>
          <w:rFonts w:ascii="Times New Roman" w:hAnsi="Times New Roman" w:cs="Times New Roman"/>
        </w:rPr>
        <w:t>Section 1</w:t>
      </w:r>
      <w:bookmarkEnd w:id="0"/>
    </w:p>
    <w:p w14:paraId="156A9326" w14:textId="77777777" w:rsidR="00D3208E" w:rsidRPr="00223A4E" w:rsidRDefault="00D950DF" w:rsidP="008F782D">
      <w:pPr>
        <w:pStyle w:val="Heading1"/>
        <w:numPr>
          <w:ilvl w:val="0"/>
          <w:numId w:val="14"/>
        </w:numPr>
        <w:rPr>
          <w:rFonts w:ascii="Times New Roman" w:hAnsi="Times New Roman" w:cs="Times New Roman"/>
          <w:lang w:val="en-US"/>
        </w:rPr>
      </w:pPr>
      <w:bookmarkStart w:id="1" w:name="_Toc225479798"/>
      <w:r w:rsidRPr="00223A4E">
        <w:rPr>
          <w:rFonts w:ascii="Times New Roman" w:hAnsi="Times New Roman" w:cs="Times New Roman"/>
          <w:lang w:val="en-US"/>
        </w:rPr>
        <w:t>Organiz</w:t>
      </w:r>
      <w:r w:rsidR="00D3208E" w:rsidRPr="00223A4E">
        <w:rPr>
          <w:rFonts w:ascii="Times New Roman" w:hAnsi="Times New Roman" w:cs="Times New Roman"/>
          <w:lang w:val="en-US"/>
        </w:rPr>
        <w:t>ational Context and Overview</w:t>
      </w:r>
      <w:bookmarkEnd w:id="1"/>
    </w:p>
    <w:p w14:paraId="349BE409" w14:textId="77777777" w:rsidR="00BD28EC" w:rsidRPr="00223A4E" w:rsidRDefault="00BD28EC" w:rsidP="00BD28EC">
      <w:pPr>
        <w:pStyle w:val="Heading2"/>
        <w:rPr>
          <w:rFonts w:ascii="Times New Roman" w:hAnsi="Times New Roman" w:cs="Times New Roman"/>
        </w:rPr>
      </w:pPr>
      <w:bookmarkStart w:id="2" w:name="_Toc225479799"/>
      <w:r w:rsidRPr="00223A4E">
        <w:rPr>
          <w:rFonts w:ascii="Times New Roman" w:hAnsi="Times New Roman" w:cs="Times New Roman"/>
        </w:rPr>
        <w:t>1.1 Organizational perspectives</w:t>
      </w:r>
      <w:bookmarkEnd w:id="2"/>
    </w:p>
    <w:p w14:paraId="5B87EED5" w14:textId="77777777" w:rsidR="00532463" w:rsidRPr="00223A4E" w:rsidRDefault="007E298B" w:rsidP="00BD28EC">
      <w:pPr>
        <w:spacing w:line="360" w:lineRule="auto"/>
        <w:jc w:val="both"/>
        <w:rPr>
          <w:rFonts w:ascii="Times New Roman" w:hAnsi="Times New Roman" w:cs="Times New Roman"/>
          <w:sz w:val="24"/>
          <w:lang w:val="en-US"/>
        </w:rPr>
      </w:pPr>
      <w:r w:rsidRPr="00223A4E">
        <w:rPr>
          <w:rFonts w:ascii="Times New Roman" w:hAnsi="Times New Roman" w:cs="Times New Roman"/>
          <w:sz w:val="24"/>
        </w:rPr>
        <w:t>Shell plc is a multinational group of energy and petrochemicals that has a lon</w:t>
      </w:r>
      <w:r w:rsidR="00AF6FE4" w:rsidRPr="00223A4E">
        <w:rPr>
          <w:rFonts w:ascii="Times New Roman" w:hAnsi="Times New Roman" w:cs="Times New Roman"/>
          <w:sz w:val="24"/>
        </w:rPr>
        <w:t>g history beginning with the 19</w:t>
      </w:r>
      <w:r w:rsidRPr="00223A4E">
        <w:rPr>
          <w:rFonts w:ascii="Times New Roman" w:hAnsi="Times New Roman" w:cs="Times New Roman"/>
          <w:sz w:val="24"/>
          <w:vertAlign w:val="superscript"/>
        </w:rPr>
        <w:t>th</w:t>
      </w:r>
      <w:r w:rsidR="00AF6FE4" w:rsidRPr="00223A4E">
        <w:rPr>
          <w:rFonts w:ascii="Times New Roman" w:hAnsi="Times New Roman" w:cs="Times New Roman"/>
          <w:sz w:val="24"/>
        </w:rPr>
        <w:t xml:space="preserve"> </w:t>
      </w:r>
      <w:r w:rsidRPr="00223A4E">
        <w:rPr>
          <w:rFonts w:ascii="Times New Roman" w:hAnsi="Times New Roman" w:cs="Times New Roman"/>
          <w:sz w:val="24"/>
        </w:rPr>
        <w:t>century when it started as a small antique shop in London to be among the largest multinational corporations in the world (Shell, 2025). Its mission is to drive progress along with its customers and the society through the offer of more and cleaner energy solutions, which is based on its core mission to give a safe, sustainable and profit-dri</w:t>
      </w:r>
      <w:r w:rsidR="00AF6FE4" w:rsidRPr="00223A4E">
        <w:rPr>
          <w:rFonts w:ascii="Times New Roman" w:hAnsi="Times New Roman" w:cs="Times New Roman"/>
          <w:sz w:val="24"/>
        </w:rPr>
        <w:t>ven energy future (Shell, 2025</w:t>
      </w:r>
      <w:r w:rsidRPr="00223A4E">
        <w:rPr>
          <w:rFonts w:ascii="Times New Roman" w:hAnsi="Times New Roman" w:cs="Times New Roman"/>
          <w:sz w:val="24"/>
        </w:rPr>
        <w:t>). The business model of the company is established on the premise of a portfolio of integrated activities, across the energy value chain, including exploration and production of oil and natural gas, refining, trading, and marketing to a high and increasing focus on low-carbon sources of energy, including power generation, hydrogen, and charging of</w:t>
      </w:r>
      <w:r w:rsidR="00AF6FE4" w:rsidRPr="00223A4E">
        <w:rPr>
          <w:rFonts w:ascii="Times New Roman" w:hAnsi="Times New Roman" w:cs="Times New Roman"/>
          <w:sz w:val="24"/>
        </w:rPr>
        <w:t xml:space="preserve"> electric vehicles (Shell, 2025</w:t>
      </w:r>
      <w:r w:rsidRPr="00223A4E">
        <w:rPr>
          <w:rFonts w:ascii="Times New Roman" w:hAnsi="Times New Roman" w:cs="Times New Roman"/>
          <w:sz w:val="24"/>
        </w:rPr>
        <w:t>). The model is founded upon a core of values, namely, honesty, integrity, and respect toward people, which are the key ingredients of the operation culture at Shell (Shell, 2025</w:t>
      </w:r>
      <w:r w:rsidR="00532463" w:rsidRPr="00223A4E">
        <w:rPr>
          <w:rFonts w:ascii="Times New Roman" w:hAnsi="Times New Roman" w:cs="Times New Roman"/>
          <w:sz w:val="24"/>
          <w:lang w:val="en-US"/>
        </w:rPr>
        <w:t>).</w:t>
      </w:r>
    </w:p>
    <w:p w14:paraId="08E238C0" w14:textId="77777777" w:rsidR="00BD28EC" w:rsidRPr="00223A4E" w:rsidRDefault="00BD28EC" w:rsidP="00BD28EC">
      <w:pPr>
        <w:pStyle w:val="Heading2"/>
        <w:rPr>
          <w:rFonts w:ascii="Times New Roman" w:hAnsi="Times New Roman" w:cs="Times New Roman"/>
        </w:rPr>
      </w:pPr>
      <w:bookmarkStart w:id="3" w:name="_Toc225479800"/>
      <w:r w:rsidRPr="00223A4E">
        <w:rPr>
          <w:rFonts w:ascii="Times New Roman" w:hAnsi="Times New Roman" w:cs="Times New Roman"/>
        </w:rPr>
        <w:t>1.2 Industry and Competitive perspectives</w:t>
      </w:r>
      <w:bookmarkEnd w:id="3"/>
    </w:p>
    <w:p w14:paraId="69A7C948" w14:textId="77777777" w:rsidR="00D3208E" w:rsidRPr="00223A4E" w:rsidRDefault="00AF6FE4" w:rsidP="00532463">
      <w:pPr>
        <w:spacing w:line="360" w:lineRule="auto"/>
        <w:jc w:val="both"/>
        <w:rPr>
          <w:rFonts w:ascii="Times New Roman" w:hAnsi="Times New Roman" w:cs="Times New Roman"/>
          <w:sz w:val="24"/>
          <w:lang w:val="en-US"/>
        </w:rPr>
      </w:pPr>
      <w:r w:rsidRPr="00223A4E">
        <w:rPr>
          <w:rFonts w:ascii="Times New Roman" w:hAnsi="Times New Roman" w:cs="Times New Roman"/>
          <w:sz w:val="24"/>
        </w:rPr>
        <w:t>Shell is a company, which competes intensively in the capital-intensive and competitive international oil, gas, and petrochemical market. It holds a strong position on the market, competing face-to-face with other supermajors like ExxonMobil, BP and Chevron, and national oil companies</w:t>
      </w:r>
      <w:r w:rsidR="004D4166" w:rsidRPr="00223A4E">
        <w:rPr>
          <w:rFonts w:ascii="Times New Roman" w:hAnsi="Times New Roman" w:cs="Times New Roman"/>
          <w:sz w:val="24"/>
        </w:rPr>
        <w:t xml:space="preserve"> like Saudi Aramco (Shell, 2025</w:t>
      </w:r>
      <w:r w:rsidRPr="00223A4E">
        <w:rPr>
          <w:rFonts w:ascii="Times New Roman" w:hAnsi="Times New Roman" w:cs="Times New Roman"/>
          <w:sz w:val="24"/>
        </w:rPr>
        <w:t>). The industry is defined by its sheer magnitude and self-sufficiency across the globe with petrochemicals, one of the main industries of Shell, stimulatin</w:t>
      </w:r>
      <w:r w:rsidR="004D4166" w:rsidRPr="00223A4E">
        <w:rPr>
          <w:rFonts w:ascii="Times New Roman" w:hAnsi="Times New Roman" w:cs="Times New Roman"/>
          <w:sz w:val="24"/>
        </w:rPr>
        <w:t xml:space="preserve">g 14% </w:t>
      </w:r>
      <w:r w:rsidRPr="00223A4E">
        <w:rPr>
          <w:rFonts w:ascii="Times New Roman" w:hAnsi="Times New Roman" w:cs="Times New Roman"/>
          <w:sz w:val="24"/>
        </w:rPr>
        <w:t>of the world oil demand (about 13</w:t>
      </w:r>
      <w:r w:rsidR="004D4166" w:rsidRPr="00223A4E">
        <w:rPr>
          <w:rFonts w:ascii="Times New Roman" w:hAnsi="Times New Roman" w:cs="Times New Roman"/>
          <w:sz w:val="24"/>
        </w:rPr>
        <w:t xml:space="preserve"> million barrels per day) and 8% </w:t>
      </w:r>
      <w:r w:rsidRPr="00223A4E">
        <w:rPr>
          <w:rFonts w:ascii="Times New Roman" w:hAnsi="Times New Roman" w:cs="Times New Roman"/>
          <w:sz w:val="24"/>
        </w:rPr>
        <w:t xml:space="preserve">of natural gas demand (300 billion cubic </w:t>
      </w:r>
      <w:r w:rsidR="004D4166" w:rsidRPr="00223A4E">
        <w:rPr>
          <w:rFonts w:ascii="Times New Roman" w:hAnsi="Times New Roman" w:cs="Times New Roman"/>
          <w:sz w:val="24"/>
        </w:rPr>
        <w:t>metres) in 2017 (IEA, 2018</w:t>
      </w:r>
      <w:r w:rsidRPr="00223A4E">
        <w:rPr>
          <w:rFonts w:ascii="Times New Roman" w:hAnsi="Times New Roman" w:cs="Times New Roman"/>
          <w:sz w:val="24"/>
        </w:rPr>
        <w:t>). The competitive environment is also defined by the appearance of new and inexpensive producers, in particular in the United States and the Middle East, enjoying the availability of na</w:t>
      </w:r>
      <w:r w:rsidR="004D4166" w:rsidRPr="00223A4E">
        <w:rPr>
          <w:rFonts w:ascii="Times New Roman" w:hAnsi="Times New Roman" w:cs="Times New Roman"/>
          <w:sz w:val="24"/>
        </w:rPr>
        <w:t>tural gas liquids (IEA, 2018</w:t>
      </w:r>
      <w:r w:rsidRPr="00223A4E">
        <w:rPr>
          <w:rFonts w:ascii="Times New Roman" w:hAnsi="Times New Roman" w:cs="Times New Roman"/>
          <w:sz w:val="24"/>
        </w:rPr>
        <w:t>). To illustrate, the US shale gas revolution has enabled this nation to gain about 40 percent of the total global capacity of ethane-based petrochemical, posing a strong c</w:t>
      </w:r>
      <w:r w:rsidR="004D4166" w:rsidRPr="00223A4E">
        <w:rPr>
          <w:rFonts w:ascii="Times New Roman" w:hAnsi="Times New Roman" w:cs="Times New Roman"/>
          <w:sz w:val="24"/>
        </w:rPr>
        <w:t>ompetitive threat (IEA, 2018</w:t>
      </w:r>
      <w:r w:rsidRPr="00223A4E">
        <w:rPr>
          <w:rFonts w:ascii="Times New Roman" w:hAnsi="Times New Roman" w:cs="Times New Roman"/>
          <w:sz w:val="24"/>
        </w:rPr>
        <w:t>). In these regards, the market position of Shell is characterised by its integrated business model, its massive global asset base, and its current strategic pivot to fit into the volatile market and the global</w:t>
      </w:r>
      <w:r w:rsidR="004D4166" w:rsidRPr="00223A4E">
        <w:rPr>
          <w:rFonts w:ascii="Times New Roman" w:hAnsi="Times New Roman" w:cs="Times New Roman"/>
          <w:sz w:val="24"/>
        </w:rPr>
        <w:t xml:space="preserve"> energy transition (Shell, 2025</w:t>
      </w:r>
      <w:r w:rsidRPr="00223A4E">
        <w:rPr>
          <w:rFonts w:ascii="Times New Roman" w:hAnsi="Times New Roman" w:cs="Times New Roman"/>
          <w:sz w:val="24"/>
        </w:rPr>
        <w:t>; Shell, 2025). How the company has managed to overcome these challenging external forces such as unstable energy prices and the increasing need to be sustainable, is the key to its survival and prosperity on a long-term basis (Shell, 202</w:t>
      </w:r>
      <w:r w:rsidR="004D4166" w:rsidRPr="00223A4E">
        <w:rPr>
          <w:rFonts w:ascii="Times New Roman" w:hAnsi="Times New Roman" w:cs="Times New Roman"/>
          <w:sz w:val="24"/>
        </w:rPr>
        <w:t>5</w:t>
      </w:r>
      <w:r w:rsidRPr="00223A4E">
        <w:rPr>
          <w:rFonts w:ascii="Times New Roman" w:hAnsi="Times New Roman" w:cs="Times New Roman"/>
          <w:sz w:val="24"/>
        </w:rPr>
        <w:t>; IEA, 2018)</w:t>
      </w:r>
      <w:r w:rsidR="00D20F0C" w:rsidRPr="00223A4E">
        <w:rPr>
          <w:rFonts w:ascii="Times New Roman" w:hAnsi="Times New Roman" w:cs="Times New Roman"/>
          <w:sz w:val="24"/>
        </w:rPr>
        <w:t>.</w:t>
      </w:r>
    </w:p>
    <w:p w14:paraId="64E1BD73" w14:textId="77777777" w:rsidR="00B70D5A" w:rsidRPr="00223A4E" w:rsidRDefault="00B70D5A" w:rsidP="009E37D1">
      <w:pPr>
        <w:pStyle w:val="Heading1"/>
        <w:numPr>
          <w:ilvl w:val="0"/>
          <w:numId w:val="14"/>
        </w:numPr>
        <w:rPr>
          <w:rFonts w:ascii="Times New Roman" w:hAnsi="Times New Roman" w:cs="Times New Roman"/>
          <w:lang w:val="en-US"/>
        </w:rPr>
      </w:pPr>
      <w:bookmarkStart w:id="4" w:name="_Toc225479801"/>
      <w:r w:rsidRPr="00223A4E">
        <w:rPr>
          <w:rFonts w:ascii="Times New Roman" w:hAnsi="Times New Roman" w:cs="Times New Roman"/>
          <w:lang w:val="en-US"/>
        </w:rPr>
        <w:t>External and Internal Environment Analysis</w:t>
      </w:r>
      <w:bookmarkEnd w:id="4"/>
    </w:p>
    <w:p w14:paraId="432DCD01" w14:textId="77777777" w:rsidR="00FA7207" w:rsidRPr="00223A4E" w:rsidRDefault="00B70D5A" w:rsidP="00FA7207">
      <w:pPr>
        <w:pStyle w:val="Heading2"/>
        <w:rPr>
          <w:rFonts w:ascii="Times New Roman" w:hAnsi="Times New Roman" w:cs="Times New Roman"/>
          <w:lang w:val="en-US"/>
        </w:rPr>
      </w:pPr>
      <w:bookmarkStart w:id="5" w:name="_Toc225479802"/>
      <w:r w:rsidRPr="00223A4E">
        <w:rPr>
          <w:rFonts w:ascii="Times New Roman" w:hAnsi="Times New Roman" w:cs="Times New Roman"/>
          <w:lang w:val="en-US"/>
        </w:rPr>
        <w:t>2.1 External Environment Analysis (PESTEL)</w:t>
      </w:r>
      <w:r w:rsidR="00FA7207" w:rsidRPr="00223A4E">
        <w:rPr>
          <w:rFonts w:ascii="Times New Roman" w:hAnsi="Times New Roman" w:cs="Times New Roman"/>
          <w:lang w:val="en-US"/>
        </w:rPr>
        <w:t xml:space="preserve"> </w:t>
      </w:r>
      <w:r w:rsidR="00FA7207" w:rsidRPr="00223A4E">
        <w:rPr>
          <w:rFonts w:ascii="Times New Roman" w:hAnsi="Times New Roman" w:cs="Times New Roman"/>
          <w:sz w:val="24"/>
          <w:lang w:val="en-US"/>
        </w:rPr>
        <w:t>of Shell’s External Environment</w:t>
      </w:r>
      <w:bookmarkEnd w:id="5"/>
    </w:p>
    <w:p w14:paraId="4F1E6C3D" w14:textId="77777777" w:rsidR="00FA7207" w:rsidRPr="00223A4E" w:rsidRDefault="004D4166" w:rsidP="00FA7207">
      <w:pPr>
        <w:spacing w:line="360" w:lineRule="auto"/>
        <w:jc w:val="both"/>
        <w:rPr>
          <w:rFonts w:ascii="Times New Roman" w:hAnsi="Times New Roman" w:cs="Times New Roman"/>
          <w:sz w:val="24"/>
          <w:lang w:val="en-US"/>
        </w:rPr>
      </w:pPr>
      <w:proofErr w:type="gramStart"/>
      <w:r w:rsidRPr="00223A4E">
        <w:rPr>
          <w:rFonts w:ascii="Times New Roman" w:hAnsi="Times New Roman" w:cs="Times New Roman"/>
          <w:sz w:val="24"/>
        </w:rPr>
        <w:t>A</w:t>
      </w:r>
      <w:proofErr w:type="gramEnd"/>
      <w:r w:rsidRPr="00223A4E">
        <w:rPr>
          <w:rFonts w:ascii="Times New Roman" w:hAnsi="Times New Roman" w:cs="Times New Roman"/>
          <w:sz w:val="24"/>
        </w:rPr>
        <w:t xml:space="preserve"> intricate network of external influences has a tremendous influence in the strategic choices at Shell. A PESTEL (Political, Economic, Social, Technological, Environmental, Legal) analysis is an important means to perceive these macro-environmental factors critically</w:t>
      </w:r>
      <w:r w:rsidR="00FA7207" w:rsidRPr="00223A4E">
        <w:rPr>
          <w:rFonts w:ascii="Times New Roman" w:hAnsi="Times New Roman" w:cs="Times New Roman"/>
          <w:sz w:val="24"/>
          <w:lang w:val="en-US"/>
        </w:rPr>
        <w:t>.</w:t>
      </w:r>
    </w:p>
    <w:p w14:paraId="5D2B47EF" w14:textId="77777777" w:rsidR="00777CBD" w:rsidRPr="00223A4E" w:rsidRDefault="00FA7207" w:rsidP="00FA7207">
      <w:pPr>
        <w:spacing w:line="360" w:lineRule="auto"/>
        <w:jc w:val="both"/>
        <w:rPr>
          <w:rFonts w:ascii="Times New Roman" w:hAnsi="Times New Roman" w:cs="Times New Roman"/>
          <w:sz w:val="24"/>
        </w:rPr>
      </w:pPr>
      <w:r w:rsidRPr="00223A4E">
        <w:rPr>
          <w:rFonts w:ascii="Times New Roman" w:hAnsi="Times New Roman" w:cs="Times New Roman"/>
          <w:b/>
          <w:bCs/>
          <w:sz w:val="24"/>
          <w:lang w:val="en-US"/>
        </w:rPr>
        <w:t>Political factors</w:t>
      </w:r>
      <w:r w:rsidRPr="00223A4E">
        <w:rPr>
          <w:rFonts w:ascii="Times New Roman" w:hAnsi="Times New Roman" w:cs="Times New Roman"/>
          <w:sz w:val="24"/>
          <w:lang w:val="en-US"/>
        </w:rPr>
        <w:t xml:space="preserve"> present both strategic opportunities and significant risks. </w:t>
      </w:r>
      <w:r w:rsidR="004D4166" w:rsidRPr="00223A4E">
        <w:rPr>
          <w:rFonts w:ascii="Times New Roman" w:hAnsi="Times New Roman" w:cs="Times New Roman"/>
          <w:sz w:val="24"/>
        </w:rPr>
        <w:t xml:space="preserve">Shell is active in more than 70 countries and, therefore, it is vulnerable to any form of geopolitical turmoil, such as regional conflicts, including the Russia-Ukraine war and the Middle East conflict, which can interfere with supply chains, causing </w:t>
      </w:r>
      <w:r w:rsidR="008638C6" w:rsidRPr="00223A4E">
        <w:rPr>
          <w:rFonts w:ascii="Times New Roman" w:hAnsi="Times New Roman" w:cs="Times New Roman"/>
          <w:sz w:val="24"/>
        </w:rPr>
        <w:t>market instability (Shell, 2025</w:t>
      </w:r>
      <w:r w:rsidR="004D4166" w:rsidRPr="00223A4E">
        <w:rPr>
          <w:rFonts w:ascii="Times New Roman" w:hAnsi="Times New Roman" w:cs="Times New Roman"/>
          <w:sz w:val="24"/>
        </w:rPr>
        <w:t>). The policies of the governments regarding the energy and taxation, as well as sanctions on the international level, directly influence the project viability and the</w:t>
      </w:r>
      <w:r w:rsidR="008638C6" w:rsidRPr="00223A4E">
        <w:rPr>
          <w:rFonts w:ascii="Times New Roman" w:hAnsi="Times New Roman" w:cs="Times New Roman"/>
          <w:sz w:val="24"/>
        </w:rPr>
        <w:t xml:space="preserve"> cost of operation (Shell, 2025</w:t>
      </w:r>
      <w:r w:rsidR="004D4166" w:rsidRPr="00223A4E">
        <w:rPr>
          <w:rFonts w:ascii="Times New Roman" w:hAnsi="Times New Roman" w:cs="Times New Roman"/>
          <w:sz w:val="24"/>
        </w:rPr>
        <w:t xml:space="preserve">). An example to illustrate this point is that Shell paid a total of 17 billion in taxes to governments in 2025, which highlights that the company is highly financially dependent on government funds (Shell, 2025). </w:t>
      </w:r>
    </w:p>
    <w:p w14:paraId="60738B9E" w14:textId="77777777" w:rsidR="00777CBD" w:rsidRPr="00223A4E" w:rsidRDefault="00FA7207" w:rsidP="00FA7207">
      <w:pPr>
        <w:spacing w:line="360" w:lineRule="auto"/>
        <w:jc w:val="both"/>
        <w:rPr>
          <w:rFonts w:ascii="Times New Roman" w:hAnsi="Times New Roman" w:cs="Times New Roman"/>
          <w:sz w:val="24"/>
        </w:rPr>
      </w:pPr>
      <w:r w:rsidRPr="00223A4E">
        <w:rPr>
          <w:rFonts w:ascii="Times New Roman" w:hAnsi="Times New Roman" w:cs="Times New Roman"/>
          <w:b/>
          <w:bCs/>
          <w:sz w:val="24"/>
          <w:lang w:val="en-US"/>
        </w:rPr>
        <w:t>Economic factors</w:t>
      </w:r>
      <w:r w:rsidRPr="00223A4E">
        <w:rPr>
          <w:rFonts w:ascii="Times New Roman" w:hAnsi="Times New Roman" w:cs="Times New Roman"/>
          <w:sz w:val="24"/>
          <w:lang w:val="en-US"/>
        </w:rPr>
        <w:t xml:space="preserve"> are arguably the most immediate driver of Shell’s strategy. </w:t>
      </w:r>
      <w:r w:rsidR="004D4166" w:rsidRPr="00223A4E">
        <w:rPr>
          <w:rFonts w:ascii="Times New Roman" w:hAnsi="Times New Roman" w:cs="Times New Roman"/>
          <w:sz w:val="24"/>
        </w:rPr>
        <w:t>Price changes in crude oil and natural gas are extremely sensitive to the company in terms of reve</w:t>
      </w:r>
      <w:r w:rsidR="008638C6" w:rsidRPr="00223A4E">
        <w:rPr>
          <w:rFonts w:ascii="Times New Roman" w:hAnsi="Times New Roman" w:cs="Times New Roman"/>
          <w:sz w:val="24"/>
        </w:rPr>
        <w:t>nues and cash flow (Shell, 2025</w:t>
      </w:r>
      <w:r w:rsidR="004D4166" w:rsidRPr="00223A4E">
        <w:rPr>
          <w:rFonts w:ascii="Times New Roman" w:hAnsi="Times New Roman" w:cs="Times New Roman"/>
          <w:sz w:val="24"/>
        </w:rPr>
        <w:t>). Shell produced 42.9 billion in cash flow, which is its operations and reflects the magnitude of its financial activities in 2025, but this is liable to</w:t>
      </w:r>
      <w:r w:rsidR="008638C6" w:rsidRPr="00223A4E">
        <w:rPr>
          <w:rFonts w:ascii="Times New Roman" w:hAnsi="Times New Roman" w:cs="Times New Roman"/>
          <w:sz w:val="24"/>
        </w:rPr>
        <w:t xml:space="preserve"> market volatility (Shell, 2025</w:t>
      </w:r>
      <w:r w:rsidR="004D4166" w:rsidRPr="00223A4E">
        <w:rPr>
          <w:rFonts w:ascii="Times New Roman" w:hAnsi="Times New Roman" w:cs="Times New Roman"/>
          <w:sz w:val="24"/>
        </w:rPr>
        <w:t>). The exchange rates between currencies are also a major threat to its profitability in the various location</w:t>
      </w:r>
      <w:r w:rsidR="008638C6" w:rsidRPr="00223A4E">
        <w:rPr>
          <w:rFonts w:ascii="Times New Roman" w:hAnsi="Times New Roman" w:cs="Times New Roman"/>
          <w:sz w:val="24"/>
        </w:rPr>
        <w:t>s around the world (Shell, 2025</w:t>
      </w:r>
      <w:r w:rsidR="004D4166" w:rsidRPr="00223A4E">
        <w:rPr>
          <w:rFonts w:ascii="Times New Roman" w:hAnsi="Times New Roman" w:cs="Times New Roman"/>
          <w:sz w:val="24"/>
        </w:rPr>
        <w:t>). At the same time, the strong growth potential of the chemical products, inspired by the rising global needs in the plastics and fertilisers, opens opportunities to the downstream and petrochemical enterprises</w:t>
      </w:r>
      <w:r w:rsidR="008638C6" w:rsidRPr="00223A4E">
        <w:rPr>
          <w:rFonts w:ascii="Times New Roman" w:hAnsi="Times New Roman" w:cs="Times New Roman"/>
          <w:sz w:val="24"/>
        </w:rPr>
        <w:t xml:space="preserve"> of Shell (IEA, 2018</w:t>
      </w:r>
      <w:r w:rsidR="004D4166" w:rsidRPr="00223A4E">
        <w:rPr>
          <w:rFonts w:ascii="Times New Roman" w:hAnsi="Times New Roman" w:cs="Times New Roman"/>
          <w:sz w:val="24"/>
        </w:rPr>
        <w:t xml:space="preserve">). </w:t>
      </w:r>
    </w:p>
    <w:p w14:paraId="4BC00689" w14:textId="77777777" w:rsidR="00777CBD" w:rsidRPr="00223A4E" w:rsidRDefault="00FA7207" w:rsidP="00FA7207">
      <w:pPr>
        <w:spacing w:line="360" w:lineRule="auto"/>
        <w:jc w:val="both"/>
        <w:rPr>
          <w:rFonts w:ascii="Times New Roman" w:hAnsi="Times New Roman" w:cs="Times New Roman"/>
          <w:sz w:val="24"/>
        </w:rPr>
      </w:pPr>
      <w:r w:rsidRPr="00223A4E">
        <w:rPr>
          <w:rFonts w:ascii="Times New Roman" w:hAnsi="Times New Roman" w:cs="Times New Roman"/>
          <w:b/>
          <w:bCs/>
          <w:sz w:val="24"/>
          <w:lang w:val="en-US"/>
        </w:rPr>
        <w:t>Social factors</w:t>
      </w:r>
      <w:r w:rsidRPr="00223A4E">
        <w:rPr>
          <w:rFonts w:ascii="Times New Roman" w:hAnsi="Times New Roman" w:cs="Times New Roman"/>
          <w:sz w:val="24"/>
          <w:lang w:val="en-US"/>
        </w:rPr>
        <w:t xml:space="preserve"> are reshaping the competitive landscape. </w:t>
      </w:r>
      <w:r w:rsidR="004D4166" w:rsidRPr="00223A4E">
        <w:rPr>
          <w:rFonts w:ascii="Times New Roman" w:hAnsi="Times New Roman" w:cs="Times New Roman"/>
          <w:sz w:val="24"/>
        </w:rPr>
        <w:t>Society and consumers are increasingly pressurising companies to use cleaner energy and be more responsible</w:t>
      </w:r>
      <w:r w:rsidR="008638C6" w:rsidRPr="00223A4E">
        <w:rPr>
          <w:rFonts w:ascii="Times New Roman" w:hAnsi="Times New Roman" w:cs="Times New Roman"/>
          <w:sz w:val="24"/>
        </w:rPr>
        <w:t xml:space="preserve"> to climate change (Shell, 2025</w:t>
      </w:r>
      <w:r w:rsidR="004D4166" w:rsidRPr="00223A4E">
        <w:rPr>
          <w:rFonts w:ascii="Times New Roman" w:hAnsi="Times New Roman" w:cs="Times New Roman"/>
          <w:sz w:val="24"/>
        </w:rPr>
        <w:t>). This is seen in the changing consumer behaviour, where the demand of electric cars has significantly increased, and Shell is addressing it by increasing its presence in the 88,000 pu</w:t>
      </w:r>
      <w:r w:rsidR="008638C6" w:rsidRPr="00223A4E">
        <w:rPr>
          <w:rFonts w:ascii="Times New Roman" w:hAnsi="Times New Roman" w:cs="Times New Roman"/>
          <w:sz w:val="24"/>
        </w:rPr>
        <w:t>blic charge points (Shell, 2025</w:t>
      </w:r>
      <w:r w:rsidR="004D4166" w:rsidRPr="00223A4E">
        <w:rPr>
          <w:rFonts w:ascii="Times New Roman" w:hAnsi="Times New Roman" w:cs="Times New Roman"/>
          <w:sz w:val="24"/>
        </w:rPr>
        <w:t xml:space="preserve">). Moreover, people are becoming more aware of environmental and health consequences of petrochemical products as people worry that plastics are full of chemicals that cause health issues, such as cancer and infertility (Zero Carbon Analytics, 2024). </w:t>
      </w:r>
    </w:p>
    <w:p w14:paraId="20C7A351" w14:textId="77777777" w:rsidR="00FA7207" w:rsidRPr="00223A4E" w:rsidRDefault="00FA7207" w:rsidP="00FA7207">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Technological factors</w:t>
      </w:r>
      <w:r w:rsidRPr="00223A4E">
        <w:rPr>
          <w:rFonts w:ascii="Times New Roman" w:hAnsi="Times New Roman" w:cs="Times New Roman"/>
          <w:sz w:val="24"/>
          <w:lang w:val="en-US"/>
        </w:rPr>
        <w:t> are central to Shell’s strategy of delivering more value w</w:t>
      </w:r>
      <w:r w:rsidR="008638C6" w:rsidRPr="00223A4E">
        <w:rPr>
          <w:rFonts w:ascii="Times New Roman" w:hAnsi="Times New Roman" w:cs="Times New Roman"/>
          <w:sz w:val="24"/>
          <w:lang w:val="en-US"/>
        </w:rPr>
        <w:t>ith less emission</w:t>
      </w:r>
      <w:r w:rsidR="004D4166" w:rsidRPr="00223A4E">
        <w:rPr>
          <w:rFonts w:ascii="Times New Roman" w:hAnsi="Times New Roman" w:cs="Times New Roman"/>
          <w:sz w:val="24"/>
          <w:lang w:val="en-US"/>
        </w:rPr>
        <w:t xml:space="preserve"> (Shell, 2025</w:t>
      </w:r>
      <w:r w:rsidRPr="00223A4E">
        <w:rPr>
          <w:rFonts w:ascii="Times New Roman" w:hAnsi="Times New Roman" w:cs="Times New Roman"/>
          <w:sz w:val="24"/>
          <w:lang w:val="en-US"/>
        </w:rPr>
        <w:t xml:space="preserve">). </w:t>
      </w:r>
      <w:r w:rsidR="004D4166" w:rsidRPr="00223A4E">
        <w:rPr>
          <w:rFonts w:ascii="Times New Roman" w:hAnsi="Times New Roman" w:cs="Times New Roman"/>
          <w:sz w:val="24"/>
        </w:rPr>
        <w:t>In 2025, the company spent 1.2 billion on research and development, and the amount spent on decarbonisation initiatives was 485 million (Shell, 2025). The technological progress in the carbon capture, utilisation and storage (CCUS) is also essential, with the chemical industry rated as offering some of the most profitable use cases of the technology (IEA, 2018). The growth of alternative feedstocks (biomass or pathways to create chemicals with electricity) is a more distant technological horizon that has the potential to transform the industry (IEA, 2018)</w:t>
      </w:r>
      <w:r w:rsidRPr="00223A4E">
        <w:rPr>
          <w:rFonts w:ascii="Times New Roman" w:hAnsi="Times New Roman" w:cs="Times New Roman"/>
          <w:sz w:val="24"/>
          <w:lang w:val="en-US"/>
        </w:rPr>
        <w:t>.</w:t>
      </w:r>
    </w:p>
    <w:p w14:paraId="25D12355" w14:textId="77777777" w:rsidR="00777CBD" w:rsidRPr="00223A4E" w:rsidRDefault="00FA7207" w:rsidP="00FA7207">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Environmental factors</w:t>
      </w:r>
      <w:r w:rsidRPr="00223A4E">
        <w:rPr>
          <w:rFonts w:ascii="Times New Roman" w:hAnsi="Times New Roman" w:cs="Times New Roman"/>
          <w:sz w:val="24"/>
          <w:lang w:val="en-US"/>
        </w:rPr>
        <w:t xml:space="preserve"> are perhaps the most pervasive strategic challenge. </w:t>
      </w:r>
      <w:r w:rsidR="00B264AD" w:rsidRPr="00223A4E">
        <w:rPr>
          <w:rFonts w:ascii="Times New Roman" w:hAnsi="Times New Roman" w:cs="Times New Roman"/>
          <w:sz w:val="24"/>
        </w:rPr>
        <w:t>The world petrochemical sector is a major contributor to the volume of greenhouse gas emissions, with chemical and petrochemical industry contributin</w:t>
      </w:r>
      <w:r w:rsidR="008638C6" w:rsidRPr="00223A4E">
        <w:rPr>
          <w:rFonts w:ascii="Times New Roman" w:hAnsi="Times New Roman" w:cs="Times New Roman"/>
          <w:sz w:val="24"/>
        </w:rPr>
        <w:t>g approximately 1.5 GtCO</w:t>
      </w:r>
      <w:r w:rsidR="008638C6" w:rsidRPr="00223A4E">
        <w:rPr>
          <w:rFonts w:ascii="Times New Roman" w:hAnsi="Times New Roman" w:cs="Times New Roman"/>
          <w:sz w:val="24"/>
          <w:vertAlign w:val="subscript"/>
        </w:rPr>
        <w:t>2</w:t>
      </w:r>
      <w:r w:rsidR="008638C6" w:rsidRPr="00223A4E">
        <w:rPr>
          <w:rFonts w:ascii="Times New Roman" w:hAnsi="Times New Roman" w:cs="Times New Roman"/>
          <w:sz w:val="24"/>
        </w:rPr>
        <w:t xml:space="preserve">, or 5% </w:t>
      </w:r>
      <w:r w:rsidR="00B264AD" w:rsidRPr="00223A4E">
        <w:rPr>
          <w:rFonts w:ascii="Times New Roman" w:hAnsi="Times New Roman" w:cs="Times New Roman"/>
          <w:sz w:val="24"/>
        </w:rPr>
        <w:t>of the total CO</w:t>
      </w:r>
      <w:r w:rsidR="00B264AD" w:rsidRPr="00223A4E">
        <w:rPr>
          <w:rFonts w:ascii="Times New Roman" w:hAnsi="Times New Roman" w:cs="Times New Roman"/>
          <w:sz w:val="24"/>
          <w:vertAlign w:val="subscript"/>
        </w:rPr>
        <w:t>2</w:t>
      </w:r>
      <w:r w:rsidR="00B264AD" w:rsidRPr="00223A4E">
        <w:rPr>
          <w:rFonts w:ascii="Times New Roman" w:hAnsi="Times New Roman" w:cs="Times New Roman"/>
          <w:sz w:val="24"/>
        </w:rPr>
        <w:t xml:space="preserve"> emissions associated with combustion (IEA, 2018, p. 12). There is enormous pressure on Shell to decarbonise its operations and the goods it sells, and it has been announced that it will reduce its </w:t>
      </w:r>
      <w:r w:rsidR="00B264AD" w:rsidRPr="00223A4E">
        <w:rPr>
          <w:rFonts w:ascii="Times New Roman" w:hAnsi="Times New Roman" w:cs="Times New Roman"/>
          <w:b/>
          <w:sz w:val="24"/>
        </w:rPr>
        <w:t>Scope 1 and 2 emissions</w:t>
      </w:r>
      <w:r w:rsidR="00B264AD" w:rsidRPr="00223A4E">
        <w:rPr>
          <w:rFonts w:ascii="Times New Roman" w:hAnsi="Times New Roman" w:cs="Times New Roman"/>
          <w:sz w:val="24"/>
        </w:rPr>
        <w:t xml:space="preserve"> by half by 2030</w:t>
      </w:r>
      <w:r w:rsidRPr="00223A4E">
        <w:rPr>
          <w:rFonts w:ascii="Times New Roman" w:hAnsi="Times New Roman" w:cs="Times New Roman"/>
          <w:sz w:val="24"/>
          <w:lang w:val="en-US"/>
        </w:rPr>
        <w:t>, against which it has already ach</w:t>
      </w:r>
      <w:r w:rsidR="008638C6" w:rsidRPr="00223A4E">
        <w:rPr>
          <w:rFonts w:ascii="Times New Roman" w:hAnsi="Times New Roman" w:cs="Times New Roman"/>
          <w:sz w:val="24"/>
          <w:lang w:val="en-US"/>
        </w:rPr>
        <w:t>ieved 73% progress (Shell, 2025</w:t>
      </w:r>
      <w:r w:rsidRPr="00223A4E">
        <w:rPr>
          <w:rFonts w:ascii="Times New Roman" w:hAnsi="Times New Roman" w:cs="Times New Roman"/>
          <w:sz w:val="24"/>
          <w:lang w:val="en-US"/>
        </w:rPr>
        <w:t xml:space="preserve">). </w:t>
      </w:r>
    </w:p>
    <w:p w14:paraId="6345439A" w14:textId="77777777" w:rsidR="00FA7207" w:rsidRPr="00223A4E" w:rsidRDefault="0015204A" w:rsidP="00FA7207">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Legal factor</w:t>
      </w:r>
      <w:r w:rsidR="00FA7207" w:rsidRPr="00223A4E">
        <w:rPr>
          <w:rFonts w:ascii="Times New Roman" w:hAnsi="Times New Roman" w:cs="Times New Roman"/>
          <w:sz w:val="24"/>
          <w:lang w:val="en-US"/>
        </w:rPr>
        <w:t xml:space="preserve"> </w:t>
      </w:r>
      <w:r w:rsidR="00B46246" w:rsidRPr="00223A4E">
        <w:rPr>
          <w:rFonts w:ascii="Times New Roman" w:hAnsi="Times New Roman" w:cs="Times New Roman"/>
          <w:sz w:val="24"/>
        </w:rPr>
        <w:t>include change in the regulatory environment, especially in regards to the climate change, which poses a material threat in the business model of Shell (Shell, 2025b; Shell, 2025). The high environmental standards, including the restriction of methane emissions, are already taking its toll; the intensity of the methane emission per operating assets of Shell is a low 0.04, far below its planned mark of less than 0.2 (Shell, 2025). The company will also need to operate within the complicated legislations of taxation, employment, health and safety, anti-corruption in the areas of its presence and operation, and adhere to its own General Business Principles, as well as legislation of countries it operates in (Shell, 2025).</w:t>
      </w:r>
    </w:p>
    <w:p w14:paraId="733F4EF9" w14:textId="77777777" w:rsidR="00FA7207" w:rsidRPr="00223A4E" w:rsidRDefault="00F43A9B" w:rsidP="00F43A9B">
      <w:pPr>
        <w:pStyle w:val="Heading2"/>
        <w:rPr>
          <w:rFonts w:ascii="Times New Roman" w:hAnsi="Times New Roman" w:cs="Times New Roman"/>
          <w:lang w:val="en-US"/>
        </w:rPr>
      </w:pPr>
      <w:bookmarkStart w:id="6" w:name="_Toc225479803"/>
      <w:r w:rsidRPr="00223A4E">
        <w:rPr>
          <w:rFonts w:ascii="Times New Roman" w:hAnsi="Times New Roman" w:cs="Times New Roman"/>
          <w:lang w:val="en-US"/>
        </w:rPr>
        <w:t>2.2</w:t>
      </w:r>
      <w:r w:rsidR="00FA7207" w:rsidRPr="00223A4E">
        <w:rPr>
          <w:rFonts w:ascii="Times New Roman" w:hAnsi="Times New Roman" w:cs="Times New Roman"/>
          <w:lang w:val="en-US"/>
        </w:rPr>
        <w:t xml:space="preserve"> Critical Success Factors and Strategic Challenges</w:t>
      </w:r>
      <w:bookmarkEnd w:id="6"/>
    </w:p>
    <w:p w14:paraId="5EC5931A" w14:textId="77777777" w:rsidR="00D85684" w:rsidRPr="00223A4E" w:rsidRDefault="00D85684" w:rsidP="00FA7207">
      <w:pPr>
        <w:spacing w:line="360" w:lineRule="auto"/>
        <w:jc w:val="both"/>
        <w:rPr>
          <w:rFonts w:ascii="Times New Roman" w:hAnsi="Times New Roman" w:cs="Times New Roman"/>
          <w:sz w:val="24"/>
        </w:rPr>
      </w:pPr>
      <w:r w:rsidRPr="00223A4E">
        <w:rPr>
          <w:rFonts w:ascii="Times New Roman" w:hAnsi="Times New Roman" w:cs="Times New Roman"/>
          <w:sz w:val="24"/>
        </w:rPr>
        <w:t>Within such a turbulent external environment, the critical success factors of Shell include that it has the capability of being operationally and financially resilient despite volatile commodity prices, it can implement its energy transition strategy effectively so as to achieve its decarbonisation targets and it can use its scale and integration to deal with political an</w:t>
      </w:r>
      <w:r w:rsidR="008638C6" w:rsidRPr="00223A4E">
        <w:rPr>
          <w:rFonts w:ascii="Times New Roman" w:hAnsi="Times New Roman" w:cs="Times New Roman"/>
          <w:sz w:val="24"/>
        </w:rPr>
        <w:t>d regulatory risks (Shell</w:t>
      </w:r>
      <w:r w:rsidRPr="00223A4E">
        <w:rPr>
          <w:rFonts w:ascii="Times New Roman" w:hAnsi="Times New Roman" w:cs="Times New Roman"/>
          <w:sz w:val="24"/>
        </w:rPr>
        <w:t xml:space="preserve">, 2025). </w:t>
      </w:r>
    </w:p>
    <w:p w14:paraId="5CA934D2" w14:textId="77777777" w:rsidR="00FA7207" w:rsidRPr="00223A4E" w:rsidRDefault="00D85684" w:rsidP="00FA7207">
      <w:pPr>
        <w:spacing w:line="360" w:lineRule="auto"/>
        <w:jc w:val="both"/>
        <w:rPr>
          <w:rFonts w:ascii="Times New Roman" w:hAnsi="Times New Roman" w:cs="Times New Roman"/>
          <w:sz w:val="24"/>
          <w:lang w:val="en-US"/>
        </w:rPr>
      </w:pPr>
      <w:r w:rsidRPr="00223A4E">
        <w:rPr>
          <w:rFonts w:ascii="Times New Roman" w:hAnsi="Times New Roman" w:cs="Times New Roman"/>
          <w:sz w:val="24"/>
        </w:rPr>
        <w:t>The strategic issues are complex. The main issue is how to deal with the pace of the energy transition itself, as it has to provide returns on its current asset of oil and gas, at the same time investing in new low-carbon energy companies (Shell, 2025). The second big issue is to overcome geopolitical instability that can destabilise operations and supply chains (Shell, 2025b). Also, the company is experiencing a high intensity of competition in the industry, especially with low-cost feedstock producers in th</w:t>
      </w:r>
      <w:r w:rsidR="008638C6" w:rsidRPr="00223A4E">
        <w:rPr>
          <w:rFonts w:ascii="Times New Roman" w:hAnsi="Times New Roman" w:cs="Times New Roman"/>
          <w:sz w:val="24"/>
        </w:rPr>
        <w:t>e US and Middle East (IEA, 2018</w:t>
      </w:r>
      <w:r w:rsidRPr="00223A4E">
        <w:rPr>
          <w:rFonts w:ascii="Times New Roman" w:hAnsi="Times New Roman" w:cs="Times New Roman"/>
          <w:sz w:val="24"/>
        </w:rPr>
        <w:t>). Lastly, Shell will have to deal with an increasing environmental and social trail of petrochemical products and especially plastics, and play a role in the solutions of a circular economy, rather than a linear take-make-dispose approach (Zero Carb</w:t>
      </w:r>
      <w:r w:rsidR="008638C6" w:rsidRPr="00223A4E">
        <w:rPr>
          <w:rFonts w:ascii="Times New Roman" w:hAnsi="Times New Roman" w:cs="Times New Roman"/>
          <w:sz w:val="24"/>
        </w:rPr>
        <w:t>on Analytics, 2024; Shell, 2025</w:t>
      </w:r>
      <w:r w:rsidRPr="00223A4E">
        <w:rPr>
          <w:rFonts w:ascii="Times New Roman" w:hAnsi="Times New Roman" w:cs="Times New Roman"/>
          <w:sz w:val="24"/>
        </w:rPr>
        <w:t>)</w:t>
      </w:r>
      <w:r w:rsidR="00FA7207" w:rsidRPr="00223A4E">
        <w:rPr>
          <w:rFonts w:ascii="Times New Roman" w:hAnsi="Times New Roman" w:cs="Times New Roman"/>
          <w:sz w:val="24"/>
          <w:lang w:val="en-US"/>
        </w:rPr>
        <w:t>.</w:t>
      </w:r>
    </w:p>
    <w:p w14:paraId="625C371A" w14:textId="77777777" w:rsidR="00FA7207" w:rsidRPr="00223A4E" w:rsidRDefault="00F43A9B" w:rsidP="00F43A9B">
      <w:pPr>
        <w:pStyle w:val="Heading2"/>
        <w:rPr>
          <w:rFonts w:ascii="Times New Roman" w:hAnsi="Times New Roman" w:cs="Times New Roman"/>
          <w:lang w:val="en-US"/>
        </w:rPr>
      </w:pPr>
      <w:bookmarkStart w:id="7" w:name="_Toc225479804"/>
      <w:r w:rsidRPr="00223A4E">
        <w:rPr>
          <w:rFonts w:ascii="Times New Roman" w:hAnsi="Times New Roman" w:cs="Times New Roman"/>
          <w:lang w:val="en-US"/>
        </w:rPr>
        <w:t xml:space="preserve">2.3 </w:t>
      </w:r>
      <w:r w:rsidR="00FA7207" w:rsidRPr="00223A4E">
        <w:rPr>
          <w:rFonts w:ascii="Times New Roman" w:hAnsi="Times New Roman" w:cs="Times New Roman"/>
          <w:lang w:val="en-US"/>
        </w:rPr>
        <w:t>Analysis of Shell’s Internal Environment</w:t>
      </w:r>
      <w:bookmarkEnd w:id="7"/>
    </w:p>
    <w:p w14:paraId="06BABFFC" w14:textId="77777777" w:rsidR="00D85684" w:rsidRPr="00223A4E" w:rsidRDefault="00D85684" w:rsidP="00FA7207">
      <w:pPr>
        <w:spacing w:line="360" w:lineRule="auto"/>
        <w:jc w:val="both"/>
        <w:rPr>
          <w:rFonts w:ascii="Times New Roman" w:hAnsi="Times New Roman" w:cs="Times New Roman"/>
          <w:sz w:val="24"/>
        </w:rPr>
      </w:pPr>
      <w:r w:rsidRPr="00223A4E">
        <w:rPr>
          <w:rFonts w:ascii="Times New Roman" w:hAnsi="Times New Roman" w:cs="Times New Roman"/>
          <w:sz w:val="24"/>
        </w:rPr>
        <w:t>The internal environment of Shell is dominated by a number of powerful resources and capabilities. The most significant of its resources are its huge global asset base which is demonstrated through its production of 2.8 million barrels of oil equivalent per day and its trading of more than 8 million barrels of crude oil daily (Shell, 2025). It has enormous financial capabilities, having cash flow of operations amounting to $42.9 billion to keep investing and share it out among shareholders amounting to $22.4 billion (Shell, 2025). The human resources of the company are upheld through the culture that is anchored on the main values of honesty, integrity, and res</w:t>
      </w:r>
      <w:r w:rsidR="008638C6" w:rsidRPr="00223A4E">
        <w:rPr>
          <w:rFonts w:ascii="Times New Roman" w:hAnsi="Times New Roman" w:cs="Times New Roman"/>
          <w:sz w:val="24"/>
        </w:rPr>
        <w:t>pect (Shell, 2025</w:t>
      </w:r>
      <w:r w:rsidRPr="00223A4E">
        <w:rPr>
          <w:rFonts w:ascii="Times New Roman" w:hAnsi="Times New Roman" w:cs="Times New Roman"/>
          <w:sz w:val="24"/>
        </w:rPr>
        <w:t>).</w:t>
      </w:r>
    </w:p>
    <w:p w14:paraId="4563CA5D" w14:textId="77777777" w:rsidR="00FA7207" w:rsidRPr="00223A4E" w:rsidRDefault="00FA7207" w:rsidP="00FA7207">
      <w:pPr>
        <w:spacing w:line="360" w:lineRule="auto"/>
        <w:jc w:val="both"/>
        <w:rPr>
          <w:rFonts w:ascii="Times New Roman" w:hAnsi="Times New Roman" w:cs="Times New Roman"/>
          <w:sz w:val="24"/>
          <w:lang w:val="en-US"/>
        </w:rPr>
      </w:pPr>
      <w:r w:rsidRPr="00223A4E">
        <w:rPr>
          <w:rFonts w:ascii="Times New Roman" w:hAnsi="Times New Roman" w:cs="Times New Roman"/>
          <w:sz w:val="24"/>
          <w:lang w:val="en-US"/>
        </w:rPr>
        <w:t xml:space="preserve">The firm’s capabilities lie in </w:t>
      </w:r>
      <w:r w:rsidR="00D85684" w:rsidRPr="00223A4E">
        <w:rPr>
          <w:rFonts w:ascii="Times New Roman" w:hAnsi="Times New Roman" w:cs="Times New Roman"/>
          <w:sz w:val="24"/>
        </w:rPr>
        <w:t>its integrated business model covering upstream production, LNG, trading, and downstream marketing that enables it to create value at e</w:t>
      </w:r>
      <w:r w:rsidR="00777CBD" w:rsidRPr="00223A4E">
        <w:rPr>
          <w:rFonts w:ascii="Times New Roman" w:hAnsi="Times New Roman" w:cs="Times New Roman"/>
          <w:sz w:val="24"/>
        </w:rPr>
        <w:t>ach stage of the energy chain (</w:t>
      </w:r>
      <w:r w:rsidR="008638C6" w:rsidRPr="00223A4E">
        <w:rPr>
          <w:rFonts w:ascii="Times New Roman" w:hAnsi="Times New Roman" w:cs="Times New Roman"/>
          <w:sz w:val="24"/>
        </w:rPr>
        <w:t>Shell, 2025</w:t>
      </w:r>
      <w:r w:rsidR="00D85684" w:rsidRPr="00223A4E">
        <w:rPr>
          <w:rFonts w:ascii="Times New Roman" w:hAnsi="Times New Roman" w:cs="Times New Roman"/>
          <w:sz w:val="24"/>
        </w:rPr>
        <w:t>). One of the fundamental core competencies of Shell is its technological power, evidenced by the R&amp;D expenditure of 1.2 billion dollars and the leadership in such projects as the mass</w:t>
      </w:r>
      <w:r w:rsidR="008638C6" w:rsidRPr="00223A4E">
        <w:rPr>
          <w:rFonts w:ascii="Times New Roman" w:hAnsi="Times New Roman" w:cs="Times New Roman"/>
          <w:sz w:val="24"/>
        </w:rPr>
        <w:t>ive LNG or the carbon capture (</w:t>
      </w:r>
      <w:r w:rsidR="00D85684" w:rsidRPr="00223A4E">
        <w:rPr>
          <w:rFonts w:ascii="Times New Roman" w:hAnsi="Times New Roman" w:cs="Times New Roman"/>
          <w:sz w:val="24"/>
        </w:rPr>
        <w:t>Shell, 2025). Another major strength is its ability to handle the large-scale, complicated projects worldwide, without compromising the safety and operating stand</w:t>
      </w:r>
      <w:r w:rsidR="008638C6" w:rsidRPr="00223A4E">
        <w:rPr>
          <w:rFonts w:ascii="Times New Roman" w:hAnsi="Times New Roman" w:cs="Times New Roman"/>
          <w:sz w:val="24"/>
        </w:rPr>
        <w:t>ards (Shell, 2025</w:t>
      </w:r>
      <w:r w:rsidR="00D85684" w:rsidRPr="00223A4E">
        <w:rPr>
          <w:rFonts w:ascii="Times New Roman" w:hAnsi="Times New Roman" w:cs="Times New Roman"/>
          <w:sz w:val="24"/>
        </w:rPr>
        <w:t>).</w:t>
      </w:r>
    </w:p>
    <w:p w14:paraId="205724E2" w14:textId="77777777" w:rsidR="00FA7207" w:rsidRPr="00223A4E" w:rsidRDefault="00F43A9B" w:rsidP="00F43A9B">
      <w:pPr>
        <w:pStyle w:val="Heading2"/>
        <w:rPr>
          <w:rFonts w:ascii="Times New Roman" w:hAnsi="Times New Roman" w:cs="Times New Roman"/>
          <w:lang w:val="en-US"/>
        </w:rPr>
      </w:pPr>
      <w:bookmarkStart w:id="8" w:name="_Toc225479805"/>
      <w:r w:rsidRPr="00223A4E">
        <w:rPr>
          <w:rFonts w:ascii="Times New Roman" w:hAnsi="Times New Roman" w:cs="Times New Roman"/>
          <w:lang w:val="en-US"/>
        </w:rPr>
        <w:t>2.4</w:t>
      </w:r>
      <w:r w:rsidR="00FA7207" w:rsidRPr="00223A4E">
        <w:rPr>
          <w:rFonts w:ascii="Times New Roman" w:hAnsi="Times New Roman" w:cs="Times New Roman"/>
          <w:lang w:val="en-US"/>
        </w:rPr>
        <w:t xml:space="preserve"> VRIO Framework Analysis</w:t>
      </w:r>
      <w:bookmarkEnd w:id="8"/>
    </w:p>
    <w:p w14:paraId="4A2EB670" w14:textId="77777777" w:rsidR="00FA7207" w:rsidRPr="00223A4E" w:rsidRDefault="00FA7207" w:rsidP="00FA7207">
      <w:pPr>
        <w:spacing w:line="360" w:lineRule="auto"/>
        <w:jc w:val="both"/>
        <w:rPr>
          <w:rFonts w:ascii="Times New Roman" w:hAnsi="Times New Roman" w:cs="Times New Roman"/>
          <w:sz w:val="24"/>
          <w:lang w:val="en-US"/>
        </w:rPr>
      </w:pPr>
      <w:r w:rsidRPr="00223A4E">
        <w:rPr>
          <w:rFonts w:ascii="Times New Roman" w:hAnsi="Times New Roman" w:cs="Times New Roman"/>
          <w:sz w:val="24"/>
          <w:lang w:val="en-US"/>
        </w:rPr>
        <w:t>Applying the VRIO (Val</w:t>
      </w:r>
      <w:r w:rsidR="008638C6" w:rsidRPr="00223A4E">
        <w:rPr>
          <w:rFonts w:ascii="Times New Roman" w:hAnsi="Times New Roman" w:cs="Times New Roman"/>
          <w:sz w:val="24"/>
          <w:lang w:val="en-US"/>
        </w:rPr>
        <w:t>ue, Rarity, Imitability, Organiz</w:t>
      </w:r>
      <w:r w:rsidRPr="00223A4E">
        <w:rPr>
          <w:rFonts w:ascii="Times New Roman" w:hAnsi="Times New Roman" w:cs="Times New Roman"/>
          <w:sz w:val="24"/>
          <w:lang w:val="en-US"/>
        </w:rPr>
        <w:t>ation) framework to Shell’s key resources and capabilities reveals the sources of its competitive advantage.</w:t>
      </w:r>
    </w:p>
    <w:p w14:paraId="7D19B356" w14:textId="77777777" w:rsidR="00FA7207" w:rsidRPr="00223A4E" w:rsidRDefault="00FA7207" w:rsidP="00FA7207">
      <w:pPr>
        <w:numPr>
          <w:ilvl w:val="0"/>
          <w:numId w:val="15"/>
        </w:num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Global Integrated Value Chain:</w:t>
      </w:r>
      <w:r w:rsidRPr="00223A4E">
        <w:rPr>
          <w:rFonts w:ascii="Times New Roman" w:hAnsi="Times New Roman" w:cs="Times New Roman"/>
          <w:sz w:val="24"/>
          <w:lang w:val="en-US"/>
        </w:rPr>
        <w:t> </w:t>
      </w:r>
      <w:r w:rsidR="00D85684" w:rsidRPr="00223A4E">
        <w:rPr>
          <w:rFonts w:ascii="Times New Roman" w:hAnsi="Times New Roman" w:cs="Times New Roman"/>
          <w:sz w:val="24"/>
        </w:rPr>
        <w:t>This is a good capability because it enables Shell to maximise the margins, risk management, and synergies between upstream production and merchandising/customer-facing retail. It is seldom, with only a small number of competitors that have this scale and integration within the entire energy spectrum. It is not cheap and easy to imitate, as it takes decades to invest in it and build tacit knowledge. Shell has structured itself to embrace this value by way of business structure and performance framework. This blend has an implication of a long-term competitive edge.</w:t>
      </w:r>
    </w:p>
    <w:p w14:paraId="5E01E37A" w14:textId="77777777" w:rsidR="00FA7207" w:rsidRPr="00223A4E" w:rsidRDefault="00FA7207" w:rsidP="00FA7207">
      <w:pPr>
        <w:numPr>
          <w:ilvl w:val="0"/>
          <w:numId w:val="15"/>
        </w:num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Technological and Innovation Capability:</w:t>
      </w:r>
      <w:r w:rsidRPr="00223A4E">
        <w:rPr>
          <w:rFonts w:ascii="Times New Roman" w:hAnsi="Times New Roman" w:cs="Times New Roman"/>
          <w:sz w:val="24"/>
          <w:lang w:val="en-US"/>
        </w:rPr>
        <w:t> </w:t>
      </w:r>
      <w:r w:rsidR="00D85684" w:rsidRPr="00223A4E">
        <w:rPr>
          <w:rFonts w:ascii="Times New Roman" w:hAnsi="Times New Roman" w:cs="Times New Roman"/>
          <w:sz w:val="24"/>
        </w:rPr>
        <w:t>This is useful in the realisation of efficiency, lowering of emissions and development of new lines of business (Shell, 2025). The capability of research and development itself is an unusual one, considering the magnitude of Shell investment. The technological expertise, e.g. deep-water drilling, developing advanced petrochemical processes, is hard to replicate under patents, proprietary knowledge, and the long learning curve. Shell has structured itself into specific research centres and has a strategy of powering progress. This is an indicator of a long-term competitive edge</w:t>
      </w:r>
      <w:r w:rsidRPr="00223A4E">
        <w:rPr>
          <w:rFonts w:ascii="Times New Roman" w:hAnsi="Times New Roman" w:cs="Times New Roman"/>
          <w:sz w:val="24"/>
          <w:lang w:val="en-US"/>
        </w:rPr>
        <w:t>.</w:t>
      </w:r>
    </w:p>
    <w:p w14:paraId="0980951E" w14:textId="77777777" w:rsidR="00D85684" w:rsidRPr="00223A4E" w:rsidRDefault="00FA7207" w:rsidP="00FA7207">
      <w:pPr>
        <w:numPr>
          <w:ilvl w:val="0"/>
          <w:numId w:val="15"/>
        </w:num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Brand Reputation and Scale:</w:t>
      </w:r>
      <w:r w:rsidRPr="00223A4E">
        <w:rPr>
          <w:rFonts w:ascii="Times New Roman" w:hAnsi="Times New Roman" w:cs="Times New Roman"/>
          <w:sz w:val="24"/>
          <w:lang w:val="en-US"/>
        </w:rPr>
        <w:t> </w:t>
      </w:r>
      <w:r w:rsidR="00D85684" w:rsidRPr="00223A4E">
        <w:rPr>
          <w:rFonts w:ascii="Times New Roman" w:hAnsi="Times New Roman" w:cs="Times New Roman"/>
          <w:sz w:val="24"/>
        </w:rPr>
        <w:t>Shell brand is an asset worth using, and it is relied upon by millions of customers every day (Shell, 2025). Its size of operation which involves serving 1 billion people with energy is not common. Such a worldwide image and magnitude is not only expensive but hard to emulate. The company has been structured in a manner to capitalise on this by global branding and marketing. This gives a competitive edge that is lasting.</w:t>
      </w:r>
    </w:p>
    <w:p w14:paraId="24E5528D" w14:textId="77777777" w:rsidR="00FA7207" w:rsidRPr="00223A4E" w:rsidRDefault="00FA7207" w:rsidP="00FA7207">
      <w:pPr>
        <w:numPr>
          <w:ilvl w:val="0"/>
          <w:numId w:val="15"/>
        </w:num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Diversity, Equity, and Inclusion Culture:</w:t>
      </w:r>
      <w:r w:rsidRPr="00223A4E">
        <w:rPr>
          <w:rFonts w:ascii="Times New Roman" w:hAnsi="Times New Roman" w:cs="Times New Roman"/>
          <w:sz w:val="24"/>
          <w:lang w:val="en-US"/>
        </w:rPr>
        <w:t> </w:t>
      </w:r>
      <w:r w:rsidR="00D85684" w:rsidRPr="00223A4E">
        <w:rPr>
          <w:rFonts w:ascii="Times New Roman" w:hAnsi="Times New Roman" w:cs="Times New Roman"/>
          <w:sz w:val="24"/>
        </w:rPr>
        <w:t xml:space="preserve">Diversity, Equity, and Inclusion Culture Shell has a good culture of DE&amp;I and strives to become one of the most diverse and inclusive organisations in the world, which is a good idea as it promotes innovation, better decision-making, and attraction of </w:t>
      </w:r>
      <w:r w:rsidR="008638C6" w:rsidRPr="00223A4E">
        <w:rPr>
          <w:rFonts w:ascii="Times New Roman" w:hAnsi="Times New Roman" w:cs="Times New Roman"/>
          <w:sz w:val="24"/>
        </w:rPr>
        <w:t>talented employees (Shell, 2025</w:t>
      </w:r>
      <w:r w:rsidR="00D85684" w:rsidRPr="00223A4E">
        <w:rPr>
          <w:rFonts w:ascii="Times New Roman" w:hAnsi="Times New Roman" w:cs="Times New Roman"/>
          <w:sz w:val="24"/>
        </w:rPr>
        <w:t>). Although it is a widely spread aspiration, it is uncommon to have such a culture embedded so deep among a global workforce of 85,000 individuals. The culture by its own is hard to copy because it is both socially and path-dependent. To facilitate this, Shell is structured in terms of certain programmes, targets and employee resource groups. This provides a possible long term competitive advantage</w:t>
      </w:r>
      <w:r w:rsidRPr="00223A4E">
        <w:rPr>
          <w:rFonts w:ascii="Times New Roman" w:hAnsi="Times New Roman" w:cs="Times New Roman"/>
          <w:sz w:val="24"/>
          <w:lang w:val="en-US"/>
        </w:rPr>
        <w:t>.</w:t>
      </w:r>
    </w:p>
    <w:p w14:paraId="0C9CBCF9" w14:textId="77777777" w:rsidR="00FA7207" w:rsidRPr="00223A4E" w:rsidRDefault="00F43A9B" w:rsidP="00F43A9B">
      <w:pPr>
        <w:pStyle w:val="Heading2"/>
        <w:rPr>
          <w:rFonts w:ascii="Times New Roman" w:hAnsi="Times New Roman" w:cs="Times New Roman"/>
          <w:lang w:val="en-US"/>
        </w:rPr>
      </w:pPr>
      <w:bookmarkStart w:id="9" w:name="_Toc225479806"/>
      <w:r w:rsidRPr="00223A4E">
        <w:rPr>
          <w:rFonts w:ascii="Times New Roman" w:hAnsi="Times New Roman" w:cs="Times New Roman"/>
          <w:lang w:val="en-US"/>
        </w:rPr>
        <w:t xml:space="preserve">2.5 </w:t>
      </w:r>
      <w:r w:rsidR="00FA7207" w:rsidRPr="00223A4E">
        <w:rPr>
          <w:rFonts w:ascii="Times New Roman" w:hAnsi="Times New Roman" w:cs="Times New Roman"/>
          <w:lang w:val="en-US"/>
        </w:rPr>
        <w:t>Contribution of Internal Strengths to Competitive Advantage</w:t>
      </w:r>
      <w:bookmarkEnd w:id="9"/>
    </w:p>
    <w:p w14:paraId="740A5673" w14:textId="77777777" w:rsidR="00FA7207" w:rsidRPr="00223A4E" w:rsidRDefault="00D85684" w:rsidP="00FA7207">
      <w:pPr>
        <w:spacing w:line="360" w:lineRule="auto"/>
        <w:jc w:val="both"/>
        <w:rPr>
          <w:rFonts w:ascii="Times New Roman" w:hAnsi="Times New Roman" w:cs="Times New Roman"/>
          <w:sz w:val="24"/>
          <w:lang w:val="en-US"/>
        </w:rPr>
      </w:pPr>
      <w:r w:rsidRPr="00223A4E">
        <w:rPr>
          <w:rFonts w:ascii="Times New Roman" w:hAnsi="Times New Roman" w:cs="Times New Roman"/>
          <w:sz w:val="24"/>
        </w:rPr>
        <w:t>The internal strengths of Shell help it to overcome the external challenges and gain a competitive advantage directly. It has the financial power and the size to withstand</w:t>
      </w:r>
      <w:r w:rsidR="008638C6" w:rsidRPr="00223A4E">
        <w:rPr>
          <w:rFonts w:ascii="Times New Roman" w:hAnsi="Times New Roman" w:cs="Times New Roman"/>
          <w:sz w:val="24"/>
        </w:rPr>
        <w:t xml:space="preserve"> the volatility of oil prices (</w:t>
      </w:r>
      <w:r w:rsidRPr="00223A4E">
        <w:rPr>
          <w:rFonts w:ascii="Times New Roman" w:hAnsi="Times New Roman" w:cs="Times New Roman"/>
          <w:sz w:val="24"/>
        </w:rPr>
        <w:t>Shell, 2025) and the ability to make the capital investment required to undertake the energy transition. The value chain that is integrated enables Shell to achieve value on its oil and gas production and at the same time invest and scale low-carbon businesses including electric vehicle charging to develop a balanced portfolio</w:t>
      </w:r>
      <w:r w:rsidR="00FA7207" w:rsidRPr="00223A4E">
        <w:rPr>
          <w:rFonts w:ascii="Times New Roman" w:hAnsi="Times New Roman" w:cs="Times New Roman"/>
          <w:sz w:val="24"/>
          <w:lang w:val="en-US"/>
        </w:rPr>
        <w:t>.</w:t>
      </w:r>
    </w:p>
    <w:p w14:paraId="4BA36A3F" w14:textId="77777777" w:rsidR="007C13EE" w:rsidRPr="00223A4E" w:rsidRDefault="005E0C80" w:rsidP="005C5AC3">
      <w:pPr>
        <w:spacing w:line="360" w:lineRule="auto"/>
        <w:jc w:val="both"/>
        <w:rPr>
          <w:rFonts w:ascii="Times New Roman" w:hAnsi="Times New Roman" w:cs="Times New Roman"/>
          <w:sz w:val="24"/>
          <w:lang w:val="en-US"/>
        </w:rPr>
      </w:pPr>
      <w:r w:rsidRPr="00223A4E">
        <w:rPr>
          <w:rFonts w:ascii="Times New Roman" w:hAnsi="Times New Roman" w:cs="Times New Roman"/>
          <w:sz w:val="24"/>
        </w:rPr>
        <w:t>The technological aspects, especially in carbon control and process efficiency are not only being operational strengths but they are also becoming strate</w:t>
      </w:r>
      <w:r w:rsidR="008638C6" w:rsidRPr="00223A4E">
        <w:rPr>
          <w:rFonts w:ascii="Times New Roman" w:hAnsi="Times New Roman" w:cs="Times New Roman"/>
          <w:sz w:val="24"/>
        </w:rPr>
        <w:t>gic requirement (IEA, 2009</w:t>
      </w:r>
      <w:r w:rsidRPr="00223A4E">
        <w:rPr>
          <w:rFonts w:ascii="Times New Roman" w:hAnsi="Times New Roman" w:cs="Times New Roman"/>
          <w:sz w:val="24"/>
        </w:rPr>
        <w:t>). With the industry under pressure to decarbonise, the level of technological expertise that Shell has and the capacity to implement technologies such as carbon capture are tw</w:t>
      </w:r>
      <w:r w:rsidR="00777CBD" w:rsidRPr="00223A4E">
        <w:rPr>
          <w:rFonts w:ascii="Times New Roman" w:hAnsi="Times New Roman" w:cs="Times New Roman"/>
          <w:sz w:val="24"/>
        </w:rPr>
        <w:t>o main areas of differentiation</w:t>
      </w:r>
      <w:r w:rsidRPr="00223A4E">
        <w:rPr>
          <w:rFonts w:ascii="Times New Roman" w:hAnsi="Times New Roman" w:cs="Times New Roman"/>
          <w:sz w:val="24"/>
        </w:rPr>
        <w:t>.</w:t>
      </w:r>
    </w:p>
    <w:p w14:paraId="572FBF16" w14:textId="77777777" w:rsidR="009E3DE1" w:rsidRPr="00223A4E" w:rsidRDefault="009E3DE1" w:rsidP="009E37D1">
      <w:pPr>
        <w:pStyle w:val="Heading2"/>
        <w:numPr>
          <w:ilvl w:val="0"/>
          <w:numId w:val="14"/>
        </w:numPr>
        <w:rPr>
          <w:rFonts w:ascii="Times New Roman" w:hAnsi="Times New Roman" w:cs="Times New Roman"/>
          <w:lang w:val="en-US"/>
        </w:rPr>
      </w:pPr>
      <w:bookmarkStart w:id="10" w:name="_Toc225479807"/>
      <w:r w:rsidRPr="00223A4E">
        <w:rPr>
          <w:rFonts w:ascii="Times New Roman" w:hAnsi="Times New Roman" w:cs="Times New Roman"/>
          <w:lang w:val="en-US"/>
        </w:rPr>
        <w:t>CSR and Sustainability Objectives</w:t>
      </w:r>
      <w:bookmarkEnd w:id="10"/>
    </w:p>
    <w:p w14:paraId="5DC2A4C7" w14:textId="77777777" w:rsidR="009E3DE1" w:rsidRPr="00223A4E" w:rsidRDefault="005E0C80" w:rsidP="009E3DE1">
      <w:pPr>
        <w:spacing w:line="360" w:lineRule="auto"/>
        <w:jc w:val="both"/>
        <w:rPr>
          <w:rFonts w:ascii="Times New Roman" w:hAnsi="Times New Roman" w:cs="Times New Roman"/>
          <w:sz w:val="24"/>
          <w:lang w:val="en-US"/>
        </w:rPr>
      </w:pPr>
      <w:r w:rsidRPr="00223A4E">
        <w:rPr>
          <w:rFonts w:ascii="Times New Roman" w:hAnsi="Times New Roman" w:cs="Times New Roman"/>
          <w:sz w:val="24"/>
        </w:rPr>
        <w:t>The corporate social responsibility (CSR) and sustainability policy of Shell is inseparably linked with its fundamental business goal of creating more value by using less emissions, as it is a strategic change, and not a side-show philan</w:t>
      </w:r>
      <w:r w:rsidR="008638C6" w:rsidRPr="00223A4E">
        <w:rPr>
          <w:rFonts w:ascii="Times New Roman" w:hAnsi="Times New Roman" w:cs="Times New Roman"/>
          <w:sz w:val="24"/>
        </w:rPr>
        <w:t>thropic initiative (Shell, 2025</w:t>
      </w:r>
      <w:r w:rsidRPr="00223A4E">
        <w:rPr>
          <w:rFonts w:ascii="Times New Roman" w:hAnsi="Times New Roman" w:cs="Times New Roman"/>
          <w:sz w:val="24"/>
        </w:rPr>
        <w:t>). This alignment is reflected in the amount that the company has invested in the same field; in 2025, it has invested 1.2 billion in research and development, and 485 million of that is in the decarbonisation project alone, an investment directly attributed to the sustainability age</w:t>
      </w:r>
      <w:r w:rsidR="008638C6" w:rsidRPr="00223A4E">
        <w:rPr>
          <w:rFonts w:ascii="Times New Roman" w:hAnsi="Times New Roman" w:cs="Times New Roman"/>
          <w:sz w:val="24"/>
        </w:rPr>
        <w:t>nda of the company (Shell, 2025</w:t>
      </w:r>
      <w:r w:rsidRPr="00223A4E">
        <w:rPr>
          <w:rFonts w:ascii="Times New Roman" w:hAnsi="Times New Roman" w:cs="Times New Roman"/>
          <w:sz w:val="24"/>
        </w:rPr>
        <w:t xml:space="preserve">). The operationalisation of the strategy is through quantifiable goals, including the 73% goal attained against its objectives of reducing its 50 operations </w:t>
      </w:r>
      <w:r w:rsidRPr="00223A4E">
        <w:rPr>
          <w:rFonts w:ascii="Times New Roman" w:hAnsi="Times New Roman" w:cs="Times New Roman"/>
          <w:b/>
          <w:sz w:val="24"/>
        </w:rPr>
        <w:t>Scope 1 and 2 emissions</w:t>
      </w:r>
      <w:r w:rsidRPr="00223A4E">
        <w:rPr>
          <w:rFonts w:ascii="Times New Roman" w:hAnsi="Times New Roman" w:cs="Times New Roman"/>
          <w:sz w:val="24"/>
        </w:rPr>
        <w:t xml:space="preserve"> by 50 by 2030 and a 9% net carbon intensity of the products it </w:t>
      </w:r>
      <w:r w:rsidR="008638C6" w:rsidRPr="00223A4E">
        <w:rPr>
          <w:rFonts w:ascii="Times New Roman" w:hAnsi="Times New Roman" w:cs="Times New Roman"/>
          <w:sz w:val="24"/>
        </w:rPr>
        <w:t>markets since 2016 (Shell, 2025</w:t>
      </w:r>
      <w:r w:rsidRPr="00223A4E">
        <w:rPr>
          <w:rFonts w:ascii="Times New Roman" w:hAnsi="Times New Roman" w:cs="Times New Roman"/>
          <w:sz w:val="24"/>
        </w:rPr>
        <w:t>). Moreover, Shell applies the idea of sustainability to its value chain and proves it by the fact that 99 percent of its Lubricants and Mobility branded product packaging is rated as reusable or recyclable, which is a direct result of the global proble</w:t>
      </w:r>
      <w:r w:rsidR="008638C6" w:rsidRPr="00223A4E">
        <w:rPr>
          <w:rFonts w:ascii="Times New Roman" w:hAnsi="Times New Roman" w:cs="Times New Roman"/>
          <w:sz w:val="24"/>
        </w:rPr>
        <w:t>m of plastic waste (Shell, 2025</w:t>
      </w:r>
      <w:r w:rsidRPr="00223A4E">
        <w:rPr>
          <w:rFonts w:ascii="Times New Roman" w:hAnsi="Times New Roman" w:cs="Times New Roman"/>
          <w:sz w:val="24"/>
        </w:rPr>
        <w:t>; Zero Carbon Analytics, 2024). This practise aligns with the overall industry requirement to deal with the environmental impact of plastics where 10 million tonnes of plastic waste find their way into the</w:t>
      </w:r>
      <w:r w:rsidR="008638C6" w:rsidRPr="00223A4E">
        <w:rPr>
          <w:rFonts w:ascii="Times New Roman" w:hAnsi="Times New Roman" w:cs="Times New Roman"/>
          <w:sz w:val="24"/>
        </w:rPr>
        <w:t xml:space="preserve"> oceans each year (IEA, 2018</w:t>
      </w:r>
      <w:r w:rsidRPr="00223A4E">
        <w:rPr>
          <w:rFonts w:ascii="Times New Roman" w:hAnsi="Times New Roman" w:cs="Times New Roman"/>
          <w:sz w:val="24"/>
        </w:rPr>
        <w:t>). Shell has shown a strategy of CSR not being a compliance process by integrating the following sustainability goals into its financial and operational structure: Shell has spent over 40 billion dollars on its goods and services procured through its suppliers and paid over 17 billion of its taxes to governments (Shell, 2025).</w:t>
      </w:r>
    </w:p>
    <w:p w14:paraId="0F3854D1" w14:textId="77777777" w:rsidR="0003784D" w:rsidRPr="00223A4E" w:rsidRDefault="0003784D" w:rsidP="009E37D1">
      <w:pPr>
        <w:pStyle w:val="Heading2"/>
        <w:numPr>
          <w:ilvl w:val="0"/>
          <w:numId w:val="14"/>
        </w:numPr>
        <w:rPr>
          <w:rFonts w:ascii="Times New Roman" w:hAnsi="Times New Roman" w:cs="Times New Roman"/>
          <w:lang w:val="en-US"/>
        </w:rPr>
      </w:pPr>
      <w:bookmarkStart w:id="11" w:name="_Toc225479808"/>
      <w:r w:rsidRPr="00223A4E">
        <w:rPr>
          <w:rFonts w:ascii="Times New Roman" w:hAnsi="Times New Roman" w:cs="Times New Roman"/>
          <w:lang w:val="en-US"/>
        </w:rPr>
        <w:t xml:space="preserve">Comprehensive </w:t>
      </w:r>
      <w:r w:rsidR="0022585A" w:rsidRPr="00223A4E">
        <w:rPr>
          <w:rFonts w:ascii="Times New Roman" w:hAnsi="Times New Roman" w:cs="Times New Roman"/>
          <w:lang w:val="en-US"/>
        </w:rPr>
        <w:t>and Holistic View of the Organiz</w:t>
      </w:r>
      <w:r w:rsidRPr="00223A4E">
        <w:rPr>
          <w:rFonts w:ascii="Times New Roman" w:hAnsi="Times New Roman" w:cs="Times New Roman"/>
          <w:lang w:val="en-US"/>
        </w:rPr>
        <w:t>ation: The Balanced Scorecard</w:t>
      </w:r>
      <w:bookmarkEnd w:id="11"/>
    </w:p>
    <w:p w14:paraId="7F1A8653" w14:textId="77777777" w:rsidR="00CC4705" w:rsidRPr="00223A4E" w:rsidRDefault="00CC4705" w:rsidP="00CC4705">
      <w:pPr>
        <w:spacing w:line="360" w:lineRule="auto"/>
        <w:jc w:val="both"/>
        <w:rPr>
          <w:rFonts w:ascii="Times New Roman" w:hAnsi="Times New Roman" w:cs="Times New Roman"/>
          <w:sz w:val="24"/>
        </w:rPr>
      </w:pPr>
      <w:r w:rsidRPr="00223A4E">
        <w:rPr>
          <w:rFonts w:ascii="Times New Roman" w:hAnsi="Times New Roman" w:cs="Times New Roman"/>
          <w:sz w:val="24"/>
        </w:rPr>
        <w:t xml:space="preserve">The Balanced Scorecard (BSC) framework, as proposed by Kaplan and Norton (1992), </w:t>
      </w:r>
      <w:r w:rsidR="005E0C80" w:rsidRPr="00223A4E">
        <w:rPr>
          <w:rFonts w:ascii="Times New Roman" w:hAnsi="Times New Roman" w:cs="Times New Roman"/>
          <w:sz w:val="24"/>
        </w:rPr>
        <w:t>is a comprehensive viewpoint through which the strategic performance of Shell could be considered by connecting its mission of the powering progress together to four main perspectives: Financial, Customer, Internal Business Processes, and Le</w:t>
      </w:r>
      <w:r w:rsidR="008638C6" w:rsidRPr="00223A4E">
        <w:rPr>
          <w:rFonts w:ascii="Times New Roman" w:hAnsi="Times New Roman" w:cs="Times New Roman"/>
          <w:sz w:val="24"/>
        </w:rPr>
        <w:t>arning and Growth (Shell, 2025</w:t>
      </w:r>
      <w:r w:rsidR="005E0C80" w:rsidRPr="00223A4E">
        <w:rPr>
          <w:rFonts w:ascii="Times New Roman" w:hAnsi="Times New Roman" w:cs="Times New Roman"/>
          <w:sz w:val="24"/>
        </w:rPr>
        <w:t>).</w:t>
      </w:r>
    </w:p>
    <w:p w14:paraId="37A02B65" w14:textId="77777777" w:rsidR="00CC4705" w:rsidRPr="00223A4E" w:rsidRDefault="00CC4705" w:rsidP="00CC4705">
      <w:pPr>
        <w:spacing w:line="360" w:lineRule="auto"/>
        <w:jc w:val="both"/>
        <w:rPr>
          <w:rFonts w:ascii="Times New Roman" w:hAnsi="Times New Roman" w:cs="Times New Roman"/>
          <w:sz w:val="24"/>
        </w:rPr>
      </w:pPr>
      <w:r w:rsidRPr="00223A4E">
        <w:rPr>
          <w:rFonts w:ascii="Times New Roman" w:hAnsi="Times New Roman" w:cs="Times New Roman"/>
          <w:b/>
          <w:sz w:val="24"/>
        </w:rPr>
        <w:t>Financial Perspective:</w:t>
      </w:r>
      <w:r w:rsidRPr="00223A4E">
        <w:rPr>
          <w:rFonts w:ascii="Times New Roman" w:hAnsi="Times New Roman" w:cs="Times New Roman"/>
          <w:sz w:val="24"/>
        </w:rPr>
        <w:t xml:space="preserve"> </w:t>
      </w:r>
      <w:r w:rsidR="005E0C80" w:rsidRPr="00223A4E">
        <w:rPr>
          <w:rFonts w:ascii="Times New Roman" w:hAnsi="Times New Roman" w:cs="Times New Roman"/>
          <w:sz w:val="24"/>
        </w:rPr>
        <w:t>Financial Perspective Shell financial goals are based on its aims to provide shareholder value, operational resilience, and finance its strategic transition. The cash flow of operations is listed as key performance indicators (KPIs) and in 2025, it is recorded at 42.9 billion, and adjusted earnings which are reported as 18.5 billion (</w:t>
      </w:r>
      <w:r w:rsidR="008638C6" w:rsidRPr="00223A4E">
        <w:rPr>
          <w:rFonts w:ascii="Times New Roman" w:hAnsi="Times New Roman" w:cs="Times New Roman"/>
          <w:sz w:val="24"/>
        </w:rPr>
        <w:t>Shell, 2025</w:t>
      </w:r>
      <w:r w:rsidR="005E0C80" w:rsidRPr="00223A4E">
        <w:rPr>
          <w:rFonts w:ascii="Times New Roman" w:hAnsi="Times New Roman" w:cs="Times New Roman"/>
          <w:sz w:val="24"/>
        </w:rPr>
        <w:t xml:space="preserve">). One of the critical targets is the disciplined capital expenditure management with cash capital expenditure fixed at 20.9 billion and at the same time, attaining 5.1 billion in structural cost savings based on 2022 </w:t>
      </w:r>
      <w:r w:rsidR="008638C6" w:rsidRPr="00223A4E">
        <w:rPr>
          <w:rFonts w:ascii="Times New Roman" w:hAnsi="Times New Roman" w:cs="Times New Roman"/>
          <w:sz w:val="24"/>
        </w:rPr>
        <w:t>baseline threshold (Shell, 2025</w:t>
      </w:r>
      <w:r w:rsidR="005E0C80" w:rsidRPr="00223A4E">
        <w:rPr>
          <w:rFonts w:ascii="Times New Roman" w:hAnsi="Times New Roman" w:cs="Times New Roman"/>
          <w:sz w:val="24"/>
        </w:rPr>
        <w:t>). These financial ambitions have strategic plans that involve the practise of further high-grading of its portfolio and balanced shareholder distributions, as it reached 22.4 billion in 2025</w:t>
      </w:r>
      <w:r w:rsidR="008638C6" w:rsidRPr="00223A4E">
        <w:rPr>
          <w:rFonts w:ascii="Times New Roman" w:hAnsi="Times New Roman" w:cs="Times New Roman"/>
          <w:sz w:val="24"/>
        </w:rPr>
        <w:t xml:space="preserve"> (Shell, 2025</w:t>
      </w:r>
      <w:r w:rsidR="005E0C80" w:rsidRPr="00223A4E">
        <w:rPr>
          <w:rFonts w:ascii="Times New Roman" w:hAnsi="Times New Roman" w:cs="Times New Roman"/>
          <w:sz w:val="24"/>
        </w:rPr>
        <w:t>).</w:t>
      </w:r>
    </w:p>
    <w:p w14:paraId="16AD844E" w14:textId="77777777" w:rsidR="00CC4705" w:rsidRPr="00223A4E" w:rsidRDefault="00CC4705" w:rsidP="00CC4705">
      <w:pPr>
        <w:spacing w:line="360" w:lineRule="auto"/>
        <w:jc w:val="both"/>
        <w:rPr>
          <w:rFonts w:ascii="Times New Roman" w:hAnsi="Times New Roman" w:cs="Times New Roman"/>
          <w:sz w:val="24"/>
        </w:rPr>
      </w:pPr>
      <w:r w:rsidRPr="00223A4E">
        <w:rPr>
          <w:rFonts w:ascii="Times New Roman" w:hAnsi="Times New Roman" w:cs="Times New Roman"/>
          <w:b/>
          <w:sz w:val="24"/>
        </w:rPr>
        <w:t>Customer Perspective:</w:t>
      </w:r>
      <w:r w:rsidRPr="00223A4E">
        <w:rPr>
          <w:rFonts w:ascii="Times New Roman" w:hAnsi="Times New Roman" w:cs="Times New Roman"/>
          <w:sz w:val="24"/>
        </w:rPr>
        <w:t xml:space="preserve"> </w:t>
      </w:r>
      <w:r w:rsidR="005E0C80" w:rsidRPr="00223A4E">
        <w:rPr>
          <w:rFonts w:ascii="Times New Roman" w:hAnsi="Times New Roman" w:cs="Times New Roman"/>
          <w:sz w:val="24"/>
        </w:rPr>
        <w:t>Customer Perspective Shell has a customer-centric goal of offering customers reliable, cleaner energy solutions and creating long-term customer relationships. One of the main KPI is its vast network of customer, serving 29 million customers in mobility locations in Shell brand and providing energy to an estimated 1 billion indi</w:t>
      </w:r>
      <w:r w:rsidR="008638C6" w:rsidRPr="00223A4E">
        <w:rPr>
          <w:rFonts w:ascii="Times New Roman" w:hAnsi="Times New Roman" w:cs="Times New Roman"/>
          <w:sz w:val="24"/>
        </w:rPr>
        <w:t>viduals every year (Shell, 2025</w:t>
      </w:r>
      <w:r w:rsidR="005E0C80" w:rsidRPr="00223A4E">
        <w:rPr>
          <w:rFonts w:ascii="Times New Roman" w:hAnsi="Times New Roman" w:cs="Times New Roman"/>
          <w:sz w:val="24"/>
        </w:rPr>
        <w:t>). Another major objective is to increase its low-carbon products, which is manifested in the move to expand its network to 88,000 electric vehicle pu</w:t>
      </w:r>
      <w:r w:rsidR="008638C6" w:rsidRPr="00223A4E">
        <w:rPr>
          <w:rFonts w:ascii="Times New Roman" w:hAnsi="Times New Roman" w:cs="Times New Roman"/>
          <w:sz w:val="24"/>
        </w:rPr>
        <w:t>blic charge points (Shell, 2025</w:t>
      </w:r>
      <w:r w:rsidR="005E0C80" w:rsidRPr="00223A4E">
        <w:rPr>
          <w:rFonts w:ascii="Times New Roman" w:hAnsi="Times New Roman" w:cs="Times New Roman"/>
          <w:sz w:val="24"/>
        </w:rPr>
        <w:t xml:space="preserve">). The next urgent initiative is the assurance of product quality and sustainability, as shown by the fact that the 99% of its Lubricants and Mobility branded product packaging is now categorised as reusable or recyclable, which corresponds to the increasing customer </w:t>
      </w:r>
      <w:r w:rsidR="008638C6" w:rsidRPr="00223A4E">
        <w:rPr>
          <w:rFonts w:ascii="Times New Roman" w:hAnsi="Times New Roman" w:cs="Times New Roman"/>
          <w:sz w:val="24"/>
        </w:rPr>
        <w:t>and social demands (Shell, 2025</w:t>
      </w:r>
      <w:r w:rsidR="005E0C80" w:rsidRPr="00223A4E">
        <w:rPr>
          <w:rFonts w:ascii="Times New Roman" w:hAnsi="Times New Roman" w:cs="Times New Roman"/>
          <w:sz w:val="24"/>
        </w:rPr>
        <w:t>; Zero Carbon Analytics, 2024).</w:t>
      </w:r>
    </w:p>
    <w:p w14:paraId="19B96A2C" w14:textId="77777777" w:rsidR="00CC4705" w:rsidRPr="00223A4E" w:rsidRDefault="00CC4705" w:rsidP="00CC4705">
      <w:pPr>
        <w:spacing w:line="360" w:lineRule="auto"/>
        <w:jc w:val="both"/>
        <w:rPr>
          <w:rFonts w:ascii="Times New Roman" w:hAnsi="Times New Roman" w:cs="Times New Roman"/>
          <w:sz w:val="24"/>
        </w:rPr>
      </w:pPr>
      <w:r w:rsidRPr="00223A4E">
        <w:rPr>
          <w:rFonts w:ascii="Times New Roman" w:hAnsi="Times New Roman" w:cs="Times New Roman"/>
          <w:b/>
          <w:sz w:val="24"/>
        </w:rPr>
        <w:t>Internal Business Processes Perspective</w:t>
      </w:r>
      <w:r w:rsidRPr="00223A4E">
        <w:rPr>
          <w:rFonts w:ascii="Times New Roman" w:hAnsi="Times New Roman" w:cs="Times New Roman"/>
          <w:sz w:val="24"/>
        </w:rPr>
        <w:t xml:space="preserve">: </w:t>
      </w:r>
      <w:r w:rsidR="005E0C80" w:rsidRPr="00223A4E">
        <w:rPr>
          <w:rFonts w:ascii="Times New Roman" w:hAnsi="Times New Roman" w:cs="Times New Roman"/>
          <w:sz w:val="24"/>
        </w:rPr>
        <w:t xml:space="preserve">This perspective emphasises operational excellence, safety and being environmentally </w:t>
      </w:r>
      <w:r w:rsidR="008638C6" w:rsidRPr="00223A4E">
        <w:rPr>
          <w:rFonts w:ascii="Times New Roman" w:hAnsi="Times New Roman" w:cs="Times New Roman"/>
          <w:sz w:val="24"/>
        </w:rPr>
        <w:t>steward</w:t>
      </w:r>
      <w:r w:rsidR="005E0C80" w:rsidRPr="00223A4E">
        <w:rPr>
          <w:rFonts w:ascii="Times New Roman" w:hAnsi="Times New Roman" w:cs="Times New Roman"/>
          <w:sz w:val="24"/>
        </w:rPr>
        <w:t>. One of them is to decarbonise operations and a KPI that measures its progress against its 2030 goal of cutti</w:t>
      </w:r>
      <w:r w:rsidR="008638C6" w:rsidRPr="00223A4E">
        <w:rPr>
          <w:rFonts w:ascii="Times New Roman" w:hAnsi="Times New Roman" w:cs="Times New Roman"/>
          <w:sz w:val="24"/>
        </w:rPr>
        <w:t>ng Scope 1 and 2 emissions by 50%</w:t>
      </w:r>
      <w:r w:rsidR="005E0C80" w:rsidRPr="00223A4E">
        <w:rPr>
          <w:rFonts w:ascii="Times New Roman" w:hAnsi="Times New Roman" w:cs="Times New Roman"/>
          <w:sz w:val="24"/>
        </w:rPr>
        <w:t>, where Shell has already reduced its level by 73 percent of 2016 (Shell, 2025). Methane emissions intensity is another of the critical KPI, and in the case of Shell-operated assets, it is 0.04 which is significantly lower than its target of less than 0.2, and the company has already managed to eliminate routine flaring of upstream o</w:t>
      </w:r>
      <w:r w:rsidR="008638C6" w:rsidRPr="00223A4E">
        <w:rPr>
          <w:rFonts w:ascii="Times New Roman" w:hAnsi="Times New Roman" w:cs="Times New Roman"/>
          <w:sz w:val="24"/>
        </w:rPr>
        <w:t>perations (Shell, 2025</w:t>
      </w:r>
      <w:r w:rsidR="005E0C80" w:rsidRPr="00223A4E">
        <w:rPr>
          <w:rFonts w:ascii="Times New Roman" w:hAnsi="Times New Roman" w:cs="Times New Roman"/>
          <w:sz w:val="24"/>
        </w:rPr>
        <w:t>). The suggested strategic measures to help achieve these goals comprise investing a total of 485 million of its 1.2 billion R&amp;D in decarbonisation projects, such as carbon capture, utilisation and storage technologies (CCUS), as listed by the IEA as a cost-effective option to the che</w:t>
      </w:r>
      <w:r w:rsidR="008638C6" w:rsidRPr="00223A4E">
        <w:rPr>
          <w:rFonts w:ascii="Times New Roman" w:hAnsi="Times New Roman" w:cs="Times New Roman"/>
          <w:sz w:val="24"/>
        </w:rPr>
        <w:t>mical industry (IEA, 2018; Shell, 2025</w:t>
      </w:r>
      <w:r w:rsidR="005E0C80" w:rsidRPr="00223A4E">
        <w:rPr>
          <w:rFonts w:ascii="Times New Roman" w:hAnsi="Times New Roman" w:cs="Times New Roman"/>
          <w:sz w:val="24"/>
        </w:rPr>
        <w:t>).</w:t>
      </w:r>
    </w:p>
    <w:p w14:paraId="792AD88C" w14:textId="77777777" w:rsidR="00503E84" w:rsidRPr="00223A4E" w:rsidRDefault="00CC4705" w:rsidP="00FB4539">
      <w:pPr>
        <w:spacing w:line="360" w:lineRule="auto"/>
        <w:jc w:val="both"/>
        <w:rPr>
          <w:rFonts w:ascii="Times New Roman" w:hAnsi="Times New Roman" w:cs="Times New Roman"/>
          <w:sz w:val="24"/>
        </w:rPr>
      </w:pPr>
      <w:r w:rsidRPr="00223A4E">
        <w:rPr>
          <w:rFonts w:ascii="Times New Roman" w:hAnsi="Times New Roman" w:cs="Times New Roman"/>
          <w:b/>
          <w:sz w:val="24"/>
        </w:rPr>
        <w:t>Learning and Growth Perspective</w:t>
      </w:r>
      <w:r w:rsidRPr="00223A4E">
        <w:rPr>
          <w:rFonts w:ascii="Times New Roman" w:hAnsi="Times New Roman" w:cs="Times New Roman"/>
          <w:sz w:val="24"/>
        </w:rPr>
        <w:t xml:space="preserve">: </w:t>
      </w:r>
      <w:r w:rsidR="00516728" w:rsidRPr="00223A4E">
        <w:rPr>
          <w:rFonts w:ascii="Times New Roman" w:hAnsi="Times New Roman" w:cs="Times New Roman"/>
          <w:sz w:val="24"/>
        </w:rPr>
        <w:t xml:space="preserve">Shell is reliant on its long-term success on its people, culture and innovation capabilities. The goal is to help build a high-performance and inclusive culture to promote energy transition. One of the main KPIs is employee engagement, where the 2024 Shell People Survey has received an 81 out of 100 score in the question that concerns diversity, equity, and inclusion (DE&amp;I), and 75 out of 100 in the sentence "I feel like I belong at Shell" (Shell, 2025). Strategic plans involve creating a diverse and talented workforce, having a global vision of becoming one of the most diverse and inclusive organisations in the world (Shell, 2025). This is supported with a long term investment in upskilling and innovation based on the organisations winning performance culture which motivates its employees to speak and </w:t>
      </w:r>
      <w:r w:rsidR="008638C6" w:rsidRPr="00223A4E">
        <w:rPr>
          <w:rFonts w:ascii="Times New Roman" w:hAnsi="Times New Roman" w:cs="Times New Roman"/>
          <w:sz w:val="24"/>
        </w:rPr>
        <w:t>do the right thing (Shell, 2025</w:t>
      </w:r>
      <w:r w:rsidR="00516728" w:rsidRPr="00223A4E">
        <w:rPr>
          <w:rFonts w:ascii="Times New Roman" w:hAnsi="Times New Roman" w:cs="Times New Roman"/>
          <w:sz w:val="24"/>
        </w:rPr>
        <w:t>).</w:t>
      </w:r>
    </w:p>
    <w:p w14:paraId="7BC26665" w14:textId="77777777" w:rsidR="00FB4539" w:rsidRPr="00223A4E" w:rsidRDefault="00FB4539" w:rsidP="009E37D1">
      <w:pPr>
        <w:pStyle w:val="Heading2"/>
        <w:numPr>
          <w:ilvl w:val="0"/>
          <w:numId w:val="14"/>
        </w:numPr>
        <w:rPr>
          <w:rFonts w:ascii="Times New Roman" w:hAnsi="Times New Roman" w:cs="Times New Roman"/>
          <w:lang w:val="en-US"/>
        </w:rPr>
      </w:pPr>
      <w:bookmarkStart w:id="12" w:name="_Toc225479809"/>
      <w:r w:rsidRPr="00223A4E">
        <w:rPr>
          <w:rFonts w:ascii="Times New Roman" w:hAnsi="Times New Roman" w:cs="Times New Roman"/>
          <w:lang w:val="en-US"/>
        </w:rPr>
        <w:t>Strategic Choices and Implementation</w:t>
      </w:r>
      <w:bookmarkEnd w:id="12"/>
    </w:p>
    <w:p w14:paraId="6BDF3457" w14:textId="77777777" w:rsidR="00A50C53" w:rsidRPr="00223A4E" w:rsidRDefault="00F43A9B" w:rsidP="00F43A9B">
      <w:pPr>
        <w:pStyle w:val="Heading2"/>
        <w:rPr>
          <w:rFonts w:ascii="Times New Roman" w:hAnsi="Times New Roman" w:cs="Times New Roman"/>
        </w:rPr>
      </w:pPr>
      <w:bookmarkStart w:id="13" w:name="_Toc225479810"/>
      <w:r w:rsidRPr="00223A4E">
        <w:rPr>
          <w:rFonts w:ascii="Times New Roman" w:hAnsi="Times New Roman" w:cs="Times New Roman"/>
        </w:rPr>
        <w:t xml:space="preserve">5.1 </w:t>
      </w:r>
      <w:r w:rsidR="00A50C53" w:rsidRPr="00223A4E">
        <w:rPr>
          <w:rFonts w:ascii="Times New Roman" w:hAnsi="Times New Roman" w:cs="Times New Roman"/>
        </w:rPr>
        <w:t>Evaluation and Recommendation of Strategic Choices</w:t>
      </w:r>
      <w:bookmarkEnd w:id="13"/>
    </w:p>
    <w:p w14:paraId="6CE7CCFD" w14:textId="77777777" w:rsidR="00A50C53" w:rsidRPr="00223A4E" w:rsidRDefault="00516728" w:rsidP="00A50C53">
      <w:pPr>
        <w:spacing w:line="360" w:lineRule="auto"/>
        <w:jc w:val="both"/>
        <w:rPr>
          <w:rFonts w:ascii="Times New Roman" w:hAnsi="Times New Roman" w:cs="Times New Roman"/>
          <w:sz w:val="24"/>
        </w:rPr>
      </w:pPr>
      <w:r w:rsidRPr="00223A4E">
        <w:rPr>
          <w:rFonts w:ascii="Times New Roman" w:hAnsi="Times New Roman" w:cs="Times New Roman"/>
          <w:sz w:val="24"/>
        </w:rPr>
        <w:t>On the business level, Shell is a follower of a hybrid approach which combines both cost leadership and differentiation</w:t>
      </w:r>
      <w:r w:rsidR="00817910" w:rsidRPr="00223A4E">
        <w:rPr>
          <w:rFonts w:ascii="Times New Roman" w:hAnsi="Times New Roman" w:cs="Times New Roman"/>
          <w:sz w:val="24"/>
        </w:rPr>
        <w:t xml:space="preserve"> </w:t>
      </w:r>
      <w:r w:rsidR="00817910" w:rsidRPr="00223A4E">
        <w:rPr>
          <w:rFonts w:ascii="Times New Roman" w:hAnsi="Times New Roman" w:cs="Times New Roman"/>
        </w:rPr>
        <w:t>(Porter, 1980; Barney, 1991)</w:t>
      </w:r>
      <w:r w:rsidRPr="00223A4E">
        <w:rPr>
          <w:rFonts w:ascii="Times New Roman" w:hAnsi="Times New Roman" w:cs="Times New Roman"/>
          <w:sz w:val="24"/>
        </w:rPr>
        <w:t>. The cost leadership aspect is manifested in its pursuit of operational effectiveness, having made $5.1 billion in structural cost savings based on a 2022 base, and concentration on high-margin ventures (Shell, 2025</w:t>
      </w:r>
      <w:r w:rsidR="00A50C53" w:rsidRPr="00223A4E">
        <w:rPr>
          <w:rFonts w:ascii="Times New Roman" w:hAnsi="Times New Roman" w:cs="Times New Roman"/>
          <w:sz w:val="24"/>
        </w:rPr>
        <w:t xml:space="preserve">). </w:t>
      </w:r>
      <w:r w:rsidR="00E05902" w:rsidRPr="00223A4E">
        <w:rPr>
          <w:rFonts w:ascii="Times New Roman" w:hAnsi="Times New Roman" w:cs="Times New Roman"/>
          <w:sz w:val="24"/>
        </w:rPr>
        <w:t>Its differentiation strategy is based on its sustainability and technological leadership, and its vision of becoming the world leader in integrated energy company and its strategy of providing more value w</w:t>
      </w:r>
      <w:r w:rsidR="008638C6" w:rsidRPr="00223A4E">
        <w:rPr>
          <w:rFonts w:ascii="Times New Roman" w:hAnsi="Times New Roman" w:cs="Times New Roman"/>
          <w:sz w:val="24"/>
        </w:rPr>
        <w:t>ith less emission (Shell, 2025</w:t>
      </w:r>
      <w:r w:rsidR="00E05902" w:rsidRPr="00223A4E">
        <w:rPr>
          <w:rFonts w:ascii="Times New Roman" w:hAnsi="Times New Roman" w:cs="Times New Roman"/>
          <w:sz w:val="24"/>
        </w:rPr>
        <w:t>). A robust brand founded on its main values of honesty, integrity, and respect underscores this distinction and creates some form of trust among the stakeholders and customers (Shell, 2025). Such a hybrid strategy is especially applicable to the fluctuating energy market, as Shell is able to use its size as its strength as well as price its sustainability brand</w:t>
      </w:r>
      <w:r w:rsidR="00817910" w:rsidRPr="00223A4E">
        <w:rPr>
          <w:rFonts w:ascii="Times New Roman" w:hAnsi="Times New Roman" w:cs="Times New Roman"/>
        </w:rPr>
        <w:t xml:space="preserve"> (Porter, 1980; Mintzberg et al., 1998)</w:t>
      </w:r>
      <w:r w:rsidR="00E05902" w:rsidRPr="00223A4E">
        <w:rPr>
          <w:rFonts w:ascii="Times New Roman" w:hAnsi="Times New Roman" w:cs="Times New Roman"/>
          <w:sz w:val="24"/>
        </w:rPr>
        <w:t>.</w:t>
      </w:r>
    </w:p>
    <w:p w14:paraId="13AFE898" w14:textId="77777777" w:rsidR="00E05902" w:rsidRPr="00223A4E" w:rsidRDefault="00E05902" w:rsidP="00A50C53">
      <w:pPr>
        <w:spacing w:line="360" w:lineRule="auto"/>
        <w:jc w:val="both"/>
        <w:rPr>
          <w:rFonts w:ascii="Times New Roman" w:hAnsi="Times New Roman" w:cs="Times New Roman"/>
          <w:sz w:val="24"/>
        </w:rPr>
      </w:pPr>
      <w:r w:rsidRPr="00223A4E">
        <w:rPr>
          <w:rFonts w:ascii="Times New Roman" w:hAnsi="Times New Roman" w:cs="Times New Roman"/>
          <w:b/>
          <w:sz w:val="24"/>
        </w:rPr>
        <w:t>At corporate level</w:t>
      </w:r>
      <w:r w:rsidRPr="00223A4E">
        <w:rPr>
          <w:rFonts w:ascii="Times New Roman" w:hAnsi="Times New Roman" w:cs="Times New Roman"/>
          <w:sz w:val="24"/>
        </w:rPr>
        <w:t>, the most si</w:t>
      </w:r>
      <w:r w:rsidR="008638C6" w:rsidRPr="00223A4E">
        <w:rPr>
          <w:rFonts w:ascii="Times New Roman" w:hAnsi="Times New Roman" w:cs="Times New Roman"/>
          <w:sz w:val="24"/>
        </w:rPr>
        <w:t>gnificant strategic decisions (</w:t>
      </w:r>
      <w:r w:rsidRPr="00223A4E">
        <w:rPr>
          <w:rFonts w:ascii="Times New Roman" w:hAnsi="Times New Roman" w:cs="Times New Roman"/>
          <w:sz w:val="24"/>
        </w:rPr>
        <w:t>Shell, 2011) are associated with diversification and internationalisation</w:t>
      </w:r>
      <w:r w:rsidR="00817910" w:rsidRPr="00223A4E">
        <w:rPr>
          <w:rFonts w:ascii="Times New Roman" w:hAnsi="Times New Roman" w:cs="Times New Roman"/>
          <w:sz w:val="24"/>
        </w:rPr>
        <w:t xml:space="preserve"> </w:t>
      </w:r>
      <w:r w:rsidR="00817910" w:rsidRPr="00223A4E">
        <w:rPr>
          <w:rFonts w:ascii="Times New Roman" w:hAnsi="Times New Roman" w:cs="Times New Roman"/>
        </w:rPr>
        <w:t>(Ansoff, 1957; Rugman and Verbeke, 2004)</w:t>
      </w:r>
      <w:r w:rsidRPr="00223A4E">
        <w:rPr>
          <w:rFonts w:ascii="Times New Roman" w:hAnsi="Times New Roman" w:cs="Times New Roman"/>
          <w:sz w:val="24"/>
        </w:rPr>
        <w:t xml:space="preserve">. In addition, the firm is no longer relying on its old oil and gas business, finding some new energy division, which the growth of electric vehicle charging with 88,000 public charge points and its huge investment in research and development of 1.2 </w:t>
      </w:r>
      <w:r w:rsidR="008638C6" w:rsidRPr="00223A4E">
        <w:rPr>
          <w:rFonts w:ascii="Times New Roman" w:hAnsi="Times New Roman" w:cs="Times New Roman"/>
          <w:sz w:val="24"/>
        </w:rPr>
        <w:t>billion will prove (Shell, 2025</w:t>
      </w:r>
      <w:r w:rsidRPr="00223A4E">
        <w:rPr>
          <w:rFonts w:ascii="Times New Roman" w:hAnsi="Times New Roman" w:cs="Times New Roman"/>
          <w:sz w:val="24"/>
        </w:rPr>
        <w:t>). This is an accompanying diversification, capitalising on its current strengths in managing large-sized projects, global supply chain, and cus</w:t>
      </w:r>
      <w:r w:rsidR="008638C6" w:rsidRPr="00223A4E">
        <w:rPr>
          <w:rFonts w:ascii="Times New Roman" w:hAnsi="Times New Roman" w:cs="Times New Roman"/>
          <w:sz w:val="24"/>
        </w:rPr>
        <w:t>tomer relationship</w:t>
      </w:r>
      <w:r w:rsidR="0005376D" w:rsidRPr="00223A4E">
        <w:rPr>
          <w:rFonts w:ascii="Times New Roman" w:hAnsi="Times New Roman" w:cs="Times New Roman"/>
          <w:sz w:val="24"/>
        </w:rPr>
        <w:t xml:space="preserve"> </w:t>
      </w:r>
      <w:r w:rsidR="0005376D" w:rsidRPr="00223A4E">
        <w:rPr>
          <w:rFonts w:ascii="Times New Roman" w:hAnsi="Times New Roman" w:cs="Times New Roman"/>
        </w:rPr>
        <w:t>(Shell, 2025; Barney, 1991)</w:t>
      </w:r>
      <w:r w:rsidRPr="00223A4E">
        <w:rPr>
          <w:rFonts w:ascii="Times New Roman" w:hAnsi="Times New Roman" w:cs="Times New Roman"/>
          <w:sz w:val="24"/>
        </w:rPr>
        <w:t>. At the same time, Shell is still expanding internationally, with operations in more than 70 countries, and trading more than 8 million barrels of crude oil per day, making sure that it is represented in major growth markets (Shell, 2025</w:t>
      </w:r>
      <w:r w:rsidR="00234F51" w:rsidRPr="00223A4E">
        <w:rPr>
          <w:rFonts w:ascii="Times New Roman" w:hAnsi="Times New Roman" w:cs="Times New Roman"/>
        </w:rPr>
        <w:t>; Dunning, 1988</w:t>
      </w:r>
      <w:r w:rsidRPr="00223A4E">
        <w:rPr>
          <w:rFonts w:ascii="Times New Roman" w:hAnsi="Times New Roman" w:cs="Times New Roman"/>
          <w:sz w:val="24"/>
        </w:rPr>
        <w:t>).</w:t>
      </w:r>
    </w:p>
    <w:p w14:paraId="5E7ACB3C" w14:textId="77777777" w:rsidR="00A50C53" w:rsidRPr="00223A4E" w:rsidRDefault="00A50C53" w:rsidP="00A50C53">
      <w:pPr>
        <w:spacing w:line="360" w:lineRule="auto"/>
        <w:jc w:val="both"/>
        <w:rPr>
          <w:rFonts w:ascii="Times New Roman" w:hAnsi="Times New Roman" w:cs="Times New Roman"/>
          <w:sz w:val="24"/>
        </w:rPr>
      </w:pPr>
      <w:r w:rsidRPr="00223A4E">
        <w:rPr>
          <w:rFonts w:ascii="Times New Roman" w:hAnsi="Times New Roman" w:cs="Times New Roman"/>
          <w:b/>
          <w:sz w:val="24"/>
        </w:rPr>
        <w:t>Recommendation</w:t>
      </w:r>
      <w:r w:rsidRPr="00223A4E">
        <w:rPr>
          <w:rFonts w:ascii="Times New Roman" w:hAnsi="Times New Roman" w:cs="Times New Roman"/>
          <w:sz w:val="24"/>
        </w:rPr>
        <w:t xml:space="preserve">: </w:t>
      </w:r>
      <w:r w:rsidR="00E05902" w:rsidRPr="00223A4E">
        <w:rPr>
          <w:rFonts w:ascii="Times New Roman" w:hAnsi="Times New Roman" w:cs="Times New Roman"/>
          <w:sz w:val="24"/>
        </w:rPr>
        <w:t xml:space="preserve">Shell needs to continue with its hybrid business-level strategy and its corporate-level strategy of related diversification. The hybrid method is essential since even as the energy shift intensifies, the IEA estimates that petrochemicals will take up almost half of the growth in oil demand to 2050 and Shell provides the cash flow of the operations, reaching 42.9 billion, to finance its repositioning strategy (IEA, </w:t>
      </w:r>
      <w:r w:rsidR="008638C6" w:rsidRPr="00223A4E">
        <w:rPr>
          <w:rFonts w:ascii="Times New Roman" w:hAnsi="Times New Roman" w:cs="Times New Roman"/>
          <w:sz w:val="24"/>
        </w:rPr>
        <w:t>2018; Shell, 2025</w:t>
      </w:r>
      <w:r w:rsidR="00E05902" w:rsidRPr="00223A4E">
        <w:rPr>
          <w:rFonts w:ascii="Times New Roman" w:hAnsi="Times New Roman" w:cs="Times New Roman"/>
          <w:sz w:val="24"/>
        </w:rPr>
        <w:t>). That diversification into low-carbon technologies is not only a possibility but a need due to the environmental pressures that are present and the fact that, in a business-as-usual scenario, the emissions produced by the chemical industry will be many times higher than what is needed to restrict warming to 1.5degC (Zero Carbon Analytics, 2024</w:t>
      </w:r>
      <w:r w:rsidR="00C46B25" w:rsidRPr="00223A4E">
        <w:rPr>
          <w:rFonts w:ascii="Times New Roman" w:hAnsi="Times New Roman" w:cs="Times New Roman"/>
        </w:rPr>
        <w:t>; Gössling and Humpe, 2020).</w:t>
      </w:r>
      <w:r w:rsidR="00E05902" w:rsidRPr="00223A4E">
        <w:rPr>
          <w:rFonts w:ascii="Times New Roman" w:hAnsi="Times New Roman" w:cs="Times New Roman"/>
          <w:sz w:val="24"/>
        </w:rPr>
        <w:t>). Shell can develop a sustainable competitive advantage in the decarbonising world by combining its financial ability with technological innovation</w:t>
      </w:r>
      <w:r w:rsidRPr="00223A4E">
        <w:rPr>
          <w:rFonts w:ascii="Times New Roman" w:hAnsi="Times New Roman" w:cs="Times New Roman"/>
          <w:sz w:val="24"/>
        </w:rPr>
        <w:t>.</w:t>
      </w:r>
    </w:p>
    <w:p w14:paraId="27D3A998" w14:textId="77777777" w:rsidR="00A50C53" w:rsidRPr="00223A4E" w:rsidRDefault="00F43A9B" w:rsidP="00F43A9B">
      <w:pPr>
        <w:pStyle w:val="Heading2"/>
        <w:rPr>
          <w:rFonts w:ascii="Times New Roman" w:hAnsi="Times New Roman" w:cs="Times New Roman"/>
        </w:rPr>
      </w:pPr>
      <w:bookmarkStart w:id="14" w:name="_Toc225479811"/>
      <w:r w:rsidRPr="00223A4E">
        <w:rPr>
          <w:rFonts w:ascii="Times New Roman" w:hAnsi="Times New Roman" w:cs="Times New Roman"/>
        </w:rPr>
        <w:t>5.2</w:t>
      </w:r>
      <w:r w:rsidR="00A50C53" w:rsidRPr="00223A4E">
        <w:rPr>
          <w:rFonts w:ascii="Times New Roman" w:hAnsi="Times New Roman" w:cs="Times New Roman"/>
        </w:rPr>
        <w:t xml:space="preserve"> Assessment of Change Management and Strategic Implementation</w:t>
      </w:r>
      <w:bookmarkEnd w:id="14"/>
    </w:p>
    <w:p w14:paraId="7E1DFC2A" w14:textId="77777777" w:rsidR="00E05902" w:rsidRPr="00223A4E" w:rsidRDefault="00E05902" w:rsidP="00A50C53">
      <w:pPr>
        <w:spacing w:line="360" w:lineRule="auto"/>
        <w:jc w:val="both"/>
        <w:rPr>
          <w:rFonts w:ascii="Times New Roman" w:hAnsi="Times New Roman" w:cs="Times New Roman"/>
          <w:sz w:val="24"/>
        </w:rPr>
      </w:pPr>
      <w:r w:rsidRPr="00223A4E">
        <w:rPr>
          <w:rFonts w:ascii="Times New Roman" w:hAnsi="Times New Roman" w:cs="Times New Roman"/>
          <w:sz w:val="24"/>
        </w:rPr>
        <w:t>Shell has exhibited a considerable ability to handle change, however, the process is equally complex</w:t>
      </w:r>
      <w:r w:rsidR="00C46B25" w:rsidRPr="00223A4E">
        <w:rPr>
          <w:rFonts w:ascii="Times New Roman" w:hAnsi="Times New Roman" w:cs="Times New Roman"/>
          <w:sz w:val="24"/>
        </w:rPr>
        <w:t xml:space="preserve"> </w:t>
      </w:r>
      <w:r w:rsidR="00C46B25" w:rsidRPr="00223A4E">
        <w:rPr>
          <w:rFonts w:ascii="Times New Roman" w:hAnsi="Times New Roman" w:cs="Times New Roman"/>
        </w:rPr>
        <w:t>(Kotter, 1996; Burnes, 2017)</w:t>
      </w:r>
      <w:r w:rsidRPr="00223A4E">
        <w:rPr>
          <w:rFonts w:ascii="Times New Roman" w:hAnsi="Times New Roman" w:cs="Times New Roman"/>
          <w:sz w:val="24"/>
        </w:rPr>
        <w:t>. Its strategic practise can be followed by the fact that the company has alread</w:t>
      </w:r>
      <w:r w:rsidR="008638C6" w:rsidRPr="00223A4E">
        <w:rPr>
          <w:rFonts w:ascii="Times New Roman" w:hAnsi="Times New Roman" w:cs="Times New Roman"/>
          <w:sz w:val="24"/>
        </w:rPr>
        <w:t xml:space="preserve">y reported having made 73% </w:t>
      </w:r>
      <w:r w:rsidRPr="00223A4E">
        <w:rPr>
          <w:rFonts w:ascii="Times New Roman" w:hAnsi="Times New Roman" w:cs="Times New Roman"/>
          <w:sz w:val="24"/>
        </w:rPr>
        <w:t>of the way to the 2030 target of reducing its emissions, through its tangible efforts to reduce its current lev</w:t>
      </w:r>
      <w:r w:rsidR="008638C6" w:rsidRPr="00223A4E">
        <w:rPr>
          <w:rFonts w:ascii="Times New Roman" w:hAnsi="Times New Roman" w:cs="Times New Roman"/>
          <w:sz w:val="24"/>
        </w:rPr>
        <w:t>el of Scope 1 and 2 emissions (</w:t>
      </w:r>
      <w:r w:rsidRPr="00223A4E">
        <w:rPr>
          <w:rFonts w:ascii="Times New Roman" w:hAnsi="Times New Roman" w:cs="Times New Roman"/>
          <w:sz w:val="24"/>
        </w:rPr>
        <w:t>Shell, 2025e). This implies that there is an efficient internal change management, which entails entrenching new environmental goals in the business practises. Additionally, its ability to reduce its intensity of methane emissions to 0.04 percent and do away with regular flaring of its upstream business demonstrates an aptitude to introduce complicated technical and cu</w:t>
      </w:r>
      <w:r w:rsidR="008638C6" w:rsidRPr="00223A4E">
        <w:rPr>
          <w:rFonts w:ascii="Times New Roman" w:hAnsi="Times New Roman" w:cs="Times New Roman"/>
          <w:sz w:val="24"/>
        </w:rPr>
        <w:t>ltural adjustments (Shell, 2025</w:t>
      </w:r>
      <w:r w:rsidR="00C46B25" w:rsidRPr="00223A4E">
        <w:rPr>
          <w:rFonts w:ascii="Times New Roman" w:hAnsi="Times New Roman" w:cs="Times New Roman"/>
        </w:rPr>
        <w:t xml:space="preserve"> ; Burnes, 2017</w:t>
      </w:r>
      <w:r w:rsidRPr="00223A4E">
        <w:rPr>
          <w:rFonts w:ascii="Times New Roman" w:hAnsi="Times New Roman" w:cs="Times New Roman"/>
          <w:sz w:val="24"/>
        </w:rPr>
        <w:t xml:space="preserve">). </w:t>
      </w:r>
    </w:p>
    <w:p w14:paraId="5F5FD031" w14:textId="77777777" w:rsidR="00FB4539" w:rsidRPr="00223A4E" w:rsidRDefault="00E05902" w:rsidP="00A50C53">
      <w:pPr>
        <w:spacing w:line="360" w:lineRule="auto"/>
        <w:jc w:val="both"/>
        <w:rPr>
          <w:rFonts w:ascii="Times New Roman" w:hAnsi="Times New Roman" w:cs="Times New Roman"/>
          <w:sz w:val="24"/>
          <w:lang w:val="en-US"/>
        </w:rPr>
      </w:pPr>
      <w:r w:rsidRPr="00223A4E">
        <w:rPr>
          <w:rFonts w:ascii="Times New Roman" w:hAnsi="Times New Roman" w:cs="Times New Roman"/>
          <w:sz w:val="24"/>
        </w:rPr>
        <w:t>However, the effect of its enactment is fundamentally equal to the magnitude of the issue</w:t>
      </w:r>
      <w:r w:rsidR="001E708F" w:rsidRPr="00223A4E">
        <w:rPr>
          <w:rFonts w:ascii="Times New Roman" w:hAnsi="Times New Roman" w:cs="Times New Roman"/>
          <w:sz w:val="24"/>
        </w:rPr>
        <w:t xml:space="preserve"> </w:t>
      </w:r>
      <w:r w:rsidR="001E708F" w:rsidRPr="00223A4E">
        <w:rPr>
          <w:rFonts w:ascii="Times New Roman" w:hAnsi="Times New Roman" w:cs="Times New Roman"/>
        </w:rPr>
        <w:t>(Geels, 2014)</w:t>
      </w:r>
      <w:r w:rsidRPr="00223A4E">
        <w:rPr>
          <w:rFonts w:ascii="Times New Roman" w:hAnsi="Times New Roman" w:cs="Times New Roman"/>
          <w:sz w:val="24"/>
        </w:rPr>
        <w:t>. Only 9% of the net carbon intensity of the company has decreased since 2016, showing that it is challenging to cut Scope 3 emissions, which are emissions of customers wh</w:t>
      </w:r>
      <w:r w:rsidR="008638C6" w:rsidRPr="00223A4E">
        <w:rPr>
          <w:rFonts w:ascii="Times New Roman" w:hAnsi="Times New Roman" w:cs="Times New Roman"/>
          <w:sz w:val="24"/>
        </w:rPr>
        <w:t>o use its products (Shell, 2025</w:t>
      </w:r>
      <w:r w:rsidRPr="00223A4E">
        <w:rPr>
          <w:rFonts w:ascii="Times New Roman" w:hAnsi="Times New Roman" w:cs="Times New Roman"/>
          <w:sz w:val="24"/>
        </w:rPr>
        <w:t>). This is inherently a contradiction in its change management: it aims to turn a capital-intensive, internationally connected energy firm, but at the same time, it is able to make distributions to shareholders to the tun</w:t>
      </w:r>
      <w:r w:rsidR="008638C6" w:rsidRPr="00223A4E">
        <w:rPr>
          <w:rFonts w:ascii="Times New Roman" w:hAnsi="Times New Roman" w:cs="Times New Roman"/>
          <w:sz w:val="24"/>
        </w:rPr>
        <w:t>e of $22.4 billion (Shell, 2025</w:t>
      </w:r>
      <w:r w:rsidRPr="00223A4E">
        <w:rPr>
          <w:rFonts w:ascii="Times New Roman" w:hAnsi="Times New Roman" w:cs="Times New Roman"/>
          <w:sz w:val="24"/>
        </w:rPr>
        <w:t xml:space="preserve">). The strategic issue that Shell has accepted is how to balance the risks of operating in the volatile geopolitical and </w:t>
      </w:r>
      <w:r w:rsidR="008638C6" w:rsidRPr="00223A4E">
        <w:rPr>
          <w:rFonts w:ascii="Times New Roman" w:hAnsi="Times New Roman" w:cs="Times New Roman"/>
          <w:sz w:val="24"/>
        </w:rPr>
        <w:t>economic</w:t>
      </w:r>
      <w:r w:rsidRPr="00223A4E">
        <w:rPr>
          <w:rFonts w:ascii="Times New Roman" w:hAnsi="Times New Roman" w:cs="Times New Roman"/>
          <w:sz w:val="24"/>
        </w:rPr>
        <w:t xml:space="preserve"> environment to make progress in the pace of the</w:t>
      </w:r>
      <w:r w:rsidR="008638C6" w:rsidRPr="00223A4E">
        <w:rPr>
          <w:rFonts w:ascii="Times New Roman" w:hAnsi="Times New Roman" w:cs="Times New Roman"/>
          <w:sz w:val="24"/>
        </w:rPr>
        <w:t xml:space="preserve"> energy transition (Shell, 2025</w:t>
      </w:r>
      <w:r w:rsidRPr="00223A4E">
        <w:rPr>
          <w:rFonts w:ascii="Times New Roman" w:hAnsi="Times New Roman" w:cs="Times New Roman"/>
          <w:sz w:val="24"/>
        </w:rPr>
        <w:t>). Even though it is on the right track, its change management will be tested by how quickly it can make this transition with regard to its 2050 net-zero ambition which is beyond its current planning horizon (Shell, 2025).</w:t>
      </w:r>
      <w:r w:rsidR="00900D98" w:rsidRPr="00223A4E">
        <w:rPr>
          <w:rFonts w:ascii="Times New Roman" w:hAnsi="Times New Roman" w:cs="Times New Roman"/>
          <w:sz w:val="24"/>
        </w:rPr>
        <w:t xml:space="preserve"> </w:t>
      </w:r>
    </w:p>
    <w:p w14:paraId="79C2C815" w14:textId="77777777" w:rsidR="002B1450" w:rsidRPr="00223A4E" w:rsidRDefault="002B1450" w:rsidP="009E37D1">
      <w:pPr>
        <w:pStyle w:val="Heading2"/>
        <w:numPr>
          <w:ilvl w:val="0"/>
          <w:numId w:val="14"/>
        </w:numPr>
        <w:rPr>
          <w:rFonts w:ascii="Times New Roman" w:hAnsi="Times New Roman" w:cs="Times New Roman"/>
          <w:lang w:val="en-US"/>
        </w:rPr>
      </w:pPr>
      <w:bookmarkStart w:id="15" w:name="_Toc225479812"/>
      <w:r w:rsidRPr="00223A4E">
        <w:rPr>
          <w:rFonts w:ascii="Times New Roman" w:hAnsi="Times New Roman" w:cs="Times New Roman"/>
          <w:lang w:val="en-US"/>
        </w:rPr>
        <w:t>Strategic Evaluation and Recommendations</w:t>
      </w:r>
      <w:bookmarkEnd w:id="15"/>
    </w:p>
    <w:p w14:paraId="4082B721" w14:textId="77777777" w:rsidR="004E7352" w:rsidRPr="00223A4E" w:rsidRDefault="00F43A9B" w:rsidP="00F43A9B">
      <w:pPr>
        <w:pStyle w:val="Heading2"/>
        <w:rPr>
          <w:rFonts w:ascii="Times New Roman" w:hAnsi="Times New Roman" w:cs="Times New Roman"/>
        </w:rPr>
      </w:pPr>
      <w:bookmarkStart w:id="16" w:name="_Toc225479813"/>
      <w:r w:rsidRPr="00223A4E">
        <w:rPr>
          <w:rFonts w:ascii="Times New Roman" w:hAnsi="Times New Roman" w:cs="Times New Roman"/>
        </w:rPr>
        <w:t xml:space="preserve">6.1 </w:t>
      </w:r>
      <w:r w:rsidR="004E7352" w:rsidRPr="00223A4E">
        <w:rPr>
          <w:rFonts w:ascii="Times New Roman" w:hAnsi="Times New Roman" w:cs="Times New Roman"/>
        </w:rPr>
        <w:t>Critical Evaluation of Current Strategy</w:t>
      </w:r>
      <w:bookmarkEnd w:id="16"/>
    </w:p>
    <w:p w14:paraId="71B83D3C" w14:textId="77777777" w:rsidR="004E7352" w:rsidRPr="00223A4E" w:rsidRDefault="006E62C2" w:rsidP="004E7352">
      <w:pPr>
        <w:spacing w:line="360" w:lineRule="auto"/>
        <w:jc w:val="both"/>
        <w:rPr>
          <w:rFonts w:ascii="Times New Roman" w:hAnsi="Times New Roman" w:cs="Times New Roman"/>
          <w:sz w:val="24"/>
        </w:rPr>
      </w:pPr>
      <w:r w:rsidRPr="00223A4E">
        <w:rPr>
          <w:rFonts w:ascii="Times New Roman" w:hAnsi="Times New Roman" w:cs="Times New Roman"/>
          <w:b/>
          <w:sz w:val="24"/>
        </w:rPr>
        <w:t>A SWOT analysis</w:t>
      </w:r>
      <w:r w:rsidRPr="00223A4E">
        <w:rPr>
          <w:rFonts w:ascii="Times New Roman" w:hAnsi="Times New Roman" w:cs="Times New Roman"/>
          <w:sz w:val="24"/>
        </w:rPr>
        <w:t xml:space="preserve"> gives a model on which to critically analyse the current strategic position of Shell</w:t>
      </w:r>
      <w:r w:rsidR="0074751C" w:rsidRPr="00223A4E">
        <w:rPr>
          <w:rFonts w:ascii="Times New Roman" w:hAnsi="Times New Roman" w:cs="Times New Roman"/>
          <w:sz w:val="24"/>
        </w:rPr>
        <w:t xml:space="preserve"> </w:t>
      </w:r>
      <w:r w:rsidR="0074751C" w:rsidRPr="00223A4E">
        <w:rPr>
          <w:rFonts w:ascii="Times New Roman" w:hAnsi="Times New Roman" w:cs="Times New Roman"/>
        </w:rPr>
        <w:t>(Helms and Nixon, 2010)</w:t>
      </w:r>
      <w:r w:rsidRPr="00223A4E">
        <w:rPr>
          <w:rFonts w:ascii="Times New Roman" w:hAnsi="Times New Roman" w:cs="Times New Roman"/>
          <w:sz w:val="24"/>
        </w:rPr>
        <w:t>. The company strengths are strong: the financial assets of the company are tremendous and have 42.9 billion in cash flow over operations, a global built-in value chain that made operations in more than 70 countries, and an established technological capacity with 1.2 billion annual R and D investm</w:t>
      </w:r>
      <w:r w:rsidR="008638C6" w:rsidRPr="00223A4E">
        <w:rPr>
          <w:rFonts w:ascii="Times New Roman" w:hAnsi="Times New Roman" w:cs="Times New Roman"/>
          <w:sz w:val="24"/>
        </w:rPr>
        <w:t>ents (Shell, 2025</w:t>
      </w:r>
      <w:r w:rsidRPr="00223A4E">
        <w:rPr>
          <w:rFonts w:ascii="Times New Roman" w:hAnsi="Times New Roman" w:cs="Times New Roman"/>
          <w:sz w:val="24"/>
        </w:rPr>
        <w:t>). Its weaknesses are the inability to simply cut Scope 3 emissions by showing only 9% of the net carbon intensity reduction since 2016 and the strategic conflict between making the energy transition and paying a dividend of 22.4 billion dollars to the shareholders (Shell, 2025).</w:t>
      </w:r>
    </w:p>
    <w:p w14:paraId="4412153E" w14:textId="77777777" w:rsidR="004E7352" w:rsidRPr="00223A4E" w:rsidRDefault="004E7352" w:rsidP="004E7352">
      <w:pPr>
        <w:spacing w:line="360" w:lineRule="auto"/>
        <w:jc w:val="both"/>
        <w:rPr>
          <w:rFonts w:ascii="Times New Roman" w:hAnsi="Times New Roman" w:cs="Times New Roman"/>
          <w:sz w:val="24"/>
        </w:rPr>
      </w:pPr>
      <w:r w:rsidRPr="00223A4E">
        <w:rPr>
          <w:rFonts w:ascii="Times New Roman" w:hAnsi="Times New Roman" w:cs="Times New Roman"/>
          <w:sz w:val="24"/>
        </w:rPr>
        <w:t>The opportunities for Shell lie in the accelerating global energy transition</w:t>
      </w:r>
      <w:r w:rsidR="007D62A1" w:rsidRPr="00223A4E">
        <w:rPr>
          <w:rFonts w:ascii="Times New Roman" w:hAnsi="Times New Roman" w:cs="Times New Roman"/>
          <w:sz w:val="24"/>
        </w:rPr>
        <w:t xml:space="preserve"> </w:t>
      </w:r>
      <w:r w:rsidR="007D62A1" w:rsidRPr="00223A4E">
        <w:rPr>
          <w:rFonts w:ascii="Times New Roman" w:hAnsi="Times New Roman" w:cs="Times New Roman"/>
        </w:rPr>
        <w:t>(Geels, 2014)</w:t>
      </w:r>
      <w:r w:rsidRPr="00223A4E">
        <w:rPr>
          <w:rFonts w:ascii="Times New Roman" w:hAnsi="Times New Roman" w:cs="Times New Roman"/>
          <w:sz w:val="24"/>
        </w:rPr>
        <w:t xml:space="preserve">. </w:t>
      </w:r>
      <w:r w:rsidR="00873166" w:rsidRPr="00223A4E">
        <w:rPr>
          <w:rFonts w:ascii="Times New Roman" w:hAnsi="Times New Roman" w:cs="Times New Roman"/>
          <w:sz w:val="24"/>
        </w:rPr>
        <w:t>According to IEA, petrochemica</w:t>
      </w:r>
      <w:r w:rsidR="008638C6" w:rsidRPr="00223A4E">
        <w:rPr>
          <w:rFonts w:ascii="Times New Roman" w:hAnsi="Times New Roman" w:cs="Times New Roman"/>
          <w:sz w:val="24"/>
        </w:rPr>
        <w:t xml:space="preserve">ls will contribute to almost 50% </w:t>
      </w:r>
      <w:r w:rsidR="00873166" w:rsidRPr="00223A4E">
        <w:rPr>
          <w:rFonts w:ascii="Times New Roman" w:hAnsi="Times New Roman" w:cs="Times New Roman"/>
          <w:sz w:val="24"/>
        </w:rPr>
        <w:t>of oil demand growth by 2050, which is a growth opportunity to its do</w:t>
      </w:r>
      <w:r w:rsidR="008638C6" w:rsidRPr="00223A4E">
        <w:rPr>
          <w:rFonts w:ascii="Times New Roman" w:hAnsi="Times New Roman" w:cs="Times New Roman"/>
          <w:sz w:val="24"/>
        </w:rPr>
        <w:t>wnstream business (IEA, 2018</w:t>
      </w:r>
      <w:r w:rsidR="00873166" w:rsidRPr="00223A4E">
        <w:rPr>
          <w:rFonts w:ascii="Times New Roman" w:hAnsi="Times New Roman" w:cs="Times New Roman"/>
          <w:sz w:val="24"/>
        </w:rPr>
        <w:t xml:space="preserve">). At the same time, the great necessity to decarbonise sectors that cannot be readily abated has supplied Shell with a market to market its low-carbon products, such as the carbon capture, utilisation and storage (CCUS), which the IEA considers an especially lucrative opportunity of the </w:t>
      </w:r>
      <w:r w:rsidR="008638C6" w:rsidRPr="00223A4E">
        <w:rPr>
          <w:rFonts w:ascii="Times New Roman" w:hAnsi="Times New Roman" w:cs="Times New Roman"/>
          <w:sz w:val="24"/>
        </w:rPr>
        <w:t>chemical industry (IEA, 2018</w:t>
      </w:r>
      <w:r w:rsidR="00873166" w:rsidRPr="00223A4E">
        <w:rPr>
          <w:rFonts w:ascii="Times New Roman" w:hAnsi="Times New Roman" w:cs="Times New Roman"/>
          <w:sz w:val="24"/>
        </w:rPr>
        <w:t>). The risks are significant: strong competition of low-cost manufacturers in the US and Middle East, geopolitical unrest, and the increased environmental and social scrutiny of petrochemical products, in particular plastics, which contributes to 10 million tonnes of the plastic waste leaking into th</w:t>
      </w:r>
      <w:r w:rsidR="008638C6" w:rsidRPr="00223A4E">
        <w:rPr>
          <w:rFonts w:ascii="Times New Roman" w:hAnsi="Times New Roman" w:cs="Times New Roman"/>
          <w:sz w:val="24"/>
        </w:rPr>
        <w:t>e oceans every year (IEA, 2018</w:t>
      </w:r>
      <w:r w:rsidR="00873166" w:rsidRPr="00223A4E">
        <w:rPr>
          <w:rFonts w:ascii="Times New Roman" w:hAnsi="Times New Roman" w:cs="Times New Roman"/>
          <w:sz w:val="24"/>
        </w:rPr>
        <w:t>; Zero Carbon Analytics, 2024</w:t>
      </w:r>
      <w:r w:rsidR="00E52BFC" w:rsidRPr="00223A4E">
        <w:rPr>
          <w:rFonts w:ascii="Times New Roman" w:hAnsi="Times New Roman" w:cs="Times New Roman"/>
          <w:sz w:val="24"/>
        </w:rPr>
        <w:t>;</w:t>
      </w:r>
      <w:r w:rsidR="00E52BFC" w:rsidRPr="00223A4E">
        <w:rPr>
          <w:rFonts w:ascii="Times New Roman" w:hAnsi="Times New Roman" w:cs="Times New Roman"/>
        </w:rPr>
        <w:t xml:space="preserve"> Geyer et al., 2017</w:t>
      </w:r>
      <w:r w:rsidR="00873166" w:rsidRPr="00223A4E">
        <w:rPr>
          <w:rFonts w:ascii="Times New Roman" w:hAnsi="Times New Roman" w:cs="Times New Roman"/>
          <w:sz w:val="24"/>
        </w:rPr>
        <w:t>).</w:t>
      </w:r>
    </w:p>
    <w:p w14:paraId="04C5BB53" w14:textId="77777777" w:rsidR="004E7352" w:rsidRPr="00223A4E" w:rsidRDefault="00106DEF" w:rsidP="004E7352">
      <w:pPr>
        <w:spacing w:line="360" w:lineRule="auto"/>
        <w:jc w:val="both"/>
        <w:rPr>
          <w:rFonts w:ascii="Times New Roman" w:hAnsi="Times New Roman" w:cs="Times New Roman"/>
          <w:sz w:val="24"/>
        </w:rPr>
      </w:pPr>
      <w:r w:rsidRPr="00223A4E">
        <w:rPr>
          <w:rFonts w:ascii="Times New Roman" w:hAnsi="Times New Roman" w:cs="Times New Roman"/>
          <w:b/>
          <w:sz w:val="24"/>
        </w:rPr>
        <w:t>Ansoff’s Matrix:</w:t>
      </w:r>
      <w:r w:rsidRPr="00223A4E">
        <w:rPr>
          <w:rFonts w:ascii="Times New Roman" w:hAnsi="Times New Roman" w:cs="Times New Roman"/>
          <w:sz w:val="24"/>
        </w:rPr>
        <w:t xml:space="preserve"> The present core strategy of Shell by both applying the Matrix of Ansoff is largely based on a mixture of market penetration in the core oil and gas sector and diversification in low-carbon energy</w:t>
      </w:r>
      <w:r w:rsidR="00E52BFC" w:rsidRPr="00223A4E">
        <w:rPr>
          <w:rFonts w:ascii="Times New Roman" w:hAnsi="Times New Roman" w:cs="Times New Roman"/>
          <w:sz w:val="24"/>
        </w:rPr>
        <w:t xml:space="preserve"> </w:t>
      </w:r>
      <w:r w:rsidR="00E52BFC" w:rsidRPr="00223A4E">
        <w:rPr>
          <w:rFonts w:ascii="Times New Roman" w:hAnsi="Times New Roman" w:cs="Times New Roman"/>
        </w:rPr>
        <w:t>(Ansoff, 1957)</w:t>
      </w:r>
      <w:r w:rsidRPr="00223A4E">
        <w:rPr>
          <w:rFonts w:ascii="Times New Roman" w:hAnsi="Times New Roman" w:cs="Times New Roman"/>
          <w:sz w:val="24"/>
        </w:rPr>
        <w:t>. The latter can be seen in its development of electric vehicle charging, which has 88,000 public charge points, and its focus on decarbonis</w:t>
      </w:r>
      <w:r w:rsidR="008638C6" w:rsidRPr="00223A4E">
        <w:rPr>
          <w:rFonts w:ascii="Times New Roman" w:hAnsi="Times New Roman" w:cs="Times New Roman"/>
          <w:sz w:val="24"/>
        </w:rPr>
        <w:t>ation technologies (Shell, 2025</w:t>
      </w:r>
      <w:r w:rsidRPr="00223A4E">
        <w:rPr>
          <w:rFonts w:ascii="Times New Roman" w:hAnsi="Times New Roman" w:cs="Times New Roman"/>
          <w:sz w:val="24"/>
        </w:rPr>
        <w:t>). BCG Matrix would probably categorise the traditional Shell oil and gas business as cash cows, which has the stable cash flow (42.9 billion) to support its question marks the emerging low-carbon businesses which demand large-scale investment to reac</w:t>
      </w:r>
      <w:r w:rsidR="008638C6" w:rsidRPr="00223A4E">
        <w:rPr>
          <w:rFonts w:ascii="Times New Roman" w:hAnsi="Times New Roman" w:cs="Times New Roman"/>
          <w:sz w:val="24"/>
        </w:rPr>
        <w:t>h scale and market leadership (</w:t>
      </w:r>
      <w:r w:rsidRPr="00223A4E">
        <w:rPr>
          <w:rFonts w:ascii="Times New Roman" w:hAnsi="Times New Roman" w:cs="Times New Roman"/>
          <w:sz w:val="24"/>
        </w:rPr>
        <w:t>Shell, 2025).</w:t>
      </w:r>
    </w:p>
    <w:p w14:paraId="30B023CA" w14:textId="77777777" w:rsidR="004E7352" w:rsidRPr="00223A4E" w:rsidRDefault="00F43A9B" w:rsidP="00F43A9B">
      <w:pPr>
        <w:pStyle w:val="Heading2"/>
        <w:rPr>
          <w:rFonts w:ascii="Times New Roman" w:hAnsi="Times New Roman" w:cs="Times New Roman"/>
        </w:rPr>
      </w:pPr>
      <w:bookmarkStart w:id="17" w:name="_Toc225479814"/>
      <w:r w:rsidRPr="00223A4E">
        <w:rPr>
          <w:rFonts w:ascii="Times New Roman" w:hAnsi="Times New Roman" w:cs="Times New Roman"/>
        </w:rPr>
        <w:t>6.2</w:t>
      </w:r>
      <w:r w:rsidR="004E7352" w:rsidRPr="00223A4E">
        <w:rPr>
          <w:rFonts w:ascii="Times New Roman" w:hAnsi="Times New Roman" w:cs="Times New Roman"/>
        </w:rPr>
        <w:t xml:space="preserve"> Recommendations for Strategic Improvement</w:t>
      </w:r>
      <w:bookmarkEnd w:id="17"/>
    </w:p>
    <w:p w14:paraId="7059BE8B" w14:textId="77777777" w:rsidR="004E7352" w:rsidRPr="00223A4E" w:rsidRDefault="00A57291" w:rsidP="004E7352">
      <w:pPr>
        <w:spacing w:line="360" w:lineRule="auto"/>
        <w:jc w:val="both"/>
        <w:rPr>
          <w:rFonts w:ascii="Times New Roman" w:hAnsi="Times New Roman" w:cs="Times New Roman"/>
          <w:sz w:val="24"/>
        </w:rPr>
      </w:pPr>
      <w:r w:rsidRPr="00223A4E">
        <w:rPr>
          <w:rFonts w:ascii="Times New Roman" w:hAnsi="Times New Roman" w:cs="Times New Roman"/>
          <w:sz w:val="24"/>
        </w:rPr>
        <w:t>Shell ought to embrace three strategic recommendations that are interrelated to retain and improve its competitive advantage</w:t>
      </w:r>
      <w:r w:rsidR="004E7352" w:rsidRPr="00223A4E">
        <w:rPr>
          <w:rFonts w:ascii="Times New Roman" w:hAnsi="Times New Roman" w:cs="Times New Roman"/>
          <w:sz w:val="24"/>
        </w:rPr>
        <w:t>.</w:t>
      </w:r>
    </w:p>
    <w:p w14:paraId="3DEFC33F" w14:textId="77777777" w:rsidR="004E7352" w:rsidRPr="00223A4E" w:rsidRDefault="004E7352" w:rsidP="004E7352">
      <w:pPr>
        <w:spacing w:line="360" w:lineRule="auto"/>
        <w:jc w:val="both"/>
        <w:rPr>
          <w:rFonts w:ascii="Times New Roman" w:hAnsi="Times New Roman" w:cs="Times New Roman"/>
          <w:sz w:val="24"/>
        </w:rPr>
      </w:pPr>
    </w:p>
    <w:p w14:paraId="32221F2E" w14:textId="77777777" w:rsidR="004E7352" w:rsidRPr="00223A4E" w:rsidRDefault="004E7352" w:rsidP="004E7352">
      <w:pPr>
        <w:spacing w:line="360" w:lineRule="auto"/>
        <w:jc w:val="both"/>
        <w:rPr>
          <w:rFonts w:ascii="Times New Roman" w:hAnsi="Times New Roman" w:cs="Times New Roman"/>
          <w:sz w:val="24"/>
        </w:rPr>
      </w:pPr>
      <w:r w:rsidRPr="00223A4E">
        <w:rPr>
          <w:rFonts w:ascii="Times New Roman" w:hAnsi="Times New Roman" w:cs="Times New Roman"/>
          <w:sz w:val="24"/>
        </w:rPr>
        <w:t xml:space="preserve">First, </w:t>
      </w:r>
      <w:r w:rsidR="00A57291" w:rsidRPr="00223A4E">
        <w:rPr>
          <w:rFonts w:ascii="Times New Roman" w:hAnsi="Times New Roman" w:cs="Times New Roman"/>
          <w:sz w:val="24"/>
        </w:rPr>
        <w:t xml:space="preserve">increase the time of switching to a more integrated low-carbon energy portfolio. Although Shell has been doing well, the fact that the net carbon intensity decreased by 9% since 2016 shows that they </w:t>
      </w:r>
      <w:r w:rsidR="008638C6" w:rsidRPr="00223A4E">
        <w:rPr>
          <w:rFonts w:ascii="Times New Roman" w:hAnsi="Times New Roman" w:cs="Times New Roman"/>
          <w:sz w:val="24"/>
        </w:rPr>
        <w:t>need a faster pace (Shell, 2025</w:t>
      </w:r>
      <w:r w:rsidR="00A57291" w:rsidRPr="00223A4E">
        <w:rPr>
          <w:rFonts w:ascii="Times New Roman" w:hAnsi="Times New Roman" w:cs="Times New Roman"/>
          <w:sz w:val="24"/>
        </w:rPr>
        <w:t>). The company needs to invest more in scalable low-carbon technologies, and CCUS in particular, chemical sector has one of the most cost-effect</w:t>
      </w:r>
      <w:r w:rsidR="008638C6" w:rsidRPr="00223A4E">
        <w:rPr>
          <w:rFonts w:ascii="Times New Roman" w:hAnsi="Times New Roman" w:cs="Times New Roman"/>
          <w:sz w:val="24"/>
        </w:rPr>
        <w:t>ive opportunities (IEA, 2018</w:t>
      </w:r>
      <w:r w:rsidR="00A57291" w:rsidRPr="00223A4E">
        <w:rPr>
          <w:rFonts w:ascii="Times New Roman" w:hAnsi="Times New Roman" w:cs="Times New Roman"/>
          <w:sz w:val="24"/>
        </w:rPr>
        <w:t xml:space="preserve">). This is in line with the similar diversification approach by </w:t>
      </w:r>
      <w:r w:rsidR="00A57291" w:rsidRPr="00223A4E">
        <w:rPr>
          <w:rFonts w:ascii="Times New Roman" w:hAnsi="Times New Roman" w:cs="Times New Roman"/>
          <w:b/>
          <w:sz w:val="24"/>
        </w:rPr>
        <w:t>Ansoff</w:t>
      </w:r>
      <w:r w:rsidR="00A57291" w:rsidRPr="00223A4E">
        <w:rPr>
          <w:rFonts w:ascii="Times New Roman" w:hAnsi="Times New Roman" w:cs="Times New Roman"/>
          <w:sz w:val="24"/>
        </w:rPr>
        <w:t>, the use of existing strengths in project management on a large scale to develop new business lines.</w:t>
      </w:r>
    </w:p>
    <w:p w14:paraId="6212F2A3" w14:textId="77777777" w:rsidR="00EB09A7" w:rsidRPr="00223A4E" w:rsidRDefault="00A57291" w:rsidP="004E7352">
      <w:pPr>
        <w:spacing w:line="360" w:lineRule="auto"/>
        <w:jc w:val="both"/>
        <w:rPr>
          <w:rFonts w:ascii="Times New Roman" w:hAnsi="Times New Roman" w:cs="Times New Roman"/>
          <w:sz w:val="24"/>
          <w:lang w:val="en-US"/>
        </w:rPr>
      </w:pPr>
      <w:r w:rsidRPr="00223A4E">
        <w:rPr>
          <w:rFonts w:ascii="Times New Roman" w:hAnsi="Times New Roman" w:cs="Times New Roman"/>
          <w:sz w:val="24"/>
        </w:rPr>
        <w:t>Second, embrace a circular economy approach to its petrochemical business. Since 63 percent of the petrochemical production (without fertilisers) is plastics, and only 9 percent of the world recycles them, Shell can benefit strategically (Zero Carbon Analytics, 2024). The company ought to come up with high goals of utilising higher levels of recycled content in its products and invest in new recycling technologies</w:t>
      </w:r>
      <w:r w:rsidR="00E52BFC" w:rsidRPr="00223A4E">
        <w:rPr>
          <w:rFonts w:ascii="Times New Roman" w:hAnsi="Times New Roman" w:cs="Times New Roman"/>
          <w:sz w:val="24"/>
        </w:rPr>
        <w:t xml:space="preserve"> </w:t>
      </w:r>
      <w:r w:rsidR="00E52BFC" w:rsidRPr="00223A4E">
        <w:rPr>
          <w:rFonts w:ascii="Times New Roman" w:hAnsi="Times New Roman" w:cs="Times New Roman"/>
        </w:rPr>
        <w:t>(Geissdoerfer et al., 2017)</w:t>
      </w:r>
      <w:r w:rsidRPr="00223A4E">
        <w:rPr>
          <w:rFonts w:ascii="Times New Roman" w:hAnsi="Times New Roman" w:cs="Times New Roman"/>
          <w:sz w:val="24"/>
        </w:rPr>
        <w:t>. The VRIO analysis conducted in Section 2 supports this recommendation because a genuinely circular supply chain would be worth value, uncommon, and hard to replicate and create a long-term competitive advantage. Third, institutionalise a bilateral strategic management with the BCG Matrix principles. Shell must clearly deal with its old oil and gas properties as cash cows, controlling them towards efficiency and minimising costs as shown by its structural cost savin</w:t>
      </w:r>
      <w:r w:rsidR="008638C6" w:rsidRPr="00223A4E">
        <w:rPr>
          <w:rFonts w:ascii="Times New Roman" w:hAnsi="Times New Roman" w:cs="Times New Roman"/>
          <w:sz w:val="24"/>
        </w:rPr>
        <w:t>gs of $5.1 billion (Shell, 2025</w:t>
      </w:r>
      <w:r w:rsidRPr="00223A4E">
        <w:rPr>
          <w:rFonts w:ascii="Times New Roman" w:hAnsi="Times New Roman" w:cs="Times New Roman"/>
          <w:sz w:val="24"/>
        </w:rPr>
        <w:t>). At the same time, it must be prepared to run its low-carbon businesses as emerging stars, willing to take low short-term returns to invest aggressively and increase market share. The strategy would contribute to overcoming the strategic dilemma between present payoffs and future transition so that the financial capability of the company is strategically used to affirm its competitive position in a decarbonising world.</w:t>
      </w:r>
    </w:p>
    <w:p w14:paraId="0BF349A2" w14:textId="77777777" w:rsidR="006334D6" w:rsidRPr="00223A4E" w:rsidRDefault="006334D6" w:rsidP="008638C6">
      <w:pPr>
        <w:pStyle w:val="Heading1"/>
        <w:shd w:val="clear" w:color="auto" w:fill="FFFF00"/>
        <w:rPr>
          <w:rFonts w:ascii="Times New Roman" w:hAnsi="Times New Roman" w:cs="Times New Roman"/>
        </w:rPr>
      </w:pPr>
      <w:bookmarkStart w:id="18" w:name="_Toc225479815"/>
      <w:r w:rsidRPr="00223A4E">
        <w:rPr>
          <w:rFonts w:ascii="Times New Roman" w:hAnsi="Times New Roman" w:cs="Times New Roman"/>
        </w:rPr>
        <w:t>Section 2</w:t>
      </w:r>
      <w:bookmarkEnd w:id="18"/>
    </w:p>
    <w:p w14:paraId="0F5C8D58" w14:textId="77777777" w:rsidR="00FC5113" w:rsidRPr="00223A4E" w:rsidRDefault="00FC5113" w:rsidP="009E37D1">
      <w:pPr>
        <w:pStyle w:val="Heading1"/>
        <w:numPr>
          <w:ilvl w:val="0"/>
          <w:numId w:val="14"/>
        </w:numPr>
        <w:rPr>
          <w:rFonts w:ascii="Times New Roman" w:hAnsi="Times New Roman" w:cs="Times New Roman"/>
          <w:lang w:val="en-US"/>
        </w:rPr>
      </w:pPr>
      <w:bookmarkStart w:id="19" w:name="_Toc225479816"/>
      <w:r w:rsidRPr="00223A4E">
        <w:rPr>
          <w:rFonts w:ascii="Times New Roman" w:hAnsi="Times New Roman" w:cs="Times New Roman"/>
          <w:lang w:val="en-US"/>
        </w:rPr>
        <w:t>Reflective Account: R</w:t>
      </w:r>
      <w:r w:rsidR="00E86145" w:rsidRPr="00223A4E">
        <w:rPr>
          <w:rFonts w:ascii="Times New Roman" w:hAnsi="Times New Roman" w:cs="Times New Roman"/>
          <w:lang w:val="en-US"/>
        </w:rPr>
        <w:t>esearching and Analyz</w:t>
      </w:r>
      <w:r w:rsidRPr="00223A4E">
        <w:rPr>
          <w:rFonts w:ascii="Times New Roman" w:hAnsi="Times New Roman" w:cs="Times New Roman"/>
          <w:lang w:val="en-US"/>
        </w:rPr>
        <w:t xml:space="preserve">ing </w:t>
      </w:r>
      <w:r w:rsidR="006540E2" w:rsidRPr="00223A4E">
        <w:rPr>
          <w:rFonts w:ascii="Times New Roman" w:hAnsi="Times New Roman" w:cs="Times New Roman"/>
          <w:lang w:val="en-US"/>
        </w:rPr>
        <w:t>Shell PLC</w:t>
      </w:r>
      <w:r w:rsidRPr="00223A4E">
        <w:rPr>
          <w:rFonts w:ascii="Times New Roman" w:hAnsi="Times New Roman" w:cs="Times New Roman"/>
          <w:lang w:val="en-US"/>
        </w:rPr>
        <w:t xml:space="preserve"> Strategic Environment</w:t>
      </w:r>
      <w:bookmarkEnd w:id="19"/>
    </w:p>
    <w:p w14:paraId="6CA71300" w14:textId="77777777" w:rsidR="002B0EE8" w:rsidRPr="00223A4E" w:rsidRDefault="002B0EE8" w:rsidP="002B0EE8">
      <w:pPr>
        <w:spacing w:line="360" w:lineRule="auto"/>
        <w:jc w:val="both"/>
        <w:rPr>
          <w:rFonts w:ascii="Times New Roman" w:hAnsi="Times New Roman" w:cs="Times New Roman"/>
          <w:sz w:val="24"/>
        </w:rPr>
      </w:pPr>
      <w:r w:rsidRPr="00223A4E">
        <w:rPr>
          <w:rFonts w:ascii="Times New Roman" w:hAnsi="Times New Roman" w:cs="Times New Roman"/>
          <w:sz w:val="24"/>
        </w:rPr>
        <w:t>This reflection if based on the Gibbs’ Reflective Cycle (1988)</w:t>
      </w:r>
      <w:r w:rsidR="002B31EB" w:rsidRPr="00223A4E">
        <w:rPr>
          <w:rFonts w:ascii="Times New Roman" w:hAnsi="Times New Roman" w:cs="Times New Roman"/>
          <w:sz w:val="24"/>
        </w:rPr>
        <w:t xml:space="preserve"> as shown in the below figure</w:t>
      </w:r>
      <w:r w:rsidRPr="00223A4E">
        <w:rPr>
          <w:rFonts w:ascii="Times New Roman" w:hAnsi="Times New Roman" w:cs="Times New Roman"/>
          <w:sz w:val="24"/>
        </w:rPr>
        <w:t>. The detail is below</w:t>
      </w:r>
      <w:r w:rsidR="00221FE4" w:rsidRPr="00223A4E">
        <w:rPr>
          <w:rFonts w:ascii="Times New Roman" w:hAnsi="Times New Roman" w:cs="Times New Roman"/>
          <w:sz w:val="24"/>
        </w:rPr>
        <w:t xml:space="preserve"> </w:t>
      </w:r>
      <w:r w:rsidR="00221FE4" w:rsidRPr="00223A4E">
        <w:rPr>
          <w:rFonts w:ascii="Times New Roman" w:hAnsi="Times New Roman" w:cs="Times New Roman"/>
        </w:rPr>
        <w:t>(Adeani et al., 2020; Ghaye, 2022)</w:t>
      </w:r>
      <w:r w:rsidRPr="00223A4E">
        <w:rPr>
          <w:rFonts w:ascii="Times New Roman" w:hAnsi="Times New Roman" w:cs="Times New Roman"/>
          <w:sz w:val="24"/>
        </w:rPr>
        <w:t>;</w:t>
      </w:r>
    </w:p>
    <w:p w14:paraId="6090E361" w14:textId="77777777" w:rsidR="005D4023" w:rsidRPr="00223A4E" w:rsidRDefault="005D4023">
      <w:pPr>
        <w:rPr>
          <w:rFonts w:ascii="Times New Roman" w:hAnsi="Times New Roman" w:cs="Times New Roman"/>
          <w:b/>
          <w:bCs/>
          <w:sz w:val="24"/>
          <w:lang w:val="en-US"/>
        </w:rPr>
      </w:pPr>
      <w:r w:rsidRPr="00223A4E">
        <w:rPr>
          <w:rFonts w:ascii="Times New Roman" w:hAnsi="Times New Roman" w:cs="Times New Roman"/>
          <w:b/>
          <w:bCs/>
          <w:sz w:val="24"/>
          <w:lang w:val="en-US"/>
        </w:rPr>
        <w:br w:type="page"/>
      </w:r>
    </w:p>
    <w:p w14:paraId="316FEE29" w14:textId="77777777" w:rsidR="00FC5113" w:rsidRPr="00223A4E" w:rsidRDefault="00FC5113" w:rsidP="00FC5113">
      <w:pPr>
        <w:spacing w:line="360" w:lineRule="auto"/>
        <w:jc w:val="both"/>
        <w:rPr>
          <w:rFonts w:ascii="Times New Roman" w:hAnsi="Times New Roman" w:cs="Times New Roman"/>
          <w:b/>
          <w:bCs/>
          <w:sz w:val="24"/>
          <w:lang w:val="en-US"/>
        </w:rPr>
      </w:pPr>
      <w:r w:rsidRPr="00223A4E">
        <w:rPr>
          <w:rFonts w:ascii="Times New Roman" w:hAnsi="Times New Roman" w:cs="Times New Roman"/>
          <w:b/>
          <w:bCs/>
          <w:sz w:val="24"/>
          <w:lang w:val="en-US"/>
        </w:rPr>
        <w:t>Description</w:t>
      </w:r>
    </w:p>
    <w:p w14:paraId="2E106048" w14:textId="77777777" w:rsidR="00806BAA" w:rsidRPr="00223A4E" w:rsidRDefault="00806BAA" w:rsidP="00806BAA">
      <w:pPr>
        <w:spacing w:line="360" w:lineRule="auto"/>
        <w:jc w:val="both"/>
        <w:rPr>
          <w:rFonts w:ascii="Times New Roman" w:hAnsi="Times New Roman" w:cs="Times New Roman"/>
          <w:sz w:val="24"/>
          <w:lang w:val="en-US"/>
        </w:rPr>
      </w:pPr>
      <w:r w:rsidRPr="00223A4E">
        <w:rPr>
          <w:rFonts w:ascii="Times New Roman" w:hAnsi="Times New Roman" w:cs="Times New Roman"/>
          <w:sz w:val="24"/>
          <w:lang w:val="en-US"/>
        </w:rPr>
        <w:t xml:space="preserve">The </w:t>
      </w:r>
      <w:r w:rsidR="00855EB1" w:rsidRPr="00223A4E">
        <w:rPr>
          <w:rFonts w:ascii="Times New Roman" w:hAnsi="Times New Roman" w:cs="Times New Roman"/>
          <w:sz w:val="24"/>
        </w:rPr>
        <w:t>he assignment involved a complete strategic analysis of Shell which included external analysis in form of PESTEL analysis, internal analysis in form of VRIO analysis, analysis of CSR alignment, Balanced Scorecard, strategic choice analysis and concluding recommendations</w:t>
      </w:r>
      <w:r w:rsidR="00AC1AC3" w:rsidRPr="00223A4E">
        <w:rPr>
          <w:rFonts w:ascii="Times New Roman" w:hAnsi="Times New Roman" w:cs="Times New Roman"/>
          <w:sz w:val="24"/>
        </w:rPr>
        <w:t xml:space="preserve"> </w:t>
      </w:r>
      <w:r w:rsidR="00AC1AC3" w:rsidRPr="00223A4E">
        <w:rPr>
          <w:rFonts w:ascii="Times New Roman" w:hAnsi="Times New Roman" w:cs="Times New Roman"/>
        </w:rPr>
        <w:t>(Yüksel, 2012; Islami et al., 2020)</w:t>
      </w:r>
      <w:r w:rsidR="00855EB1" w:rsidRPr="00223A4E">
        <w:rPr>
          <w:rFonts w:ascii="Times New Roman" w:hAnsi="Times New Roman" w:cs="Times New Roman"/>
          <w:sz w:val="24"/>
        </w:rPr>
        <w:t>. I have started by methodically going through the given Shell sourc</w:t>
      </w:r>
      <w:r w:rsidR="008638C6" w:rsidRPr="00223A4E">
        <w:rPr>
          <w:rFonts w:ascii="Times New Roman" w:hAnsi="Times New Roman" w:cs="Times New Roman"/>
          <w:sz w:val="24"/>
        </w:rPr>
        <w:t>es, such as Shell at a Glance (</w:t>
      </w:r>
      <w:r w:rsidR="00855EB1" w:rsidRPr="00223A4E">
        <w:rPr>
          <w:rFonts w:ascii="Times New Roman" w:hAnsi="Times New Roman" w:cs="Times New Roman"/>
          <w:sz w:val="24"/>
        </w:rPr>
        <w:t>Shell, 2025</w:t>
      </w:r>
      <w:r w:rsidR="008638C6" w:rsidRPr="00223A4E">
        <w:rPr>
          <w:rFonts w:ascii="Times New Roman" w:hAnsi="Times New Roman" w:cs="Times New Roman"/>
          <w:sz w:val="24"/>
        </w:rPr>
        <w:t>) and Who We Are ( Shell, 2025</w:t>
      </w:r>
      <w:r w:rsidR="00855EB1" w:rsidRPr="00223A4E">
        <w:rPr>
          <w:rFonts w:ascii="Times New Roman" w:hAnsi="Times New Roman" w:cs="Times New Roman"/>
          <w:sz w:val="24"/>
        </w:rPr>
        <w:t>) pages, to get background information on its activities, finances and values. At the same time, I examined the industry documents of the IEA (2009; 2018) and Zero Carbon Analytics (2024) to put Shell in the context of the petrochemical and energy environment, deriving certain statistics on emissions, plastic waste, and industry trends</w:t>
      </w:r>
      <w:r w:rsidR="00AC1AC3" w:rsidRPr="00223A4E">
        <w:rPr>
          <w:rFonts w:ascii="Times New Roman" w:hAnsi="Times New Roman" w:cs="Times New Roman"/>
          <w:sz w:val="24"/>
        </w:rPr>
        <w:t xml:space="preserve"> </w:t>
      </w:r>
      <w:r w:rsidR="00AC1AC3" w:rsidRPr="00223A4E">
        <w:rPr>
          <w:rFonts w:ascii="Times New Roman" w:hAnsi="Times New Roman" w:cs="Times New Roman"/>
        </w:rPr>
        <w:t>(Gössling and Humpe, 2020; IEA, 2023)</w:t>
      </w:r>
      <w:r w:rsidR="00855EB1" w:rsidRPr="00223A4E">
        <w:rPr>
          <w:rFonts w:ascii="Times New Roman" w:hAnsi="Times New Roman" w:cs="Times New Roman"/>
          <w:sz w:val="24"/>
        </w:rPr>
        <w:t>.</w:t>
      </w:r>
    </w:p>
    <w:p w14:paraId="454A6546" w14:textId="77777777" w:rsidR="00806BAA" w:rsidRPr="00223A4E" w:rsidRDefault="00806BAA" w:rsidP="00806BAA">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Feelings:</w:t>
      </w:r>
      <w:r w:rsidRPr="00223A4E">
        <w:rPr>
          <w:rFonts w:ascii="Times New Roman" w:hAnsi="Times New Roman" w:cs="Times New Roman"/>
          <w:sz w:val="24"/>
          <w:lang w:val="en-US"/>
        </w:rPr>
        <w:t xml:space="preserve"> Initially, </w:t>
      </w:r>
      <w:r w:rsidR="00855EB1" w:rsidRPr="00223A4E">
        <w:rPr>
          <w:rFonts w:ascii="Times New Roman" w:hAnsi="Times New Roman" w:cs="Times New Roman"/>
          <w:sz w:val="24"/>
        </w:rPr>
        <w:t>I experienced was a feeling of being overwhelmed with the amount of data presented especially the thick technical information in the IEA (2009) article on chemical processes. There existed some anxiety of how to combine such elaborate statistics of the industry with data peculiar to Shell with the controlling analytical integrity. Nevertheless, I felt clarity in this as I started to classify information in the PESTEL and VRIO frameworks</w:t>
      </w:r>
      <w:r w:rsidR="00782584" w:rsidRPr="00223A4E">
        <w:rPr>
          <w:rFonts w:ascii="Times New Roman" w:hAnsi="Times New Roman" w:cs="Times New Roman"/>
          <w:sz w:val="24"/>
        </w:rPr>
        <w:t xml:space="preserve"> </w:t>
      </w:r>
      <w:r w:rsidR="00782584" w:rsidRPr="00223A4E">
        <w:rPr>
          <w:rFonts w:ascii="Times New Roman" w:hAnsi="Times New Roman" w:cs="Times New Roman"/>
        </w:rPr>
        <w:t>(Yüksel, 2012)</w:t>
      </w:r>
      <w:r w:rsidR="00855EB1" w:rsidRPr="00223A4E">
        <w:rPr>
          <w:rFonts w:ascii="Times New Roman" w:hAnsi="Times New Roman" w:cs="Times New Roman"/>
          <w:sz w:val="24"/>
        </w:rPr>
        <w:t>. I felt more assured with direct association o</w:t>
      </w:r>
      <w:r w:rsidR="00C77F3A" w:rsidRPr="00223A4E">
        <w:rPr>
          <w:rFonts w:ascii="Times New Roman" w:hAnsi="Times New Roman" w:cs="Times New Roman"/>
          <w:sz w:val="24"/>
        </w:rPr>
        <w:t xml:space="preserve">f global statistic, like the 14% </w:t>
      </w:r>
      <w:r w:rsidR="00855EB1" w:rsidRPr="00223A4E">
        <w:rPr>
          <w:rFonts w:ascii="Times New Roman" w:hAnsi="Times New Roman" w:cs="Times New Roman"/>
          <w:sz w:val="24"/>
        </w:rPr>
        <w:t>finding by the IEA that th</w:t>
      </w:r>
      <w:r w:rsidR="008638C6" w:rsidRPr="00223A4E">
        <w:rPr>
          <w:rFonts w:ascii="Times New Roman" w:hAnsi="Times New Roman" w:cs="Times New Roman"/>
          <w:sz w:val="24"/>
        </w:rPr>
        <w:t xml:space="preserve">e chemical industry consumes 14% </w:t>
      </w:r>
      <w:r w:rsidR="00855EB1" w:rsidRPr="00223A4E">
        <w:rPr>
          <w:rFonts w:ascii="Times New Roman" w:hAnsi="Times New Roman" w:cs="Times New Roman"/>
          <w:sz w:val="24"/>
        </w:rPr>
        <w:t>of al</w:t>
      </w:r>
      <w:r w:rsidR="008638C6" w:rsidRPr="00223A4E">
        <w:rPr>
          <w:rFonts w:ascii="Times New Roman" w:hAnsi="Times New Roman" w:cs="Times New Roman"/>
          <w:sz w:val="24"/>
        </w:rPr>
        <w:t>l oil worldwide (IEA, 2018</w:t>
      </w:r>
      <w:r w:rsidR="00855EB1" w:rsidRPr="00223A4E">
        <w:rPr>
          <w:rFonts w:ascii="Times New Roman" w:hAnsi="Times New Roman" w:cs="Times New Roman"/>
          <w:sz w:val="24"/>
        </w:rPr>
        <w:t>), with a particular Shell strategic challenge or resource.</w:t>
      </w:r>
    </w:p>
    <w:p w14:paraId="521C1455" w14:textId="77777777" w:rsidR="00806BAA" w:rsidRPr="00223A4E" w:rsidRDefault="00806BAA" w:rsidP="00806BAA">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Evaluation:</w:t>
      </w:r>
      <w:r w:rsidRPr="00223A4E">
        <w:rPr>
          <w:rFonts w:ascii="Times New Roman" w:hAnsi="Times New Roman" w:cs="Times New Roman"/>
          <w:sz w:val="24"/>
          <w:lang w:val="en-US"/>
        </w:rPr>
        <w:t> </w:t>
      </w:r>
      <w:r w:rsidR="003E255D" w:rsidRPr="00223A4E">
        <w:rPr>
          <w:rFonts w:ascii="Times New Roman" w:hAnsi="Times New Roman" w:cs="Times New Roman"/>
          <w:sz w:val="24"/>
        </w:rPr>
        <w:t>The best aspect of the process was that the PESTEL framework was used to organise the external analysis</w:t>
      </w:r>
      <w:r w:rsidR="00EB7CE4" w:rsidRPr="00223A4E">
        <w:rPr>
          <w:rFonts w:ascii="Times New Roman" w:hAnsi="Times New Roman" w:cs="Times New Roman"/>
          <w:sz w:val="24"/>
        </w:rPr>
        <w:t xml:space="preserve"> </w:t>
      </w:r>
      <w:r w:rsidR="00EB7CE4" w:rsidRPr="00223A4E">
        <w:rPr>
          <w:rFonts w:ascii="Times New Roman" w:hAnsi="Times New Roman" w:cs="Times New Roman"/>
        </w:rPr>
        <w:t>(Yüksel, 2012; Perera, 2017)</w:t>
      </w:r>
      <w:r w:rsidR="003E255D" w:rsidRPr="00223A4E">
        <w:rPr>
          <w:rFonts w:ascii="Times New Roman" w:hAnsi="Times New Roman" w:cs="Times New Roman"/>
          <w:sz w:val="24"/>
        </w:rPr>
        <w:t>. It compelled the methodical review of the sources, so I would not have neglected such crucial aspects as the presence of political risks (Shell, 2025b) or technol</w:t>
      </w:r>
      <w:r w:rsidR="008638C6" w:rsidRPr="00223A4E">
        <w:rPr>
          <w:rFonts w:ascii="Times New Roman" w:hAnsi="Times New Roman" w:cs="Times New Roman"/>
          <w:sz w:val="24"/>
        </w:rPr>
        <w:t>ogical investments (Shell, 2025</w:t>
      </w:r>
      <w:r w:rsidR="003E255D" w:rsidRPr="00223A4E">
        <w:rPr>
          <w:rFonts w:ascii="Times New Roman" w:hAnsi="Times New Roman" w:cs="Times New Roman"/>
          <w:sz w:val="24"/>
        </w:rPr>
        <w:t>). The VRIO framework proved to be extremely fruitful in turning all of the listed resources of Shell such as it</w:t>
      </w:r>
      <w:r w:rsidR="008638C6" w:rsidRPr="00223A4E">
        <w:rPr>
          <w:rFonts w:ascii="Times New Roman" w:hAnsi="Times New Roman" w:cs="Times New Roman"/>
          <w:sz w:val="24"/>
        </w:rPr>
        <w:t>s 85,000 employees (Shell, 2025</w:t>
      </w:r>
      <w:r w:rsidR="003E255D" w:rsidRPr="00223A4E">
        <w:rPr>
          <w:rFonts w:ascii="Times New Roman" w:hAnsi="Times New Roman" w:cs="Times New Roman"/>
          <w:sz w:val="24"/>
        </w:rPr>
        <w:t>) and its investment in R&amp;D amounti</w:t>
      </w:r>
      <w:r w:rsidR="008638C6" w:rsidRPr="00223A4E">
        <w:rPr>
          <w:rFonts w:ascii="Times New Roman" w:hAnsi="Times New Roman" w:cs="Times New Roman"/>
          <w:sz w:val="24"/>
        </w:rPr>
        <w:t>ng to $1.2 billion (Shell, 2025</w:t>
      </w:r>
      <w:r w:rsidR="003E255D" w:rsidRPr="00223A4E">
        <w:rPr>
          <w:rFonts w:ascii="Times New Roman" w:hAnsi="Times New Roman" w:cs="Times New Roman"/>
          <w:sz w:val="24"/>
        </w:rPr>
        <w:t>) into the credible argument about the continued competitive advantage. The primary difficulty was to combine the information of the sources that have different dates, i.e., the 2009 paper of IEA and the 2025 annual report of Shell, and to make the analysis up-to-date and recent</w:t>
      </w:r>
      <w:r w:rsidR="00EC19F8" w:rsidRPr="00223A4E">
        <w:rPr>
          <w:rFonts w:ascii="Times New Roman" w:hAnsi="Times New Roman" w:cs="Times New Roman"/>
          <w:sz w:val="24"/>
        </w:rPr>
        <w:t xml:space="preserve"> </w:t>
      </w:r>
      <w:r w:rsidR="00EC19F8" w:rsidRPr="00223A4E">
        <w:rPr>
          <w:rFonts w:ascii="Times New Roman" w:hAnsi="Times New Roman" w:cs="Times New Roman"/>
        </w:rPr>
        <w:t>(Tranfield et al., 2003)</w:t>
      </w:r>
      <w:r w:rsidR="003E255D" w:rsidRPr="00223A4E">
        <w:rPr>
          <w:rFonts w:ascii="Times New Roman" w:hAnsi="Times New Roman" w:cs="Times New Roman"/>
          <w:sz w:val="24"/>
        </w:rPr>
        <w:t>. It was also challenging to locate certain and named models such as PESTEL or VRIO specifically on the given links and had to apply the theoretical framework to the raw data that I had gathered</w:t>
      </w:r>
      <w:r w:rsidRPr="00223A4E">
        <w:rPr>
          <w:rFonts w:ascii="Times New Roman" w:hAnsi="Times New Roman" w:cs="Times New Roman"/>
          <w:sz w:val="24"/>
          <w:lang w:val="en-US"/>
        </w:rPr>
        <w:t>.</w:t>
      </w:r>
    </w:p>
    <w:p w14:paraId="1A44DBEB" w14:textId="77777777" w:rsidR="00806BAA" w:rsidRPr="00223A4E" w:rsidRDefault="00806BAA" w:rsidP="00806BAA">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Analysis:</w:t>
      </w:r>
      <w:r w:rsidRPr="00223A4E">
        <w:rPr>
          <w:rFonts w:ascii="Times New Roman" w:hAnsi="Times New Roman" w:cs="Times New Roman"/>
          <w:sz w:val="24"/>
          <w:lang w:val="en-US"/>
        </w:rPr>
        <w:t> </w:t>
      </w:r>
      <w:r w:rsidR="003E255D" w:rsidRPr="00223A4E">
        <w:rPr>
          <w:rFonts w:ascii="Times New Roman" w:hAnsi="Times New Roman" w:cs="Times New Roman"/>
          <w:sz w:val="24"/>
        </w:rPr>
        <w:t>The essence of the analysis consisted in interpreting the information in the form of linking the outside pressure to the inside potential. F</w:t>
      </w:r>
      <w:r w:rsidR="00CC39FA" w:rsidRPr="00223A4E">
        <w:rPr>
          <w:rFonts w:ascii="Times New Roman" w:hAnsi="Times New Roman" w:cs="Times New Roman"/>
          <w:sz w:val="24"/>
        </w:rPr>
        <w:t>or example, the IEA's (2018</w:t>
      </w:r>
      <w:r w:rsidR="003E255D" w:rsidRPr="00223A4E">
        <w:rPr>
          <w:rFonts w:ascii="Times New Roman" w:hAnsi="Times New Roman" w:cs="Times New Roman"/>
          <w:sz w:val="24"/>
        </w:rPr>
        <w:t>) my study of the internal R&amp;D investmen</w:t>
      </w:r>
      <w:r w:rsidR="00F41A67" w:rsidRPr="00223A4E">
        <w:rPr>
          <w:rFonts w:ascii="Times New Roman" w:hAnsi="Times New Roman" w:cs="Times New Roman"/>
          <w:sz w:val="24"/>
        </w:rPr>
        <w:t>t of decarbonisation at Shell (</w:t>
      </w:r>
      <w:r w:rsidR="003E255D" w:rsidRPr="00223A4E">
        <w:rPr>
          <w:rFonts w:ascii="Times New Roman" w:hAnsi="Times New Roman" w:cs="Times New Roman"/>
          <w:sz w:val="24"/>
        </w:rPr>
        <w:t>Shell inve</w:t>
      </w:r>
      <w:r w:rsidR="006811AA" w:rsidRPr="00223A4E">
        <w:rPr>
          <w:rFonts w:ascii="Times New Roman" w:hAnsi="Times New Roman" w:cs="Times New Roman"/>
          <w:sz w:val="24"/>
        </w:rPr>
        <w:t>stment in decarbonisation, 2025</w:t>
      </w:r>
      <w:r w:rsidR="003E255D" w:rsidRPr="00223A4E">
        <w:rPr>
          <w:rFonts w:ascii="Times New Roman" w:hAnsi="Times New Roman" w:cs="Times New Roman"/>
          <w:sz w:val="24"/>
        </w:rPr>
        <w:t>) was directly informed by the concept of CCUS as a cost-efficient opportunity in the chemical sector</w:t>
      </w:r>
      <w:r w:rsidR="00E863B1" w:rsidRPr="00223A4E">
        <w:rPr>
          <w:rFonts w:ascii="Times New Roman" w:hAnsi="Times New Roman" w:cs="Times New Roman"/>
          <w:sz w:val="24"/>
        </w:rPr>
        <w:t xml:space="preserve"> </w:t>
      </w:r>
      <w:r w:rsidR="00E863B1" w:rsidRPr="00223A4E">
        <w:rPr>
          <w:rFonts w:ascii="Times New Roman" w:hAnsi="Times New Roman" w:cs="Times New Roman"/>
        </w:rPr>
        <w:t>(IEA, 2018; Hepburn et al., 2019)</w:t>
      </w:r>
      <w:r w:rsidR="003E255D" w:rsidRPr="00223A4E">
        <w:rPr>
          <w:rFonts w:ascii="Times New Roman" w:hAnsi="Times New Roman" w:cs="Times New Roman"/>
          <w:sz w:val="24"/>
        </w:rPr>
        <w:t>. It was this association which enabled me to contend that Shell has not only technological capability but also has a strategic need to have such capability. On the same note, the report on the plastic waste and health impact by Zero Carbon Analytics (2024) offered the external context in which the internal Shell packaging s</w:t>
      </w:r>
      <w:r w:rsidR="00356FE1" w:rsidRPr="00223A4E">
        <w:rPr>
          <w:rFonts w:ascii="Times New Roman" w:hAnsi="Times New Roman" w:cs="Times New Roman"/>
          <w:sz w:val="24"/>
        </w:rPr>
        <w:t xml:space="preserve">ustainability programme (99% </w:t>
      </w:r>
      <w:r w:rsidR="003E255D" w:rsidRPr="00223A4E">
        <w:rPr>
          <w:rFonts w:ascii="Times New Roman" w:hAnsi="Times New Roman" w:cs="Times New Roman"/>
          <w:sz w:val="24"/>
        </w:rPr>
        <w:t>reusable or recyclable) could be cr</w:t>
      </w:r>
      <w:r w:rsidR="008638C6" w:rsidRPr="00223A4E">
        <w:rPr>
          <w:rFonts w:ascii="Times New Roman" w:hAnsi="Times New Roman" w:cs="Times New Roman"/>
          <w:sz w:val="24"/>
        </w:rPr>
        <w:t>itically assessed ( Shell, 2025</w:t>
      </w:r>
      <w:r w:rsidR="003E255D" w:rsidRPr="00223A4E">
        <w:rPr>
          <w:rFonts w:ascii="Times New Roman" w:hAnsi="Times New Roman" w:cs="Times New Roman"/>
          <w:sz w:val="24"/>
        </w:rPr>
        <w:t xml:space="preserve">). </w:t>
      </w:r>
      <w:r w:rsidR="009A1763" w:rsidRPr="00223A4E">
        <w:rPr>
          <w:rFonts w:ascii="Times New Roman" w:hAnsi="Times New Roman" w:cs="Times New Roman"/>
          <w:sz w:val="24"/>
        </w:rPr>
        <w:t>This analytical step transformed raw data into strategic insight.</w:t>
      </w:r>
    </w:p>
    <w:p w14:paraId="5EB59472" w14:textId="77777777" w:rsidR="00806BAA" w:rsidRPr="00223A4E" w:rsidRDefault="00806BAA" w:rsidP="00806BAA">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Conclusion:</w:t>
      </w:r>
      <w:r w:rsidRPr="00223A4E">
        <w:rPr>
          <w:rFonts w:ascii="Times New Roman" w:hAnsi="Times New Roman" w:cs="Times New Roman"/>
          <w:sz w:val="24"/>
          <w:lang w:val="en-US"/>
        </w:rPr>
        <w:t> </w:t>
      </w:r>
      <w:r w:rsidR="003E255D" w:rsidRPr="00223A4E">
        <w:rPr>
          <w:rFonts w:ascii="Times New Roman" w:hAnsi="Times New Roman" w:cs="Times New Roman"/>
          <w:sz w:val="24"/>
        </w:rPr>
        <w:t>I also got to know that the quality of strategic analysis is highly determined by the capacity to integrate disparate sets of data into a coherent storey with the formulation of pre-existing models</w:t>
      </w:r>
      <w:r w:rsidR="00E863B1" w:rsidRPr="00223A4E">
        <w:rPr>
          <w:rFonts w:ascii="Times New Roman" w:hAnsi="Times New Roman" w:cs="Times New Roman"/>
          <w:sz w:val="24"/>
        </w:rPr>
        <w:t xml:space="preserve"> </w:t>
      </w:r>
      <w:r w:rsidR="00E863B1" w:rsidRPr="00223A4E">
        <w:rPr>
          <w:rFonts w:ascii="Times New Roman" w:hAnsi="Times New Roman" w:cs="Times New Roman"/>
        </w:rPr>
        <w:t>(Grant, 2019)</w:t>
      </w:r>
      <w:r w:rsidR="003E255D" w:rsidRPr="00223A4E">
        <w:rPr>
          <w:rFonts w:ascii="Times New Roman" w:hAnsi="Times New Roman" w:cs="Times New Roman"/>
          <w:sz w:val="24"/>
        </w:rPr>
        <w:t>. Such frameworks as PESTEL, VRIO, and the Balanced Scorecard are needed not only to provide the structure but also to demonstrate the causal relationships between the internal activities and the external environment of a company. I also realised that source management within the varying dates of publication is an important skill, and needs a judgement identification of the most reliable data on what is considered to be the foundation of the strategic decisions that are to be made</w:t>
      </w:r>
      <w:r w:rsidR="00462C38" w:rsidRPr="00223A4E">
        <w:rPr>
          <w:rFonts w:ascii="Times New Roman" w:hAnsi="Times New Roman" w:cs="Times New Roman"/>
          <w:sz w:val="24"/>
        </w:rPr>
        <w:t xml:space="preserve"> </w:t>
      </w:r>
      <w:r w:rsidR="00462C38" w:rsidRPr="00223A4E">
        <w:rPr>
          <w:rFonts w:ascii="Times New Roman" w:hAnsi="Times New Roman" w:cs="Times New Roman"/>
        </w:rPr>
        <w:t>(Tranfield et al., 2003)</w:t>
      </w:r>
      <w:r w:rsidR="003E255D" w:rsidRPr="00223A4E">
        <w:rPr>
          <w:rFonts w:ascii="Times New Roman" w:hAnsi="Times New Roman" w:cs="Times New Roman"/>
          <w:sz w:val="24"/>
        </w:rPr>
        <w:t>.</w:t>
      </w:r>
    </w:p>
    <w:p w14:paraId="770CBD97" w14:textId="77777777" w:rsidR="00FC5113" w:rsidRPr="00223A4E" w:rsidRDefault="00806BAA" w:rsidP="00FC5113">
      <w:pPr>
        <w:spacing w:line="360" w:lineRule="auto"/>
        <w:jc w:val="both"/>
        <w:rPr>
          <w:rFonts w:ascii="Times New Roman" w:hAnsi="Times New Roman" w:cs="Times New Roman"/>
          <w:sz w:val="24"/>
          <w:lang w:val="en-US"/>
        </w:rPr>
      </w:pPr>
      <w:r w:rsidRPr="00223A4E">
        <w:rPr>
          <w:rFonts w:ascii="Times New Roman" w:hAnsi="Times New Roman" w:cs="Times New Roman"/>
          <w:b/>
          <w:bCs/>
          <w:sz w:val="24"/>
          <w:lang w:val="en-US"/>
        </w:rPr>
        <w:t>Action Plan:</w:t>
      </w:r>
      <w:r w:rsidRPr="00223A4E">
        <w:rPr>
          <w:rFonts w:ascii="Times New Roman" w:hAnsi="Times New Roman" w:cs="Times New Roman"/>
          <w:sz w:val="24"/>
          <w:lang w:val="en-US"/>
        </w:rPr>
        <w:t xml:space="preserve"> For future assignments, </w:t>
      </w:r>
      <w:r w:rsidR="003E255D" w:rsidRPr="00223A4E">
        <w:rPr>
          <w:rFonts w:ascii="Times New Roman" w:hAnsi="Times New Roman" w:cs="Times New Roman"/>
          <w:sz w:val="24"/>
        </w:rPr>
        <w:t>I will start with mapping the offered sources to the necessary structures and then proceed to the reading in detail</w:t>
      </w:r>
      <w:r w:rsidR="00CB658A" w:rsidRPr="00223A4E">
        <w:rPr>
          <w:rFonts w:ascii="Times New Roman" w:hAnsi="Times New Roman" w:cs="Times New Roman"/>
          <w:sz w:val="24"/>
        </w:rPr>
        <w:t xml:space="preserve"> </w:t>
      </w:r>
      <w:r w:rsidR="00CB658A" w:rsidRPr="00223A4E">
        <w:rPr>
          <w:rFonts w:ascii="Times New Roman" w:hAnsi="Times New Roman" w:cs="Times New Roman"/>
        </w:rPr>
        <w:t>(Saunders et al., 2019)</w:t>
      </w:r>
      <w:r w:rsidR="003E255D" w:rsidRPr="00223A4E">
        <w:rPr>
          <w:rFonts w:ascii="Times New Roman" w:hAnsi="Times New Roman" w:cs="Times New Roman"/>
          <w:sz w:val="24"/>
        </w:rPr>
        <w:t>. I shall as well develop a roadmap of the incorporation of older, more basic industry reports with the most current information of companies so that the analysis will be both informed historically and strategically up-to-date</w:t>
      </w:r>
      <w:r w:rsidR="0019735B" w:rsidRPr="00223A4E">
        <w:rPr>
          <w:rFonts w:ascii="Times New Roman" w:hAnsi="Times New Roman" w:cs="Times New Roman"/>
          <w:sz w:val="24"/>
        </w:rPr>
        <w:t xml:space="preserve"> </w:t>
      </w:r>
      <w:r w:rsidR="0019735B" w:rsidRPr="00223A4E">
        <w:rPr>
          <w:rFonts w:ascii="Times New Roman" w:hAnsi="Times New Roman" w:cs="Times New Roman"/>
        </w:rPr>
        <w:t>(Gössling and Humpe, 2020)</w:t>
      </w:r>
      <w:r w:rsidR="003E255D" w:rsidRPr="00223A4E">
        <w:rPr>
          <w:rFonts w:ascii="Times New Roman" w:hAnsi="Times New Roman" w:cs="Times New Roman"/>
          <w:sz w:val="24"/>
        </w:rPr>
        <w:t>. Lastly, I will develop the habit of clearly stating and applying theoretical models to data during the initial stages of the process to make the analysis focused and theoretically based initially.</w:t>
      </w:r>
    </w:p>
    <w:p w14:paraId="3ED24470" w14:textId="77777777" w:rsidR="005A7207" w:rsidRPr="007E5C27" w:rsidRDefault="005A7207" w:rsidP="007E5C27">
      <w:pPr>
        <w:spacing w:line="360" w:lineRule="auto"/>
        <w:jc w:val="both"/>
        <w:rPr>
          <w:rFonts w:ascii="Times New Roman" w:hAnsi="Times New Roman" w:cs="Times New Roman"/>
          <w:sz w:val="24"/>
          <w:lang w:val="en-US"/>
        </w:rPr>
      </w:pPr>
    </w:p>
    <w:p w14:paraId="23985CD3" w14:textId="77777777" w:rsidR="00311AED" w:rsidRPr="00311AED" w:rsidRDefault="00311AED" w:rsidP="00311AED">
      <w:pPr>
        <w:spacing w:line="360" w:lineRule="auto"/>
        <w:jc w:val="both"/>
        <w:rPr>
          <w:rFonts w:ascii="Times New Roman" w:hAnsi="Times New Roman" w:cs="Times New Roman"/>
          <w:sz w:val="24"/>
          <w:lang w:val="en-US"/>
        </w:rPr>
      </w:pPr>
    </w:p>
    <w:p w14:paraId="272DBFDA" w14:textId="77777777" w:rsidR="00311AED" w:rsidRDefault="00311AED" w:rsidP="002E55AA">
      <w:pPr>
        <w:spacing w:line="360" w:lineRule="auto"/>
        <w:jc w:val="both"/>
        <w:rPr>
          <w:rFonts w:ascii="Times New Roman" w:hAnsi="Times New Roman" w:cs="Times New Roman"/>
          <w:sz w:val="24"/>
        </w:rPr>
      </w:pPr>
    </w:p>
    <w:p w14:paraId="2125E6B0" w14:textId="77777777" w:rsidR="002E55AA" w:rsidRPr="002E55AA" w:rsidRDefault="002E55AA" w:rsidP="002E55AA">
      <w:pPr>
        <w:spacing w:line="360" w:lineRule="auto"/>
        <w:jc w:val="both"/>
        <w:rPr>
          <w:rFonts w:ascii="Times New Roman" w:hAnsi="Times New Roman" w:cs="Times New Roman"/>
          <w:sz w:val="24"/>
          <w:lang w:val="en-US"/>
        </w:rPr>
      </w:pPr>
    </w:p>
    <w:p w14:paraId="460FB545" w14:textId="77777777" w:rsidR="00513965" w:rsidRPr="009225E6" w:rsidRDefault="00513965">
      <w:pPr>
        <w:rPr>
          <w:rFonts w:ascii="Times New Roman" w:eastAsiaTheme="majorEastAsia" w:hAnsi="Times New Roman" w:cs="Times New Roman"/>
          <w:b/>
          <w:bCs/>
          <w:color w:val="2E74B5" w:themeColor="accent1" w:themeShade="BF"/>
          <w:sz w:val="28"/>
          <w:szCs w:val="28"/>
        </w:rPr>
      </w:pPr>
      <w:r w:rsidRPr="009225E6">
        <w:rPr>
          <w:rFonts w:ascii="Times New Roman" w:hAnsi="Times New Roman" w:cs="Times New Roman"/>
        </w:rPr>
        <w:br w:type="page"/>
      </w:r>
    </w:p>
    <w:p w14:paraId="63A9EEE8" w14:textId="77777777" w:rsidR="008E3138" w:rsidRPr="009225E6" w:rsidRDefault="004561EB" w:rsidP="000B5FFF">
      <w:pPr>
        <w:pStyle w:val="Heading1"/>
        <w:jc w:val="both"/>
        <w:rPr>
          <w:rFonts w:ascii="Times New Roman" w:hAnsi="Times New Roman" w:cs="Times New Roman"/>
        </w:rPr>
      </w:pPr>
      <w:bookmarkStart w:id="20" w:name="_Toc225479817"/>
      <w:r w:rsidRPr="009225E6">
        <w:rPr>
          <w:rFonts w:ascii="Times New Roman" w:hAnsi="Times New Roman" w:cs="Times New Roman"/>
        </w:rPr>
        <w:t>References</w:t>
      </w:r>
      <w:bookmarkEnd w:id="20"/>
    </w:p>
    <w:p w14:paraId="093F2821" w14:textId="77777777" w:rsidR="00B67783" w:rsidRPr="00B67783" w:rsidRDefault="00B67783" w:rsidP="009645C8">
      <w:pPr>
        <w:pStyle w:val="NormalWeb"/>
        <w:numPr>
          <w:ilvl w:val="0"/>
          <w:numId w:val="16"/>
        </w:numPr>
        <w:spacing w:line="360" w:lineRule="auto"/>
      </w:pPr>
      <w:r w:rsidRPr="00B67783">
        <w:rPr>
          <w:lang w:val="en-GB"/>
        </w:rPr>
        <w:t xml:space="preserve">Ansoff, H.I. (1957) ‘Strategies for diversification’, </w:t>
      </w:r>
      <w:r w:rsidRPr="00B67783">
        <w:rPr>
          <w:i/>
          <w:iCs/>
          <w:lang w:val="en-GB"/>
        </w:rPr>
        <w:t>Harvard Business Review</w:t>
      </w:r>
      <w:r w:rsidRPr="00B67783">
        <w:rPr>
          <w:lang w:val="en-GB"/>
        </w:rPr>
        <w:t>, 35(5), pp. 113–124.</w:t>
      </w:r>
    </w:p>
    <w:p w14:paraId="56F33867" w14:textId="77777777" w:rsidR="00B67783" w:rsidRPr="00B67783" w:rsidRDefault="00B67783" w:rsidP="009645C8">
      <w:pPr>
        <w:pStyle w:val="NormalWeb"/>
        <w:numPr>
          <w:ilvl w:val="0"/>
          <w:numId w:val="16"/>
        </w:numPr>
        <w:spacing w:line="360" w:lineRule="auto"/>
      </w:pPr>
      <w:r w:rsidRPr="00B67783">
        <w:rPr>
          <w:lang w:val="en-GB"/>
        </w:rPr>
        <w:t xml:space="preserve">Barney, J. (1991) ‘Firm resources and sustained competitive advantage’, </w:t>
      </w:r>
      <w:r w:rsidRPr="00B67783">
        <w:rPr>
          <w:i/>
          <w:iCs/>
          <w:lang w:val="en-GB"/>
        </w:rPr>
        <w:t>Journal of Management</w:t>
      </w:r>
      <w:r w:rsidRPr="00B67783">
        <w:rPr>
          <w:lang w:val="en-GB"/>
        </w:rPr>
        <w:t>, 17(1), pp. 99–120.</w:t>
      </w:r>
    </w:p>
    <w:p w14:paraId="4BC7AD05" w14:textId="77777777" w:rsidR="00B67783" w:rsidRPr="00B67783" w:rsidRDefault="00B67783" w:rsidP="009645C8">
      <w:pPr>
        <w:pStyle w:val="NormalWeb"/>
        <w:numPr>
          <w:ilvl w:val="0"/>
          <w:numId w:val="16"/>
        </w:numPr>
        <w:spacing w:line="360" w:lineRule="auto"/>
      </w:pPr>
      <w:r w:rsidRPr="00B67783">
        <w:rPr>
          <w:lang w:val="en-GB"/>
        </w:rPr>
        <w:t xml:space="preserve">Burnes, B. (2017) </w:t>
      </w:r>
      <w:r w:rsidRPr="00B67783">
        <w:rPr>
          <w:i/>
          <w:iCs/>
          <w:lang w:val="en-GB"/>
        </w:rPr>
        <w:t>Managing change</w:t>
      </w:r>
      <w:r w:rsidRPr="00B67783">
        <w:rPr>
          <w:lang w:val="en-GB"/>
        </w:rPr>
        <w:t>. 7th edn. Harlow: Pearson.</w:t>
      </w:r>
    </w:p>
    <w:p w14:paraId="46457E58" w14:textId="77777777" w:rsidR="00B67783" w:rsidRPr="00B67783" w:rsidRDefault="00B67783" w:rsidP="009645C8">
      <w:pPr>
        <w:pStyle w:val="NormalWeb"/>
        <w:numPr>
          <w:ilvl w:val="0"/>
          <w:numId w:val="16"/>
        </w:numPr>
        <w:spacing w:line="360" w:lineRule="auto"/>
      </w:pPr>
      <w:r w:rsidRPr="00B67783">
        <w:rPr>
          <w:lang w:val="en-GB"/>
        </w:rPr>
        <w:t xml:space="preserve">Eisenhardt, K.M. and Martin, J.A. (2000) ‘Dynamic capabilities: What are they?’, </w:t>
      </w:r>
      <w:r w:rsidRPr="00B67783">
        <w:rPr>
          <w:i/>
          <w:iCs/>
          <w:lang w:val="en-GB"/>
        </w:rPr>
        <w:t>Strategic Management Journal</w:t>
      </w:r>
      <w:r w:rsidRPr="00B67783">
        <w:rPr>
          <w:lang w:val="en-GB"/>
        </w:rPr>
        <w:t>, 21(10–11), pp. 1105–1121.</w:t>
      </w:r>
    </w:p>
    <w:p w14:paraId="730CD487" w14:textId="77777777" w:rsidR="00B67783" w:rsidRPr="00B67783" w:rsidRDefault="00B67783" w:rsidP="009645C8">
      <w:pPr>
        <w:pStyle w:val="NormalWeb"/>
        <w:numPr>
          <w:ilvl w:val="0"/>
          <w:numId w:val="16"/>
        </w:numPr>
        <w:spacing w:line="360" w:lineRule="auto"/>
      </w:pPr>
      <w:r w:rsidRPr="00B67783">
        <w:rPr>
          <w:lang w:val="en-GB"/>
        </w:rPr>
        <w:t xml:space="preserve">Geels, F.W. (2014) ‘Regime resistance against low-carbon transitions’, </w:t>
      </w:r>
      <w:r w:rsidRPr="00B67783">
        <w:rPr>
          <w:i/>
          <w:iCs/>
          <w:lang w:val="en-GB"/>
        </w:rPr>
        <w:t>Theory, Culture &amp; Society</w:t>
      </w:r>
      <w:r w:rsidRPr="00B67783">
        <w:rPr>
          <w:lang w:val="en-GB"/>
        </w:rPr>
        <w:t>, 31(5), pp. 21–40.</w:t>
      </w:r>
    </w:p>
    <w:p w14:paraId="4E4221B9" w14:textId="77777777" w:rsidR="00B67783" w:rsidRPr="00B67783" w:rsidRDefault="00B67783" w:rsidP="009645C8">
      <w:pPr>
        <w:pStyle w:val="NormalWeb"/>
        <w:numPr>
          <w:ilvl w:val="0"/>
          <w:numId w:val="16"/>
        </w:numPr>
        <w:spacing w:line="360" w:lineRule="auto"/>
      </w:pPr>
      <w:r w:rsidRPr="00B67783">
        <w:rPr>
          <w:lang w:val="en-GB"/>
        </w:rPr>
        <w:t xml:space="preserve">Geissdoerfer, M., Savaget, P., Bocken, N.M.P. and Hultink, E.J. (2017) ‘The circular economy – a new sustainability paradigm?’, </w:t>
      </w:r>
      <w:r w:rsidRPr="00B67783">
        <w:rPr>
          <w:i/>
          <w:iCs/>
          <w:lang w:val="en-GB"/>
        </w:rPr>
        <w:t>Journal of Cleaner Production</w:t>
      </w:r>
      <w:r w:rsidRPr="00B67783">
        <w:rPr>
          <w:lang w:val="en-GB"/>
        </w:rPr>
        <w:t>, 143, pp. 757–768.</w:t>
      </w:r>
    </w:p>
    <w:p w14:paraId="5A149896" w14:textId="77777777" w:rsidR="00B67783" w:rsidRDefault="00B67783" w:rsidP="00B67783">
      <w:pPr>
        <w:pStyle w:val="NormalWeb"/>
        <w:numPr>
          <w:ilvl w:val="0"/>
          <w:numId w:val="16"/>
        </w:numPr>
        <w:spacing w:line="360" w:lineRule="auto"/>
      </w:pPr>
      <w:r>
        <w:t>Geyer, R., Jambeck, J.R. and Law, K.L. (2017) ‘Production, use, and fate of all plastics ever made’, Science Advances, 3(7), e1700782.</w:t>
      </w:r>
    </w:p>
    <w:p w14:paraId="632E9F49" w14:textId="77777777" w:rsidR="00B67783" w:rsidRPr="00B67783" w:rsidRDefault="00B67783" w:rsidP="00B67783">
      <w:pPr>
        <w:pStyle w:val="NormalWeb"/>
        <w:numPr>
          <w:ilvl w:val="0"/>
          <w:numId w:val="16"/>
        </w:numPr>
        <w:spacing w:line="360" w:lineRule="auto"/>
      </w:pPr>
      <w:r w:rsidRPr="00B67783">
        <w:rPr>
          <w:lang w:val="en-GB"/>
        </w:rPr>
        <w:t xml:space="preserve">Gössling, S. and Humpe, A. (2020) ‘The global scale, distribution and growth of aviation: Implications for climate change’, </w:t>
      </w:r>
      <w:r w:rsidRPr="00B67783">
        <w:rPr>
          <w:i/>
          <w:iCs/>
          <w:lang w:val="en-GB"/>
        </w:rPr>
        <w:t>Global Environmental Change</w:t>
      </w:r>
      <w:r w:rsidRPr="00B67783">
        <w:rPr>
          <w:lang w:val="en-GB"/>
        </w:rPr>
        <w:t xml:space="preserve">, 65, 102194. Available at: </w:t>
      </w:r>
      <w:hyperlink r:id="rId14" w:tgtFrame="_new" w:history="1">
        <w:r w:rsidRPr="00B67783">
          <w:rPr>
            <w:rStyle w:val="Hyperlink"/>
            <w:lang w:val="en-GB"/>
          </w:rPr>
          <w:t>https://doi.org/10.1016/j.gloenvcha.2020.102194</w:t>
        </w:r>
      </w:hyperlink>
      <w:r w:rsidRPr="00B67783">
        <w:rPr>
          <w:lang w:val="en-GB"/>
        </w:rPr>
        <w:t xml:space="preserve"> (Accessed: 27 March 2026).</w:t>
      </w:r>
    </w:p>
    <w:p w14:paraId="0EA1A9D6" w14:textId="77777777" w:rsidR="00B67783" w:rsidRDefault="00B67783" w:rsidP="00B67783">
      <w:pPr>
        <w:pStyle w:val="NormalWeb"/>
        <w:numPr>
          <w:ilvl w:val="0"/>
          <w:numId w:val="16"/>
        </w:numPr>
        <w:spacing w:line="360" w:lineRule="auto"/>
      </w:pPr>
      <w:r>
        <w:t>Ghaye, T. (2022) Teaching and learning through reflective practice. 3rd edn. London: Routledge.</w:t>
      </w:r>
    </w:p>
    <w:p w14:paraId="6AFD22F3" w14:textId="77777777" w:rsidR="00B67783" w:rsidRDefault="00B67783" w:rsidP="00B67783">
      <w:pPr>
        <w:pStyle w:val="NormalWeb"/>
        <w:numPr>
          <w:ilvl w:val="0"/>
          <w:numId w:val="16"/>
        </w:numPr>
        <w:spacing w:line="360" w:lineRule="auto"/>
      </w:pPr>
      <w:r>
        <w:t>Grant, R.M. (2019) Contemporary strategy analysis. 10th edn. Oxford: Wiley.</w:t>
      </w:r>
    </w:p>
    <w:p w14:paraId="0C32A490" w14:textId="77777777" w:rsidR="00B67783" w:rsidRDefault="00B67783" w:rsidP="00B67783">
      <w:pPr>
        <w:pStyle w:val="NormalWeb"/>
        <w:numPr>
          <w:ilvl w:val="0"/>
          <w:numId w:val="16"/>
        </w:numPr>
        <w:spacing w:line="360" w:lineRule="auto"/>
      </w:pPr>
      <w:r>
        <w:t>Helms, M.M. and Nixon, J. (2010) ‘Exploring SWOT analysis’, Journal of Strategy and Management, 3(3), pp. 215–251.</w:t>
      </w:r>
    </w:p>
    <w:p w14:paraId="0DDFEB87" w14:textId="77777777" w:rsidR="00B67783" w:rsidRDefault="00B67783" w:rsidP="00B67783">
      <w:pPr>
        <w:pStyle w:val="NormalWeb"/>
        <w:numPr>
          <w:ilvl w:val="0"/>
          <w:numId w:val="16"/>
        </w:numPr>
        <w:spacing w:line="360" w:lineRule="auto"/>
      </w:pPr>
      <w:r>
        <w:t>Henderson, B.D. (1970) The product portfolio. Boston: Boston Consulting Group.</w:t>
      </w:r>
    </w:p>
    <w:p w14:paraId="625B4AE5" w14:textId="77777777" w:rsidR="00B67783" w:rsidRDefault="00B67783" w:rsidP="00B67783">
      <w:pPr>
        <w:pStyle w:val="NormalWeb"/>
        <w:numPr>
          <w:ilvl w:val="0"/>
          <w:numId w:val="16"/>
        </w:numPr>
        <w:spacing w:line="360" w:lineRule="auto"/>
      </w:pPr>
      <w:r>
        <w:t>Hepburn, C., Adlen, E., Beddington, J., Carter, E.A., Fuss, S., Mac Dowell, N., Minx, J.C., Smith, P. and Williams, C.K. (2019) ‘The technological and economic prospects for CO₂ utilization and removal’, Nature, 575, pp. 87–97.</w:t>
      </w:r>
    </w:p>
    <w:p w14:paraId="63551D83" w14:textId="77777777" w:rsidR="009A3806" w:rsidRDefault="009A3806" w:rsidP="009A3806">
      <w:pPr>
        <w:pStyle w:val="NormalWeb"/>
        <w:numPr>
          <w:ilvl w:val="0"/>
          <w:numId w:val="16"/>
        </w:numPr>
        <w:spacing w:line="360" w:lineRule="auto"/>
      </w:pPr>
      <w:r>
        <w:t>International Energy Agency (2009) Chemical processes and CO₂ emissions. Available at: https://www.iea.org</w:t>
      </w:r>
    </w:p>
    <w:p w14:paraId="535A2120" w14:textId="77777777" w:rsidR="009A3806" w:rsidRDefault="009A3806" w:rsidP="009A3806">
      <w:pPr>
        <w:pStyle w:val="NormalWeb"/>
        <w:numPr>
          <w:ilvl w:val="0"/>
          <w:numId w:val="16"/>
        </w:numPr>
        <w:spacing w:line="360" w:lineRule="auto"/>
      </w:pPr>
      <w:r>
        <w:t xml:space="preserve"> (Accessed: 27 March 2026).</w:t>
      </w:r>
    </w:p>
    <w:p w14:paraId="43B5B01A" w14:textId="77777777" w:rsidR="009A3806" w:rsidRDefault="009A3806" w:rsidP="009A3806">
      <w:pPr>
        <w:pStyle w:val="NormalWeb"/>
        <w:numPr>
          <w:ilvl w:val="0"/>
          <w:numId w:val="16"/>
        </w:numPr>
        <w:spacing w:line="360" w:lineRule="auto"/>
      </w:pPr>
    </w:p>
    <w:p w14:paraId="2C31A95E" w14:textId="77777777" w:rsidR="009A3806" w:rsidRDefault="009A3806" w:rsidP="009A3806">
      <w:pPr>
        <w:pStyle w:val="NormalWeb"/>
        <w:numPr>
          <w:ilvl w:val="0"/>
          <w:numId w:val="16"/>
        </w:numPr>
        <w:spacing w:line="360" w:lineRule="auto"/>
      </w:pPr>
      <w:r>
        <w:t xml:space="preserve">International Energy Agency (2018) The future of petrochemicals. Available at: </w:t>
      </w:r>
      <w:hyperlink r:id="rId15" w:history="1">
        <w:r w:rsidRPr="000F610C">
          <w:rPr>
            <w:rStyle w:val="Hyperlink"/>
          </w:rPr>
          <w:t>https://www.iea.org/reports/the-future-of-petrochemicals</w:t>
        </w:r>
      </w:hyperlink>
      <w:r>
        <w:t xml:space="preserve"> (Accessed: 27 March 2026).</w:t>
      </w:r>
    </w:p>
    <w:p w14:paraId="083B3F69" w14:textId="77777777" w:rsidR="009A3806" w:rsidRDefault="009A3806" w:rsidP="009A3806">
      <w:pPr>
        <w:pStyle w:val="NormalWeb"/>
        <w:numPr>
          <w:ilvl w:val="0"/>
          <w:numId w:val="16"/>
        </w:numPr>
        <w:spacing w:line="360" w:lineRule="auto"/>
      </w:pPr>
      <w:r>
        <w:t xml:space="preserve">International Energy Agency (2023) Energy and industry trends. Available at: </w:t>
      </w:r>
      <w:hyperlink r:id="rId16" w:history="1">
        <w:r w:rsidRPr="000F610C">
          <w:rPr>
            <w:rStyle w:val="Hyperlink"/>
          </w:rPr>
          <w:t>https://www.iea.org</w:t>
        </w:r>
      </w:hyperlink>
      <w:r>
        <w:t xml:space="preserve"> (Accessed: 27 March 2026).</w:t>
      </w:r>
    </w:p>
    <w:p w14:paraId="63FC64D3" w14:textId="77777777" w:rsidR="009A3806" w:rsidRDefault="009A3806" w:rsidP="009A3806">
      <w:pPr>
        <w:pStyle w:val="NormalWeb"/>
        <w:numPr>
          <w:ilvl w:val="0"/>
          <w:numId w:val="16"/>
        </w:numPr>
        <w:spacing w:line="360" w:lineRule="auto"/>
      </w:pPr>
      <w:r>
        <w:t>Islami, X., Mustafa, N. and Latkovikj, M.T. (2020) ‘Linking Porter’s generic strategies to firm performance’, Future Business Journal, 6(1), pp. 1–15.</w:t>
      </w:r>
    </w:p>
    <w:p w14:paraId="64B4F001" w14:textId="77777777" w:rsidR="009A3806" w:rsidRPr="009A3806" w:rsidRDefault="009A3806" w:rsidP="009A3806">
      <w:pPr>
        <w:pStyle w:val="NormalWeb"/>
        <w:numPr>
          <w:ilvl w:val="0"/>
          <w:numId w:val="16"/>
        </w:numPr>
        <w:spacing w:line="360" w:lineRule="auto"/>
      </w:pPr>
      <w:r w:rsidRPr="009A3806">
        <w:rPr>
          <w:lang w:val="en-GB"/>
        </w:rPr>
        <w:t xml:space="preserve">Jensen, M.C. (1986) ‘Agency costs of free cash flow’, </w:t>
      </w:r>
      <w:r w:rsidRPr="009A3806">
        <w:rPr>
          <w:i/>
          <w:iCs/>
          <w:lang w:val="en-GB"/>
        </w:rPr>
        <w:t>American Economic Review</w:t>
      </w:r>
      <w:r w:rsidRPr="009A3806">
        <w:rPr>
          <w:lang w:val="en-GB"/>
        </w:rPr>
        <w:t>, 76(2), pp. 323–329.</w:t>
      </w:r>
    </w:p>
    <w:p w14:paraId="0C685226" w14:textId="77777777" w:rsidR="009A3806" w:rsidRPr="009A3806" w:rsidRDefault="009A3806" w:rsidP="009A3806">
      <w:pPr>
        <w:pStyle w:val="NormalWeb"/>
        <w:numPr>
          <w:ilvl w:val="0"/>
          <w:numId w:val="16"/>
        </w:numPr>
        <w:spacing w:line="360" w:lineRule="auto"/>
      </w:pPr>
      <w:r w:rsidRPr="009A3806">
        <w:rPr>
          <w:lang w:val="en-GB"/>
        </w:rPr>
        <w:t xml:space="preserve">Keller, K.L. (2013) </w:t>
      </w:r>
      <w:r w:rsidRPr="009A3806">
        <w:rPr>
          <w:i/>
          <w:iCs/>
          <w:lang w:val="en-GB"/>
        </w:rPr>
        <w:t>Strategic brand management</w:t>
      </w:r>
      <w:r w:rsidRPr="009A3806">
        <w:rPr>
          <w:lang w:val="en-GB"/>
        </w:rPr>
        <w:t>. 4th edn. Harlow: Pearson.</w:t>
      </w:r>
    </w:p>
    <w:p w14:paraId="192431FB" w14:textId="77777777" w:rsidR="009A3806" w:rsidRPr="009A3806" w:rsidRDefault="009A3806" w:rsidP="009A3806">
      <w:pPr>
        <w:pStyle w:val="NormalWeb"/>
        <w:numPr>
          <w:ilvl w:val="0"/>
          <w:numId w:val="16"/>
        </w:numPr>
        <w:spacing w:line="360" w:lineRule="auto"/>
      </w:pPr>
      <w:r w:rsidRPr="009A3806">
        <w:rPr>
          <w:lang w:val="en-GB"/>
        </w:rPr>
        <w:t xml:space="preserve">Kotter, J.P. (1996) </w:t>
      </w:r>
      <w:r w:rsidRPr="009A3806">
        <w:rPr>
          <w:i/>
          <w:iCs/>
          <w:lang w:val="en-GB"/>
        </w:rPr>
        <w:t>Leading change</w:t>
      </w:r>
      <w:r w:rsidRPr="009A3806">
        <w:rPr>
          <w:lang w:val="en-GB"/>
        </w:rPr>
        <w:t>. Boston: Harvard Business School Press.</w:t>
      </w:r>
    </w:p>
    <w:p w14:paraId="1C9E2A2D"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Kaplan, R.S. and Norton, D.P. (1992) ‘The balanced scorecard—measures that drive performance’, </w:t>
      </w:r>
      <w:r w:rsidRPr="009A3806">
        <w:rPr>
          <w:rFonts w:ascii="Times New Roman" w:eastAsia="Times New Roman" w:hAnsi="Times New Roman" w:cs="Times New Roman"/>
          <w:i/>
          <w:iCs/>
          <w:sz w:val="24"/>
          <w:szCs w:val="24"/>
          <w:lang w:val="en-US"/>
        </w:rPr>
        <w:t>Harvard Business Review</w:t>
      </w:r>
      <w:r w:rsidRPr="009A3806">
        <w:rPr>
          <w:rFonts w:ascii="Times New Roman" w:eastAsia="Times New Roman" w:hAnsi="Times New Roman" w:cs="Times New Roman"/>
          <w:sz w:val="24"/>
          <w:szCs w:val="24"/>
          <w:lang w:val="en-US"/>
        </w:rPr>
        <w:t>, 70(1), pp. 71–79.</w:t>
      </w:r>
    </w:p>
    <w:p w14:paraId="7AC4B877"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Knott, A.M. (2015) ‘The VRIO framework: A resource-based view’, </w:t>
      </w:r>
      <w:r w:rsidRPr="009A3806">
        <w:rPr>
          <w:rFonts w:ascii="Times New Roman" w:eastAsia="Times New Roman" w:hAnsi="Times New Roman" w:cs="Times New Roman"/>
          <w:i/>
          <w:iCs/>
          <w:sz w:val="24"/>
          <w:szCs w:val="24"/>
          <w:lang w:val="en-US"/>
        </w:rPr>
        <w:t>Strategic Management Journal</w:t>
      </w:r>
      <w:r w:rsidRPr="009A3806">
        <w:rPr>
          <w:rFonts w:ascii="Times New Roman" w:eastAsia="Times New Roman" w:hAnsi="Times New Roman" w:cs="Times New Roman"/>
          <w:sz w:val="24"/>
          <w:szCs w:val="24"/>
          <w:lang w:val="en-US"/>
        </w:rPr>
        <w:t>, 36(3), pp. 361–377.</w:t>
      </w:r>
    </w:p>
    <w:p w14:paraId="67E5AF4E"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Kumar, R., Singh, R.K. and Dwivedi, Y.K. (2021) ‘Application of analytical frameworks in strategy research’, </w:t>
      </w:r>
      <w:r w:rsidRPr="009A3806">
        <w:rPr>
          <w:rFonts w:ascii="Times New Roman" w:eastAsia="Times New Roman" w:hAnsi="Times New Roman" w:cs="Times New Roman"/>
          <w:i/>
          <w:iCs/>
          <w:sz w:val="24"/>
          <w:szCs w:val="24"/>
          <w:lang w:val="en-US"/>
        </w:rPr>
        <w:t>Journal of Business Research</w:t>
      </w:r>
      <w:r w:rsidRPr="009A3806">
        <w:rPr>
          <w:rFonts w:ascii="Times New Roman" w:eastAsia="Times New Roman" w:hAnsi="Times New Roman" w:cs="Times New Roman"/>
          <w:sz w:val="24"/>
          <w:szCs w:val="24"/>
          <w:lang w:val="en-US"/>
        </w:rPr>
        <w:t>, 122, pp. 1–12.</w:t>
      </w:r>
    </w:p>
    <w:p w14:paraId="718329C3"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Mintzberg, H., Ahlstrand, B. and Lampel, J. (1998) </w:t>
      </w:r>
      <w:r w:rsidRPr="009A3806">
        <w:rPr>
          <w:rFonts w:ascii="Times New Roman" w:eastAsia="Times New Roman" w:hAnsi="Times New Roman" w:cs="Times New Roman"/>
          <w:i/>
          <w:iCs/>
          <w:sz w:val="24"/>
          <w:szCs w:val="24"/>
          <w:lang w:val="en-US"/>
        </w:rPr>
        <w:t>Strategy safari</w:t>
      </w:r>
      <w:r w:rsidRPr="009A3806">
        <w:rPr>
          <w:rFonts w:ascii="Times New Roman" w:eastAsia="Times New Roman" w:hAnsi="Times New Roman" w:cs="Times New Roman"/>
          <w:sz w:val="24"/>
          <w:szCs w:val="24"/>
          <w:lang w:val="en-US"/>
        </w:rPr>
        <w:t>. New York: Free Press.</w:t>
      </w:r>
    </w:p>
    <w:p w14:paraId="4FE6034B"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Perera, R. (2017) ‘The PESTLE analysis’, </w:t>
      </w:r>
      <w:r w:rsidRPr="009A3806">
        <w:rPr>
          <w:rFonts w:ascii="Times New Roman" w:eastAsia="Times New Roman" w:hAnsi="Times New Roman" w:cs="Times New Roman"/>
          <w:i/>
          <w:iCs/>
          <w:sz w:val="24"/>
          <w:szCs w:val="24"/>
          <w:lang w:val="en-US"/>
        </w:rPr>
        <w:t>International Journal of Management</w:t>
      </w:r>
      <w:r w:rsidRPr="009A3806">
        <w:rPr>
          <w:rFonts w:ascii="Times New Roman" w:eastAsia="Times New Roman" w:hAnsi="Times New Roman" w:cs="Times New Roman"/>
          <w:sz w:val="24"/>
          <w:szCs w:val="24"/>
          <w:lang w:val="en-US"/>
        </w:rPr>
        <w:t>, 8(1), pp. 1–8.</w:t>
      </w:r>
    </w:p>
    <w:p w14:paraId="46192BD6"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Porter, M.E. (1980) </w:t>
      </w:r>
      <w:r w:rsidRPr="009A3806">
        <w:rPr>
          <w:rFonts w:ascii="Times New Roman" w:eastAsia="Times New Roman" w:hAnsi="Times New Roman" w:cs="Times New Roman"/>
          <w:i/>
          <w:iCs/>
          <w:sz w:val="24"/>
          <w:szCs w:val="24"/>
          <w:lang w:val="en-US"/>
        </w:rPr>
        <w:t>Competitive strategy</w:t>
      </w:r>
      <w:r w:rsidRPr="009A3806">
        <w:rPr>
          <w:rFonts w:ascii="Times New Roman" w:eastAsia="Times New Roman" w:hAnsi="Times New Roman" w:cs="Times New Roman"/>
          <w:sz w:val="24"/>
          <w:szCs w:val="24"/>
          <w:lang w:val="en-US"/>
        </w:rPr>
        <w:t>. New York: Free Press.</w:t>
      </w:r>
    </w:p>
    <w:p w14:paraId="4EB3978B"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Porter, M.E. (1985) </w:t>
      </w:r>
      <w:r w:rsidRPr="009A3806">
        <w:rPr>
          <w:rFonts w:ascii="Times New Roman" w:eastAsia="Times New Roman" w:hAnsi="Times New Roman" w:cs="Times New Roman"/>
          <w:i/>
          <w:iCs/>
          <w:sz w:val="24"/>
          <w:szCs w:val="24"/>
          <w:lang w:val="en-US"/>
        </w:rPr>
        <w:t>Competitive advantage</w:t>
      </w:r>
      <w:r w:rsidRPr="009A3806">
        <w:rPr>
          <w:rFonts w:ascii="Times New Roman" w:eastAsia="Times New Roman" w:hAnsi="Times New Roman" w:cs="Times New Roman"/>
          <w:sz w:val="24"/>
          <w:szCs w:val="24"/>
          <w:lang w:val="en-US"/>
        </w:rPr>
        <w:t>. New York: Free Press.</w:t>
      </w:r>
    </w:p>
    <w:p w14:paraId="5AC9916D"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Rugman, A.M. and Verbeke, A. (2004) ‘A perspective on regional and global strategies’, </w:t>
      </w:r>
      <w:r w:rsidRPr="009A3806">
        <w:rPr>
          <w:rFonts w:ascii="Times New Roman" w:eastAsia="Times New Roman" w:hAnsi="Times New Roman" w:cs="Times New Roman"/>
          <w:i/>
          <w:iCs/>
          <w:sz w:val="24"/>
          <w:szCs w:val="24"/>
          <w:lang w:val="en-US"/>
        </w:rPr>
        <w:t>Journal of International Business Studies</w:t>
      </w:r>
      <w:r w:rsidRPr="009A3806">
        <w:rPr>
          <w:rFonts w:ascii="Times New Roman" w:eastAsia="Times New Roman" w:hAnsi="Times New Roman" w:cs="Times New Roman"/>
          <w:sz w:val="24"/>
          <w:szCs w:val="24"/>
          <w:lang w:val="en-US"/>
        </w:rPr>
        <w:t>, 35(1), pp. 3–18.</w:t>
      </w:r>
    </w:p>
    <w:p w14:paraId="01DCEBF3" w14:textId="77777777" w:rsidR="009A3806" w:rsidRPr="009A3806" w:rsidRDefault="009A3806" w:rsidP="009A3806">
      <w:pPr>
        <w:pStyle w:val="ListParagraph"/>
        <w:numPr>
          <w:ilvl w:val="0"/>
          <w:numId w:val="16"/>
        </w:numPr>
        <w:spacing w:before="100" w:beforeAutospacing="1" w:after="100" w:afterAutospacing="1" w:line="240" w:lineRule="auto"/>
        <w:rPr>
          <w:rFonts w:ascii="Times New Roman" w:eastAsia="Times New Roman" w:hAnsi="Times New Roman" w:cs="Times New Roman"/>
          <w:sz w:val="24"/>
          <w:szCs w:val="24"/>
          <w:lang w:val="en-US"/>
        </w:rPr>
      </w:pPr>
      <w:r w:rsidRPr="009A3806">
        <w:rPr>
          <w:rFonts w:ascii="Times New Roman" w:eastAsia="Times New Roman" w:hAnsi="Times New Roman" w:cs="Times New Roman"/>
          <w:sz w:val="24"/>
          <w:szCs w:val="24"/>
          <w:lang w:val="en-US"/>
        </w:rPr>
        <w:t xml:space="preserve">Saunders, M., Lewis, P. and Thornhill, A. (2019) </w:t>
      </w:r>
      <w:r w:rsidRPr="009A3806">
        <w:rPr>
          <w:rFonts w:ascii="Times New Roman" w:eastAsia="Times New Roman" w:hAnsi="Times New Roman" w:cs="Times New Roman"/>
          <w:i/>
          <w:iCs/>
          <w:sz w:val="24"/>
          <w:szCs w:val="24"/>
          <w:lang w:val="en-US"/>
        </w:rPr>
        <w:t>Research methods for business students</w:t>
      </w:r>
      <w:r w:rsidRPr="009A3806">
        <w:rPr>
          <w:rFonts w:ascii="Times New Roman" w:eastAsia="Times New Roman" w:hAnsi="Times New Roman" w:cs="Times New Roman"/>
          <w:sz w:val="24"/>
          <w:szCs w:val="24"/>
          <w:lang w:val="en-US"/>
        </w:rPr>
        <w:t>. 8th edn. Harlow: Pearson.</w:t>
      </w:r>
    </w:p>
    <w:p w14:paraId="13548B98" w14:textId="77777777" w:rsidR="009645C8" w:rsidRPr="009645C8" w:rsidRDefault="009645C8" w:rsidP="009A3806">
      <w:pPr>
        <w:pStyle w:val="NormalWeb"/>
        <w:numPr>
          <w:ilvl w:val="0"/>
          <w:numId w:val="16"/>
        </w:numPr>
        <w:spacing w:line="360" w:lineRule="auto"/>
      </w:pPr>
      <w:r w:rsidRPr="009645C8">
        <w:t>Shell plc (2026) Who we are. Available at: https://www.shell.com/who-we-are.html (Accessed: 27 March 2026).</w:t>
      </w:r>
    </w:p>
    <w:p w14:paraId="2D7BF02F" w14:textId="77777777" w:rsidR="009645C8" w:rsidRPr="009645C8" w:rsidRDefault="009645C8" w:rsidP="00507D7D">
      <w:pPr>
        <w:pStyle w:val="NormalWeb"/>
        <w:numPr>
          <w:ilvl w:val="0"/>
          <w:numId w:val="16"/>
        </w:numPr>
        <w:spacing w:line="360" w:lineRule="auto"/>
      </w:pPr>
      <w:r w:rsidRPr="009645C8">
        <w:t xml:space="preserve">Shell plc (2026) Shell at a glance. Available at: </w:t>
      </w:r>
      <w:hyperlink r:id="rId17" w:history="1">
        <w:r w:rsidR="00507D7D" w:rsidRPr="000F610C">
          <w:rPr>
            <w:rStyle w:val="Hyperlink"/>
          </w:rPr>
          <w:t>https://www.shell.com/who-we-are/shell-at-a-glance.html</w:t>
        </w:r>
      </w:hyperlink>
      <w:r w:rsidR="00507D7D">
        <w:t xml:space="preserve"> </w:t>
      </w:r>
      <w:r w:rsidRPr="009645C8">
        <w:t>(Accessed: 27 March 2026).</w:t>
      </w:r>
    </w:p>
    <w:p w14:paraId="06B9FAC4" w14:textId="77777777" w:rsidR="009645C8" w:rsidRPr="009645C8" w:rsidRDefault="009645C8" w:rsidP="00507D7D">
      <w:pPr>
        <w:pStyle w:val="NormalWeb"/>
        <w:numPr>
          <w:ilvl w:val="0"/>
          <w:numId w:val="16"/>
        </w:numPr>
        <w:spacing w:line="360" w:lineRule="auto"/>
      </w:pPr>
      <w:r w:rsidRPr="009645C8">
        <w:t xml:space="preserve">Shell plc (2026) Leadership. Available at: </w:t>
      </w:r>
      <w:hyperlink r:id="rId18" w:history="1">
        <w:r w:rsidR="00507D7D" w:rsidRPr="000F610C">
          <w:rPr>
            <w:rStyle w:val="Hyperlink"/>
          </w:rPr>
          <w:t>https://www.shell.com/who-we-are/leadership.html</w:t>
        </w:r>
      </w:hyperlink>
      <w:r w:rsidR="00507D7D">
        <w:t xml:space="preserve"> </w:t>
      </w:r>
      <w:r w:rsidRPr="009645C8">
        <w:t>(Accessed: 27 March 2026).</w:t>
      </w:r>
    </w:p>
    <w:p w14:paraId="27D5F3D1" w14:textId="77777777" w:rsidR="009645C8" w:rsidRPr="009645C8" w:rsidRDefault="009645C8" w:rsidP="00507D7D">
      <w:pPr>
        <w:pStyle w:val="NormalWeb"/>
        <w:numPr>
          <w:ilvl w:val="0"/>
          <w:numId w:val="16"/>
        </w:numPr>
        <w:spacing w:line="360" w:lineRule="auto"/>
      </w:pPr>
      <w:r w:rsidRPr="009645C8">
        <w:t xml:space="preserve">Shell plc (2026) Our values. Available at: </w:t>
      </w:r>
      <w:hyperlink r:id="rId19" w:history="1">
        <w:r w:rsidR="00507D7D" w:rsidRPr="000F610C">
          <w:rPr>
            <w:rStyle w:val="Hyperlink"/>
          </w:rPr>
          <w:t>https://www.shell.com/who-we-are/our-values.html</w:t>
        </w:r>
      </w:hyperlink>
      <w:r w:rsidR="00507D7D">
        <w:t xml:space="preserve"> </w:t>
      </w:r>
      <w:r w:rsidRPr="009645C8">
        <w:t>(Accessed: 27 March 2026).</w:t>
      </w:r>
    </w:p>
    <w:p w14:paraId="55F75EC2" w14:textId="77777777" w:rsidR="009645C8" w:rsidRPr="009645C8" w:rsidRDefault="009645C8" w:rsidP="00507D7D">
      <w:pPr>
        <w:pStyle w:val="NormalWeb"/>
        <w:numPr>
          <w:ilvl w:val="0"/>
          <w:numId w:val="16"/>
        </w:numPr>
        <w:spacing w:line="360" w:lineRule="auto"/>
      </w:pPr>
      <w:r w:rsidRPr="009645C8">
        <w:t xml:space="preserve">Shell plc (2026) Our history. Available at: </w:t>
      </w:r>
      <w:hyperlink r:id="rId20" w:history="1">
        <w:r w:rsidR="00507D7D" w:rsidRPr="000F610C">
          <w:rPr>
            <w:rStyle w:val="Hyperlink"/>
          </w:rPr>
          <w:t>https://www.shell.com/who-we-are/our-history.html</w:t>
        </w:r>
      </w:hyperlink>
      <w:r w:rsidR="00507D7D">
        <w:t xml:space="preserve"> </w:t>
      </w:r>
      <w:r w:rsidRPr="009645C8">
        <w:t>(Accessed: 27 March 2026).</w:t>
      </w:r>
    </w:p>
    <w:p w14:paraId="0DFB1D69" w14:textId="77777777" w:rsidR="009645C8" w:rsidRPr="009645C8" w:rsidRDefault="009645C8" w:rsidP="00507D7D">
      <w:pPr>
        <w:pStyle w:val="NormalWeb"/>
        <w:numPr>
          <w:ilvl w:val="0"/>
          <w:numId w:val="16"/>
        </w:numPr>
        <w:spacing w:line="360" w:lineRule="auto"/>
      </w:pPr>
      <w:r w:rsidRPr="009645C8">
        <w:t xml:space="preserve">Shell plc (2026) Diversity, equity and inclusion. Available at: </w:t>
      </w:r>
      <w:hyperlink r:id="rId21" w:anchor="iframe=L2RlaS8" w:history="1">
        <w:r w:rsidR="00507D7D" w:rsidRPr="000F610C">
          <w:rPr>
            <w:rStyle w:val="Hyperlink"/>
          </w:rPr>
          <w:t>https://www.shell.com/who-we-are/diversity-equity-and-inclusion.html#iframe=L2RlaS8</w:t>
        </w:r>
      </w:hyperlink>
      <w:r w:rsidRPr="009645C8">
        <w:t>=</w:t>
      </w:r>
      <w:r w:rsidR="00507D7D">
        <w:t xml:space="preserve"> </w:t>
      </w:r>
      <w:r w:rsidRPr="009645C8">
        <w:t>(Accessed: 27 March 2026).</w:t>
      </w:r>
    </w:p>
    <w:p w14:paraId="75A3EBF4" w14:textId="77777777" w:rsidR="009645C8" w:rsidRPr="009645C8" w:rsidRDefault="009645C8" w:rsidP="00507D7D">
      <w:pPr>
        <w:pStyle w:val="NormalWeb"/>
        <w:numPr>
          <w:ilvl w:val="0"/>
          <w:numId w:val="16"/>
        </w:numPr>
        <w:spacing w:line="360" w:lineRule="auto"/>
      </w:pPr>
      <w:r w:rsidRPr="009645C8">
        <w:t xml:space="preserve">Shell plc (2025) Annual report 2025. Available at: </w:t>
      </w:r>
      <w:hyperlink r:id="rId22" w:history="1">
        <w:r w:rsidR="00507D7D" w:rsidRPr="000F610C">
          <w:rPr>
            <w:rStyle w:val="Hyperlink"/>
          </w:rPr>
          <w:t>https://www.shell.com/investors/results-and-reporting/annual-report/_jcr_content/root/main/section/promo/links/item0.stream/1773292272508/5e49e127579b77081f032b6088b348694aac0d14/shell-annual-report-2025.pdf</w:t>
        </w:r>
      </w:hyperlink>
      <w:r w:rsidR="00507D7D">
        <w:t xml:space="preserve"> </w:t>
      </w:r>
      <w:r w:rsidRPr="009645C8">
        <w:t>(Accessed: 27 March 2026).</w:t>
      </w:r>
    </w:p>
    <w:p w14:paraId="2C9FF34B" w14:textId="77777777" w:rsidR="009645C8" w:rsidRPr="009645C8" w:rsidRDefault="009645C8" w:rsidP="00507D7D">
      <w:pPr>
        <w:pStyle w:val="NormalWeb"/>
        <w:numPr>
          <w:ilvl w:val="0"/>
          <w:numId w:val="16"/>
        </w:numPr>
        <w:spacing w:line="360" w:lineRule="auto"/>
      </w:pPr>
      <w:r w:rsidRPr="009645C8">
        <w:t xml:space="preserve">Shell plc (2026) Portfolio and major projects. Available at: </w:t>
      </w:r>
      <w:hyperlink r:id="rId23" w:history="1">
        <w:r w:rsidR="00507D7D" w:rsidRPr="000F610C">
          <w:rPr>
            <w:rStyle w:val="Hyperlink"/>
          </w:rPr>
          <w:t>https://www.shell.com/investors/results-and-reporting/portfolio-and-major-projects.html</w:t>
        </w:r>
      </w:hyperlink>
      <w:r w:rsidR="00507D7D">
        <w:t xml:space="preserve"> </w:t>
      </w:r>
      <w:r w:rsidRPr="009645C8">
        <w:t>(Accessed: 27 March 2026).</w:t>
      </w:r>
    </w:p>
    <w:p w14:paraId="0F453D45" w14:textId="77777777" w:rsidR="009645C8" w:rsidRPr="009645C8" w:rsidRDefault="009645C8" w:rsidP="00313D8B">
      <w:pPr>
        <w:pStyle w:val="NormalWeb"/>
        <w:numPr>
          <w:ilvl w:val="0"/>
          <w:numId w:val="16"/>
        </w:numPr>
        <w:spacing w:line="360" w:lineRule="auto"/>
      </w:pPr>
      <w:r w:rsidRPr="009645C8">
        <w:t xml:space="preserve">Shell plc (2026) Environmental, social and governance (ESG). Available at: </w:t>
      </w:r>
      <w:hyperlink r:id="rId24" w:history="1">
        <w:r w:rsidR="00313D8B" w:rsidRPr="000F610C">
          <w:rPr>
            <w:rStyle w:val="Hyperlink"/>
          </w:rPr>
          <w:t>https://www.shell.com/investors/environmental-social-and-governance.html</w:t>
        </w:r>
      </w:hyperlink>
      <w:r w:rsidR="00313D8B">
        <w:t xml:space="preserve"> </w:t>
      </w:r>
      <w:r w:rsidRPr="009645C8">
        <w:t>(Accessed: 27 March 2026).</w:t>
      </w:r>
    </w:p>
    <w:p w14:paraId="6E4C3C4E" w14:textId="77777777" w:rsidR="009645C8" w:rsidRPr="009645C8" w:rsidRDefault="009645C8" w:rsidP="00313D8B">
      <w:pPr>
        <w:pStyle w:val="NormalWeb"/>
        <w:numPr>
          <w:ilvl w:val="0"/>
          <w:numId w:val="16"/>
        </w:numPr>
        <w:spacing w:line="360" w:lineRule="auto"/>
      </w:pPr>
      <w:r w:rsidRPr="009645C8">
        <w:t xml:space="preserve">Shell plc (2026) Commitments, policies and standards. Available at: </w:t>
      </w:r>
      <w:hyperlink r:id="rId25" w:history="1">
        <w:r w:rsidR="00313D8B" w:rsidRPr="000F610C">
          <w:rPr>
            <w:rStyle w:val="Hyperlink"/>
          </w:rPr>
          <w:t>https://www.shell.com/sustainability/our-approach/commitments-policies-and-standards.html</w:t>
        </w:r>
      </w:hyperlink>
      <w:r w:rsidR="00313D8B">
        <w:t xml:space="preserve"> </w:t>
      </w:r>
      <w:r w:rsidRPr="009645C8">
        <w:t>(Accessed: 27 March 2026).</w:t>
      </w:r>
    </w:p>
    <w:p w14:paraId="7DB27E09" w14:textId="77777777" w:rsidR="009645C8" w:rsidRPr="009645C8" w:rsidRDefault="009645C8" w:rsidP="00313D8B">
      <w:pPr>
        <w:pStyle w:val="NormalWeb"/>
        <w:numPr>
          <w:ilvl w:val="0"/>
          <w:numId w:val="16"/>
        </w:numPr>
        <w:spacing w:line="360" w:lineRule="auto"/>
      </w:pPr>
      <w:r w:rsidRPr="009645C8">
        <w:t xml:space="preserve">Shell plc (2026) Reporting standards and ESG ratings. Available at: </w:t>
      </w:r>
      <w:hyperlink r:id="rId26" w:history="1">
        <w:r w:rsidR="00313D8B" w:rsidRPr="000F610C">
          <w:rPr>
            <w:rStyle w:val="Hyperlink"/>
          </w:rPr>
          <w:t>https://www.shell.com/sustainability/reporting-centre/reporting-standards-and-esg-ratings.html</w:t>
        </w:r>
      </w:hyperlink>
      <w:r w:rsidR="00313D8B">
        <w:t xml:space="preserve"> </w:t>
      </w:r>
      <w:r w:rsidRPr="009645C8">
        <w:t>(Accessed: 27 March 2026).</w:t>
      </w:r>
    </w:p>
    <w:p w14:paraId="439A094B" w14:textId="77777777" w:rsidR="009645C8" w:rsidRPr="009645C8" w:rsidRDefault="009645C8" w:rsidP="00313D8B">
      <w:pPr>
        <w:pStyle w:val="NormalWeb"/>
        <w:numPr>
          <w:ilvl w:val="0"/>
          <w:numId w:val="16"/>
        </w:numPr>
        <w:spacing w:line="360" w:lineRule="auto"/>
      </w:pPr>
      <w:r w:rsidRPr="009645C8">
        <w:t xml:space="preserve">Shell plc (2024) Energy transition strategy 2024. Available at: </w:t>
      </w:r>
      <w:hyperlink r:id="rId27" w:history="1">
        <w:r w:rsidR="00313D8B" w:rsidRPr="000F610C">
          <w:rPr>
            <w:rStyle w:val="Hyperlink"/>
          </w:rPr>
          <w:t>https://www.shell.com/sustainability/reporting-centre/_jcr_content/root/main/section_1888019429/promo_copy_1767682700/links/item0.stream/1726832326846/2c3f9065f2886e789ac196789f137dbca49473e8/shell-energy-transition-strategy-2024.pdf</w:t>
        </w:r>
      </w:hyperlink>
      <w:r w:rsidR="00313D8B">
        <w:t xml:space="preserve"> </w:t>
      </w:r>
      <w:r w:rsidRPr="009645C8">
        <w:t>(Accessed: 27 March 2026).</w:t>
      </w:r>
    </w:p>
    <w:p w14:paraId="07635CFD" w14:textId="77777777" w:rsidR="009645C8" w:rsidRPr="009645C8" w:rsidRDefault="009645C8" w:rsidP="00313D8B">
      <w:pPr>
        <w:pStyle w:val="NormalWeb"/>
        <w:numPr>
          <w:ilvl w:val="0"/>
          <w:numId w:val="16"/>
        </w:numPr>
        <w:spacing w:line="360" w:lineRule="auto"/>
      </w:pPr>
      <w:r w:rsidRPr="009645C8">
        <w:t xml:space="preserve">Shell plc (2024) Tax contribution report 2024. Available at: </w:t>
      </w:r>
      <w:hyperlink r:id="rId28" w:history="1">
        <w:r w:rsidR="00313D8B" w:rsidRPr="000F610C">
          <w:rPr>
            <w:rStyle w:val="Hyperlink"/>
          </w:rPr>
          <w:t>https://www.shell.com/sustainability/reporting-centre/_jcr_content/root/main/section_1888019429/promo_copy/links/item0.stream/1763990740039/df0370cc593ce04ab58a54dc3300a51c3b285c71/shell-tax-contribution-report-2024.pdf</w:t>
        </w:r>
      </w:hyperlink>
      <w:r w:rsidR="00313D8B">
        <w:t xml:space="preserve"> </w:t>
      </w:r>
      <w:r w:rsidRPr="009645C8">
        <w:t>(Accessed: 27 March 2026).</w:t>
      </w:r>
    </w:p>
    <w:p w14:paraId="09F3081E" w14:textId="77777777" w:rsidR="009645C8" w:rsidRPr="009645C8" w:rsidRDefault="009645C8" w:rsidP="00313D8B">
      <w:pPr>
        <w:pStyle w:val="NormalWeb"/>
        <w:numPr>
          <w:ilvl w:val="0"/>
          <w:numId w:val="16"/>
        </w:numPr>
        <w:spacing w:line="360" w:lineRule="auto"/>
      </w:pPr>
      <w:r w:rsidRPr="009645C8">
        <w:t xml:space="preserve">Shell plc (2024) Climate and energy transition lobbying report 2024. Available at: </w:t>
      </w:r>
      <w:hyperlink r:id="rId29" w:history="1">
        <w:r w:rsidR="00313D8B" w:rsidRPr="000F610C">
          <w:rPr>
            <w:rStyle w:val="Hyperlink"/>
          </w:rPr>
          <w:t>https://www.shell.com/sustainability/reporting-centre/_jcr_content/root/main/section_1888019429/promo_copy_1069192704/links/item0.stream/1746798498441/097ec9469a351908a2d97321d3ed486f6b883c81/shell-climate-and-energy-transition-lobbying-report-2024.pdf</w:t>
        </w:r>
      </w:hyperlink>
      <w:r w:rsidR="00313D8B">
        <w:t xml:space="preserve"> </w:t>
      </w:r>
      <w:r w:rsidRPr="009645C8">
        <w:t>(Accessed: 27 March 2026).</w:t>
      </w:r>
    </w:p>
    <w:p w14:paraId="4B8B0ED6" w14:textId="77777777" w:rsidR="009645C8" w:rsidRPr="009645C8" w:rsidRDefault="009645C8" w:rsidP="00313D8B">
      <w:pPr>
        <w:pStyle w:val="NormalWeb"/>
        <w:numPr>
          <w:ilvl w:val="0"/>
          <w:numId w:val="16"/>
        </w:numPr>
        <w:spacing w:line="360" w:lineRule="auto"/>
      </w:pPr>
      <w:r w:rsidRPr="009645C8">
        <w:t xml:space="preserve">Shell plc (2024) Modern Slavery Act statement 2024. Available at: </w:t>
      </w:r>
      <w:hyperlink r:id="rId30" w:history="1">
        <w:r w:rsidR="00313D8B" w:rsidRPr="000F610C">
          <w:rPr>
            <w:rStyle w:val="Hyperlink"/>
          </w:rPr>
          <w:t>https://www.shell.com/sustainability/reporting-centre/_jcr_content/root/main/section_1888019429/promo/links/item0.stream/1748540524225/f729ffe57bfa030aa8a57be57dee5e71f0214068/modern-slavery-act-statement-2024.pdf</w:t>
        </w:r>
      </w:hyperlink>
      <w:r w:rsidR="00313D8B">
        <w:t xml:space="preserve"> </w:t>
      </w:r>
      <w:r w:rsidRPr="009645C8">
        <w:t>(Accessed: 27 March 2026).</w:t>
      </w:r>
    </w:p>
    <w:p w14:paraId="30C4FA77" w14:textId="77777777" w:rsidR="009645C8" w:rsidRPr="009645C8" w:rsidRDefault="009645C8" w:rsidP="00313D8B">
      <w:pPr>
        <w:pStyle w:val="NormalWeb"/>
        <w:numPr>
          <w:ilvl w:val="0"/>
          <w:numId w:val="16"/>
        </w:numPr>
        <w:spacing w:line="360" w:lineRule="auto"/>
      </w:pPr>
      <w:r w:rsidRPr="009645C8">
        <w:t xml:space="preserve">Shell plc (2024) Net carbon footprint methodology 2024. Available at: </w:t>
      </w:r>
      <w:hyperlink r:id="rId31" w:history="1">
        <w:r w:rsidR="00313D8B" w:rsidRPr="000F610C">
          <w:rPr>
            <w:rStyle w:val="Hyperlink"/>
          </w:rPr>
          <w:t>https://www.shell.com/sustainability/reporting-centre/_jcr_content/root/main/section_1888019429/promo_copy_176768270_1662082491/links/item0.stream/1755793522830/4e066b2a1e8ab374f89b4fae3f0291417759f0d9/shell-s-net-carbon-footprint-methodology-2024.pdf</w:t>
        </w:r>
      </w:hyperlink>
      <w:r w:rsidR="00313D8B">
        <w:t xml:space="preserve"> </w:t>
      </w:r>
      <w:r w:rsidRPr="009645C8">
        <w:t>(Accessed: 27 March 2026).</w:t>
      </w:r>
    </w:p>
    <w:p w14:paraId="0FC96F17" w14:textId="77777777" w:rsidR="009645C8" w:rsidRPr="009645C8" w:rsidRDefault="009645C8" w:rsidP="00313D8B">
      <w:pPr>
        <w:pStyle w:val="NormalWeb"/>
        <w:numPr>
          <w:ilvl w:val="0"/>
          <w:numId w:val="16"/>
        </w:numPr>
        <w:spacing w:line="360" w:lineRule="auto"/>
      </w:pPr>
      <w:r w:rsidRPr="009645C8">
        <w:t xml:space="preserve">Shell plc (2024) Animal welfare report 2024. Available at: </w:t>
      </w:r>
      <w:hyperlink r:id="rId32" w:history="1">
        <w:r w:rsidR="00313D8B" w:rsidRPr="000F610C">
          <w:rPr>
            <w:rStyle w:val="Hyperlink"/>
          </w:rPr>
          <w:t>https://www.shell.com/sustainability/reporting-centre/_jcr_content/root/main/section_1888019429/promo_copy_176768270_810247875/links/item0.stream/1755607192252/37a86680d63a201afc6efb36fa2ea31ba779a2a4/shell-animal-welfare-report-2024.pdf</w:t>
        </w:r>
      </w:hyperlink>
      <w:r w:rsidR="00313D8B">
        <w:t xml:space="preserve"> </w:t>
      </w:r>
      <w:r w:rsidRPr="009645C8">
        <w:t>(Accessed: 27 March 2026).</w:t>
      </w:r>
    </w:p>
    <w:p w14:paraId="3DB78040" w14:textId="77777777" w:rsidR="009645C8" w:rsidRPr="009645C8" w:rsidRDefault="009645C8" w:rsidP="00313D8B">
      <w:pPr>
        <w:pStyle w:val="NormalWeb"/>
        <w:numPr>
          <w:ilvl w:val="0"/>
          <w:numId w:val="16"/>
        </w:numPr>
        <w:spacing w:line="360" w:lineRule="auto"/>
      </w:pPr>
      <w:r w:rsidRPr="009645C8">
        <w:t xml:space="preserve">International Energy Agency (2018) The future of petrochemicals. Available at: </w:t>
      </w:r>
      <w:hyperlink r:id="rId33" w:history="1">
        <w:r w:rsidR="00313D8B" w:rsidRPr="000F610C">
          <w:rPr>
            <w:rStyle w:val="Hyperlink"/>
          </w:rPr>
          <w:t>https://www.iea.org/reports/the-future-of-petrochemicals</w:t>
        </w:r>
      </w:hyperlink>
      <w:r w:rsidR="00313D8B">
        <w:t xml:space="preserve"> </w:t>
      </w:r>
      <w:r w:rsidRPr="009645C8">
        <w:t>(Accessed: 27 March 2026).</w:t>
      </w:r>
    </w:p>
    <w:p w14:paraId="43BFE83F" w14:textId="77777777" w:rsidR="009645C8" w:rsidRPr="009645C8" w:rsidRDefault="009645C8" w:rsidP="00313D8B">
      <w:pPr>
        <w:pStyle w:val="NormalWeb"/>
        <w:numPr>
          <w:ilvl w:val="0"/>
          <w:numId w:val="16"/>
        </w:numPr>
        <w:spacing w:line="360" w:lineRule="auto"/>
      </w:pPr>
      <w:r w:rsidRPr="009645C8">
        <w:t xml:space="preserve">International Energy Agency (2018) Chemical and petrochemical sector report. Available at: </w:t>
      </w:r>
      <w:hyperlink r:id="rId34" w:history="1">
        <w:r w:rsidR="00313D8B" w:rsidRPr="000F610C">
          <w:rPr>
            <w:rStyle w:val="Hyperlink"/>
          </w:rPr>
          <w:t>https://iea.blob.core.windows.net/assets/c2d071e4-4142-44f1-8a41-88ece29be439/ChemicalandPetrochemicalSector.pdf</w:t>
        </w:r>
      </w:hyperlink>
      <w:r w:rsidR="00313D8B">
        <w:t xml:space="preserve"> </w:t>
      </w:r>
      <w:r w:rsidRPr="009645C8">
        <w:t>(Accessed: 27 March 2026).</w:t>
      </w:r>
    </w:p>
    <w:p w14:paraId="343DA04A" w14:textId="77777777" w:rsidR="009645C8" w:rsidRPr="009645C8" w:rsidRDefault="009645C8" w:rsidP="00313D8B">
      <w:pPr>
        <w:pStyle w:val="NormalWeb"/>
        <w:numPr>
          <w:ilvl w:val="0"/>
          <w:numId w:val="16"/>
        </w:numPr>
        <w:spacing w:line="360" w:lineRule="auto"/>
      </w:pPr>
      <w:r w:rsidRPr="009645C8">
        <w:t xml:space="preserve">International Renewable Energy Agency (2023) Decarbonising hard-to-abate sectors: Chemicals and petrochemicals. Available at: </w:t>
      </w:r>
      <w:hyperlink r:id="rId35" w:history="1">
        <w:r w:rsidR="00313D8B" w:rsidRPr="000F610C">
          <w:rPr>
            <w:rStyle w:val="Hyperlink"/>
          </w:rPr>
          <w:t>https://www.irena.org/Decarbonising-hard-to-abate-sectors-with-renewables-Enablers-and-recommendations/Industry-sector/Chemicals-and-petrochemicals</w:t>
        </w:r>
      </w:hyperlink>
      <w:r w:rsidR="00313D8B">
        <w:t xml:space="preserve"> </w:t>
      </w:r>
      <w:r w:rsidRPr="009645C8">
        <w:t>(Accessed: 27 March 2026).</w:t>
      </w:r>
    </w:p>
    <w:p w14:paraId="3B3B03D6" w14:textId="77777777" w:rsidR="009645C8" w:rsidRPr="009645C8" w:rsidRDefault="009645C8" w:rsidP="00313D8B">
      <w:pPr>
        <w:pStyle w:val="NormalWeb"/>
        <w:numPr>
          <w:ilvl w:val="0"/>
          <w:numId w:val="16"/>
        </w:numPr>
        <w:spacing w:line="360" w:lineRule="auto"/>
      </w:pPr>
      <w:r w:rsidRPr="009645C8">
        <w:t xml:space="preserve">OECD (2018) The future of petrochemicals. Available at: </w:t>
      </w:r>
      <w:hyperlink r:id="rId36" w:history="1">
        <w:r w:rsidR="00313D8B" w:rsidRPr="000F610C">
          <w:rPr>
            <w:rStyle w:val="Hyperlink"/>
          </w:rPr>
          <w:t>https://www.oecd.org/content/dam/oecd/en/publications/reports/2018/10/the-future-of-petrochemicals_g1g98d79/9789264307414-en.pdf</w:t>
        </w:r>
      </w:hyperlink>
      <w:r w:rsidR="00313D8B">
        <w:t xml:space="preserve"> </w:t>
      </w:r>
      <w:r w:rsidRPr="009645C8">
        <w:t>(Accessed: 27 March 2026).</w:t>
      </w:r>
    </w:p>
    <w:p w14:paraId="620EF11F" w14:textId="77777777" w:rsidR="009645C8" w:rsidRDefault="009645C8" w:rsidP="00313D8B">
      <w:pPr>
        <w:pStyle w:val="NormalWeb"/>
        <w:numPr>
          <w:ilvl w:val="0"/>
          <w:numId w:val="16"/>
        </w:numPr>
        <w:spacing w:line="360" w:lineRule="auto"/>
      </w:pPr>
      <w:r w:rsidRPr="009645C8">
        <w:t xml:space="preserve">Zero Carbon Analytics (2026) Overview of the global petrochemical industry. Available at: </w:t>
      </w:r>
      <w:hyperlink r:id="rId37" w:history="1">
        <w:r w:rsidR="00313D8B" w:rsidRPr="000F610C">
          <w:rPr>
            <w:rStyle w:val="Hyperlink"/>
          </w:rPr>
          <w:t>https://zerocarbon-analytics.org/energy/overview-of-the-global-petrochemical-industry/</w:t>
        </w:r>
      </w:hyperlink>
      <w:r w:rsidR="00313D8B">
        <w:t xml:space="preserve"> </w:t>
      </w:r>
      <w:r w:rsidRPr="009645C8">
        <w:t>(Accessed: 27 March 2026).</w:t>
      </w:r>
    </w:p>
    <w:p w14:paraId="72451DEE" w14:textId="77777777" w:rsidR="009A3806" w:rsidRDefault="009A3806" w:rsidP="00313D8B">
      <w:pPr>
        <w:pStyle w:val="NormalWeb"/>
        <w:numPr>
          <w:ilvl w:val="0"/>
          <w:numId w:val="16"/>
        </w:numPr>
        <w:spacing w:line="360" w:lineRule="auto"/>
      </w:pPr>
      <w:r>
        <w:t xml:space="preserve">Teece, D.J., Pisano, G. and Shuen, A. (1997) ‘Dynamic capabilities and strategic management’, </w:t>
      </w:r>
      <w:r>
        <w:rPr>
          <w:rStyle w:val="Emphasis"/>
        </w:rPr>
        <w:t>Strategic Management Journal</w:t>
      </w:r>
      <w:r>
        <w:t>, 18(7), pp. 509–533.</w:t>
      </w:r>
    </w:p>
    <w:p w14:paraId="609A3456" w14:textId="77777777" w:rsidR="009A3806" w:rsidRDefault="009A3806" w:rsidP="00313D8B">
      <w:pPr>
        <w:pStyle w:val="NormalWeb"/>
        <w:numPr>
          <w:ilvl w:val="0"/>
          <w:numId w:val="16"/>
        </w:numPr>
        <w:spacing w:line="360" w:lineRule="auto"/>
      </w:pPr>
      <w:r>
        <w:t xml:space="preserve">Tranfield, D., Denyer, D. and Smart, P. (2003) ‘Towards a methodology for developing evidence-informed management knowledge’, </w:t>
      </w:r>
      <w:r>
        <w:rPr>
          <w:rStyle w:val="Emphasis"/>
        </w:rPr>
        <w:t>British Journal of Management</w:t>
      </w:r>
      <w:r>
        <w:t>, 14(3), pp. 207–222.</w:t>
      </w:r>
    </w:p>
    <w:p w14:paraId="16D6B145" w14:textId="77777777" w:rsidR="009A3806" w:rsidRDefault="009A3806" w:rsidP="00313D8B">
      <w:pPr>
        <w:pStyle w:val="NormalWeb"/>
        <w:numPr>
          <w:ilvl w:val="0"/>
          <w:numId w:val="16"/>
        </w:numPr>
        <w:spacing w:line="360" w:lineRule="auto"/>
      </w:pPr>
      <w:r>
        <w:t xml:space="preserve">Yüksel, I. (2012) ‘Developing a multi-criteria decision making model for PESTEL analysis’, </w:t>
      </w:r>
      <w:r>
        <w:rPr>
          <w:rStyle w:val="Emphasis"/>
        </w:rPr>
        <w:t>International Journal of Business and Management</w:t>
      </w:r>
      <w:r>
        <w:t>, 7(24), pp. 52–66.</w:t>
      </w:r>
    </w:p>
    <w:p w14:paraId="455B585E" w14:textId="77777777" w:rsidR="009A3806" w:rsidRDefault="009A3806" w:rsidP="00313D8B">
      <w:pPr>
        <w:pStyle w:val="NormalWeb"/>
        <w:numPr>
          <w:ilvl w:val="0"/>
          <w:numId w:val="16"/>
        </w:numPr>
        <w:spacing w:line="360" w:lineRule="auto"/>
      </w:pPr>
      <w:r>
        <w:t xml:space="preserve">Zero Carbon Analytics (2024) </w:t>
      </w:r>
      <w:r>
        <w:rPr>
          <w:rStyle w:val="Emphasis"/>
        </w:rPr>
        <w:t>Petrochemical industry analysis</w:t>
      </w:r>
      <w:r>
        <w:t xml:space="preserve">. Available at: </w:t>
      </w:r>
      <w:hyperlink r:id="rId38" w:tgtFrame="_new" w:history="1">
        <w:r>
          <w:rPr>
            <w:rStyle w:val="Hyperlink"/>
            <w:rFonts w:eastAsiaTheme="majorEastAsia"/>
          </w:rPr>
          <w:t>https://zerocarbon-analytics.org</w:t>
        </w:r>
      </w:hyperlink>
      <w:r>
        <w:t xml:space="preserve"> (Accessed: 27 March 2026).</w:t>
      </w:r>
    </w:p>
    <w:p w14:paraId="5C59DFBE" w14:textId="77777777" w:rsidR="009A3806" w:rsidRPr="009645C8" w:rsidRDefault="009A3806" w:rsidP="00313D8B">
      <w:pPr>
        <w:pStyle w:val="NormalWeb"/>
        <w:spacing w:line="360" w:lineRule="auto"/>
        <w:ind w:left="720"/>
      </w:pPr>
    </w:p>
    <w:p w14:paraId="7EE974CE" w14:textId="77777777" w:rsidR="00DC3CCD" w:rsidRPr="00DC3CCD" w:rsidRDefault="00DC3CCD" w:rsidP="00313D8B">
      <w:pPr>
        <w:pStyle w:val="NormalWeb"/>
        <w:spacing w:line="360" w:lineRule="auto"/>
      </w:pPr>
    </w:p>
    <w:p w14:paraId="5D32FB8B" w14:textId="77777777" w:rsidR="00681A8D" w:rsidRDefault="00681A8D" w:rsidP="00313D8B">
      <w:pPr>
        <w:spacing w:line="360" w:lineRule="auto"/>
        <w:rPr>
          <w:rFonts w:ascii="Times New Roman" w:eastAsia="Times New Roman" w:hAnsi="Times New Roman" w:cs="Times New Roman"/>
          <w:lang w:val="en-US"/>
        </w:rPr>
      </w:pPr>
      <w:r>
        <w:br w:type="page"/>
      </w:r>
    </w:p>
    <w:p w14:paraId="07E8F551" w14:textId="77777777" w:rsidR="000577D1" w:rsidRDefault="00681A8D" w:rsidP="00681A8D">
      <w:pPr>
        <w:pStyle w:val="Heading1"/>
      </w:pPr>
      <w:bookmarkStart w:id="21" w:name="_Toc225479818"/>
      <w:r>
        <w:t>Appendixes</w:t>
      </w:r>
      <w:bookmarkEnd w:id="21"/>
    </w:p>
    <w:p w14:paraId="0F17D488" w14:textId="77777777" w:rsidR="00681A8D" w:rsidRDefault="00681A8D" w:rsidP="00681A8D">
      <w:pPr>
        <w:pStyle w:val="Heading2"/>
      </w:pPr>
      <w:bookmarkStart w:id="22" w:name="_Toc225479819"/>
      <w:r>
        <w:t>Appendix-Gibbs Reflective Model</w:t>
      </w:r>
      <w:bookmarkEnd w:id="22"/>
    </w:p>
    <w:p w14:paraId="20413069" w14:textId="77777777" w:rsidR="00681A8D" w:rsidRDefault="00681A8D" w:rsidP="00697DA1">
      <w:pPr>
        <w:pStyle w:val="NormalWeb"/>
        <w:spacing w:before="0" w:line="360" w:lineRule="auto"/>
        <w:rPr>
          <w:sz w:val="22"/>
          <w:szCs w:val="22"/>
        </w:rPr>
      </w:pPr>
      <w:r>
        <w:rPr>
          <w:noProof/>
        </w:rPr>
        <w:drawing>
          <wp:inline distT="0" distB="0" distL="0" distR="0" wp14:anchorId="0FDB33AF" wp14:editId="25847F5C">
            <wp:extent cx="4408098" cy="32632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4415737" cy="3268872"/>
                    </a:xfrm>
                    <a:prstGeom prst="rect">
                      <a:avLst/>
                    </a:prstGeom>
                  </pic:spPr>
                </pic:pic>
              </a:graphicData>
            </a:graphic>
          </wp:inline>
        </w:drawing>
      </w:r>
    </w:p>
    <w:p w14:paraId="7FEAFF29" w14:textId="77777777" w:rsidR="00681A8D" w:rsidRDefault="00681A8D" w:rsidP="00681A8D">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xml:space="preserve"> Gibbs Reflective Model</w:t>
      </w:r>
    </w:p>
    <w:p w14:paraId="754BD1FC" w14:textId="77777777" w:rsidR="00AC1489" w:rsidRPr="00AC1489" w:rsidRDefault="00AC1489" w:rsidP="00AC1489"/>
    <w:sectPr w:rsidR="00AC1489" w:rsidRPr="00AC1489"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9852BC" w14:textId="77777777" w:rsidR="008B68BA" w:rsidRDefault="008B68BA" w:rsidP="008C45E0">
      <w:pPr>
        <w:spacing w:after="0" w:line="240" w:lineRule="auto"/>
      </w:pPr>
      <w:r>
        <w:separator/>
      </w:r>
    </w:p>
  </w:endnote>
  <w:endnote w:type="continuationSeparator" w:id="0">
    <w:p w14:paraId="0B97A284" w14:textId="77777777" w:rsidR="008B68BA" w:rsidRDefault="008B68BA"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33D40320" w14:textId="77777777" w:rsidR="00507D7D" w:rsidRDefault="00507D7D">
        <w:pPr>
          <w:pStyle w:val="Footer"/>
          <w:jc w:val="center"/>
        </w:pPr>
        <w:r>
          <w:fldChar w:fldCharType="begin"/>
        </w:r>
        <w:r>
          <w:instrText xml:space="preserve"> PAGE   \* MERGEFORMAT </w:instrText>
        </w:r>
        <w:r>
          <w:fldChar w:fldCharType="separate"/>
        </w:r>
        <w:r w:rsidR="00C16088">
          <w:rPr>
            <w:noProof/>
          </w:rPr>
          <w:t>2</w:t>
        </w:r>
        <w:r>
          <w:rPr>
            <w:noProof/>
          </w:rPr>
          <w:fldChar w:fldCharType="end"/>
        </w:r>
      </w:p>
    </w:sdtContent>
  </w:sdt>
  <w:p w14:paraId="6788A682" w14:textId="77777777" w:rsidR="00507D7D" w:rsidRDefault="00507D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950B1" w14:textId="77777777" w:rsidR="008B68BA" w:rsidRDefault="008B68BA" w:rsidP="008C45E0">
      <w:pPr>
        <w:spacing w:after="0" w:line="240" w:lineRule="auto"/>
      </w:pPr>
      <w:r>
        <w:separator/>
      </w:r>
    </w:p>
  </w:footnote>
  <w:footnote w:type="continuationSeparator" w:id="0">
    <w:p w14:paraId="4262A143" w14:textId="77777777" w:rsidR="008B68BA" w:rsidRDefault="008B68BA" w:rsidP="008C45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E1E6D"/>
    <w:multiLevelType w:val="hybridMultilevel"/>
    <w:tmpl w:val="ECE243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75130A"/>
    <w:multiLevelType w:val="multilevel"/>
    <w:tmpl w:val="556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311660"/>
    <w:multiLevelType w:val="hybridMultilevel"/>
    <w:tmpl w:val="D1F06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A0D7431"/>
    <w:multiLevelType w:val="multilevel"/>
    <w:tmpl w:val="4C388C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623A60"/>
    <w:multiLevelType w:val="hybridMultilevel"/>
    <w:tmpl w:val="830AB3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40016B"/>
    <w:multiLevelType w:val="multilevel"/>
    <w:tmpl w:val="16F4C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135373361">
    <w:abstractNumId w:val="6"/>
  </w:num>
  <w:num w:numId="2" w16cid:durableId="898243771">
    <w:abstractNumId w:val="3"/>
  </w:num>
  <w:num w:numId="3" w16cid:durableId="23791718">
    <w:abstractNumId w:val="14"/>
  </w:num>
  <w:num w:numId="4" w16cid:durableId="679819746">
    <w:abstractNumId w:val="13"/>
  </w:num>
  <w:num w:numId="5" w16cid:durableId="1679235684">
    <w:abstractNumId w:val="2"/>
  </w:num>
  <w:num w:numId="6" w16cid:durableId="1767768932">
    <w:abstractNumId w:val="10"/>
  </w:num>
  <w:num w:numId="7" w16cid:durableId="1937859569">
    <w:abstractNumId w:val="15"/>
  </w:num>
  <w:num w:numId="8" w16cid:durableId="350884085">
    <w:abstractNumId w:val="9"/>
  </w:num>
  <w:num w:numId="9" w16cid:durableId="1710910657">
    <w:abstractNumId w:val="7"/>
  </w:num>
  <w:num w:numId="10" w16cid:durableId="202525057">
    <w:abstractNumId w:val="1"/>
  </w:num>
  <w:num w:numId="11" w16cid:durableId="254441881">
    <w:abstractNumId w:val="5"/>
  </w:num>
  <w:num w:numId="12" w16cid:durableId="208302829">
    <w:abstractNumId w:val="4"/>
  </w:num>
  <w:num w:numId="13" w16cid:durableId="1109203938">
    <w:abstractNumId w:val="0"/>
  </w:num>
  <w:num w:numId="14" w16cid:durableId="359088789">
    <w:abstractNumId w:val="8"/>
  </w:num>
  <w:num w:numId="15" w16cid:durableId="2056542742">
    <w:abstractNumId w:val="12"/>
  </w:num>
  <w:num w:numId="16" w16cid:durableId="1549105489">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61EB"/>
    <w:rsid w:val="000067B3"/>
    <w:rsid w:val="000115F5"/>
    <w:rsid w:val="00013BC8"/>
    <w:rsid w:val="00015806"/>
    <w:rsid w:val="00015AA7"/>
    <w:rsid w:val="00023282"/>
    <w:rsid w:val="00023AE7"/>
    <w:rsid w:val="00024BBE"/>
    <w:rsid w:val="0002538B"/>
    <w:rsid w:val="00027A1E"/>
    <w:rsid w:val="0003784D"/>
    <w:rsid w:val="00042399"/>
    <w:rsid w:val="000446D0"/>
    <w:rsid w:val="00044D56"/>
    <w:rsid w:val="00047F90"/>
    <w:rsid w:val="00050C1A"/>
    <w:rsid w:val="00051666"/>
    <w:rsid w:val="0005376D"/>
    <w:rsid w:val="000577D1"/>
    <w:rsid w:val="00061153"/>
    <w:rsid w:val="00065F4C"/>
    <w:rsid w:val="00065F6B"/>
    <w:rsid w:val="000707C9"/>
    <w:rsid w:val="00070DC8"/>
    <w:rsid w:val="0007195E"/>
    <w:rsid w:val="000738BD"/>
    <w:rsid w:val="000755F5"/>
    <w:rsid w:val="000836EA"/>
    <w:rsid w:val="000837F8"/>
    <w:rsid w:val="00086CD1"/>
    <w:rsid w:val="00090580"/>
    <w:rsid w:val="000A044F"/>
    <w:rsid w:val="000A0A3E"/>
    <w:rsid w:val="000A6CA6"/>
    <w:rsid w:val="000B16C8"/>
    <w:rsid w:val="000B5FFF"/>
    <w:rsid w:val="000C03CF"/>
    <w:rsid w:val="000C1E6B"/>
    <w:rsid w:val="000C39F0"/>
    <w:rsid w:val="000C3CE7"/>
    <w:rsid w:val="000D18AA"/>
    <w:rsid w:val="000D203B"/>
    <w:rsid w:val="000D4595"/>
    <w:rsid w:val="000D50D9"/>
    <w:rsid w:val="000E3733"/>
    <w:rsid w:val="000E530B"/>
    <w:rsid w:val="000F0181"/>
    <w:rsid w:val="000F4B59"/>
    <w:rsid w:val="000F5921"/>
    <w:rsid w:val="000F731B"/>
    <w:rsid w:val="00101F5D"/>
    <w:rsid w:val="001026D9"/>
    <w:rsid w:val="00106DEF"/>
    <w:rsid w:val="00111B4C"/>
    <w:rsid w:val="00112EEF"/>
    <w:rsid w:val="001137B7"/>
    <w:rsid w:val="00113DE1"/>
    <w:rsid w:val="00113FB0"/>
    <w:rsid w:val="0011570E"/>
    <w:rsid w:val="00116758"/>
    <w:rsid w:val="001172BC"/>
    <w:rsid w:val="001231DE"/>
    <w:rsid w:val="00134DCD"/>
    <w:rsid w:val="0013533D"/>
    <w:rsid w:val="00135C1B"/>
    <w:rsid w:val="001438E9"/>
    <w:rsid w:val="00143A38"/>
    <w:rsid w:val="00145784"/>
    <w:rsid w:val="0014669C"/>
    <w:rsid w:val="00146B8F"/>
    <w:rsid w:val="0015204A"/>
    <w:rsid w:val="00152BB6"/>
    <w:rsid w:val="00162D7C"/>
    <w:rsid w:val="001668A8"/>
    <w:rsid w:val="0016791D"/>
    <w:rsid w:val="00170445"/>
    <w:rsid w:val="0017159B"/>
    <w:rsid w:val="00174256"/>
    <w:rsid w:val="0017554C"/>
    <w:rsid w:val="0018043A"/>
    <w:rsid w:val="0018283B"/>
    <w:rsid w:val="00183449"/>
    <w:rsid w:val="0018566B"/>
    <w:rsid w:val="00185692"/>
    <w:rsid w:val="001875CD"/>
    <w:rsid w:val="0019735B"/>
    <w:rsid w:val="001A0528"/>
    <w:rsid w:val="001A1120"/>
    <w:rsid w:val="001A1789"/>
    <w:rsid w:val="001A3B94"/>
    <w:rsid w:val="001A6536"/>
    <w:rsid w:val="001B071D"/>
    <w:rsid w:val="001B6D55"/>
    <w:rsid w:val="001B761E"/>
    <w:rsid w:val="001B7879"/>
    <w:rsid w:val="001C0F9F"/>
    <w:rsid w:val="001C71AC"/>
    <w:rsid w:val="001C76E3"/>
    <w:rsid w:val="001D7407"/>
    <w:rsid w:val="001D7B72"/>
    <w:rsid w:val="001E04B4"/>
    <w:rsid w:val="001E0D5D"/>
    <w:rsid w:val="001E0DB9"/>
    <w:rsid w:val="001E10B2"/>
    <w:rsid w:val="001E2BB8"/>
    <w:rsid w:val="001E370F"/>
    <w:rsid w:val="001E658B"/>
    <w:rsid w:val="001E708F"/>
    <w:rsid w:val="001E70BD"/>
    <w:rsid w:val="001F0F74"/>
    <w:rsid w:val="001F0FB5"/>
    <w:rsid w:val="001F2D01"/>
    <w:rsid w:val="001F57A7"/>
    <w:rsid w:val="001F675A"/>
    <w:rsid w:val="001F7B4F"/>
    <w:rsid w:val="00200562"/>
    <w:rsid w:val="00200A86"/>
    <w:rsid w:val="00201345"/>
    <w:rsid w:val="00204EFC"/>
    <w:rsid w:val="002064F3"/>
    <w:rsid w:val="00206E11"/>
    <w:rsid w:val="002075BB"/>
    <w:rsid w:val="00213F5B"/>
    <w:rsid w:val="00214B9F"/>
    <w:rsid w:val="00216AC4"/>
    <w:rsid w:val="00216B03"/>
    <w:rsid w:val="002200B0"/>
    <w:rsid w:val="00221FE4"/>
    <w:rsid w:val="002225A3"/>
    <w:rsid w:val="00222FEF"/>
    <w:rsid w:val="00223A4E"/>
    <w:rsid w:val="0022585A"/>
    <w:rsid w:val="00226CC9"/>
    <w:rsid w:val="0023111D"/>
    <w:rsid w:val="00231956"/>
    <w:rsid w:val="00234F51"/>
    <w:rsid w:val="00235D59"/>
    <w:rsid w:val="0023662F"/>
    <w:rsid w:val="00240227"/>
    <w:rsid w:val="0024192C"/>
    <w:rsid w:val="002423B1"/>
    <w:rsid w:val="00244898"/>
    <w:rsid w:val="002452FE"/>
    <w:rsid w:val="00245313"/>
    <w:rsid w:val="002505C9"/>
    <w:rsid w:val="00250EE7"/>
    <w:rsid w:val="00251ED2"/>
    <w:rsid w:val="00252494"/>
    <w:rsid w:val="0025338C"/>
    <w:rsid w:val="00257F6E"/>
    <w:rsid w:val="00262477"/>
    <w:rsid w:val="00270BEB"/>
    <w:rsid w:val="002713B0"/>
    <w:rsid w:val="00271961"/>
    <w:rsid w:val="00272F0A"/>
    <w:rsid w:val="00275324"/>
    <w:rsid w:val="002771FC"/>
    <w:rsid w:val="002811FC"/>
    <w:rsid w:val="002828A3"/>
    <w:rsid w:val="00286811"/>
    <w:rsid w:val="00286EBD"/>
    <w:rsid w:val="0029431B"/>
    <w:rsid w:val="002A079B"/>
    <w:rsid w:val="002A0AF7"/>
    <w:rsid w:val="002A589B"/>
    <w:rsid w:val="002A6CE8"/>
    <w:rsid w:val="002B0EE8"/>
    <w:rsid w:val="002B1450"/>
    <w:rsid w:val="002B184C"/>
    <w:rsid w:val="002B31EB"/>
    <w:rsid w:val="002B6B70"/>
    <w:rsid w:val="002C0340"/>
    <w:rsid w:val="002C15B8"/>
    <w:rsid w:val="002C176E"/>
    <w:rsid w:val="002C29F5"/>
    <w:rsid w:val="002C2DF7"/>
    <w:rsid w:val="002D1264"/>
    <w:rsid w:val="002E1EF1"/>
    <w:rsid w:val="002E55AA"/>
    <w:rsid w:val="002E7359"/>
    <w:rsid w:val="002E7D36"/>
    <w:rsid w:val="002E7D83"/>
    <w:rsid w:val="002F114C"/>
    <w:rsid w:val="002F147C"/>
    <w:rsid w:val="002F3B04"/>
    <w:rsid w:val="002F71C6"/>
    <w:rsid w:val="00302FC3"/>
    <w:rsid w:val="00307A75"/>
    <w:rsid w:val="00311A3F"/>
    <w:rsid w:val="00311AED"/>
    <w:rsid w:val="00311EA2"/>
    <w:rsid w:val="00311F23"/>
    <w:rsid w:val="00313D8B"/>
    <w:rsid w:val="0031560D"/>
    <w:rsid w:val="00315BE1"/>
    <w:rsid w:val="003173F9"/>
    <w:rsid w:val="003207E2"/>
    <w:rsid w:val="00322000"/>
    <w:rsid w:val="003249D7"/>
    <w:rsid w:val="0032516B"/>
    <w:rsid w:val="003304E1"/>
    <w:rsid w:val="003335F7"/>
    <w:rsid w:val="00334782"/>
    <w:rsid w:val="0034272E"/>
    <w:rsid w:val="00344644"/>
    <w:rsid w:val="00344D8F"/>
    <w:rsid w:val="00346CCD"/>
    <w:rsid w:val="0035184B"/>
    <w:rsid w:val="0035326E"/>
    <w:rsid w:val="003558CF"/>
    <w:rsid w:val="00356FE1"/>
    <w:rsid w:val="00362EE2"/>
    <w:rsid w:val="00364B06"/>
    <w:rsid w:val="00364EB6"/>
    <w:rsid w:val="00372870"/>
    <w:rsid w:val="00373773"/>
    <w:rsid w:val="00377078"/>
    <w:rsid w:val="00384B97"/>
    <w:rsid w:val="00385A1E"/>
    <w:rsid w:val="00385E67"/>
    <w:rsid w:val="003900AC"/>
    <w:rsid w:val="00393DD9"/>
    <w:rsid w:val="003A608D"/>
    <w:rsid w:val="003B2E2E"/>
    <w:rsid w:val="003B5634"/>
    <w:rsid w:val="003C0F29"/>
    <w:rsid w:val="003C3115"/>
    <w:rsid w:val="003D2DF9"/>
    <w:rsid w:val="003D5C94"/>
    <w:rsid w:val="003E0AFE"/>
    <w:rsid w:val="003E0BFE"/>
    <w:rsid w:val="003E10FB"/>
    <w:rsid w:val="003E255D"/>
    <w:rsid w:val="003F0C8D"/>
    <w:rsid w:val="003F170D"/>
    <w:rsid w:val="003F1C2D"/>
    <w:rsid w:val="003F333C"/>
    <w:rsid w:val="003F5550"/>
    <w:rsid w:val="003F6A32"/>
    <w:rsid w:val="003F75D3"/>
    <w:rsid w:val="0040503C"/>
    <w:rsid w:val="00406ADA"/>
    <w:rsid w:val="00413BB3"/>
    <w:rsid w:val="00414646"/>
    <w:rsid w:val="004155E1"/>
    <w:rsid w:val="00417405"/>
    <w:rsid w:val="0042092A"/>
    <w:rsid w:val="0042328F"/>
    <w:rsid w:val="004257CB"/>
    <w:rsid w:val="00430DB7"/>
    <w:rsid w:val="00431551"/>
    <w:rsid w:val="00432714"/>
    <w:rsid w:val="004428B6"/>
    <w:rsid w:val="00443979"/>
    <w:rsid w:val="00445781"/>
    <w:rsid w:val="00446DF5"/>
    <w:rsid w:val="00450A5D"/>
    <w:rsid w:val="0045483F"/>
    <w:rsid w:val="004561EB"/>
    <w:rsid w:val="00462414"/>
    <w:rsid w:val="00462770"/>
    <w:rsid w:val="00462C38"/>
    <w:rsid w:val="00462ED2"/>
    <w:rsid w:val="00463EB2"/>
    <w:rsid w:val="00464CDB"/>
    <w:rsid w:val="00465A23"/>
    <w:rsid w:val="00466373"/>
    <w:rsid w:val="0047013C"/>
    <w:rsid w:val="0047085A"/>
    <w:rsid w:val="00471335"/>
    <w:rsid w:val="0047199B"/>
    <w:rsid w:val="00472AB5"/>
    <w:rsid w:val="00474194"/>
    <w:rsid w:val="0047499A"/>
    <w:rsid w:val="0047767D"/>
    <w:rsid w:val="00480122"/>
    <w:rsid w:val="004808A5"/>
    <w:rsid w:val="00482006"/>
    <w:rsid w:val="00483400"/>
    <w:rsid w:val="00483A69"/>
    <w:rsid w:val="0048417B"/>
    <w:rsid w:val="0048503A"/>
    <w:rsid w:val="004959ED"/>
    <w:rsid w:val="004978C1"/>
    <w:rsid w:val="004A4694"/>
    <w:rsid w:val="004B1B7A"/>
    <w:rsid w:val="004B1F81"/>
    <w:rsid w:val="004B23DF"/>
    <w:rsid w:val="004B43CF"/>
    <w:rsid w:val="004B60DD"/>
    <w:rsid w:val="004C0549"/>
    <w:rsid w:val="004C2C49"/>
    <w:rsid w:val="004C7CE4"/>
    <w:rsid w:val="004D1F88"/>
    <w:rsid w:val="004D2A05"/>
    <w:rsid w:val="004D2A2E"/>
    <w:rsid w:val="004D4166"/>
    <w:rsid w:val="004E0449"/>
    <w:rsid w:val="004E0A37"/>
    <w:rsid w:val="004E1024"/>
    <w:rsid w:val="004E1F5C"/>
    <w:rsid w:val="004E68CE"/>
    <w:rsid w:val="004E7352"/>
    <w:rsid w:val="004F015E"/>
    <w:rsid w:val="004F1C2C"/>
    <w:rsid w:val="004F23E3"/>
    <w:rsid w:val="004F405B"/>
    <w:rsid w:val="005010C9"/>
    <w:rsid w:val="00503E84"/>
    <w:rsid w:val="00507D7D"/>
    <w:rsid w:val="00510BE5"/>
    <w:rsid w:val="00510EC0"/>
    <w:rsid w:val="0051180C"/>
    <w:rsid w:val="0051244D"/>
    <w:rsid w:val="00513965"/>
    <w:rsid w:val="00513C53"/>
    <w:rsid w:val="00516728"/>
    <w:rsid w:val="00516A6C"/>
    <w:rsid w:val="00520AAE"/>
    <w:rsid w:val="00522678"/>
    <w:rsid w:val="005229A8"/>
    <w:rsid w:val="00524469"/>
    <w:rsid w:val="00525B46"/>
    <w:rsid w:val="00530812"/>
    <w:rsid w:val="00532463"/>
    <w:rsid w:val="005347DF"/>
    <w:rsid w:val="005407E1"/>
    <w:rsid w:val="005468AC"/>
    <w:rsid w:val="00546C8D"/>
    <w:rsid w:val="00556320"/>
    <w:rsid w:val="0055746C"/>
    <w:rsid w:val="00562BE4"/>
    <w:rsid w:val="005672CD"/>
    <w:rsid w:val="00567BA3"/>
    <w:rsid w:val="005701B2"/>
    <w:rsid w:val="005730E8"/>
    <w:rsid w:val="00573B66"/>
    <w:rsid w:val="00584E9C"/>
    <w:rsid w:val="005915CF"/>
    <w:rsid w:val="00592522"/>
    <w:rsid w:val="00593E97"/>
    <w:rsid w:val="0059436C"/>
    <w:rsid w:val="005945D9"/>
    <w:rsid w:val="005A055E"/>
    <w:rsid w:val="005A1A0E"/>
    <w:rsid w:val="005A1F09"/>
    <w:rsid w:val="005A3332"/>
    <w:rsid w:val="005A3B2A"/>
    <w:rsid w:val="005A4A93"/>
    <w:rsid w:val="005A61D5"/>
    <w:rsid w:val="005A7207"/>
    <w:rsid w:val="005B5703"/>
    <w:rsid w:val="005B60D3"/>
    <w:rsid w:val="005B76ED"/>
    <w:rsid w:val="005C0DB9"/>
    <w:rsid w:val="005C462C"/>
    <w:rsid w:val="005C59BC"/>
    <w:rsid w:val="005C5AC3"/>
    <w:rsid w:val="005C7088"/>
    <w:rsid w:val="005D06FA"/>
    <w:rsid w:val="005D139E"/>
    <w:rsid w:val="005D4023"/>
    <w:rsid w:val="005D5232"/>
    <w:rsid w:val="005E03C0"/>
    <w:rsid w:val="005E0C80"/>
    <w:rsid w:val="005E33F1"/>
    <w:rsid w:val="005E3769"/>
    <w:rsid w:val="005E4072"/>
    <w:rsid w:val="005E69E8"/>
    <w:rsid w:val="005E7B3B"/>
    <w:rsid w:val="005E7D13"/>
    <w:rsid w:val="005F4213"/>
    <w:rsid w:val="005F6357"/>
    <w:rsid w:val="005F639F"/>
    <w:rsid w:val="005F69B8"/>
    <w:rsid w:val="005F7C87"/>
    <w:rsid w:val="00600DC0"/>
    <w:rsid w:val="006016A5"/>
    <w:rsid w:val="00602A5A"/>
    <w:rsid w:val="0061143F"/>
    <w:rsid w:val="006142B4"/>
    <w:rsid w:val="00616EBD"/>
    <w:rsid w:val="006174DF"/>
    <w:rsid w:val="00622C32"/>
    <w:rsid w:val="00624C35"/>
    <w:rsid w:val="00626C3F"/>
    <w:rsid w:val="00630929"/>
    <w:rsid w:val="00632B42"/>
    <w:rsid w:val="006334D6"/>
    <w:rsid w:val="00635148"/>
    <w:rsid w:val="0064559B"/>
    <w:rsid w:val="0065001D"/>
    <w:rsid w:val="006507F7"/>
    <w:rsid w:val="006534E4"/>
    <w:rsid w:val="006540E2"/>
    <w:rsid w:val="0065412B"/>
    <w:rsid w:val="00657C64"/>
    <w:rsid w:val="00662AC8"/>
    <w:rsid w:val="0067005C"/>
    <w:rsid w:val="006738CC"/>
    <w:rsid w:val="0068086E"/>
    <w:rsid w:val="006811AA"/>
    <w:rsid w:val="00681A8D"/>
    <w:rsid w:val="00682A70"/>
    <w:rsid w:val="0068320C"/>
    <w:rsid w:val="00685A46"/>
    <w:rsid w:val="00687C1E"/>
    <w:rsid w:val="00693C55"/>
    <w:rsid w:val="00697ACF"/>
    <w:rsid w:val="00697DA1"/>
    <w:rsid w:val="006A1D95"/>
    <w:rsid w:val="006A488E"/>
    <w:rsid w:val="006B0ADC"/>
    <w:rsid w:val="006B5938"/>
    <w:rsid w:val="006B5BB7"/>
    <w:rsid w:val="006C1901"/>
    <w:rsid w:val="006C4AF8"/>
    <w:rsid w:val="006C4CA3"/>
    <w:rsid w:val="006D24E1"/>
    <w:rsid w:val="006D2ECE"/>
    <w:rsid w:val="006D5224"/>
    <w:rsid w:val="006D7E5C"/>
    <w:rsid w:val="006D7F47"/>
    <w:rsid w:val="006E0F18"/>
    <w:rsid w:val="006E1C0E"/>
    <w:rsid w:val="006E62C2"/>
    <w:rsid w:val="006E6670"/>
    <w:rsid w:val="006F5EBA"/>
    <w:rsid w:val="007003A2"/>
    <w:rsid w:val="00703CAB"/>
    <w:rsid w:val="00703FBE"/>
    <w:rsid w:val="00706432"/>
    <w:rsid w:val="00712F8D"/>
    <w:rsid w:val="00717B05"/>
    <w:rsid w:val="0072476B"/>
    <w:rsid w:val="00724ACF"/>
    <w:rsid w:val="007259D9"/>
    <w:rsid w:val="00726C31"/>
    <w:rsid w:val="0073108C"/>
    <w:rsid w:val="007321E8"/>
    <w:rsid w:val="00735CCF"/>
    <w:rsid w:val="00743D10"/>
    <w:rsid w:val="0074751C"/>
    <w:rsid w:val="00752F27"/>
    <w:rsid w:val="00760023"/>
    <w:rsid w:val="00760D82"/>
    <w:rsid w:val="00761C42"/>
    <w:rsid w:val="00763904"/>
    <w:rsid w:val="00766E15"/>
    <w:rsid w:val="0076741B"/>
    <w:rsid w:val="00767458"/>
    <w:rsid w:val="00770B0E"/>
    <w:rsid w:val="00771099"/>
    <w:rsid w:val="00774F26"/>
    <w:rsid w:val="00777CBD"/>
    <w:rsid w:val="00782584"/>
    <w:rsid w:val="0079103C"/>
    <w:rsid w:val="007A0E92"/>
    <w:rsid w:val="007A2B94"/>
    <w:rsid w:val="007A3152"/>
    <w:rsid w:val="007A4AA9"/>
    <w:rsid w:val="007C13EE"/>
    <w:rsid w:val="007C36EF"/>
    <w:rsid w:val="007C7AFC"/>
    <w:rsid w:val="007D62A1"/>
    <w:rsid w:val="007E298B"/>
    <w:rsid w:val="007E5784"/>
    <w:rsid w:val="007E5C27"/>
    <w:rsid w:val="007F7024"/>
    <w:rsid w:val="007F77C7"/>
    <w:rsid w:val="008011DB"/>
    <w:rsid w:val="00806BAA"/>
    <w:rsid w:val="00807818"/>
    <w:rsid w:val="00807E6F"/>
    <w:rsid w:val="00812759"/>
    <w:rsid w:val="0081282D"/>
    <w:rsid w:val="00813C4B"/>
    <w:rsid w:val="00816D70"/>
    <w:rsid w:val="00817910"/>
    <w:rsid w:val="008221D7"/>
    <w:rsid w:val="008222E5"/>
    <w:rsid w:val="00827A8B"/>
    <w:rsid w:val="0083545B"/>
    <w:rsid w:val="008364F4"/>
    <w:rsid w:val="00840C3C"/>
    <w:rsid w:val="00841E46"/>
    <w:rsid w:val="0084437D"/>
    <w:rsid w:val="0084609C"/>
    <w:rsid w:val="00846808"/>
    <w:rsid w:val="008474D3"/>
    <w:rsid w:val="00847998"/>
    <w:rsid w:val="0085082C"/>
    <w:rsid w:val="00850BF3"/>
    <w:rsid w:val="00855EB1"/>
    <w:rsid w:val="00856E93"/>
    <w:rsid w:val="008572FA"/>
    <w:rsid w:val="00862281"/>
    <w:rsid w:val="008638C6"/>
    <w:rsid w:val="00864CE3"/>
    <w:rsid w:val="008656DE"/>
    <w:rsid w:val="00866CEF"/>
    <w:rsid w:val="00867BE0"/>
    <w:rsid w:val="008700B5"/>
    <w:rsid w:val="00871EA0"/>
    <w:rsid w:val="00873166"/>
    <w:rsid w:val="00874A0E"/>
    <w:rsid w:val="00874BF6"/>
    <w:rsid w:val="0087586E"/>
    <w:rsid w:val="00875A3E"/>
    <w:rsid w:val="00875DD6"/>
    <w:rsid w:val="0087707D"/>
    <w:rsid w:val="0088104B"/>
    <w:rsid w:val="00882934"/>
    <w:rsid w:val="00886D5D"/>
    <w:rsid w:val="00890DBF"/>
    <w:rsid w:val="00896E68"/>
    <w:rsid w:val="00896E87"/>
    <w:rsid w:val="008977D7"/>
    <w:rsid w:val="008A5558"/>
    <w:rsid w:val="008A768E"/>
    <w:rsid w:val="008B3A44"/>
    <w:rsid w:val="008B5C1D"/>
    <w:rsid w:val="008B6098"/>
    <w:rsid w:val="008B68BA"/>
    <w:rsid w:val="008B7A4C"/>
    <w:rsid w:val="008C0917"/>
    <w:rsid w:val="008C30E9"/>
    <w:rsid w:val="008C3ABE"/>
    <w:rsid w:val="008C45E0"/>
    <w:rsid w:val="008C57F7"/>
    <w:rsid w:val="008D2EF7"/>
    <w:rsid w:val="008D3530"/>
    <w:rsid w:val="008D51E5"/>
    <w:rsid w:val="008D65B9"/>
    <w:rsid w:val="008E3138"/>
    <w:rsid w:val="008E37D8"/>
    <w:rsid w:val="008F4830"/>
    <w:rsid w:val="008F4B10"/>
    <w:rsid w:val="008F5347"/>
    <w:rsid w:val="008F5FEF"/>
    <w:rsid w:val="008F782D"/>
    <w:rsid w:val="00900D98"/>
    <w:rsid w:val="00901B64"/>
    <w:rsid w:val="0090280D"/>
    <w:rsid w:val="00905574"/>
    <w:rsid w:val="00907A70"/>
    <w:rsid w:val="0091655C"/>
    <w:rsid w:val="009225E6"/>
    <w:rsid w:val="00923033"/>
    <w:rsid w:val="00925978"/>
    <w:rsid w:val="00926EEA"/>
    <w:rsid w:val="00927831"/>
    <w:rsid w:val="00931C38"/>
    <w:rsid w:val="00932A91"/>
    <w:rsid w:val="00934875"/>
    <w:rsid w:val="009351FD"/>
    <w:rsid w:val="0093634F"/>
    <w:rsid w:val="00942B60"/>
    <w:rsid w:val="00943C93"/>
    <w:rsid w:val="009448CE"/>
    <w:rsid w:val="0094554C"/>
    <w:rsid w:val="0095002B"/>
    <w:rsid w:val="0095182C"/>
    <w:rsid w:val="00954D4E"/>
    <w:rsid w:val="00960CDF"/>
    <w:rsid w:val="00962CC2"/>
    <w:rsid w:val="00962D25"/>
    <w:rsid w:val="009645C8"/>
    <w:rsid w:val="0096588B"/>
    <w:rsid w:val="0096725B"/>
    <w:rsid w:val="009675B1"/>
    <w:rsid w:val="009726AD"/>
    <w:rsid w:val="00972AD4"/>
    <w:rsid w:val="009804BC"/>
    <w:rsid w:val="00987360"/>
    <w:rsid w:val="00990467"/>
    <w:rsid w:val="009922AE"/>
    <w:rsid w:val="00994108"/>
    <w:rsid w:val="009944F3"/>
    <w:rsid w:val="009A15B9"/>
    <w:rsid w:val="009A1763"/>
    <w:rsid w:val="009A2C32"/>
    <w:rsid w:val="009A30E5"/>
    <w:rsid w:val="009A3806"/>
    <w:rsid w:val="009A50B4"/>
    <w:rsid w:val="009B52CA"/>
    <w:rsid w:val="009C1AAD"/>
    <w:rsid w:val="009C7B70"/>
    <w:rsid w:val="009D1380"/>
    <w:rsid w:val="009D1E5B"/>
    <w:rsid w:val="009D2BB4"/>
    <w:rsid w:val="009D395C"/>
    <w:rsid w:val="009D39A1"/>
    <w:rsid w:val="009D534D"/>
    <w:rsid w:val="009D5E52"/>
    <w:rsid w:val="009D7A3D"/>
    <w:rsid w:val="009E2F95"/>
    <w:rsid w:val="009E37D1"/>
    <w:rsid w:val="009E3B34"/>
    <w:rsid w:val="009E3DE1"/>
    <w:rsid w:val="009E5ECC"/>
    <w:rsid w:val="009E6C3D"/>
    <w:rsid w:val="009E7D78"/>
    <w:rsid w:val="009E7F8E"/>
    <w:rsid w:val="009F186C"/>
    <w:rsid w:val="009F73C2"/>
    <w:rsid w:val="00A00654"/>
    <w:rsid w:val="00A006D4"/>
    <w:rsid w:val="00A050CD"/>
    <w:rsid w:val="00A078B7"/>
    <w:rsid w:val="00A07CCE"/>
    <w:rsid w:val="00A10060"/>
    <w:rsid w:val="00A11BC3"/>
    <w:rsid w:val="00A14057"/>
    <w:rsid w:val="00A15BCD"/>
    <w:rsid w:val="00A2454B"/>
    <w:rsid w:val="00A3264A"/>
    <w:rsid w:val="00A32FC9"/>
    <w:rsid w:val="00A348DA"/>
    <w:rsid w:val="00A40162"/>
    <w:rsid w:val="00A404C7"/>
    <w:rsid w:val="00A414D3"/>
    <w:rsid w:val="00A4304F"/>
    <w:rsid w:val="00A46928"/>
    <w:rsid w:val="00A50C53"/>
    <w:rsid w:val="00A5151D"/>
    <w:rsid w:val="00A537DC"/>
    <w:rsid w:val="00A54462"/>
    <w:rsid w:val="00A5671F"/>
    <w:rsid w:val="00A57291"/>
    <w:rsid w:val="00A600E1"/>
    <w:rsid w:val="00A62234"/>
    <w:rsid w:val="00A63848"/>
    <w:rsid w:val="00A65E7B"/>
    <w:rsid w:val="00A733CD"/>
    <w:rsid w:val="00A80DAA"/>
    <w:rsid w:val="00A87AB7"/>
    <w:rsid w:val="00A90321"/>
    <w:rsid w:val="00A91D23"/>
    <w:rsid w:val="00A92110"/>
    <w:rsid w:val="00AA0038"/>
    <w:rsid w:val="00AA01FB"/>
    <w:rsid w:val="00AA2744"/>
    <w:rsid w:val="00AB050A"/>
    <w:rsid w:val="00AB3E54"/>
    <w:rsid w:val="00AB3FE6"/>
    <w:rsid w:val="00AB55F4"/>
    <w:rsid w:val="00AB6E3F"/>
    <w:rsid w:val="00AC03B2"/>
    <w:rsid w:val="00AC1489"/>
    <w:rsid w:val="00AC1AC3"/>
    <w:rsid w:val="00AC3EC9"/>
    <w:rsid w:val="00AC4D67"/>
    <w:rsid w:val="00AD35FD"/>
    <w:rsid w:val="00AD7B87"/>
    <w:rsid w:val="00AE27D8"/>
    <w:rsid w:val="00AE4FC9"/>
    <w:rsid w:val="00AE539E"/>
    <w:rsid w:val="00AE5C3B"/>
    <w:rsid w:val="00AF5D0F"/>
    <w:rsid w:val="00AF5E2E"/>
    <w:rsid w:val="00AF6EB0"/>
    <w:rsid w:val="00AF6FE4"/>
    <w:rsid w:val="00B014F4"/>
    <w:rsid w:val="00B022C3"/>
    <w:rsid w:val="00B048C8"/>
    <w:rsid w:val="00B10800"/>
    <w:rsid w:val="00B11005"/>
    <w:rsid w:val="00B117F9"/>
    <w:rsid w:val="00B13077"/>
    <w:rsid w:val="00B140EC"/>
    <w:rsid w:val="00B15CC0"/>
    <w:rsid w:val="00B20268"/>
    <w:rsid w:val="00B23810"/>
    <w:rsid w:val="00B255F0"/>
    <w:rsid w:val="00B26063"/>
    <w:rsid w:val="00B264AD"/>
    <w:rsid w:val="00B36E20"/>
    <w:rsid w:val="00B41DCC"/>
    <w:rsid w:val="00B42DF3"/>
    <w:rsid w:val="00B46246"/>
    <w:rsid w:val="00B474EC"/>
    <w:rsid w:val="00B47F79"/>
    <w:rsid w:val="00B51529"/>
    <w:rsid w:val="00B51C81"/>
    <w:rsid w:val="00B5394E"/>
    <w:rsid w:val="00B54A9D"/>
    <w:rsid w:val="00B54E04"/>
    <w:rsid w:val="00B56ACE"/>
    <w:rsid w:val="00B57677"/>
    <w:rsid w:val="00B61DCF"/>
    <w:rsid w:val="00B61E82"/>
    <w:rsid w:val="00B623EB"/>
    <w:rsid w:val="00B6514D"/>
    <w:rsid w:val="00B6718A"/>
    <w:rsid w:val="00B67783"/>
    <w:rsid w:val="00B70D5A"/>
    <w:rsid w:val="00B73858"/>
    <w:rsid w:val="00B74D7F"/>
    <w:rsid w:val="00B7638B"/>
    <w:rsid w:val="00B8090E"/>
    <w:rsid w:val="00B818F5"/>
    <w:rsid w:val="00B81AEB"/>
    <w:rsid w:val="00B81C7C"/>
    <w:rsid w:val="00B8447E"/>
    <w:rsid w:val="00B866ED"/>
    <w:rsid w:val="00B87CB1"/>
    <w:rsid w:val="00B90889"/>
    <w:rsid w:val="00B93327"/>
    <w:rsid w:val="00B9458B"/>
    <w:rsid w:val="00B95689"/>
    <w:rsid w:val="00B9612E"/>
    <w:rsid w:val="00BA0FA5"/>
    <w:rsid w:val="00BA14A9"/>
    <w:rsid w:val="00BA6DE9"/>
    <w:rsid w:val="00BB1457"/>
    <w:rsid w:val="00BB1814"/>
    <w:rsid w:val="00BB2A47"/>
    <w:rsid w:val="00BB2B4C"/>
    <w:rsid w:val="00BB51B8"/>
    <w:rsid w:val="00BB53F2"/>
    <w:rsid w:val="00BC1F27"/>
    <w:rsid w:val="00BC64C0"/>
    <w:rsid w:val="00BC7482"/>
    <w:rsid w:val="00BD023E"/>
    <w:rsid w:val="00BD28EC"/>
    <w:rsid w:val="00BD48A1"/>
    <w:rsid w:val="00BD68E6"/>
    <w:rsid w:val="00BD77C1"/>
    <w:rsid w:val="00BE126F"/>
    <w:rsid w:val="00BE2544"/>
    <w:rsid w:val="00BE3921"/>
    <w:rsid w:val="00BE4437"/>
    <w:rsid w:val="00BE4DD3"/>
    <w:rsid w:val="00BE618B"/>
    <w:rsid w:val="00BF19FA"/>
    <w:rsid w:val="00BF27A3"/>
    <w:rsid w:val="00BF3EED"/>
    <w:rsid w:val="00BF4D56"/>
    <w:rsid w:val="00C00A42"/>
    <w:rsid w:val="00C0332A"/>
    <w:rsid w:val="00C0462C"/>
    <w:rsid w:val="00C07F3E"/>
    <w:rsid w:val="00C12A38"/>
    <w:rsid w:val="00C16088"/>
    <w:rsid w:val="00C20598"/>
    <w:rsid w:val="00C256A7"/>
    <w:rsid w:val="00C26DD5"/>
    <w:rsid w:val="00C3038A"/>
    <w:rsid w:val="00C30CFA"/>
    <w:rsid w:val="00C32A58"/>
    <w:rsid w:val="00C32E0A"/>
    <w:rsid w:val="00C35C95"/>
    <w:rsid w:val="00C37249"/>
    <w:rsid w:val="00C37550"/>
    <w:rsid w:val="00C37A6E"/>
    <w:rsid w:val="00C45884"/>
    <w:rsid w:val="00C46B25"/>
    <w:rsid w:val="00C46DE5"/>
    <w:rsid w:val="00C47568"/>
    <w:rsid w:val="00C51641"/>
    <w:rsid w:val="00C53BAC"/>
    <w:rsid w:val="00C55451"/>
    <w:rsid w:val="00C61C08"/>
    <w:rsid w:val="00C636E0"/>
    <w:rsid w:val="00C70FE2"/>
    <w:rsid w:val="00C7208C"/>
    <w:rsid w:val="00C77F3A"/>
    <w:rsid w:val="00C818C1"/>
    <w:rsid w:val="00C851FC"/>
    <w:rsid w:val="00C87706"/>
    <w:rsid w:val="00C91CA4"/>
    <w:rsid w:val="00C921A5"/>
    <w:rsid w:val="00CA6373"/>
    <w:rsid w:val="00CA6A3A"/>
    <w:rsid w:val="00CA7B8E"/>
    <w:rsid w:val="00CB1314"/>
    <w:rsid w:val="00CB2CE7"/>
    <w:rsid w:val="00CB482F"/>
    <w:rsid w:val="00CB4A9B"/>
    <w:rsid w:val="00CB658A"/>
    <w:rsid w:val="00CB7A8A"/>
    <w:rsid w:val="00CB7D55"/>
    <w:rsid w:val="00CC313A"/>
    <w:rsid w:val="00CC39FA"/>
    <w:rsid w:val="00CC4705"/>
    <w:rsid w:val="00CC66D8"/>
    <w:rsid w:val="00CC6BA8"/>
    <w:rsid w:val="00CC793E"/>
    <w:rsid w:val="00CE1036"/>
    <w:rsid w:val="00CE2CA0"/>
    <w:rsid w:val="00CE3467"/>
    <w:rsid w:val="00CE6B96"/>
    <w:rsid w:val="00CE7101"/>
    <w:rsid w:val="00CF0944"/>
    <w:rsid w:val="00CF16CD"/>
    <w:rsid w:val="00CF7650"/>
    <w:rsid w:val="00D0049E"/>
    <w:rsid w:val="00D0084A"/>
    <w:rsid w:val="00D00A93"/>
    <w:rsid w:val="00D023F9"/>
    <w:rsid w:val="00D03334"/>
    <w:rsid w:val="00D0346F"/>
    <w:rsid w:val="00D03692"/>
    <w:rsid w:val="00D036DD"/>
    <w:rsid w:val="00D07C8E"/>
    <w:rsid w:val="00D1417F"/>
    <w:rsid w:val="00D14D96"/>
    <w:rsid w:val="00D163C4"/>
    <w:rsid w:val="00D16AB1"/>
    <w:rsid w:val="00D20F0C"/>
    <w:rsid w:val="00D20FA4"/>
    <w:rsid w:val="00D27F7C"/>
    <w:rsid w:val="00D31978"/>
    <w:rsid w:val="00D3208E"/>
    <w:rsid w:val="00D337FB"/>
    <w:rsid w:val="00D376CA"/>
    <w:rsid w:val="00D42D18"/>
    <w:rsid w:val="00D43FFB"/>
    <w:rsid w:val="00D44D99"/>
    <w:rsid w:val="00D53A70"/>
    <w:rsid w:val="00D54BED"/>
    <w:rsid w:val="00D55FDC"/>
    <w:rsid w:val="00D62AEC"/>
    <w:rsid w:val="00D6620F"/>
    <w:rsid w:val="00D72CED"/>
    <w:rsid w:val="00D73387"/>
    <w:rsid w:val="00D745FF"/>
    <w:rsid w:val="00D80516"/>
    <w:rsid w:val="00D82788"/>
    <w:rsid w:val="00D85684"/>
    <w:rsid w:val="00D861D2"/>
    <w:rsid w:val="00D923B3"/>
    <w:rsid w:val="00D933D3"/>
    <w:rsid w:val="00D950DF"/>
    <w:rsid w:val="00D952C0"/>
    <w:rsid w:val="00D95ABF"/>
    <w:rsid w:val="00D97D17"/>
    <w:rsid w:val="00DA16F8"/>
    <w:rsid w:val="00DA34DB"/>
    <w:rsid w:val="00DA4536"/>
    <w:rsid w:val="00DA6156"/>
    <w:rsid w:val="00DA6403"/>
    <w:rsid w:val="00DA78EE"/>
    <w:rsid w:val="00DB1DA5"/>
    <w:rsid w:val="00DB3380"/>
    <w:rsid w:val="00DB483C"/>
    <w:rsid w:val="00DB48B0"/>
    <w:rsid w:val="00DB5711"/>
    <w:rsid w:val="00DB7A39"/>
    <w:rsid w:val="00DC0A0A"/>
    <w:rsid w:val="00DC1A5B"/>
    <w:rsid w:val="00DC39DB"/>
    <w:rsid w:val="00DC3CCD"/>
    <w:rsid w:val="00DC5367"/>
    <w:rsid w:val="00DC78A3"/>
    <w:rsid w:val="00DD115C"/>
    <w:rsid w:val="00DD1FEE"/>
    <w:rsid w:val="00DD391E"/>
    <w:rsid w:val="00DD4BA8"/>
    <w:rsid w:val="00DD6FD0"/>
    <w:rsid w:val="00DD7700"/>
    <w:rsid w:val="00DD795F"/>
    <w:rsid w:val="00DD7F6B"/>
    <w:rsid w:val="00DF01CA"/>
    <w:rsid w:val="00DF02AB"/>
    <w:rsid w:val="00DF2902"/>
    <w:rsid w:val="00DF2E8C"/>
    <w:rsid w:val="00DF2F72"/>
    <w:rsid w:val="00E0039F"/>
    <w:rsid w:val="00E05902"/>
    <w:rsid w:val="00E068F4"/>
    <w:rsid w:val="00E07823"/>
    <w:rsid w:val="00E1241F"/>
    <w:rsid w:val="00E140ED"/>
    <w:rsid w:val="00E148B4"/>
    <w:rsid w:val="00E1602C"/>
    <w:rsid w:val="00E3000E"/>
    <w:rsid w:val="00E30F9C"/>
    <w:rsid w:val="00E31D5C"/>
    <w:rsid w:val="00E34CF4"/>
    <w:rsid w:val="00E439FF"/>
    <w:rsid w:val="00E44D02"/>
    <w:rsid w:val="00E4524E"/>
    <w:rsid w:val="00E46A8F"/>
    <w:rsid w:val="00E46E14"/>
    <w:rsid w:val="00E52BFC"/>
    <w:rsid w:val="00E54A66"/>
    <w:rsid w:val="00E54A6B"/>
    <w:rsid w:val="00E5507F"/>
    <w:rsid w:val="00E570DE"/>
    <w:rsid w:val="00E6062B"/>
    <w:rsid w:val="00E6083D"/>
    <w:rsid w:val="00E71EAB"/>
    <w:rsid w:val="00E86145"/>
    <w:rsid w:val="00E863B1"/>
    <w:rsid w:val="00E914E4"/>
    <w:rsid w:val="00E95538"/>
    <w:rsid w:val="00EA2BCD"/>
    <w:rsid w:val="00EA39AF"/>
    <w:rsid w:val="00EA6897"/>
    <w:rsid w:val="00EA723B"/>
    <w:rsid w:val="00EB09A7"/>
    <w:rsid w:val="00EB121A"/>
    <w:rsid w:val="00EB1D0C"/>
    <w:rsid w:val="00EB53DD"/>
    <w:rsid w:val="00EB76DB"/>
    <w:rsid w:val="00EB7CE4"/>
    <w:rsid w:val="00EC03CF"/>
    <w:rsid w:val="00EC1278"/>
    <w:rsid w:val="00EC19F8"/>
    <w:rsid w:val="00EC59AB"/>
    <w:rsid w:val="00EC75D8"/>
    <w:rsid w:val="00ED04CC"/>
    <w:rsid w:val="00ED1D1E"/>
    <w:rsid w:val="00ED6502"/>
    <w:rsid w:val="00EE0D2D"/>
    <w:rsid w:val="00EE160F"/>
    <w:rsid w:val="00EE34E7"/>
    <w:rsid w:val="00EE784F"/>
    <w:rsid w:val="00EE7B5D"/>
    <w:rsid w:val="00EF0E2B"/>
    <w:rsid w:val="00EF1783"/>
    <w:rsid w:val="00EF6A41"/>
    <w:rsid w:val="00F015A9"/>
    <w:rsid w:val="00F03544"/>
    <w:rsid w:val="00F045BC"/>
    <w:rsid w:val="00F047AD"/>
    <w:rsid w:val="00F060A9"/>
    <w:rsid w:val="00F10445"/>
    <w:rsid w:val="00F21D4F"/>
    <w:rsid w:val="00F23201"/>
    <w:rsid w:val="00F30E26"/>
    <w:rsid w:val="00F31515"/>
    <w:rsid w:val="00F31753"/>
    <w:rsid w:val="00F349CF"/>
    <w:rsid w:val="00F34BF5"/>
    <w:rsid w:val="00F34EBC"/>
    <w:rsid w:val="00F35E07"/>
    <w:rsid w:val="00F41A67"/>
    <w:rsid w:val="00F427B0"/>
    <w:rsid w:val="00F43A9B"/>
    <w:rsid w:val="00F446A4"/>
    <w:rsid w:val="00F45791"/>
    <w:rsid w:val="00F47019"/>
    <w:rsid w:val="00F47AE4"/>
    <w:rsid w:val="00F51CB6"/>
    <w:rsid w:val="00F54653"/>
    <w:rsid w:val="00F54B6C"/>
    <w:rsid w:val="00F55F08"/>
    <w:rsid w:val="00F60858"/>
    <w:rsid w:val="00F648F9"/>
    <w:rsid w:val="00F676EC"/>
    <w:rsid w:val="00F716F0"/>
    <w:rsid w:val="00F75D10"/>
    <w:rsid w:val="00F770B5"/>
    <w:rsid w:val="00F83B65"/>
    <w:rsid w:val="00F841FD"/>
    <w:rsid w:val="00F87DB6"/>
    <w:rsid w:val="00F94D07"/>
    <w:rsid w:val="00FA2217"/>
    <w:rsid w:val="00FA2FDD"/>
    <w:rsid w:val="00FA372B"/>
    <w:rsid w:val="00FA5A60"/>
    <w:rsid w:val="00FA7207"/>
    <w:rsid w:val="00FB327D"/>
    <w:rsid w:val="00FB4539"/>
    <w:rsid w:val="00FB49F4"/>
    <w:rsid w:val="00FB57F0"/>
    <w:rsid w:val="00FB771B"/>
    <w:rsid w:val="00FB798F"/>
    <w:rsid w:val="00FC223F"/>
    <w:rsid w:val="00FC34E6"/>
    <w:rsid w:val="00FC5113"/>
    <w:rsid w:val="00FD0388"/>
    <w:rsid w:val="00FD0FF6"/>
    <w:rsid w:val="00FD192E"/>
    <w:rsid w:val="00FD7843"/>
    <w:rsid w:val="00FE005A"/>
    <w:rsid w:val="00FE02ED"/>
    <w:rsid w:val="00FE1692"/>
    <w:rsid w:val="00FE5D9D"/>
    <w:rsid w:val="00FF1045"/>
    <w:rsid w:val="00FF4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309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mmentText">
    <w:name w:val="annotation text"/>
    <w:basedOn w:val="Normal"/>
    <w:link w:val="CommentTextChar"/>
    <w:unhideWhenUsed/>
    <w:rsid w:val="002C29F5"/>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2C29F5"/>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60058503">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298649504">
      <w:bodyDiv w:val="1"/>
      <w:marLeft w:val="0"/>
      <w:marRight w:val="0"/>
      <w:marTop w:val="0"/>
      <w:marBottom w:val="0"/>
      <w:divBdr>
        <w:top w:val="none" w:sz="0" w:space="0" w:color="auto"/>
        <w:left w:val="none" w:sz="0" w:space="0" w:color="auto"/>
        <w:bottom w:val="none" w:sz="0" w:space="0" w:color="auto"/>
        <w:right w:val="none" w:sz="0" w:space="0" w:color="auto"/>
      </w:divBdr>
    </w:div>
    <w:div w:id="302925965">
      <w:bodyDiv w:val="1"/>
      <w:marLeft w:val="0"/>
      <w:marRight w:val="0"/>
      <w:marTop w:val="0"/>
      <w:marBottom w:val="0"/>
      <w:divBdr>
        <w:top w:val="none" w:sz="0" w:space="0" w:color="auto"/>
        <w:left w:val="none" w:sz="0" w:space="0" w:color="auto"/>
        <w:bottom w:val="none" w:sz="0" w:space="0" w:color="auto"/>
        <w:right w:val="none" w:sz="0" w:space="0" w:color="auto"/>
      </w:divBdr>
    </w:div>
    <w:div w:id="306085863">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670462">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29201924">
      <w:bodyDiv w:val="1"/>
      <w:marLeft w:val="0"/>
      <w:marRight w:val="0"/>
      <w:marTop w:val="0"/>
      <w:marBottom w:val="0"/>
      <w:divBdr>
        <w:top w:val="none" w:sz="0" w:space="0" w:color="auto"/>
        <w:left w:val="none" w:sz="0" w:space="0" w:color="auto"/>
        <w:bottom w:val="none" w:sz="0" w:space="0" w:color="auto"/>
        <w:right w:val="none" w:sz="0" w:space="0" w:color="auto"/>
      </w:divBdr>
    </w:div>
    <w:div w:id="435100370">
      <w:bodyDiv w:val="1"/>
      <w:marLeft w:val="0"/>
      <w:marRight w:val="0"/>
      <w:marTop w:val="0"/>
      <w:marBottom w:val="0"/>
      <w:divBdr>
        <w:top w:val="none" w:sz="0" w:space="0" w:color="auto"/>
        <w:left w:val="none" w:sz="0" w:space="0" w:color="auto"/>
        <w:bottom w:val="none" w:sz="0" w:space="0" w:color="auto"/>
        <w:right w:val="none" w:sz="0" w:space="0" w:color="auto"/>
      </w:divBdr>
    </w:div>
    <w:div w:id="439842040">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060868">
      <w:bodyDiv w:val="1"/>
      <w:marLeft w:val="0"/>
      <w:marRight w:val="0"/>
      <w:marTop w:val="0"/>
      <w:marBottom w:val="0"/>
      <w:divBdr>
        <w:top w:val="none" w:sz="0" w:space="0" w:color="auto"/>
        <w:left w:val="none" w:sz="0" w:space="0" w:color="auto"/>
        <w:bottom w:val="none" w:sz="0" w:space="0" w:color="auto"/>
        <w:right w:val="none" w:sz="0" w:space="0" w:color="auto"/>
      </w:divBdr>
    </w:div>
    <w:div w:id="509805350">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3936443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75825499">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692389133">
      <w:bodyDiv w:val="1"/>
      <w:marLeft w:val="0"/>
      <w:marRight w:val="0"/>
      <w:marTop w:val="0"/>
      <w:marBottom w:val="0"/>
      <w:divBdr>
        <w:top w:val="none" w:sz="0" w:space="0" w:color="auto"/>
        <w:left w:val="none" w:sz="0" w:space="0" w:color="auto"/>
        <w:bottom w:val="none" w:sz="0" w:space="0" w:color="auto"/>
        <w:right w:val="none" w:sz="0" w:space="0" w:color="auto"/>
      </w:divBdr>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6419353">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92752137">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42091863">
      <w:bodyDiv w:val="1"/>
      <w:marLeft w:val="0"/>
      <w:marRight w:val="0"/>
      <w:marTop w:val="0"/>
      <w:marBottom w:val="0"/>
      <w:divBdr>
        <w:top w:val="none" w:sz="0" w:space="0" w:color="auto"/>
        <w:left w:val="none" w:sz="0" w:space="0" w:color="auto"/>
        <w:bottom w:val="none" w:sz="0" w:space="0" w:color="auto"/>
        <w:right w:val="none" w:sz="0" w:space="0" w:color="auto"/>
      </w:divBdr>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489029">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45718172">
      <w:bodyDiv w:val="1"/>
      <w:marLeft w:val="0"/>
      <w:marRight w:val="0"/>
      <w:marTop w:val="0"/>
      <w:marBottom w:val="0"/>
      <w:divBdr>
        <w:top w:val="none" w:sz="0" w:space="0" w:color="auto"/>
        <w:left w:val="none" w:sz="0" w:space="0" w:color="auto"/>
        <w:bottom w:val="none" w:sz="0" w:space="0" w:color="auto"/>
        <w:right w:val="none" w:sz="0" w:space="0" w:color="auto"/>
      </w:divBdr>
    </w:div>
    <w:div w:id="1058087309">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79135700">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093547094">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31482824">
      <w:bodyDiv w:val="1"/>
      <w:marLeft w:val="0"/>
      <w:marRight w:val="0"/>
      <w:marTop w:val="0"/>
      <w:marBottom w:val="0"/>
      <w:divBdr>
        <w:top w:val="none" w:sz="0" w:space="0" w:color="auto"/>
        <w:left w:val="none" w:sz="0" w:space="0" w:color="auto"/>
        <w:bottom w:val="none" w:sz="0" w:space="0" w:color="auto"/>
        <w:right w:val="none" w:sz="0" w:space="0" w:color="auto"/>
      </w:divBdr>
    </w:div>
    <w:div w:id="1187715913">
      <w:bodyDiv w:val="1"/>
      <w:marLeft w:val="0"/>
      <w:marRight w:val="0"/>
      <w:marTop w:val="0"/>
      <w:marBottom w:val="0"/>
      <w:divBdr>
        <w:top w:val="none" w:sz="0" w:space="0" w:color="auto"/>
        <w:left w:val="none" w:sz="0" w:space="0" w:color="auto"/>
        <w:bottom w:val="none" w:sz="0" w:space="0" w:color="auto"/>
        <w:right w:val="none" w:sz="0" w:space="0" w:color="auto"/>
      </w:divBdr>
    </w:div>
    <w:div w:id="1196113280">
      <w:bodyDiv w:val="1"/>
      <w:marLeft w:val="0"/>
      <w:marRight w:val="0"/>
      <w:marTop w:val="0"/>
      <w:marBottom w:val="0"/>
      <w:divBdr>
        <w:top w:val="none" w:sz="0" w:space="0" w:color="auto"/>
        <w:left w:val="none" w:sz="0" w:space="0" w:color="auto"/>
        <w:bottom w:val="none" w:sz="0" w:space="0" w:color="auto"/>
        <w:right w:val="none" w:sz="0" w:space="0" w:color="auto"/>
      </w:divBdr>
    </w:div>
    <w:div w:id="1213347767">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7443649">
      <w:bodyDiv w:val="1"/>
      <w:marLeft w:val="0"/>
      <w:marRight w:val="0"/>
      <w:marTop w:val="0"/>
      <w:marBottom w:val="0"/>
      <w:divBdr>
        <w:top w:val="none" w:sz="0" w:space="0" w:color="auto"/>
        <w:left w:val="none" w:sz="0" w:space="0" w:color="auto"/>
        <w:bottom w:val="none" w:sz="0" w:space="0" w:color="auto"/>
        <w:right w:val="none" w:sz="0" w:space="0" w:color="auto"/>
      </w:divBdr>
    </w:div>
    <w:div w:id="1353022930">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0545358">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30811679">
      <w:bodyDiv w:val="1"/>
      <w:marLeft w:val="0"/>
      <w:marRight w:val="0"/>
      <w:marTop w:val="0"/>
      <w:marBottom w:val="0"/>
      <w:divBdr>
        <w:top w:val="none" w:sz="0" w:space="0" w:color="auto"/>
        <w:left w:val="none" w:sz="0" w:space="0" w:color="auto"/>
        <w:bottom w:val="none" w:sz="0" w:space="0" w:color="auto"/>
        <w:right w:val="none" w:sz="0" w:space="0" w:color="auto"/>
      </w:divBdr>
    </w:div>
    <w:div w:id="1442913850">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5536368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489907079">
      <w:bodyDiv w:val="1"/>
      <w:marLeft w:val="0"/>
      <w:marRight w:val="0"/>
      <w:marTop w:val="0"/>
      <w:marBottom w:val="0"/>
      <w:divBdr>
        <w:top w:val="none" w:sz="0" w:space="0" w:color="auto"/>
        <w:left w:val="none" w:sz="0" w:space="0" w:color="auto"/>
        <w:bottom w:val="none" w:sz="0" w:space="0" w:color="auto"/>
        <w:right w:val="none" w:sz="0" w:space="0" w:color="auto"/>
      </w:divBdr>
    </w:div>
    <w:div w:id="1511096244">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4290995">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0062365">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73677197">
      <w:bodyDiv w:val="1"/>
      <w:marLeft w:val="0"/>
      <w:marRight w:val="0"/>
      <w:marTop w:val="0"/>
      <w:marBottom w:val="0"/>
      <w:divBdr>
        <w:top w:val="none" w:sz="0" w:space="0" w:color="auto"/>
        <w:left w:val="none" w:sz="0" w:space="0" w:color="auto"/>
        <w:bottom w:val="none" w:sz="0" w:space="0" w:color="auto"/>
        <w:right w:val="none" w:sz="0" w:space="0" w:color="auto"/>
      </w:divBdr>
    </w:div>
    <w:div w:id="1675037871">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77106283">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8374702">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18" Type="http://schemas.openxmlformats.org/officeDocument/2006/relationships/hyperlink" Target="https://www.shell.com/who-we-are/leadership.html" TargetMode="External" /><Relationship Id="rId26" Type="http://schemas.openxmlformats.org/officeDocument/2006/relationships/hyperlink" Target="https://www.shell.com/sustainability/reporting-centre/reporting-standards-and-esg-ratings.html" TargetMode="External" /><Relationship Id="rId39" Type="http://schemas.openxmlformats.org/officeDocument/2006/relationships/image" Target="media/image6.png" /><Relationship Id="rId3" Type="http://schemas.openxmlformats.org/officeDocument/2006/relationships/styles" Target="styles.xml" /><Relationship Id="rId21" Type="http://schemas.openxmlformats.org/officeDocument/2006/relationships/hyperlink" Target="https://www.shell.com/who-we-are/diversity-equity-and-inclusion.html" TargetMode="External" /><Relationship Id="rId34" Type="http://schemas.openxmlformats.org/officeDocument/2006/relationships/hyperlink" Target="https://iea.blob.core.windows.net/assets/c2d071e4-4142-44f1-8a41-88ece29be439/ChemicalandPetrochemicalSector.pdf"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shell.com/who-we-are/shell-at-a-glance.html" TargetMode="External" /><Relationship Id="rId25" Type="http://schemas.openxmlformats.org/officeDocument/2006/relationships/hyperlink" Target="https://www.shell.com/sustainability/our-approach/commitments-policies-and-standards.html" TargetMode="External" /><Relationship Id="rId33" Type="http://schemas.openxmlformats.org/officeDocument/2006/relationships/hyperlink" Target="https://www.iea.org/reports/the-future-of-petrochemicals" TargetMode="External" /><Relationship Id="rId38" Type="http://schemas.openxmlformats.org/officeDocument/2006/relationships/hyperlink" Target="https://zerocarbon-analytics.org" TargetMode="External" /><Relationship Id="rId2" Type="http://schemas.openxmlformats.org/officeDocument/2006/relationships/numbering" Target="numbering.xml" /><Relationship Id="rId16" Type="http://schemas.openxmlformats.org/officeDocument/2006/relationships/hyperlink" Target="https://www.iea.org" TargetMode="External" /><Relationship Id="rId20" Type="http://schemas.openxmlformats.org/officeDocument/2006/relationships/hyperlink" Target="https://www.shell.com/who-we-are/our-history.html" TargetMode="External" /><Relationship Id="rId29" Type="http://schemas.openxmlformats.org/officeDocument/2006/relationships/hyperlink" Target="https://www.shell.com/sustainability/reporting-centre/_jcr_content/root/main/section_1888019429/promo_copy_1069192704/links/item0.stream/1746798498441/097ec9469a351908a2d97321d3ed486f6b883c81/shell-climate-and-energy-transition-lobbying-report-2024.pdf" TargetMode="External" /><Relationship Id="rId41"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shell.com/investors/environmental-social-and-governance.html" TargetMode="External" /><Relationship Id="rId32" Type="http://schemas.openxmlformats.org/officeDocument/2006/relationships/hyperlink" Target="https://www.shell.com/sustainability/reporting-centre/_jcr_content/root/main/section_1888019429/promo_copy_176768270_810247875/links/item0.stream/1755607192252/37a86680d63a201afc6efb36fa2ea31ba779a2a4/shell-animal-welfare-report-2024.pdf" TargetMode="External" /><Relationship Id="rId37" Type="http://schemas.openxmlformats.org/officeDocument/2006/relationships/hyperlink" Target="https://zerocarbon-analytics.org/energy/overview-of-the-global-petrochemical-industry/" TargetMode="External" /><Relationship Id="rId40"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www.iea.org/reports/the-future-of-petrochemicals" TargetMode="External" /><Relationship Id="rId23" Type="http://schemas.openxmlformats.org/officeDocument/2006/relationships/hyperlink" Target="https://www.shell.com/investors/results-and-reporting/portfolio-and-major-projects.html" TargetMode="External" /><Relationship Id="rId28" Type="http://schemas.openxmlformats.org/officeDocument/2006/relationships/hyperlink" Target="https://www.shell.com/sustainability/reporting-centre/_jcr_content/root/main/section_1888019429/promo_copy/links/item0.stream/1763990740039/df0370cc593ce04ab58a54dc3300a51c3b285c71/shell-tax-contribution-report-2024.pdf" TargetMode="External" /><Relationship Id="rId36" Type="http://schemas.openxmlformats.org/officeDocument/2006/relationships/hyperlink" Target="https://www.oecd.org/content/dam/oecd/en/publications/reports/2018/10/the-future-of-petrochemicals_g1g98d79/9789264307414-en.pdf" TargetMode="External" /><Relationship Id="rId10" Type="http://schemas.openxmlformats.org/officeDocument/2006/relationships/image" Target="media/image3.png" /><Relationship Id="rId19" Type="http://schemas.openxmlformats.org/officeDocument/2006/relationships/hyperlink" Target="https://www.shell.com/who-we-are/our-values.html" TargetMode="External" /><Relationship Id="rId31" Type="http://schemas.openxmlformats.org/officeDocument/2006/relationships/hyperlink" Target="https://www.shell.com/sustainability/reporting-centre/_jcr_content/root/main/section_1888019429/promo_copy_176768270_1662082491/links/item0.stream/1755793522830/4e066b2a1e8ab374f89b4fae3f0291417759f0d9/shell-s-net-carbon-footprint-methodology-2024.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doi.org/10.1016/j.gloenvcha.2020.102194" TargetMode="External" /><Relationship Id="rId22" Type="http://schemas.openxmlformats.org/officeDocument/2006/relationships/hyperlink" Target="https://www.shell.com/investors/results-and-reporting/annual-report/_jcr_content/root/main/section/promo/links/item0.stream/1773292272508/5e49e127579b77081f032b6088b348694aac0d14/shell-annual-report-2025.pdf" TargetMode="External" /><Relationship Id="rId27" Type="http://schemas.openxmlformats.org/officeDocument/2006/relationships/hyperlink" Target="https://www.shell.com/sustainability/reporting-centre/_jcr_content/root/main/section_1888019429/promo_copy_1767682700/links/item0.stream/1726832326846/2c3f9065f2886e789ac196789f137dbca49473e8/shell-energy-transition-strategy-2024.pdf" TargetMode="External" /><Relationship Id="rId30" Type="http://schemas.openxmlformats.org/officeDocument/2006/relationships/hyperlink" Target="https://www.shell.com/sustainability/reporting-centre/_jcr_content/root/main/section_1888019429/promo/links/item0.stream/1748540524225/f729ffe57bfa030aa8a57be57dee5e71f0214068/modern-slavery-act-statement-2024.pdf" TargetMode="External" /><Relationship Id="rId35" Type="http://schemas.openxmlformats.org/officeDocument/2006/relationships/hyperlink" Target="https://www.irena.org/Decarbonising-hard-to-abate-sectors-with-renewables-Enablers-and-recommendations/Industry-sector/Chemicals-and-petrochemical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8DAD1D-826B-4856-BA29-6FE488443F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7314</Words>
  <Characters>41693</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2026-04-01T00:27:00Z</dcterms:created>
  <dcterms:modified xsi:type="dcterms:W3CDTF">2026-04-01T00:27:00Z</dcterms:modified>
</cp:coreProperties>
</file>