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9016" w:type="dxa"/>
        <w:tblLook w:val="04A0" w:firstRow="1" w:lastRow="0" w:firstColumn="1" w:lastColumn="0" w:noHBand="0" w:noVBand="1"/>
      </w:tblPr>
      <w:tblGrid>
        <w:gridCol w:w="1920"/>
        <w:gridCol w:w="3507"/>
        <w:gridCol w:w="3589"/>
      </w:tblGrid>
      <w:tr w:rsidR="00105D46" w14:paraId="2AFD8B78" w14:textId="77777777" w:rsidTr="045B1433">
        <w:tc>
          <w:tcPr>
            <w:tcW w:w="1920" w:type="dxa"/>
          </w:tcPr>
          <w:p w14:paraId="3FCB60DD" w14:textId="5D112E95" w:rsidR="00105D46" w:rsidRPr="00105D46" w:rsidRDefault="6753E0F1" w:rsidP="00AE1A4C">
            <w:pPr>
              <w:pStyle w:val="AssignBody"/>
              <w:rPr>
                <w:b/>
                <w:bCs/>
                <w:sz w:val="20"/>
                <w:szCs w:val="20"/>
              </w:rPr>
            </w:pPr>
            <w:r w:rsidRPr="045B1433">
              <w:rPr>
                <w:b/>
                <w:bCs/>
                <w:sz w:val="20"/>
                <w:szCs w:val="20"/>
              </w:rPr>
              <w:t xml:space="preserve">Targedau </w:t>
            </w:r>
          </w:p>
        </w:tc>
        <w:tc>
          <w:tcPr>
            <w:tcW w:w="3507" w:type="dxa"/>
          </w:tcPr>
          <w:p w14:paraId="68ABAA2D" w14:textId="160ABC6D" w:rsidR="00105D46" w:rsidRPr="00105D46" w:rsidRDefault="6753E0F1" w:rsidP="00AE1A4C">
            <w:pPr>
              <w:pStyle w:val="AssignBody"/>
              <w:rPr>
                <w:b/>
                <w:bCs/>
                <w:sz w:val="20"/>
                <w:szCs w:val="20"/>
              </w:rPr>
            </w:pPr>
            <w:r w:rsidRPr="045B1433">
              <w:rPr>
                <w:b/>
                <w:bCs/>
                <w:sz w:val="20"/>
                <w:szCs w:val="20"/>
              </w:rPr>
              <w:t xml:space="preserve">Sut rydych wedi gweithio ar hwn </w:t>
            </w:r>
          </w:p>
        </w:tc>
        <w:tc>
          <w:tcPr>
            <w:tcW w:w="3589" w:type="dxa"/>
          </w:tcPr>
          <w:p w14:paraId="784FDDD1" w14:textId="3281A6A6" w:rsidR="00105D46" w:rsidRPr="00105D46" w:rsidRDefault="6753E0F1" w:rsidP="00AE1A4C">
            <w:pPr>
              <w:pStyle w:val="AssignBody"/>
              <w:rPr>
                <w:b/>
                <w:bCs/>
                <w:sz w:val="20"/>
                <w:szCs w:val="20"/>
              </w:rPr>
            </w:pPr>
            <w:r w:rsidRPr="045B1433">
              <w:rPr>
                <w:b/>
                <w:bCs/>
                <w:sz w:val="20"/>
                <w:szCs w:val="20"/>
              </w:rPr>
              <w:t>Ceir enghraifft ar</w:t>
            </w:r>
            <w:r w:rsidR="3C5EA54D" w:rsidRPr="045B1433">
              <w:rPr>
                <w:b/>
                <w:bCs/>
                <w:sz w:val="20"/>
                <w:szCs w:val="20"/>
              </w:rPr>
              <w:t xml:space="preserve"> </w:t>
            </w:r>
          </w:p>
        </w:tc>
      </w:tr>
      <w:tr w:rsidR="00105D46" w14:paraId="4072E411" w14:textId="77777777" w:rsidTr="045B1433">
        <w:tc>
          <w:tcPr>
            <w:tcW w:w="1920" w:type="dxa"/>
          </w:tcPr>
          <w:p w14:paraId="70A86A26" w14:textId="734B3206" w:rsidR="00105D46" w:rsidRPr="00105D46" w:rsidRDefault="6753E0F1" w:rsidP="045B1433">
            <w:pPr>
              <w:pStyle w:val="AssignBody"/>
              <w:rPr>
                <w:b/>
                <w:bCs/>
                <w:sz w:val="20"/>
                <w:szCs w:val="20"/>
              </w:rPr>
            </w:pPr>
            <w:r w:rsidRPr="045B1433">
              <w:rPr>
                <w:b/>
                <w:bCs/>
                <w:sz w:val="20"/>
                <w:szCs w:val="20"/>
              </w:rPr>
              <w:t>T</w:t>
            </w:r>
            <w:bookmarkStart w:id="0" w:name="cysill"/>
            <w:bookmarkEnd w:id="0"/>
            <w:r w:rsidRPr="045B1433">
              <w:rPr>
                <w:b/>
                <w:bCs/>
                <w:sz w:val="20"/>
                <w:szCs w:val="20"/>
              </w:rPr>
              <w:t>arged</w:t>
            </w:r>
            <w:r w:rsidR="5171DF6B" w:rsidRPr="045B1433">
              <w:rPr>
                <w:b/>
                <w:bCs/>
                <w:sz w:val="20"/>
                <w:szCs w:val="20"/>
              </w:rPr>
              <w:t xml:space="preserve"> </w:t>
            </w:r>
            <w:r w:rsidRPr="045B1433">
              <w:rPr>
                <w:b/>
                <w:bCs/>
                <w:sz w:val="20"/>
                <w:szCs w:val="20"/>
              </w:rPr>
              <w:t>1</w:t>
            </w:r>
          </w:p>
          <w:p w14:paraId="3BDD7132" w14:textId="209BBD9B" w:rsidR="00105D46" w:rsidRPr="00105D46" w:rsidRDefault="04F4E12B" w:rsidP="045B1433">
            <w:pPr>
              <w:pStyle w:val="AssignBody"/>
              <w:rPr>
                <w:rFonts w:eastAsia="Calibri"/>
                <w:sz w:val="20"/>
                <w:szCs w:val="20"/>
              </w:rPr>
            </w:pPr>
            <w:r w:rsidRPr="045B1433">
              <w:rPr>
                <w:rFonts w:eastAsia="Calibri"/>
                <w:sz w:val="20"/>
                <w:szCs w:val="20"/>
              </w:rPr>
              <w:t>Cymharu Ffynonellau</w:t>
            </w:r>
          </w:p>
        </w:tc>
        <w:tc>
          <w:tcPr>
            <w:tcW w:w="3507" w:type="dxa"/>
          </w:tcPr>
          <w:p w14:paraId="5072E6C7" w14:textId="601ECB09" w:rsidR="00105D46" w:rsidRDefault="002022D1" w:rsidP="00AE1A4C">
            <w:pPr>
              <w:pStyle w:val="AssignBody"/>
            </w:pPr>
            <w:r>
              <w:t>Sicrhau fy mod yn edrych ar sawl ffynhonnell ar yr un maes ac yn edrych ar y tebygrwydd ar gwahanaiethau rhyngddynt.</w:t>
            </w:r>
          </w:p>
        </w:tc>
        <w:tc>
          <w:tcPr>
            <w:tcW w:w="3589" w:type="dxa"/>
          </w:tcPr>
          <w:p w14:paraId="394C5558" w14:textId="1E0C5755" w:rsidR="00105D46" w:rsidRDefault="002022D1" w:rsidP="00AE1A4C">
            <w:pPr>
              <w:pStyle w:val="AssignBody"/>
            </w:pPr>
            <w:r>
              <w:t>Tudalen 2</w:t>
            </w:r>
          </w:p>
        </w:tc>
      </w:tr>
      <w:tr w:rsidR="00105D46" w14:paraId="73A65764" w14:textId="77777777" w:rsidTr="045B1433">
        <w:tc>
          <w:tcPr>
            <w:tcW w:w="1920" w:type="dxa"/>
          </w:tcPr>
          <w:p w14:paraId="7B59614E" w14:textId="5E8F93D4" w:rsidR="00105D46" w:rsidRPr="00105D46" w:rsidRDefault="6753E0F1" w:rsidP="045B1433">
            <w:pPr>
              <w:pStyle w:val="AssignBody"/>
              <w:rPr>
                <w:b/>
                <w:bCs/>
                <w:sz w:val="20"/>
                <w:szCs w:val="20"/>
              </w:rPr>
            </w:pPr>
            <w:r w:rsidRPr="045B1433">
              <w:rPr>
                <w:b/>
                <w:bCs/>
                <w:sz w:val="20"/>
                <w:szCs w:val="20"/>
              </w:rPr>
              <w:t>Targed</w:t>
            </w:r>
            <w:r w:rsidR="3406E77B" w:rsidRPr="045B1433">
              <w:rPr>
                <w:b/>
                <w:bCs/>
                <w:sz w:val="20"/>
                <w:szCs w:val="20"/>
              </w:rPr>
              <w:t xml:space="preserve"> </w:t>
            </w:r>
            <w:r w:rsidRPr="045B1433">
              <w:rPr>
                <w:b/>
                <w:bCs/>
                <w:sz w:val="20"/>
                <w:szCs w:val="20"/>
              </w:rPr>
              <w:t>2</w:t>
            </w:r>
          </w:p>
          <w:p w14:paraId="12A42483" w14:textId="0E3C2ECB" w:rsidR="00105D46" w:rsidRPr="00105D46" w:rsidRDefault="4D6721C9" w:rsidP="045B1433">
            <w:pPr>
              <w:pStyle w:val="AssignBody"/>
              <w:rPr>
                <w:rFonts w:eastAsia="Calibri"/>
                <w:sz w:val="20"/>
                <w:szCs w:val="20"/>
              </w:rPr>
            </w:pPr>
            <w:r w:rsidRPr="045B1433">
              <w:rPr>
                <w:rFonts w:eastAsia="Calibri"/>
                <w:sz w:val="20"/>
                <w:szCs w:val="20"/>
              </w:rPr>
              <w:t>Gwylio defnydd o ei/eu</w:t>
            </w:r>
          </w:p>
        </w:tc>
        <w:tc>
          <w:tcPr>
            <w:tcW w:w="3507" w:type="dxa"/>
          </w:tcPr>
          <w:p w14:paraId="0C205A83" w14:textId="1F17D13A" w:rsidR="00105D46" w:rsidRDefault="002022D1" w:rsidP="00AE1A4C">
            <w:pPr>
              <w:pStyle w:val="AssignBody"/>
            </w:pPr>
            <w:r>
              <w:t>Edrych ar y darlithoedd cymraeg o pryd ddylwn ddefnyddio ei/eu.</w:t>
            </w:r>
          </w:p>
        </w:tc>
        <w:tc>
          <w:tcPr>
            <w:tcW w:w="3589" w:type="dxa"/>
          </w:tcPr>
          <w:p w14:paraId="3E19823E" w14:textId="5154255A" w:rsidR="00105D46" w:rsidRDefault="002022D1" w:rsidP="00AE1A4C">
            <w:pPr>
              <w:pStyle w:val="AssignBody"/>
            </w:pPr>
            <w:r>
              <w:t>Drwy gydol y traethawd</w:t>
            </w:r>
          </w:p>
        </w:tc>
      </w:tr>
    </w:tbl>
    <w:p w14:paraId="45E34BBD" w14:textId="77777777" w:rsidR="002229F0" w:rsidRDefault="002229F0" w:rsidP="00E611D9">
      <w:pPr>
        <w:pStyle w:val="AssignBody"/>
      </w:pPr>
    </w:p>
    <w:p w14:paraId="118CB437" w14:textId="3F031E05" w:rsidR="006419C3" w:rsidRDefault="2FEA6ECF" w:rsidP="002022D1">
      <w:pPr>
        <w:pStyle w:val="AssignSubHeader"/>
      </w:pPr>
      <w:r w:rsidRPr="3DFD079F">
        <w:t>Prosiect Ymchwil ar raddfa fechan yn canolbwyntio ar ddiddordeb proffesiynol.</w:t>
      </w:r>
    </w:p>
    <w:p w14:paraId="79C37855" w14:textId="77777777" w:rsidR="00E14820" w:rsidRDefault="00E14820" w:rsidP="00E14820">
      <w:pPr>
        <w:autoSpaceDE w:val="0"/>
        <w:autoSpaceDN w:val="0"/>
        <w:adjustRightInd w:val="0"/>
        <w:spacing w:after="0" w:line="252" w:lineRule="auto"/>
        <w:rPr>
          <w:rFonts w:ascii="Times New Roman" w:hAnsi="Times New Roman" w:cs="Times New Roman"/>
          <w:color w:val="000000"/>
        </w:rPr>
      </w:pPr>
      <w:r>
        <w:rPr>
          <w:rFonts w:ascii="Arial" w:hAnsi="Arial" w:cs="Arial"/>
        </w:rPr>
        <w:t xml:space="preserve">Bwriad yr aseiniad yma yw defnyddio astudiaeth gwers i wneud ymchwil mewn maes sydd o ddiddordeb i ni fel partneriaid. Byddwn yn meddwl am gwestiwn ac yna yn mynd ati i gynllunio gwers a fydd yn caniatáu i ni fedri fynd ati i ddatrys y cwestiwn ymchwil yma. Yn ogystal â hyn mae’r aseiniad yma yn rhoi’r cyfle i ni wneud ymchwil ac yna i rannu ein canfyddiadau gydag eraill mewn sesiwn pontio, mae hyn yn hollol bwysig o fewn unrhyw ymchwil ein bod yn rhannu'r canfyddiadau er mwyn gallu gweld a oedd yn llwyddiannus neu a oes angen gwneud newidiadau. </w:t>
      </w:r>
      <w:r>
        <w:rPr>
          <w:rFonts w:ascii="Arial" w:hAnsi="Arial" w:cs="Arial"/>
          <w:i/>
          <w:iCs/>
        </w:rPr>
        <w:t>“Data sharing encourages more connection and collaboration between researchers, which can result in important new findings within the field.”</w:t>
      </w:r>
      <w:r>
        <w:rPr>
          <w:rFonts w:ascii="Arial" w:hAnsi="Arial" w:cs="Arial"/>
          <w:i/>
          <w:iCs/>
          <w:color w:val="171717"/>
        </w:rPr>
        <w:t xml:space="preserve"> </w:t>
      </w:r>
      <w:r>
        <w:rPr>
          <w:rFonts w:ascii="Arial" w:hAnsi="Arial" w:cs="Arial"/>
          <w:i/>
          <w:iCs/>
          <w:sz w:val="20"/>
          <w:szCs w:val="20"/>
        </w:rPr>
        <w:t xml:space="preserve"> (Mertler, 2017). </w:t>
      </w:r>
      <w:r>
        <w:rPr>
          <w:rFonts w:ascii="Arial" w:hAnsi="Arial" w:cs="Arial"/>
          <w:i/>
          <w:iCs/>
        </w:rPr>
        <w:t>Amlinella hyn y pwysigrwydd o rannu’r canfyddiadau er mwyn i ni fedru adfyfyrio ar y canfyddiadau ond hefyd ein bod ni yn gallu rhannu arfer dda gyda darpar athrawon ac athrawon eraill er mwyn iddynt fedru defnyddio'r dulliau yma yn eu haddysgu nhw. Y cwestiwn ymchwil penderfynwyd arni fel partneriaid oedd,</w:t>
      </w:r>
      <w:r>
        <w:rPr>
          <w:rFonts w:ascii="Arial" w:hAnsi="Arial" w:cs="Arial"/>
          <w:i/>
          <w:iCs/>
          <w:sz w:val="20"/>
          <w:szCs w:val="20"/>
        </w:rPr>
        <w:t xml:space="preserve"> “ </w:t>
      </w:r>
      <w:proofErr w:type="spellStart"/>
      <w:r>
        <w:rPr>
          <w:rFonts w:ascii="Arial" w:hAnsi="Arial" w:cs="Arial"/>
          <w:color w:val="000000"/>
          <w:lang w:val="en-GB"/>
        </w:rPr>
        <w:t>Sut</w:t>
      </w:r>
      <w:proofErr w:type="spellEnd"/>
      <w:r>
        <w:rPr>
          <w:rFonts w:ascii="Arial" w:hAnsi="Arial" w:cs="Arial"/>
          <w:color w:val="000000"/>
          <w:lang w:val="en-GB"/>
        </w:rPr>
        <w:t xml:space="preserve"> </w:t>
      </w:r>
      <w:proofErr w:type="spellStart"/>
      <w:r>
        <w:rPr>
          <w:rFonts w:ascii="Arial" w:hAnsi="Arial" w:cs="Arial"/>
          <w:color w:val="000000"/>
          <w:lang w:val="en-GB"/>
        </w:rPr>
        <w:t>mae</w:t>
      </w:r>
      <w:proofErr w:type="spellEnd"/>
      <w:r>
        <w:rPr>
          <w:rFonts w:ascii="Arial" w:hAnsi="Arial" w:cs="Arial"/>
          <w:color w:val="000000"/>
          <w:lang w:val="en-GB"/>
        </w:rPr>
        <w:t xml:space="preserve"> </w:t>
      </w:r>
      <w:r>
        <w:rPr>
          <w:rFonts w:ascii="Arial" w:hAnsi="Arial" w:cs="Arial"/>
          <w:color w:val="000000"/>
        </w:rPr>
        <w:t>cyflwyno dewis i ddisgyblion yn effeithio ar ymgysylltiad a Gwaith grŵp?” Penderfynwyd ar y testun yma oherwydd roedd y 2 ohonom wedi cael ein lleoli gyda dosbarth blwyddyn 6 a gyda diddordeb mewn gweld a oedd gadael iddynt ddewis o ran gwaith a grwpiau yn effeithio ar eu hymgysylltiad â gwaith grŵp. Mae gwneud gwaith grŵp yn rhywbeth sydd yn datblygu sgiliau cymdeithasol yn dda iawn ond rydym wedi sylweddoli bod disgyblion yn gallu cael eu gwrthdynnu a’i bod nhw ddim yn ymgysylltu gyda’r gwaith. Roedd y broses o ddewis cwestiwn eithaf anodd oherwydd roedd angen i ni feddwl am gwestiwn yr allen gyflawni gwers arni ac yn destun oedd gyda’r 2 ohonom ddiddordeb ynddi. Mae’r ysgol rwyf yn cynnal yr ymchwil ynddi yn ysgol bob oed felly mae’r continwwm dysgu yn parhau drwy’r ysgol i gyd felly mae pwyslais mawr yn enwedig ym mlwyddyn 6 ar sut all yr ysgol gefnogi'r disgyblion a beth all gael eu gwneud i gynyddu ymgysylltiad y disgyblion mewn gwersi. Mae’r plant sydd yn y dosbarth gyda galluoedd gwahanol sy’n amrywio o blant Mwy Abl a Thalentog (MATh) i blant Anghenion Dysgu Ychwanegol (ADY) felly bydd yr ystod o ddisgyblion y byddaf yn ei arsylwi yn cynyddu dibynadwyedd yr ymchwil.</w:t>
      </w:r>
    </w:p>
    <w:p w14:paraId="5AEC5694" w14:textId="77777777" w:rsidR="00E14820" w:rsidRDefault="00E14820" w:rsidP="00E14820">
      <w:pPr>
        <w:autoSpaceDE w:val="0"/>
        <w:autoSpaceDN w:val="0"/>
        <w:adjustRightInd w:val="0"/>
        <w:spacing w:after="0" w:line="252" w:lineRule="auto"/>
        <w:ind w:firstLine="720"/>
        <w:rPr>
          <w:rFonts w:ascii="Times New Roman" w:hAnsi="Times New Roman" w:cs="Times New Roman"/>
          <w:color w:val="000000"/>
        </w:rPr>
      </w:pPr>
      <w:r>
        <w:rPr>
          <w:rFonts w:ascii="Arial" w:hAnsi="Arial" w:cs="Arial"/>
          <w:color w:val="000000"/>
        </w:rPr>
        <w:t xml:space="preserve">Mae caniatáu disgyblion i gael y cyfle i wneud dewis a chael llais o fewn eu gwaith yn hanfodol bwysig fel rhan o’r cwricwlwm newydd (Llywodraeth Cymru, 2020) felly penderfynwyd gwneud ymchwil i weld sut byddai rhoi llais i'r disgyblion yn ystod gwaith grŵp yn effeithio ar eu hymglymiad yn y tasgau ond hefyd sut allwn ni addasu ein defnydd o grwpiau o fewn ein proffesiwn dysgu yn gallu cael eu gwella.  Mae gwaith grŵp yn gallu gwella sgiliau meddwl critigol disgyblion yn enwedig pan maent yn gweithio mewn grwpiau bach, mae Vygotsky(1986) yn meddwl bod rhoi gwaith grŵp i ddisgyblion yn eu herio ac yn eu gwthio i feddwl yn fwy am eu hun ac felly yn cynyddu eu canolbwyntio yn ystod y dasg.  Mae tystiolaeth o ymchwil yn dangos bod angen i ddisgyblion ddeall pwrpas y dasg a beth yn union sydd angen iddynt gyflawni (Hoyles et al, 1990) Fe wnaeth yr ymchwil yma helpu ni i greu ein cwestiwn ymchwil gan ein bod ni medru gweld sut mae dealltwriaeth y disgybl o’r dasg yn gwneud gwahaniaeth i safon y gwaith grŵp. Penderfynwyd gwneud y cwestiwn ymchwil yma yn dilyn yr ymchwil yma ond addasu'r ymchwil ychydig er mwyn i ni fedru datblygu ar yr ymchwil yma.  Mae theori Vygotsky Parth Datblygiad Agos(ZPD)  (Bruner,1984) yn amlinellu bod gwaith grŵp yn ffordd mae disgyblion yn gallu cwblhau </w:t>
      </w:r>
      <w:r>
        <w:rPr>
          <w:rFonts w:ascii="Arial" w:hAnsi="Arial" w:cs="Arial"/>
          <w:color w:val="000000"/>
        </w:rPr>
        <w:lastRenderedPageBreak/>
        <w:t>tasgau efallai bydden nhw fethu eu gwneud ar ben eu hun ond gyda help eraill maent yn cael y cyfle i wneud hyn. Mae gwaith grŵp yn gyfle i ddisgyblion cydweithio ac i ddatblygu eu sgiliau meddwl yn gritigol ond efallai bod rhai yn eu gweld fel cyfle i ddangos eu sgiliau arweinyddiaeth neu i ddangos i weddill y disgyblion eu dealltwriaeth nhw drwy wneud y gwaith i gyd (Rohrkemper, 1985)  Mae ymchwil gan Fisher and Ellis (1990) yn amlinellu bod y dynamig o fewn y grŵp yn cael effaith mawr ar ymglymiad disgyblion, mae hefyd yn nodi sut mae gwahanol rolau o fewn grwpiau yn gallu cynyddu ymglymiad oherwydd bod disgyblion yn medru canolbwyntio ar ei rôl nhw, felly dyma pam penderfynwyd rhoi rheolaeth i'r disgyblion yn ystod y gwaith grŵp gan adael iddynt wneud penderfyniadau eu hun oherwydd mae’r ymchwil yma yn dangos sut mae rhoi swyddi i ddisgyblion yn cynyddu eu hymglymiad.</w:t>
      </w:r>
    </w:p>
    <w:p w14:paraId="37C255CA" w14:textId="77777777" w:rsidR="00E14820" w:rsidRDefault="00E14820" w:rsidP="00E14820">
      <w:pPr>
        <w:autoSpaceDE w:val="0"/>
        <w:autoSpaceDN w:val="0"/>
        <w:adjustRightInd w:val="0"/>
        <w:spacing w:after="0" w:line="252" w:lineRule="auto"/>
        <w:ind w:firstLine="720"/>
        <w:rPr>
          <w:rFonts w:ascii="Times New Roman" w:hAnsi="Times New Roman" w:cs="Times New Roman"/>
          <w:i/>
          <w:iCs/>
        </w:rPr>
      </w:pPr>
      <w:r>
        <w:rPr>
          <w:rFonts w:ascii="Arial" w:hAnsi="Arial" w:cs="Arial"/>
          <w:color w:val="000000"/>
        </w:rPr>
        <w:t xml:space="preserve">Dywed Jaques (2004)  bod y buddion o waith grŵp yn mynd llaw yn llaw gydag addysg disgyblion a bod rhoi'r cyfle i ddisgyblion wneud gwaith grŵp yn hanfodol bwysig ar gyfer eu datblygiad. Mae’r gwaith ymchwil yma yn rhoi’r cyfle i ni weld yn union beth yw’r amgylchiadau gorau ar gyfer sicrhau bod bob disgybl yn cael y cyfle gorau ac nid oes yna ddiffyg ymglymiad tuag at y dasg. Mae’r ymchwil yma yn eithaf hen felly mae yn bwysig ystyried eu dilysrwydd gan fod addysg wedi newid ers 2004 yn enwedig yng Nghymru gyda chyflwyno Cwricwlwm i Gymru nol yn 2020 felly mae angen gwneud ymchwil mwy cyfredol a gweld a yw’r sefyllfa yn wahanol erbyn hyn. Mae rhoi llais i ddisgyblion yn bwysig iawn ac mae gadael nhw mewn rheolaeth o’i addysg yn gallu agor nifer fawr o ddrysau iddynt yn y dyfodol, </w:t>
      </w:r>
      <w:r>
        <w:rPr>
          <w:rFonts w:ascii="Arial" w:hAnsi="Arial" w:cs="Arial"/>
          <w:i/>
          <w:iCs/>
        </w:rPr>
        <w:t>“you will unlock children’s potential to constructively contribute to the spaces that form part of their everyday lives”</w:t>
      </w:r>
      <w:r>
        <w:rPr>
          <w:rFonts w:ascii="Arial" w:hAnsi="Arial" w:cs="Arial"/>
          <w:color w:val="000000"/>
        </w:rPr>
        <w:t xml:space="preserve"> (Frankel, 2018) Pwysleisia Frankel bod rhoi dewis i ddisgyblion yn rhoi'r cyfle iddynt gyfrannu at yr hyn sydd yn digwydd yn eu bywydau ac yn medru cyrraedd eu potensial, drwy roi'r dewis yma rydym ni’n medru gweld pa ddisgyblion sydd yn medru meddwl yn gritigol ac yn gallu meddwl sut maent yn mynd i gwblhau'r dasg yn llwyddiannus. Mae yna nifer fawr o ymchwilwyr yn cytuno bod y plentyn yn ganolog i'w haddysg un ohonynt yw Freinet, sef damcaniaethwr o’r 1960au. Dywed Freinet taw pwrpas addysg yw rhoi’r cyfle i ddisgyblion fod yn ddysgwyr annibynnol ac i gael y rhyddid i gael profiadau newydd. (Sivell, 1993) Mae Freinet yn tybio fod y gair rhyddid yn anghywir wrth ddisgrifio tagsau plentyn canolog oherwydd bod byth ganddynt y rhyddid gan ein bod ni yn disgwyl iddynt gwblhau'r gwaith yn gywir, ond bod yr hyder maent yn dangos wrth wneud y dasg ac yn medru mynd ati i oresgyn unrhyw her sydd o’i blaen wrth iddynt fynd ati i gwblhau'r dasg. Dywed Fink(2002)  </w:t>
      </w:r>
      <w:r>
        <w:rPr>
          <w:rFonts w:ascii="Arial" w:hAnsi="Arial" w:cs="Arial"/>
          <w:i/>
          <w:iCs/>
        </w:rPr>
        <w:t xml:space="preserve">“all learning activities involve some kind of experience or some kind of dialog such as dialog with self and dialog with others”  </w:t>
      </w:r>
      <w:r>
        <w:rPr>
          <w:rFonts w:ascii="Arial" w:hAnsi="Arial" w:cs="Arial"/>
        </w:rPr>
        <w:t>mae hyn yn dangos pwysigrwydd o gael disgyblion i gyfathrebu a chael cyfleoedd i wneud hyn, mi wnaeth hyn ysbrydoli ni i weld yn union sut mae amgylchiadau gwahanol yn effeithio ar waith grŵp a gweld a ydym ni yn medru gwella'r math yma o dasgau yn fy ymarfer proffesiynol.  Creda Bansberg, (2003) bod gwersi mwy ymarferol a dysgu gweithredol yn llawer mwy buddiol i ddisgyblion a’i bod nhw yn gorfod cysylltu'r hyn maent wedi dysgu amdano yn barod i mewn i'r dasg. Pwysleisia hyn bod angen i ni roi cyfleoedd i ddisgyblion wneud beth maen nhw am ei wneud o fewn addysg ac i beidio ag rhoi camau iddynt ar sut i gyflawni'r gwaith, mae’r defnydd o feini prawf llwyddiant yn dda mewn rhai achosion ond mae angen rhoi’r cyfle i'r disgyblion feddwl yn union sut maent yn mynd i gyflawni'r dasg gyda’i gilydd. Mae cymryd cyfrifoldeb yn rhan bwysig iawn o’r hyn wnaeth Donaldson(2015) ei ddatgan yn ei adolygiad o’r Cwricwlwm yng Nghymru mae yn datgan yr angen i baratoi disgyblion ar gyfer cymryd cyfrifoldebau, mae yn bwysig bod disgyblion yn cael y cyfleoedd hyn ac felly mae’r ymchwil yma yn mynd i weld a yw disgyblion yn hoff o gael rheolaeth dros eu haddysg ac yn rhoi cyfle iddynt gymryd cyfrifoldeb a gwneud penderfyniadau dros eu hun.</w:t>
      </w:r>
    </w:p>
    <w:p w14:paraId="022AD063" w14:textId="77777777" w:rsidR="00E14820" w:rsidRDefault="00E14820" w:rsidP="00E14820">
      <w:pPr>
        <w:autoSpaceDE w:val="0"/>
        <w:autoSpaceDN w:val="0"/>
        <w:adjustRightInd w:val="0"/>
        <w:spacing w:after="0" w:line="252" w:lineRule="auto"/>
        <w:ind w:firstLine="720"/>
        <w:rPr>
          <w:rFonts w:ascii="Times New Roman" w:hAnsi="Times New Roman" w:cs="Times New Roman"/>
          <w:color w:val="2E2E2E"/>
        </w:rPr>
      </w:pPr>
      <w:r>
        <w:rPr>
          <w:rFonts w:ascii="Arial" w:hAnsi="Arial" w:cs="Arial"/>
        </w:rPr>
        <w:t xml:space="preserve">Er mwyn gwneud yr ymchwil yma penderfynwyd ar ddefnyddio model Astudiaeth gwers. Astudiaeth gwers yw lle mae grŵp o athrawon yn cyd-gynllunio, addysgu, arsylwi ac yna yn dadansoddi ac yn adfyfyrio ar eu ymchwil (Dudley,2015) Dechreuodd y dechneg yma o ymchwilio yn nwyrain Asia ond dros y blynyddoedd mae wedi dod yn llawer mwy </w:t>
      </w:r>
      <w:r>
        <w:rPr>
          <w:rFonts w:ascii="Arial" w:hAnsi="Arial" w:cs="Arial"/>
        </w:rPr>
        <w:lastRenderedPageBreak/>
        <w:t>poblogaidd yn y gorllewin. Mae yn ddull sydd yn caniatáu athrawon i wella eu ymarfer proffesiynol ond yn ogystal i wella yr arfer yn yr ystafell ddosbarth. (</w:t>
      </w:r>
      <w:r>
        <w:rPr>
          <w:rFonts w:ascii="Arial" w:hAnsi="Arial" w:cs="Arial"/>
          <w:color w:val="212529"/>
          <w:sz w:val="18"/>
          <w:szCs w:val="18"/>
        </w:rPr>
        <w:t>Özdemir,</w:t>
      </w:r>
      <w:r>
        <w:rPr>
          <w:rFonts w:ascii="Arial" w:hAnsi="Arial" w:cs="Arial"/>
        </w:rPr>
        <w:t xml:space="preserve"> 2019). Mae astudiaeth gwers yn dechrau gyda’r broses cynllunio lle mae grŵp o athrawon gyda’r un diddordeb addysg yn penderfynu ar ffocws. Y cam nesaf mewn astudiaeth gwers yw cynllunio'r wers ac i arsylwi'r wers, fel arfer bydd eich partneriaid o fewn yr ymchwil yn arsylwi'r wers ond oherwydd cyfyngiadau coronafeirws(Covid-19) roedd hyn yn amhosib felly roedd yn rhaid i ni recordio'r wers ac yn eu harsylwi yn dilyn y wers. Yn dilyn hyn mewn amgylchiadau gwahanol y byddwn ni yn asesu'r wers ac yn gwneud addasiadau ac mi fydd y partner o fewn yr ymchwil yn dysgu'r wers ac mi fyddai'r ymchwilydd arall yn arsylwi'r wers. Dywedodd Murata (2011) </w:t>
      </w:r>
      <w:r>
        <w:rPr>
          <w:rFonts w:ascii="Arial" w:hAnsi="Arial" w:cs="Arial"/>
          <w:i/>
          <w:iCs/>
        </w:rPr>
        <w:t xml:space="preserve">“the goal is simple: teachers get together around a shared question about students’ learning, plan a lesson to make student learning visible and discuss what they observe”  </w:t>
      </w:r>
      <w:r>
        <w:rPr>
          <w:rFonts w:ascii="Arial" w:hAnsi="Arial" w:cs="Arial"/>
        </w:rPr>
        <w:t xml:space="preserve">pwysleisia hyn pa mor syml yw astudiaeth gwers a bod yna gamau i'r ymchwil ac mae yn rhoi cyfleoedd perffaith i sicrhau ein bod yn gallu cael y canlyniadau gorau posibl. </w:t>
      </w:r>
    </w:p>
    <w:p w14:paraId="3F89140C" w14:textId="77777777" w:rsidR="00E14820" w:rsidRDefault="00E14820" w:rsidP="00E14820">
      <w:pPr>
        <w:autoSpaceDE w:val="0"/>
        <w:autoSpaceDN w:val="0"/>
        <w:adjustRightInd w:val="0"/>
        <w:spacing w:after="0" w:line="252" w:lineRule="auto"/>
        <w:ind w:firstLine="720"/>
        <w:rPr>
          <w:rFonts w:ascii="Times New Roman" w:hAnsi="Times New Roman" w:cs="Times New Roman"/>
          <w:color w:val="424142"/>
          <w:sz w:val="30"/>
          <w:szCs w:val="30"/>
        </w:rPr>
      </w:pPr>
      <w:r>
        <w:rPr>
          <w:rFonts w:ascii="Arial" w:hAnsi="Arial" w:cs="Arial"/>
        </w:rPr>
        <w:t>Mae astudiaeth gwers yn ddull effeithiol iawn sydd gyda nifer fawr o fanteision fel model ymchwil. Un fantais yw'r cyfle i fyfyrio ar yr ymchwil ac yna eu haddasu cyn trafod y canfyddiadau. Mae'r broses fyfyrio yn bwysig iawn a'i fod yn sylfaen i bob gwaith ymchwil a bod meddwl am addasiadau yn bwysig iawn ar sut allwch chi wella'r ymchwil yma yn bwysig iawn. ( Coe et al, 2014). Mae Hinchey(2010) yn cytuno gyda hyn ac mae’n datgan fod angen i athrawon fod yn onest am y gwendidau a bod hyn yn hanfodol ar gyfer llwyddiant unrhyw ymchwil, mae hyn yn amlinellu bod y defnydd o astudiaeth gwers fel model ymchwil yn fuddiol iawn. Mantais arall o ddefnyddio astudiaeth gwers fel model ymchwil yw'r broses o ryngweithio gydag athrawon eraill ac yna yn rhannu arfer dda gydag eraill. Mae Gersten et al (2014) yn cytuno taw un o brif gryfderau Astudiaeth gwers fel model ymchwil yw eu bod yn caniatáu athrawon i gydweithio a bod hyn yn cael effaith mawr iawn ar ganlyniadau'r disgyblion oherwydd bod athrawon yn medru gweld beth sydd yn gweithio yn dda ac yn medru rhannu hyn gydag eraill. “</w:t>
      </w:r>
      <w:r>
        <w:rPr>
          <w:rFonts w:ascii="Arial" w:hAnsi="Arial" w:cs="Arial"/>
          <w:i/>
          <w:iCs/>
        </w:rPr>
        <w:t>Within education, teacher collaboration plays an important role in transforming students into proficient future collaborators as teachers model cooperative learning for students by working together as a team.”</w:t>
      </w:r>
      <w:r>
        <w:rPr>
          <w:rFonts w:ascii="Arial" w:hAnsi="Arial" w:cs="Arial"/>
          <w:i/>
          <w:iCs/>
          <w:color w:val="2E2E2E"/>
        </w:rPr>
        <w:t xml:space="preserve"> </w:t>
      </w:r>
      <w:r>
        <w:rPr>
          <w:rFonts w:ascii="Arial" w:hAnsi="Arial" w:cs="Arial"/>
          <w:color w:val="2E2E2E"/>
        </w:rPr>
        <w:t>(Coke, 2005) Pwysleisia Coke pa mor bwysig yw hi i athrawon gydweithio ac mae ef yn cytuno gydag eraill bod y canlyniadau ar ddyfodol y disgyblion yn dangos pwysigrwydd cydweithio. Mae astudiaeth gwers yn broses hir ac yn cymryd llawer o ymdrech ac mae’n gallu achosi straen ar athrawon gan eu bod yn broses newydd ac yn rhywbeth mae athrawon sydd gyd diffyg profiad yn y maes yn gweld yn anodd delio gyda,</w:t>
      </w:r>
      <w:r>
        <w:rPr>
          <w:rFonts w:ascii="Arial" w:hAnsi="Arial" w:cs="Arial"/>
          <w:i/>
          <w:iCs/>
          <w:color w:val="2E2E2E"/>
          <w:sz w:val="16"/>
          <w:szCs w:val="16"/>
        </w:rPr>
        <w:t xml:space="preserve"> “</w:t>
      </w:r>
      <w:r>
        <w:rPr>
          <w:rFonts w:ascii="Arial" w:hAnsi="Arial" w:cs="Arial"/>
          <w:i/>
          <w:iCs/>
          <w:color w:val="424142"/>
        </w:rPr>
        <w:t xml:space="preserve">In new or odd situations teacher feels himself helpless” </w:t>
      </w:r>
      <w:r>
        <w:rPr>
          <w:rFonts w:ascii="Arial" w:hAnsi="Arial" w:cs="Arial"/>
          <w:color w:val="424142"/>
        </w:rPr>
        <w:t>(Mallick, 2020) Mae Mallick yn amlinellu bod y broses o astudiaeth gwers yn gallu gwneud i'r athro deimlo fel ei bod ar goll ac yn teimlo fel bod ddim modd iddo gael cymorth</w:t>
      </w:r>
    </w:p>
    <w:p w14:paraId="08D2DF0A" w14:textId="77777777" w:rsidR="00E14820" w:rsidRDefault="00E14820" w:rsidP="00E14820">
      <w:pPr>
        <w:autoSpaceDE w:val="0"/>
        <w:autoSpaceDN w:val="0"/>
        <w:adjustRightInd w:val="0"/>
        <w:spacing w:after="0" w:line="252" w:lineRule="auto"/>
        <w:ind w:firstLine="720"/>
        <w:rPr>
          <w:rFonts w:ascii="Times New Roman" w:hAnsi="Times New Roman" w:cs="Times New Roman"/>
        </w:rPr>
      </w:pPr>
      <w:r>
        <w:rPr>
          <w:rFonts w:ascii="Arial" w:hAnsi="Arial" w:cs="Arial"/>
        </w:rPr>
        <w:t xml:space="preserve">Rhan gyntaf o astudiaeth gwers yw'r wers a’r arsylwad, oherwydd cyfyngiadau Covid-19 roedd y broses yn wahanol i'r arfer ac mi roedd rhaid recordio'r wers ac yna arsylwi'r wers drwy wylio'r recordiad. Roedd yna 2 wers roedd yn rhaid arsylwi un lle'r oedd gan y disgyblion ddewis ac un lle nad oedd ganddynt ddewis. Yn ystod y cyfnod arsylwi mi roeddwn ni yn nodi sut roedd y disgyblion yn ymglymu i'r wers mewn gwahanol rannau er enghraifft yn ystod y cyfnod addysgu. Roeddwn ni yn sgorio'r disgyblion allan o 5 gan ddefnyddio'r raddfa Leuven (LearningJournals, 2021). Roedd y dull hwn yn caniatáu i ni asesu ymglymiad y disgyblion ymhob rhan o’r wers gan nodi'r rhifau yma rhwng 1 a 5 gyda 1 yn isel a 5 yn uchel o ran lefel yr ymglymiad. Gallwch weld templed gwag o’r daflen arsylwi yn yr atodiadau ac mi allwch weld ein bod wedi caniatáu lle i nodi unrhyw ddigwyddiadau nodedig ychwanegol.  Fe wnaeth Ferre Laevers (2008) creu’r raddfa Leuven o ymglymiad er mwyn i ni allu asesu yn union sut mae disgyblion yn canolbwyntio yn ystod y wers. Ar gyfer yr arsylwad mi roeddwn ni yn dewis 3 disgybl ar hap. Penderfynwyd dewis y disgyblion ar hap drwy sicrhau ein bod yn cael un disgybl ADY ac un MATh ac yna un disgybl o allu canolig, roedd hyn yn sicrhau ein bod ni yn medru cael trawstoriad o ddata ar ddiwedd yr </w:t>
      </w:r>
      <w:r>
        <w:rPr>
          <w:rFonts w:ascii="Arial" w:hAnsi="Arial" w:cs="Arial"/>
        </w:rPr>
        <w:lastRenderedPageBreak/>
        <w:t>ymchwil a gweld sut roedd galluoedd gwahanol yn effeithio ar ymglymiad ond hefyd sut roedd cyflwyno dewis yn gallu effeithio ar eu hymglymiad.</w:t>
      </w:r>
    </w:p>
    <w:p w14:paraId="1CC34279" w14:textId="77777777" w:rsidR="00E14820" w:rsidRDefault="00E14820" w:rsidP="00E14820">
      <w:pPr>
        <w:autoSpaceDE w:val="0"/>
        <w:autoSpaceDN w:val="0"/>
        <w:adjustRightInd w:val="0"/>
        <w:spacing w:after="0" w:line="252" w:lineRule="auto"/>
        <w:ind w:firstLine="720"/>
        <w:rPr>
          <w:rFonts w:ascii="Times New Roman" w:hAnsi="Times New Roman" w:cs="Times New Roman"/>
        </w:rPr>
      </w:pPr>
      <w:r>
        <w:rPr>
          <w:rFonts w:ascii="Arial" w:hAnsi="Arial" w:cs="Arial"/>
        </w:rPr>
        <w:t>Rhan nesaf o’r astudiaeth gwers oedd y cyfweliad grŵp lle roeddwn ni yn gofyn cwestiynau i 3 disgybl yr oeddem ni wedi dewis ar hap. Gallwch chi weld copi o’r cwestiynau cyfweliad yn yr atodiadau ar ddiwedd y traethawd. Penderfynwyd cynnal cyfweliad lled-strwythuredig gan eu bod yn rhoi’r cyfle i ni ofyn cwestiynau yn dibynnu ar beth oedd y disgyblion wedi dweud yn eu hymatebion i un o’r cwestiynau. Mae yn bwysig mewn cyfweliad lled strwythuredig ein bod ni yn gofyn cwestiynau pwrpasol a fydd yn sicrhau ein bod ni yn cael yr ymateb gorau posib allan o’r cyfweliad. (Galletta, 2013) . Mae y rhan yma o’r ymchwil yn hanfodol bwysig oherwydd mae yn caniatáu'r disgyblion i roi eu barn nhw ar yr ymchwil ac i roi adborth i'r athro. Mae llais y disgybl yn bwysig iawn ac mae yn rhan o un erthygl hawliau plant. Mae Erthygl 12 o’r confensiwn ar hawliau plentyn yn nodi bod gan y plentyn yr hawl i gael eu clywed ( UNICEF, 1992). Amlinella hyn pa mor effeithiol yw'r defnydd do gyfweliad mewn ymchwil o fewn addysg gan eu bod yn sicrhau bod llais y plant yn cael eu clywed a'u bod nhw yn medru lleisio eu barn ar yr hyn ddigwyddodd. Roedd y cwestiynau a ddewiswyd wedi sicrhau ein bod yn medru gweld sut roedd yr ymchwil yma wedi effeithio ar agwedd y disgyblion a chael ei safbwynt nhw ar yr hyn ddigwyddodd yn y wers.</w:t>
      </w:r>
    </w:p>
    <w:p w14:paraId="09D9EC82" w14:textId="77777777" w:rsidR="00E14820" w:rsidRDefault="00E14820" w:rsidP="00E14820">
      <w:pPr>
        <w:autoSpaceDE w:val="0"/>
        <w:autoSpaceDN w:val="0"/>
        <w:adjustRightInd w:val="0"/>
        <w:spacing w:after="0" w:line="252" w:lineRule="auto"/>
        <w:ind w:firstLine="720"/>
        <w:rPr>
          <w:rFonts w:ascii="Times New Roman" w:hAnsi="Times New Roman" w:cs="Times New Roman"/>
          <w:color w:val="000000"/>
          <w:sz w:val="20"/>
          <w:szCs w:val="20"/>
        </w:rPr>
      </w:pPr>
      <w:r>
        <w:rPr>
          <w:rFonts w:ascii="Arial" w:hAnsi="Arial" w:cs="Arial"/>
        </w:rPr>
        <w:t xml:space="preserve">Rhan olaf o’r astudiaeth gwers yw'r broses o fyfyrio. Ar gyfer gwneud unrhyw ymchwil llwyddiannus mae angen sicrhau ein bod yn myfyrio ar y broses ac yn gweld yn union beth roeddwn ni wedi dysgu o’r profiad. Penderfynwyd dilyn model Kolb (Bergsteiner et al, 2010) gan ei fod yn caniatáu i ni ddilyn camau penodol ar gyfer y broses myfyrio. Mae yn dechrau gyda'r broses o brofi yna adlewyrchu ar y profiad ac yna dysgu o’r profiad yma ac yna rhoi'r hyn a ddysgwyd ar waith. Roedd y dull yma o fyfyrio yn ddefnyddiol iawn. Dywed Kolb (1984) bod y broses yma yn syml a bod yna gyfle i ddod mewn i'r broses ar unrhyw adeg a dilyn y broses trwy, sydd yn pwysleisio bod y broses o fyfyrio hyn ddim yn effeithiol os rydym ni dim ond yn gwneud un o’r camau yma. Mae'r broses fyfyrio yma yn rhoi cyfle i mi fel darpar athro </w:t>
      </w:r>
      <w:r>
        <w:rPr>
          <w:rFonts w:ascii="Arial" w:hAnsi="Arial" w:cs="Arial"/>
          <w:i/>
          <w:iCs/>
        </w:rPr>
        <w:t>“develop more appropriate learning opportunities.</w:t>
      </w:r>
      <w:r>
        <w:rPr>
          <w:rFonts w:ascii="Arial" w:hAnsi="Arial" w:cs="Arial"/>
          <w:i/>
          <w:iCs/>
          <w:color w:val="000000"/>
        </w:rPr>
        <w:t xml:space="preserve">” </w:t>
      </w:r>
      <w:r>
        <w:rPr>
          <w:rFonts w:ascii="Arial" w:hAnsi="Arial" w:cs="Arial"/>
          <w:color w:val="000000"/>
        </w:rPr>
        <w:t>(Mcleod, 2017) gan fod y broses yn sicrhau ein bod yn gwneud newidiadau i ein proffesiwn ac yn addasu lle bod angen.</w:t>
      </w:r>
    </w:p>
    <w:p w14:paraId="0852F4D2" w14:textId="77777777" w:rsidR="00E14820" w:rsidRDefault="00E14820" w:rsidP="00E14820">
      <w:pPr>
        <w:autoSpaceDE w:val="0"/>
        <w:autoSpaceDN w:val="0"/>
        <w:adjustRightInd w:val="0"/>
        <w:spacing w:after="0" w:line="252" w:lineRule="auto"/>
        <w:ind w:firstLine="720"/>
        <w:rPr>
          <w:rFonts w:ascii="Times New Roman" w:hAnsi="Times New Roman" w:cs="Times New Roman"/>
        </w:rPr>
      </w:pPr>
      <w:r>
        <w:rPr>
          <w:rFonts w:ascii="Arial" w:hAnsi="Arial" w:cs="Arial"/>
        </w:rPr>
        <w:t>Wrth wneud unrhyw waith ymchwil mae’n bwysig ystyried yr holl ystyriaethau moesegol mae angen i ni ddilyn.</w:t>
      </w:r>
      <w:r>
        <w:rPr>
          <w:rFonts w:ascii="Arial" w:hAnsi="Arial" w:cs="Arial"/>
          <w:i/>
          <w:iCs/>
        </w:rPr>
        <w:t xml:space="preserve"> “It is therefore important for all researchers, particularly those who work directly with human beings, to carefully identify possible ethical risks and to take the necessary steps to reduce such risks”(</w:t>
      </w:r>
      <w:r>
        <w:rPr>
          <w:rFonts w:ascii="Arial" w:hAnsi="Arial" w:cs="Arial"/>
        </w:rPr>
        <w:t xml:space="preserve">Ramrathan et al, 2017) Mae hyn yn dangos i mi'r pwysigrwydd sydd i fod yn foesegol ac ein bod ni ddim yn cymryd mantais o’r cyfranogwyr. Un o’r pethau mwyaf pwysig sydd angen eu hystyried wrth wneud ymchwil ein bod ni yn cael caniatâd y cyfranogwyr cyn eu bod yn cymryd rhan mewn unrhyw ymchwil, </w:t>
      </w:r>
      <w:r>
        <w:rPr>
          <w:rFonts w:ascii="Arial" w:hAnsi="Arial" w:cs="Arial"/>
          <w:i/>
          <w:iCs/>
        </w:rPr>
        <w:t>“It is normally expected that participants’ voluntary informed consent to be involved in a study will be obtained at the start of the study, and that researchers will remain sensitive and open to the possibility that participants may wish, for any reason and at any time, to withdraw their consent.</w:t>
      </w:r>
      <w:r>
        <w:rPr>
          <w:rFonts w:ascii="Arial" w:hAnsi="Arial" w:cs="Arial"/>
          <w:i/>
          <w:iCs/>
          <w:color w:val="212226"/>
        </w:rPr>
        <w:t xml:space="preserve">” (BERA, 2018). </w:t>
      </w:r>
      <w:r>
        <w:rPr>
          <w:rFonts w:ascii="Arial" w:hAnsi="Arial" w:cs="Arial"/>
          <w:color w:val="212226"/>
        </w:rPr>
        <w:t xml:space="preserve">Cyn aethom ni ati i wneud yr ymchwil roedd yn rhaid i ni gynllunio llythyr y byddwn ni yn eu danfon ar y rhieni oherwydd gan ein bod yn gwneud ymchwil gyda phlant ysgol nid yw'r plant yma yn ddigon hen i roi caniatâd eu hun er mwyn cymryd rhan mewn ymchwil (Gwelir llythyr cydsynio yn yr atodiadau).  Gellir gweld o’r ffurflen foeseg a wnes i gwblhau gyda’r brifysgol (Gwelir yn yr atodiadau) y byddwn ni yn creu taflen i'r disgyblion lenwi er mwyn cael ei chydsyniad nhw, mae cael cydsyniad y disgyblion yr un mor bwysig a chael caniatâd oddi wrth eu rhieni. Daeth hyn yn gyntaf pan gyhoeddwyd datganiad Helsinki (WMA, 2008) lle wnaethon nhw gytuno os mae unrhyw un o dan yr oed o 18 y bod angen iddynt roi cydsyniad cyn eu bod nhw yn cael cymryd rhan mewn unrhyw waith ymchwil. Mae yna 2 peth arall sydd angen i ni ystyried i fod yn foesegol gywir, sef anhysbysrwydd a chyfrinachedd. Mae sicrhau cyfrinachedd y cyfranogwyr yn hanfodol bwysig, mi fyddwn ni yn gwneud hyn drwy sicrhau bod unrhyw ddata personol yn cael eu </w:t>
      </w:r>
      <w:r>
        <w:rPr>
          <w:rFonts w:ascii="Arial" w:hAnsi="Arial" w:cs="Arial"/>
          <w:color w:val="212226"/>
        </w:rPr>
        <w:lastRenderedPageBreak/>
        <w:t>cadw yn ddiogel a bod enwau'r cyfranogwyr ddim yn cael ei rhannu gydag eraill ac mi fydd y recordiad o’r wers ddim yn gadael system yr ysgol. Mi fydd anhysbysrwydd y cyfranogwyr yn cael ei gyflawni drwy sicrhau bod y data a gasglwyd o’r ymchwil yma ddim yn gallu cael ei olrhain yn ôl at y cyfranogwr yma. Mae sicrhau bod cyfrinachedd ac anhysbysrwydd y cyfranogwyr yn hanfodol bwysig ac mae swyddogaeth arnom ni fel ymchwilwyr i sicrhau bod hyn yn digwydd “</w:t>
      </w:r>
      <w:r>
        <w:rPr>
          <w:rFonts w:ascii="Arial" w:hAnsi="Arial" w:cs="Arial"/>
          <w:i/>
          <w:iCs/>
        </w:rPr>
        <w:t xml:space="preserve">What researchers can do is to ensure they do not disclose identifiable information about participants and to try to protect the identity of research participants through various processes designed to anonymise them.” (Wiles et al, 2006) </w:t>
      </w:r>
      <w:r>
        <w:rPr>
          <w:rFonts w:ascii="Arial" w:hAnsi="Arial" w:cs="Arial"/>
        </w:rPr>
        <w:t>mae'r papur ymchwil yma yn amlinellu pwysigrwydd sicrhau anhysbysrwydd a chyfrinachedd o fewn ymchwil a gallwch weld yn y ffurflen Foeseg yn yr atodiadau sut wnes i sicrhau cyfrinachedd ac anhysbysrwydd y disgyblion yn ystod yr astudiaeth gwers yma.</w:t>
      </w:r>
    </w:p>
    <w:p w14:paraId="7186DB9A" w14:textId="77777777" w:rsidR="00E14820" w:rsidRDefault="00E14820" w:rsidP="00E14820">
      <w:pPr>
        <w:autoSpaceDE w:val="0"/>
        <w:autoSpaceDN w:val="0"/>
        <w:adjustRightInd w:val="0"/>
        <w:spacing w:after="0" w:line="252" w:lineRule="auto"/>
        <w:ind w:firstLine="720"/>
        <w:rPr>
          <w:rFonts w:ascii="Times New Roman" w:hAnsi="Times New Roman" w:cs="Times New Roman"/>
        </w:rPr>
      </w:pPr>
      <w:r>
        <w:rPr>
          <w:rFonts w:ascii="Arial" w:hAnsi="Arial" w:cs="Arial"/>
        </w:rPr>
        <w:t>Cynlluniwyd 2 wers gyferbyniol a fyddai yn caniatáu'r disgyblion wneud tasgau gwahanol ond ar yr un pryd yn defnyddio'r un sgiliau mewn amgylcheddau gwahanol. Yn anfoddus roeddwn ni methu gwneud cylchoedd gwahanol o’r astudiaeth gwers gan nid oedd gyda ni ymweld ag ysgolion eraill oherwydd cyfyngiadau Covid-19 felly un cylch o’r astudiaeth wers roeddwn ni yn medru perfformio. Y wers gyntaf roedd y disgyblion yn cael meini prawf llwyddiant cyn eu bod yn cael eu rhoi mewn grwpiau ac yn mynd ati i gael trafodaeth lafar. Yn yr ail wers roedd y disgyblion yn cael eu rhoi yn yr un grwpiau ac yn cael dim arweiniad ac yn mynd ati i ddewis testun allan o’r dewis oedd ar y bwrdd gwyn ac yn mynd ati i gael trafodaeth grŵp. Roeddwn ni yna yn arsylwi'r 2 wers ac yn gweld y gwahaniaeth mewn ymglymiad y disgyblion. Yn y wers gyntaf roeddwn ni yn sicrhau bod y disgyblion yn deall yn union beth oedd y meini prawf llwyddiant(MPLl) ac roedden nhw yn deall pwysigrwydd hyn. Mae Crichton a McDaid (2016) yn amlinellu bod athrawon yn defnyddio MPLl yn aml ond eu bod nhw ddim yn amlinellu i'r disgyblion beth yw’r MPLl a’r hyn maent yn chwilio amdano yn y gwaith. Yn yr ail wers roedd y pwysigrwydd ar y disgyblion i ddarganfod y meini prawf llwyddiant ac i ddewis testun roedden nhw yn hyderus iawn yn eu gwneud. Mae ymchwil yn dangos bod hyder disgyblion yn cynyddu pan eu bod nhw yn gorfod meddwl yn fwy ac i edrych ar beth sydd angen iddynt wneud i lwyddo (Kerr, 2019). Fe wnaeth y plant feddwl beth oedd angen iddynt wneud er mwyn llwyddo ac yna yn gweithio fel tîm ac yn mynd ati i gwblhau'r gwaith. Sylweddolais o’r profiad yma bod angen rhoi rhyddid i ddisgyblion ddarganfod a gweld beth sydd eisiau nhw wneud er mwyn llwyddo. Roedd y disgyblion yn mwynhau'r her o orfod meddwl am strwythur a sut roeddwn nhw yn medru dewis testun roedden nhw yn hoffi. Dysgais o’r profiad yma bod y disgyblion yn mwynhau trafod am eu diddordebau nhw o fewn tasgau llafar ac roedd dewis eang o destunau i geisio plesio'r mwyafrif o’r disgyblion. Roedd agwedd y plant o fewn yr ail wers yn llawer gwell ac mi roedd yr amgylchedd o fewn y dosbarth y llawer mwy tawel ac roedd yn amlwg bod y disgyblion yn cydweithio yn well.</w:t>
      </w:r>
    </w:p>
    <w:p w14:paraId="5DA38F71" w14:textId="77777777" w:rsidR="00E14820" w:rsidRDefault="00E14820" w:rsidP="00E14820">
      <w:pPr>
        <w:autoSpaceDE w:val="0"/>
        <w:autoSpaceDN w:val="0"/>
        <w:adjustRightInd w:val="0"/>
        <w:spacing w:after="0" w:line="252" w:lineRule="auto"/>
        <w:ind w:firstLine="720"/>
        <w:rPr>
          <w:rFonts w:ascii="Times New Roman" w:hAnsi="Times New Roman" w:cs="Times New Roman"/>
          <w:color w:val="333333"/>
          <w:sz w:val="27"/>
          <w:szCs w:val="27"/>
        </w:rPr>
      </w:pPr>
      <w:r>
        <w:rPr>
          <w:rFonts w:ascii="Arial" w:hAnsi="Arial" w:cs="Arial"/>
        </w:rPr>
        <w:t>Fel rwyf wedi nodi ynghynt roed dyn amhosib i ni wneud astudiaeth gwers gyflawn fel roeddwn wedi bwriadu eu gwneud (Dudley,2015) felly nid oes yna unrhyw newidiadau allwn ni nodi y gwnaethom rhwng y wers gyntaf ac yna'r wers yn yr ail gylchdro Mewn amgylchiadau gwahanol byddwn ni neu fy mhartner ymchwilio wedi cynnal gwers yna wedi myfyrio ar y broses ac wedyn mi fyddai’r ail wers wedi cael eu cynnal gan y darpar athro arall. Mae’r broses yma yn un byddai wedi caniatáu mi i wneud ymchwil pellach yn y maes ac mi fyddai wedi cynyddu dilysrwydd y canlyniadau o’r ymchwil.</w:t>
      </w:r>
      <w:r>
        <w:rPr>
          <w:rFonts w:ascii="Arial" w:hAnsi="Arial" w:cs="Arial"/>
          <w:color w:val="333333"/>
          <w:sz w:val="27"/>
          <w:szCs w:val="27"/>
        </w:rPr>
        <w:t xml:space="preserve"> </w:t>
      </w:r>
      <w:r>
        <w:rPr>
          <w:rFonts w:ascii="Arial" w:hAnsi="Arial" w:cs="Arial"/>
          <w:color w:val="333333"/>
        </w:rPr>
        <w:t xml:space="preserve">Mae Takahashi a McDougal(2016) wedi bod yn ymchwilio effeithlonrwydd astudiaeth gwers ac yn nodi taw un o’r prif gryfderau yw </w:t>
      </w:r>
      <w:r>
        <w:rPr>
          <w:rFonts w:ascii="Arial" w:hAnsi="Arial" w:cs="Arial"/>
          <w:color w:val="333333"/>
          <w:sz w:val="27"/>
          <w:szCs w:val="27"/>
        </w:rPr>
        <w:t>“</w:t>
      </w:r>
      <w:r>
        <w:rPr>
          <w:rFonts w:ascii="Arial" w:hAnsi="Arial" w:cs="Arial"/>
          <w:i/>
          <w:iCs/>
        </w:rPr>
        <w:t>Knowledgeable others contribute insights during the post-lesson discussion and during planning as well”.</w:t>
      </w:r>
      <w:r>
        <w:rPr>
          <w:rFonts w:ascii="Arial" w:hAnsi="Arial" w:cs="Arial"/>
          <w:color w:val="333333"/>
        </w:rPr>
        <w:t xml:space="preserve"> Byddai'r broses yma wedi rhoi cyfle i mi ddysgu mwy o’r ymchwil a gweld beth oedd aelodau arall yn eu gweld yn ystod y wers, roeddwn ni yn adnabod y dosbarth a’r disgyblion ac yn ymwybodol o sut byddent yn ymddwyn ond byddai aelod arall yn gallu gweld yn union beth oedd wedi digwydd a ddim yn adnabod y plant oedd yn y dosbarth.</w:t>
      </w:r>
    </w:p>
    <w:p w14:paraId="66C2BC7D" w14:textId="77777777" w:rsidR="00E14820" w:rsidRDefault="00E14820" w:rsidP="00E14820">
      <w:pPr>
        <w:autoSpaceDE w:val="0"/>
        <w:autoSpaceDN w:val="0"/>
        <w:adjustRightInd w:val="0"/>
        <w:spacing w:after="0" w:line="252" w:lineRule="auto"/>
        <w:ind w:firstLine="720"/>
        <w:rPr>
          <w:rFonts w:ascii="Times New Roman" w:hAnsi="Times New Roman" w:cs="Times New Roman"/>
          <w:color w:val="333333"/>
        </w:rPr>
      </w:pPr>
      <w:r>
        <w:rPr>
          <w:rFonts w:ascii="Arial" w:hAnsi="Arial" w:cs="Arial"/>
          <w:color w:val="333333"/>
        </w:rPr>
        <w:lastRenderedPageBreak/>
        <w:t>Yn rhan yma o’r aseiniad rwy’n mynd i drafod yr hyn wnes i ddarganfod o’r ymchwil yma a sut mae hyn wedi effeithio ar fy ymarfer proffesiynol i. Mi wnes i fwynhau gwneud yr ymchwil yma ac mi wnes i sylweddoli bod gwneud ymchwil yn hollol bwysig ar gyfer fy natblygiad i fel athro proffesiynol. O’r ymchwil yma mi wnes i ddarganfod bod disgyblion yn mwynhau gwneud gwaith grŵp a bod hyn yn datblygu eu sgiliau o weithio fel tîm. Mae gwneud gwaith grŵp yn datblygu sgiliau sydd angen ar ddisgyblion ar gyfer gweddill eu bywyd, sgiliau megis sgiliau cymdeithasol a sut i ddefnyddio eu cryfderau nhw ar gyfer ddibenion eraill (theschoolrun.com, 2022).  Yn ogystal â hyn  sylweddolais fod hi yn bwysig i ni roi llais i'r disgyblion am beth maent yn dysgu ond hefyd yn dilyn gwersi gofyn iddynt beth roedden nhw wedi mwynhau am y wers a beth allai fod wedi cael eu gwneud yn wahanol yn ystod y wers. Yn ystod y cyfweliad wnaeth un o’r disgyblion ddatgan ei fod ef/hi wedi mwynhau'r wers yn fawr oherwydd roedd ef/hi yn teimlo bod llai o bwysau arnyn nhw fel disgyblion gan fod nhw yn gallu dewis testun maent yn hoffi trafod amdano. Roedd hyn yn agoriad llygaid i mi ac mae wedi gwneud i mi ystyried defnyddio llais y plentyn yn fwy yn ystod fy ngwersi gan eu bod yn bwysig bod gan ddisgyblion llais gan ei fod yn rhan o ddogfen UNICEF (1992) ar hawliau plant. Yn ogystal â hyn hoffwn ni geisio arbrofi ymhellach gyda gwaith grŵp a gweld yn union sut y gallwn wella ymglymiad  disgyblion yn ystod gwaith grŵp oherwydd roedd yna ddal rhai a oedd yn colli sylw yn ystod y dasg ac yn tarfu ar addysg eraill. Roedd y disgyblion roeddwn ni yn arsylwi wedi sgorio yn dda o ran ymglymiad ar y raddfa Leuven ond efallai os byddwn wedi cael cyfle i wneud yr ymchwil eto byddwn yn dewis disgyblion gwahanol gan roedd rhai os byddent yn un o’r 3 disgybl cafodd eu i ddewis ar hap byddai eu ymglymiad wedi bod yn isel iawn.</w:t>
      </w:r>
    </w:p>
    <w:p w14:paraId="57C5EA77" w14:textId="77777777" w:rsidR="00E14820" w:rsidRDefault="00E14820" w:rsidP="00E14820">
      <w:pPr>
        <w:autoSpaceDE w:val="0"/>
        <w:autoSpaceDN w:val="0"/>
        <w:adjustRightInd w:val="0"/>
        <w:spacing w:after="0" w:line="252" w:lineRule="auto"/>
        <w:ind w:firstLine="720"/>
        <w:rPr>
          <w:rFonts w:ascii="Times New Roman" w:hAnsi="Times New Roman" w:cs="Times New Roman"/>
          <w:color w:val="333333"/>
        </w:rPr>
      </w:pPr>
      <w:r>
        <w:rPr>
          <w:rFonts w:ascii="Arial" w:hAnsi="Arial" w:cs="Arial"/>
          <w:color w:val="333333"/>
        </w:rPr>
        <w:t xml:space="preserve">Roedd y defnydd o astudiaeth gwers yn effeithiol iawn ac roedd y dulliau o fewn yr astudiaeth a ddefnyddiwyd yn ddibynadwy iawn. Roeddwn yn sicrhau ein bod ni wedi bod yn foesegol gywir ac wedi dilyn canllawiau BERA (2018). Roedd y data a gasglwyd yn ddibynadwy iawn oherwydd ein bod ni wedi arsylwi ymglymiad y disgyblion mewn sawl man yn ystod y wers ac felly roeddwn ni yn gallu gweld yn union sut roed dy disgyblion yn ymddwyn yn ystod y wers. Yn ogystal a hyn roedd y cyfweliad fel wnes i nodi ynghynt yn sicrhau ein bod ni yn cael llais oddi wrth y disgyblion, roedd hyn yn sicrhau ein bod ni wedi cael mwy o ddyfnder ynghylch yr ymchwil ac i gasglu data ansoddol, roedd y cyfweliad lled strwythuredig yn gallu rhoi y data ansoddol yma  i ni, data gwahanol i ddata meintiol. Mae data ansoddol yn rhoi barn y cyfranogwyr i ni sydd yn cynyddu dilysrwydd y data. (Bogdan et al, 1997)  Mae’r ymchwil yma wedi fy ysbrydoli i geisio wneud ymchwil tebyg yn y dyfodol, byddaf yn sicr o ddefnyddio astudiaeth gwers a gobeithio yn y dyfodol mi fyddaf yn gallu cael partneriaid sydd am ddatblygu rhywbeth tebyg i mi yn eu dosbarthiadau nhw. Mae yn bwysig i bob athro wneud ymchwil ac i gyfathrebu gyda’i gilydd ac i rhannu arfer dda. Roedd y sesiwn pontio yn y brifysgol yn gyfle euraidd i ni rhannu arfer dda ac i datblygu fel darpar athrawon. Roedd yr ymchwil yma wedi rhoi cyfle i ni ddatblygu rhai o’n safonau proffesiynol megis </w:t>
      </w:r>
      <w:r>
        <w:rPr>
          <w:rFonts w:ascii="Arial" w:hAnsi="Arial" w:cs="Arial"/>
          <w:i/>
          <w:iCs/>
        </w:rPr>
        <w:t>“Rhwydweithiau a chymunedau proffesiynol</w:t>
      </w:r>
      <w:r>
        <w:rPr>
          <w:rFonts w:ascii="Arial" w:hAnsi="Arial" w:cs="Arial"/>
          <w:i/>
          <w:iCs/>
          <w:color w:val="333333"/>
        </w:rPr>
        <w:t>”</w:t>
      </w:r>
      <w:r>
        <w:rPr>
          <w:rFonts w:ascii="Arial" w:hAnsi="Arial" w:cs="Arial"/>
          <w:color w:val="333333"/>
        </w:rPr>
        <w:t xml:space="preserve"> (Athrofa, 2021)  mae datblygu'r safonau yma ac mi fyd dyna gyfle i mi eto dros y blynyddoedd ar ôl i mi raddio i wneud ymchwil a fydd yn cyrraedd y safonau yma.</w:t>
      </w:r>
    </w:p>
    <w:p w14:paraId="5EC0B603" w14:textId="77777777" w:rsidR="00E14820" w:rsidRDefault="00E14820" w:rsidP="00E14820">
      <w:pPr>
        <w:autoSpaceDE w:val="0"/>
        <w:autoSpaceDN w:val="0"/>
        <w:adjustRightInd w:val="0"/>
        <w:spacing w:after="0" w:line="252" w:lineRule="auto"/>
        <w:ind w:firstLine="720"/>
        <w:rPr>
          <w:rFonts w:ascii="Times New Roman" w:hAnsi="Times New Roman" w:cs="Times New Roman"/>
          <w:color w:val="333333"/>
        </w:rPr>
      </w:pPr>
      <w:r>
        <w:rPr>
          <w:rFonts w:ascii="Arial" w:hAnsi="Arial" w:cs="Arial"/>
          <w:color w:val="333333"/>
        </w:rPr>
        <w:t>Pe bawn ni’n medru gwneud ymchwil astudiaeth gwers eto byddwn ni’n paratoi cyfres o wersi dros wythnos gan roedd yr ymchwil yn teimlo fel ei fod wedi cael ei frysio gan roedd amser yn erbyn ni. Yn ogystal â hyn byddai cael cyfle i weithio gyda phartneriaid ac i addasu'r wers ar gyfer y tro nesaf yn brofiad hoffwn ni ei gael. Byddai derbyn adborth wrth athro arall a chydweithio gyda nhw yn helpu mi i ddatblygu fy arfer proffesiynol ond hefyd i ddatblygu'r ystafell ddosbarth. Yn dilyn yr ymchwil rwyf yn sicr y byddaf y rhoi mwy o ddewis i ddisgyblion yn ystod tasgau ac mi fyddaf yn gwneud hyn drwy gynnig tasgau amrywiol sydd yn rhoi dewis iddynt yn ogystal â hyn bydda fyn sicrhau fy mod yn ceisio gweld beth all gael eu gwneud er mwyn sicrhau ymglymiad disgyblion yn ystod gwaith grŵp.</w:t>
      </w:r>
    </w:p>
    <w:p w14:paraId="221388AD" w14:textId="77777777" w:rsidR="00E14820" w:rsidRDefault="00E14820" w:rsidP="00E14820">
      <w:pPr>
        <w:autoSpaceDE w:val="0"/>
        <w:autoSpaceDN w:val="0"/>
        <w:adjustRightInd w:val="0"/>
        <w:spacing w:after="0" w:line="252" w:lineRule="auto"/>
        <w:rPr>
          <w:rFonts w:ascii="Times New Roman" w:hAnsi="Times New Roman" w:cs="Times New Roman"/>
          <w:sz w:val="20"/>
          <w:szCs w:val="20"/>
        </w:rPr>
      </w:pPr>
    </w:p>
    <w:p w14:paraId="4A3812D7" w14:textId="7A5BD243" w:rsidR="045B1433" w:rsidRDefault="045B1433" w:rsidP="00D8081D">
      <w:pPr>
        <w:pStyle w:val="AssignBody"/>
        <w:rPr>
          <w:sz w:val="20"/>
          <w:szCs w:val="20"/>
        </w:rPr>
      </w:pPr>
    </w:p>
    <w:p w14:paraId="18121F24" w14:textId="6EF52114" w:rsidR="045B1433" w:rsidRDefault="045B1433" w:rsidP="00D8081D">
      <w:pPr>
        <w:pStyle w:val="AssignBody"/>
        <w:rPr>
          <w:b/>
          <w:bCs/>
          <w:sz w:val="20"/>
          <w:szCs w:val="20"/>
          <w:u w:val="single"/>
        </w:rPr>
      </w:pPr>
    </w:p>
    <w:p w14:paraId="3268D23D" w14:textId="4988C93C" w:rsidR="000025F7" w:rsidRPr="000025F7" w:rsidRDefault="2A609465" w:rsidP="00D8081D">
      <w:pPr>
        <w:pStyle w:val="AssignBody"/>
        <w:rPr>
          <w:b/>
          <w:bCs/>
          <w:i/>
          <w:iCs/>
          <w:sz w:val="20"/>
          <w:szCs w:val="20"/>
          <w:u w:val="single"/>
        </w:rPr>
      </w:pPr>
      <w:r w:rsidRPr="6512DB45">
        <w:rPr>
          <w:b/>
          <w:bCs/>
          <w:i/>
          <w:iCs/>
          <w:sz w:val="20"/>
          <w:szCs w:val="20"/>
          <w:u w:val="single"/>
        </w:rPr>
        <w:t>Cyfeirnodi</w:t>
      </w:r>
    </w:p>
    <w:p w14:paraId="7A5646DF" w14:textId="77777777" w:rsidR="000025F7" w:rsidRDefault="000025F7" w:rsidP="00D8081D">
      <w:pPr>
        <w:pStyle w:val="AssignBody"/>
      </w:pPr>
      <w:r w:rsidRPr="6512DB45">
        <w:t xml:space="preserve">Athrofa (2021) </w:t>
      </w:r>
      <w:r w:rsidRPr="6512DB45">
        <w:rPr>
          <w:i/>
          <w:iCs/>
        </w:rPr>
        <w:t xml:space="preserve">Safonau Proffesiynol Addysgu ac Arweinyddiaeth. </w:t>
      </w:r>
      <w:r w:rsidRPr="6512DB45">
        <w:t xml:space="preserve">Ar gael yn: </w:t>
      </w:r>
      <w:hyperlink r:id="rId10">
        <w:r w:rsidRPr="6512DB45">
          <w:rPr>
            <w:rStyle w:val="Hyperlink"/>
            <w:rFonts w:asciiTheme="minorHAnsi" w:hAnsiTheme="minorHAnsi"/>
          </w:rPr>
          <w:t>https://uowtsd-my.sharepoint.com/:w:/r/personal/1902154_student_uwtsd_ac_uk/_layouts/15/Doc.aspx?sourcedoc=%7B7B9E0ED8-6456-4CC1-A999-F3E08601A80F%7D&amp;file=2021-2022%20SAC%20Safonau%20Proffesiynol%20(1).docx&amp;action=default&amp;mobileredirect=true</w:t>
        </w:r>
      </w:hyperlink>
      <w:r w:rsidRPr="6512DB45">
        <w:t xml:space="preserve"> (Cyrchwyd: 12fed o Chwefror 2022)</w:t>
      </w:r>
    </w:p>
    <w:p w14:paraId="5AE9DB9C" w14:textId="77777777" w:rsidR="000025F7" w:rsidRDefault="000025F7" w:rsidP="00D8081D">
      <w:pPr>
        <w:pStyle w:val="AssignBody"/>
      </w:pPr>
      <w:r w:rsidRPr="6512DB45">
        <w:t xml:space="preserve"> Bansberg, B. (2003) </w:t>
      </w:r>
      <w:r w:rsidRPr="6512DB45">
        <w:rPr>
          <w:i/>
          <w:iCs/>
        </w:rPr>
        <w:t xml:space="preserve">‘Applying the Learner-Centered Principles to the Special Case of Literacy’, Theory into practice, 42(2), pp. </w:t>
      </w:r>
      <w:r w:rsidRPr="6512DB45">
        <w:t>142–150. doi:10.1207/s15430421tip4202_8.</w:t>
      </w:r>
    </w:p>
    <w:p w14:paraId="589AE096" w14:textId="77777777" w:rsidR="000025F7" w:rsidRDefault="000025F7" w:rsidP="00D8081D">
      <w:pPr>
        <w:pStyle w:val="AssignBody"/>
        <w:rPr>
          <w:rFonts w:eastAsia="Calibri"/>
        </w:rPr>
      </w:pPr>
      <w:r w:rsidRPr="6512DB45">
        <w:rPr>
          <w:color w:val="000000" w:themeColor="text1"/>
        </w:rPr>
        <w:t xml:space="preserve">BERA (2018) </w:t>
      </w:r>
      <w:r w:rsidRPr="6512DB45">
        <w:t>ETHICAL GUIDELINES FOR EDUCATIONAL RESEARCH. London: British Educational Research Association</w:t>
      </w:r>
    </w:p>
    <w:p w14:paraId="48A6D06E" w14:textId="77777777" w:rsidR="000025F7" w:rsidRDefault="000025F7" w:rsidP="00D8081D">
      <w:pPr>
        <w:pStyle w:val="AssignBody"/>
        <w:rPr>
          <w:color w:val="3A3A3A"/>
        </w:rPr>
      </w:pPr>
      <w:r w:rsidRPr="6512DB45">
        <w:rPr>
          <w:color w:val="3A3A3A"/>
        </w:rPr>
        <w:t xml:space="preserve">Bergsteiner, H., Avery, G.C. and Neumann, R. (2010) </w:t>
      </w:r>
      <w:r w:rsidRPr="6512DB45">
        <w:rPr>
          <w:i/>
          <w:iCs/>
          <w:color w:val="3A3A3A"/>
        </w:rPr>
        <w:t xml:space="preserve">‘Kolb’s experiential learning model: critique from a modelling perspective’, Studies in continuing education, </w:t>
      </w:r>
      <w:r w:rsidRPr="6512DB45">
        <w:rPr>
          <w:color w:val="3A3A3A"/>
        </w:rPr>
        <w:t>32(1), pp. 29–46. doi:10.1080/01580370903534355.</w:t>
      </w:r>
    </w:p>
    <w:p w14:paraId="4296E20E" w14:textId="77777777" w:rsidR="000025F7" w:rsidRDefault="000025F7" w:rsidP="00D8081D">
      <w:pPr>
        <w:pStyle w:val="AssignBody"/>
        <w:rPr>
          <w:color w:val="222222"/>
        </w:rPr>
      </w:pPr>
      <w:r w:rsidRPr="6512DB45">
        <w:rPr>
          <w:color w:val="222222"/>
        </w:rPr>
        <w:t xml:space="preserve">Bogdan, R. and Biklen, S.K., (1997). </w:t>
      </w:r>
      <w:r w:rsidRPr="6512DB45">
        <w:rPr>
          <w:i/>
          <w:iCs/>
          <w:color w:val="222222"/>
        </w:rPr>
        <w:t>Qualitative research for education</w:t>
      </w:r>
      <w:r w:rsidRPr="6512DB45">
        <w:rPr>
          <w:color w:val="222222"/>
        </w:rPr>
        <w:t>. Boston, MA: Allyn &amp; Bacon.</w:t>
      </w:r>
    </w:p>
    <w:p w14:paraId="316B019D" w14:textId="77777777" w:rsidR="000025F7" w:rsidRDefault="000025F7" w:rsidP="00D8081D">
      <w:pPr>
        <w:pStyle w:val="AssignBody"/>
      </w:pPr>
      <w:r w:rsidRPr="6512DB45">
        <w:rPr>
          <w:color w:val="333333"/>
          <w:sz w:val="21"/>
          <w:szCs w:val="21"/>
        </w:rPr>
        <w:t xml:space="preserve">Bruner, J. (1984). Vygotsky's zone of proximal development: The hidden agenda. </w:t>
      </w:r>
      <w:r w:rsidRPr="6512DB45">
        <w:rPr>
          <w:i/>
          <w:iCs/>
          <w:color w:val="333333"/>
          <w:sz w:val="21"/>
          <w:szCs w:val="21"/>
        </w:rPr>
        <w:t>New Directions for Child Development, 23,</w:t>
      </w:r>
      <w:r w:rsidRPr="6512DB45">
        <w:rPr>
          <w:color w:val="333333"/>
          <w:sz w:val="21"/>
          <w:szCs w:val="21"/>
        </w:rPr>
        <w:t xml:space="preserve"> 93–97 Ar gael yn: </w:t>
      </w:r>
      <w:hyperlink r:id="rId11">
        <w:r w:rsidRPr="6512DB45">
          <w:rPr>
            <w:rStyle w:val="Hyperlink"/>
            <w:rFonts w:asciiTheme="minorHAnsi" w:hAnsiTheme="minorHAnsi"/>
            <w:sz w:val="21"/>
            <w:szCs w:val="21"/>
          </w:rPr>
          <w:t>http s://doi.org/10.1002/cd.23219842309</w:t>
        </w:r>
      </w:hyperlink>
      <w:r w:rsidRPr="6512DB45">
        <w:rPr>
          <w:sz w:val="21"/>
          <w:szCs w:val="21"/>
        </w:rPr>
        <w:t xml:space="preserve">  (Darllenwyd: 14 Rhagfyr 2021) </w:t>
      </w:r>
    </w:p>
    <w:p w14:paraId="7129A54C" w14:textId="77777777" w:rsidR="000025F7" w:rsidRDefault="000025F7" w:rsidP="00D8081D">
      <w:pPr>
        <w:pStyle w:val="AssignBody"/>
        <w:rPr>
          <w:color w:val="000000" w:themeColor="text1"/>
          <w:sz w:val="21"/>
          <w:szCs w:val="21"/>
        </w:rPr>
      </w:pPr>
      <w:r w:rsidRPr="6512DB45">
        <w:rPr>
          <w:color w:val="000000" w:themeColor="text1"/>
          <w:sz w:val="21"/>
          <w:szCs w:val="21"/>
        </w:rPr>
        <w:t>Coe, R. and Aloisi, C. and Higgins, S. and Major, L.E. (2014) 'What makes great teaching? review of the underpinning research.', Sutton Trust:London.</w:t>
      </w:r>
    </w:p>
    <w:p w14:paraId="65B73677" w14:textId="77777777" w:rsidR="000025F7" w:rsidRDefault="000025F7" w:rsidP="00D8081D">
      <w:pPr>
        <w:pStyle w:val="AssignBody"/>
      </w:pPr>
      <w:r w:rsidRPr="6512DB45">
        <w:t>Coke, P.K. (2005) ‘“Practicing what we preach: an argument for cooperative learning opportunities for elementary and secondary educators”’, Education (Chula Vista), 126(2), p. 392–.</w:t>
      </w:r>
    </w:p>
    <w:p w14:paraId="40B155C3" w14:textId="77777777" w:rsidR="000025F7" w:rsidRPr="000025F7" w:rsidRDefault="000025F7" w:rsidP="000025F7">
      <w:pPr>
        <w:pStyle w:val="AssignBody"/>
      </w:pPr>
      <w:r w:rsidRPr="000025F7">
        <w:t>Crichton, H. and McDaid, A. (2016) ‘Learning intentions and success criteria: learners’ and teachers’ views’, Curriculum journal (London, England), 27(2), pp. 190–203. doi:10.1080/09585176.2015.1103278.</w:t>
      </w:r>
    </w:p>
    <w:p w14:paraId="6E33EE35" w14:textId="77777777" w:rsidR="000025F7" w:rsidRDefault="000025F7" w:rsidP="00D8081D">
      <w:pPr>
        <w:pStyle w:val="AssignBody"/>
      </w:pPr>
      <w:r w:rsidRPr="6512DB45">
        <w:t xml:space="preserve">Donaldson, G. (2015) </w:t>
      </w:r>
      <w:r w:rsidRPr="6512DB45">
        <w:rPr>
          <w:i/>
          <w:iCs/>
        </w:rPr>
        <w:t xml:space="preserve">Dyfodol Llwyddiannus. </w:t>
      </w:r>
      <w:r w:rsidRPr="6512DB45">
        <w:t xml:space="preserve">Ar gael yn: </w:t>
      </w:r>
      <w:hyperlink r:id="rId12">
        <w:r w:rsidRPr="6512DB45">
          <w:rPr>
            <w:rStyle w:val="Hyperlink"/>
            <w:rFonts w:asciiTheme="minorHAnsi" w:hAnsiTheme="minorHAnsi"/>
          </w:rPr>
          <w:t>https://llyw.cymru/sites/default/files/publications/2018-03/dyfodol-llwyddiannus.pdf</w:t>
        </w:r>
      </w:hyperlink>
      <w:r>
        <w:t xml:space="preserve"> </w:t>
      </w:r>
      <w:r w:rsidRPr="6512DB45">
        <w:t>(Cyrchwyd: 14 Rhagfyr 2021)</w:t>
      </w:r>
    </w:p>
    <w:p w14:paraId="59465553" w14:textId="77777777" w:rsidR="000025F7" w:rsidRDefault="000025F7" w:rsidP="00D8081D">
      <w:pPr>
        <w:pStyle w:val="AssignBody"/>
        <w:rPr>
          <w:color w:val="3A3A3A"/>
        </w:rPr>
      </w:pPr>
      <w:r w:rsidRPr="6512DB45">
        <w:rPr>
          <w:color w:val="3A3A3A"/>
        </w:rPr>
        <w:t>Dudley, P. (2015) Lesson study : professional learning for our time. London ;: Routledge.</w:t>
      </w:r>
    </w:p>
    <w:p w14:paraId="7A44248B" w14:textId="77777777" w:rsidR="000025F7" w:rsidRDefault="000025F7" w:rsidP="00D8081D">
      <w:pPr>
        <w:pStyle w:val="AssignBody"/>
      </w:pPr>
      <w:r w:rsidRPr="6512DB45">
        <w:t xml:space="preserve">Fink, L. D. (2002). </w:t>
      </w:r>
      <w:r w:rsidRPr="6512DB45">
        <w:rPr>
          <w:i/>
          <w:iCs/>
        </w:rPr>
        <w:t>Active learning.</w:t>
      </w:r>
      <w:r w:rsidRPr="6512DB45">
        <w:t xml:space="preserve"> Ar gael yn: </w:t>
      </w:r>
      <w:hyperlink r:id="rId13">
        <w:r w:rsidRPr="6512DB45">
          <w:rPr>
            <w:rStyle w:val="Hyperlink"/>
            <w:rFonts w:asciiTheme="minorHAnsi" w:hAnsiTheme="minorHAnsi"/>
          </w:rPr>
          <w:t>http://www.hcc.hawaii.edu</w:t>
        </w:r>
      </w:hyperlink>
      <w:r w:rsidRPr="6512DB45">
        <w:t xml:space="preserve"> (Cyrchwyd 14 Rhagfyr 2021)</w:t>
      </w:r>
    </w:p>
    <w:p w14:paraId="233AEF12" w14:textId="77777777" w:rsidR="000025F7" w:rsidRDefault="000025F7" w:rsidP="00D8081D">
      <w:pPr>
        <w:pStyle w:val="AssignBody"/>
      </w:pPr>
      <w:r w:rsidRPr="6512DB45">
        <w:t xml:space="preserve">Fisher B.A. &amp; Ellis D.G. (1990) </w:t>
      </w:r>
      <w:r w:rsidRPr="6512DB45">
        <w:rPr>
          <w:i/>
          <w:iCs/>
        </w:rPr>
        <w:t>Small Group Decision Making,</w:t>
      </w:r>
      <w:r w:rsidRPr="6512DB45">
        <w:t xml:space="preserve"> (3rd ed) McGraw Hill:New York.</w:t>
      </w:r>
    </w:p>
    <w:p w14:paraId="26F241B5" w14:textId="77777777" w:rsidR="000025F7" w:rsidRDefault="000025F7" w:rsidP="00D8081D">
      <w:pPr>
        <w:pStyle w:val="AssignBody"/>
      </w:pPr>
      <w:r w:rsidRPr="6512DB45">
        <w:t>Frankel, S. (2018) Giving children a Voice.  Jessica Kingsley Publishers: London</w:t>
      </w:r>
    </w:p>
    <w:p w14:paraId="36CF9120" w14:textId="77777777" w:rsidR="000025F7" w:rsidRDefault="000025F7" w:rsidP="00D8081D">
      <w:pPr>
        <w:pStyle w:val="AssignBody"/>
        <w:rPr>
          <w:color w:val="3C3C3C"/>
        </w:rPr>
      </w:pPr>
      <w:r w:rsidRPr="6512DB45">
        <w:rPr>
          <w:color w:val="3C3C3C"/>
        </w:rPr>
        <w:t xml:space="preserve">Galletta, A. 2013. </w:t>
      </w:r>
      <w:r w:rsidRPr="6512DB45">
        <w:rPr>
          <w:i/>
          <w:iCs/>
          <w:color w:val="3C3C3C"/>
        </w:rPr>
        <w:t>Mastering the Semi-Structured Interview and Beyond: From Research Design to Analysis and Publication</w:t>
      </w:r>
      <w:r w:rsidRPr="6512DB45">
        <w:rPr>
          <w:color w:val="3C3C3C"/>
        </w:rPr>
        <w:t xml:space="preserve">. New York, USA: New York University Press. </w:t>
      </w:r>
      <w:hyperlink r:id="rId14">
        <w:r w:rsidRPr="6512DB45">
          <w:rPr>
            <w:rStyle w:val="Hyperlink"/>
            <w:rFonts w:asciiTheme="minorHAnsi" w:hAnsiTheme="minorHAnsi"/>
          </w:rPr>
          <w:t>https://doi.org/10.18574/9780814732953</w:t>
        </w:r>
        <w:r>
          <w:br/>
        </w:r>
      </w:hyperlink>
    </w:p>
    <w:p w14:paraId="53FF4055" w14:textId="77777777" w:rsidR="000025F7" w:rsidRDefault="000025F7" w:rsidP="00D8081D">
      <w:pPr>
        <w:pStyle w:val="AssignBody"/>
      </w:pPr>
      <w:r w:rsidRPr="6512DB45">
        <w:t xml:space="preserve">Gersten, R., Taylor, M. J., Keys, T. D., Rolfhus, E., &amp; Newman-Gonchar, R. (2014). </w:t>
      </w:r>
      <w:r w:rsidRPr="6512DB45">
        <w:rPr>
          <w:i/>
          <w:iCs/>
        </w:rPr>
        <w:t xml:space="preserve">Summary of research on the effectiveness of math professional development approaches. </w:t>
      </w:r>
      <w:r w:rsidRPr="6512DB45">
        <w:t xml:space="preserve"> Washington, DC: U.S. Department of Education</w:t>
      </w:r>
    </w:p>
    <w:p w14:paraId="0253D034" w14:textId="77777777" w:rsidR="000025F7" w:rsidRDefault="000025F7" w:rsidP="00D8081D">
      <w:pPr>
        <w:pStyle w:val="AssignBody"/>
      </w:pPr>
      <w:r w:rsidRPr="6512DB45">
        <w:t xml:space="preserve">Hinchey, P. H. (2010). Getting Teacher Assessment Right: What Policymakers Can Learn from Research. Ar gael yn: </w:t>
      </w:r>
      <w:hyperlink r:id="rId15">
        <w:r w:rsidRPr="6512DB45">
          <w:rPr>
            <w:rStyle w:val="Hyperlink"/>
            <w:rFonts w:asciiTheme="minorHAnsi" w:hAnsiTheme="minorHAnsi"/>
          </w:rPr>
          <w:t>http://nepc.colorado.edu/publication/gettingteacher-assessment-right</w:t>
        </w:r>
      </w:hyperlink>
      <w:r w:rsidRPr="6512DB45">
        <w:t xml:space="preserve"> ( Cyrchwyd 16 o Rhagfyr 2021)</w:t>
      </w:r>
    </w:p>
    <w:p w14:paraId="64670DC4" w14:textId="77777777" w:rsidR="000025F7" w:rsidRDefault="000025F7" w:rsidP="00D8081D">
      <w:pPr>
        <w:pStyle w:val="AssignBody"/>
        <w:rPr>
          <w:color w:val="3A3A3A"/>
        </w:rPr>
      </w:pPr>
      <w:r w:rsidRPr="6512DB45">
        <w:rPr>
          <w:color w:val="3A3A3A"/>
        </w:rPr>
        <w:t xml:space="preserve">Hoyles, C. </w:t>
      </w:r>
      <w:r w:rsidRPr="6512DB45">
        <w:rPr>
          <w:i/>
          <w:iCs/>
          <w:color w:val="3A3A3A"/>
        </w:rPr>
        <w:t>et al.</w:t>
      </w:r>
      <w:r w:rsidRPr="6512DB45">
        <w:rPr>
          <w:color w:val="3A3A3A"/>
        </w:rPr>
        <w:t xml:space="preserve"> (1990) </w:t>
      </w:r>
      <w:r w:rsidRPr="6512DB45">
        <w:rPr>
          <w:i/>
          <w:iCs/>
          <w:color w:val="3A3A3A"/>
        </w:rPr>
        <w:t>‘Children Talking in Computer Environments: New Insights on the Role of Discussion in Mathematics Learning’</w:t>
      </w:r>
      <w:r w:rsidRPr="6512DB45">
        <w:rPr>
          <w:color w:val="3A3A3A"/>
        </w:rPr>
        <w:t xml:space="preserve">, </w:t>
      </w:r>
      <w:r w:rsidRPr="6512DB45">
        <w:rPr>
          <w:i/>
          <w:iCs/>
          <w:color w:val="3A3A3A"/>
        </w:rPr>
        <w:t>Language and Mathematics Education</w:t>
      </w:r>
      <w:r w:rsidRPr="6512DB45">
        <w:rPr>
          <w:color w:val="3A3A3A"/>
        </w:rPr>
        <w:t>. Open University Press</w:t>
      </w:r>
    </w:p>
    <w:p w14:paraId="6087FEDB" w14:textId="77777777" w:rsidR="000025F7" w:rsidRDefault="000025F7" w:rsidP="00D8081D">
      <w:pPr>
        <w:pStyle w:val="AssignBody"/>
      </w:pPr>
      <w:r w:rsidRPr="6512DB45">
        <w:lastRenderedPageBreak/>
        <w:t xml:space="preserve">Jaques, D (2004) </w:t>
      </w:r>
      <w:r w:rsidRPr="6512DB45">
        <w:rPr>
          <w:i/>
          <w:iCs/>
        </w:rPr>
        <w:t>Small Group Teaching,</w:t>
      </w:r>
      <w:r w:rsidRPr="6512DB45">
        <w:t xml:space="preserve"> Oxford Centre for Staff and Learning Development: UK.</w:t>
      </w:r>
    </w:p>
    <w:p w14:paraId="5C49028E" w14:textId="77777777" w:rsidR="000025F7" w:rsidRPr="000025F7" w:rsidRDefault="000025F7" w:rsidP="00D8081D">
      <w:pPr>
        <w:pStyle w:val="AssignBody"/>
      </w:pPr>
      <w:r w:rsidRPr="6512DB45">
        <w:rPr>
          <w:color w:val="3A3A3A"/>
        </w:rPr>
        <w:t xml:space="preserve">Kerr, E (2019) </w:t>
      </w:r>
      <w:r w:rsidRPr="6512DB45">
        <w:rPr>
          <w:i/>
          <w:iCs/>
        </w:rPr>
        <w:t>What Happens When Children Set the Success Criteria</w:t>
      </w:r>
      <w:r w:rsidRPr="6512DB45">
        <w:t xml:space="preserve">? Ar gael yn: </w:t>
      </w:r>
      <w:hyperlink r:id="rId16">
        <w:r w:rsidRPr="6512DB45">
          <w:rPr>
            <w:rStyle w:val="Hyperlink"/>
            <w:rFonts w:asciiTheme="minorHAnsi" w:hAnsiTheme="minorHAnsi"/>
          </w:rPr>
          <w:t>https://www.nlprobationers.co.uk/wp-content/uploads/2019/04/Group-3A-Kerr-E..pdf</w:t>
        </w:r>
      </w:hyperlink>
      <w:r w:rsidRPr="6512DB45">
        <w:t>(Cyrchwyd 20 o Chwefror 2022)</w:t>
      </w:r>
    </w:p>
    <w:p w14:paraId="77F3EA1C" w14:textId="77777777" w:rsidR="000025F7" w:rsidRDefault="000025F7" w:rsidP="00D8081D">
      <w:pPr>
        <w:pStyle w:val="AssignBody"/>
        <w:rPr>
          <w:color w:val="000000" w:themeColor="text1"/>
        </w:rPr>
      </w:pPr>
      <w:r w:rsidRPr="6512DB45">
        <w:rPr>
          <w:color w:val="000000" w:themeColor="text1"/>
        </w:rPr>
        <w:t xml:space="preserve">Kolb, D. A. (1984). </w:t>
      </w:r>
      <w:r w:rsidRPr="6512DB45">
        <w:rPr>
          <w:i/>
          <w:iCs/>
          <w:color w:val="000000" w:themeColor="text1"/>
        </w:rPr>
        <w:t>Experiential learning: Experience as the source of learning and development</w:t>
      </w:r>
      <w:r w:rsidRPr="6512DB45">
        <w:rPr>
          <w:color w:val="000000" w:themeColor="text1"/>
        </w:rPr>
        <w:t xml:space="preserve"> (Vol. 1). Englewood Cliffs, NJ: Prentice-Hall.</w:t>
      </w:r>
    </w:p>
    <w:p w14:paraId="63691CEB" w14:textId="77777777" w:rsidR="000025F7" w:rsidRDefault="000025F7" w:rsidP="00D8081D">
      <w:pPr>
        <w:pStyle w:val="AssignBody"/>
      </w:pPr>
      <w:r w:rsidRPr="6512DB45">
        <w:t xml:space="preserve"> Laevers, F. (2008) The Leuven involvement scale for young children : LIS-YC (3-6 year olds). Leuven: CEGO.</w:t>
      </w:r>
    </w:p>
    <w:p w14:paraId="5287612D" w14:textId="77777777" w:rsidR="000025F7" w:rsidRDefault="000025F7" w:rsidP="00D8081D">
      <w:pPr>
        <w:pStyle w:val="AssignBody"/>
        <w:rPr>
          <w:b/>
          <w:bCs/>
          <w:color w:val="233D4D"/>
        </w:rPr>
      </w:pPr>
      <w:r w:rsidRPr="6512DB45">
        <w:t>Learning Journals(2021) What Is the Leuven Scale and How to Use I</w:t>
      </w:r>
      <w:r w:rsidRPr="6512DB45">
        <w:rPr>
          <w:color w:val="233D4D"/>
        </w:rPr>
        <w:t xml:space="preserve">t. Ar gael yn: </w:t>
      </w:r>
      <w:hyperlink r:id="rId17" w:anchor=":~:text=The%20Leuven%20scale%20is%20a,emotional%20well%2Dbeing%20and%20involvement">
        <w:r w:rsidRPr="6512DB45">
          <w:rPr>
            <w:rStyle w:val="Hyperlink"/>
            <w:rFonts w:asciiTheme="minorHAnsi" w:hAnsiTheme="minorHAnsi"/>
          </w:rPr>
          <w:t>https://learningjournals.co.uk/what-is-the-leuven-scale-and-how-to-use-it/#:~:text=The%20Leuven%20scale%20is%20a,emotional%20well%2Dbeing%20and%20involvement</w:t>
        </w:r>
      </w:hyperlink>
      <w:r w:rsidRPr="6512DB45">
        <w:rPr>
          <w:color w:val="233D4D"/>
        </w:rPr>
        <w:t>(Cyrchwyd  17 o Rhagfyr)</w:t>
      </w:r>
    </w:p>
    <w:p w14:paraId="2EA7D437" w14:textId="77777777" w:rsidR="000025F7" w:rsidRDefault="000025F7" w:rsidP="00D8081D">
      <w:pPr>
        <w:pStyle w:val="AssignBody"/>
      </w:pPr>
      <w:r w:rsidRPr="6512DB45">
        <w:t xml:space="preserve">Llywodraeth Cymru (2020) </w:t>
      </w:r>
      <w:r w:rsidRPr="6512DB45">
        <w:rPr>
          <w:i/>
          <w:iCs/>
        </w:rPr>
        <w:t>Canllawiau Cwricwlwm i Gymru</w:t>
      </w:r>
      <w:r w:rsidRPr="6512DB45">
        <w:t xml:space="preserve">. Ar gael yn: </w:t>
      </w:r>
      <w:hyperlink r:id="rId18">
        <w:r w:rsidRPr="6512DB45">
          <w:rPr>
            <w:rStyle w:val="Hyperlink"/>
            <w:rFonts w:asciiTheme="minorHAnsi" w:hAnsiTheme="minorHAnsi"/>
          </w:rPr>
          <w:t>https://hwb.gov.wales/api/storage/b0e91f7c-0050-47b6-9b23-0273d39df9f3/canllawiau-cwricwlwm-i-gymru-070220.pdf</w:t>
        </w:r>
      </w:hyperlink>
      <w:r w:rsidRPr="6512DB45">
        <w:t xml:space="preserve"> (Darllenwyd: 14 Rhagfyr 2021)</w:t>
      </w:r>
    </w:p>
    <w:p w14:paraId="778505CA" w14:textId="77777777" w:rsidR="000025F7" w:rsidRDefault="000025F7" w:rsidP="00D8081D">
      <w:pPr>
        <w:pStyle w:val="AssignBody"/>
        <w:rPr>
          <w:color w:val="222222"/>
        </w:rPr>
      </w:pPr>
      <w:r w:rsidRPr="6512DB45">
        <w:t xml:space="preserve">Mallick, H. (2020) </w:t>
      </w:r>
      <w:r w:rsidRPr="6512DB45">
        <w:rPr>
          <w:color w:val="222222"/>
        </w:rPr>
        <w:t xml:space="preserve">What are the Advantages and Disadvantages of Lesson-Planning. Ar gael yn: </w:t>
      </w:r>
      <w:hyperlink r:id="rId19">
        <w:r w:rsidRPr="6512DB45">
          <w:rPr>
            <w:rStyle w:val="Hyperlink"/>
            <w:rFonts w:asciiTheme="minorHAnsi" w:hAnsiTheme="minorHAnsi"/>
          </w:rPr>
          <w:t>https://www.preservearticles.com/education/what-are-the-advantages-and-disadvantages-of-lesson-planning/27934</w:t>
        </w:r>
      </w:hyperlink>
      <w:r w:rsidRPr="6512DB45">
        <w:t xml:space="preserve"> </w:t>
      </w:r>
      <w:r w:rsidRPr="6512DB45">
        <w:rPr>
          <w:sz w:val="16"/>
          <w:szCs w:val="16"/>
        </w:rPr>
        <w:t xml:space="preserve"> </w:t>
      </w:r>
      <w:r w:rsidRPr="6512DB45">
        <w:t>(Cyrchwyd 16 o Rhagfyr)</w:t>
      </w:r>
    </w:p>
    <w:p w14:paraId="453BFEFC" w14:textId="77777777" w:rsidR="000025F7" w:rsidRDefault="000025F7" w:rsidP="00D8081D">
      <w:pPr>
        <w:pStyle w:val="AssignBody"/>
        <w:rPr>
          <w:color w:val="000000" w:themeColor="text1"/>
        </w:rPr>
      </w:pPr>
      <w:r w:rsidRPr="6512DB45">
        <w:rPr>
          <w:color w:val="000000" w:themeColor="text1"/>
        </w:rPr>
        <w:t xml:space="preserve">McLeod, S. A. (2017). </w:t>
      </w:r>
      <w:r w:rsidRPr="6512DB45">
        <w:rPr>
          <w:i/>
          <w:iCs/>
          <w:color w:val="000000" w:themeColor="text1"/>
        </w:rPr>
        <w:t>Kolb - learning styles and experiential learning cycle</w:t>
      </w:r>
      <w:r w:rsidRPr="6512DB45">
        <w:rPr>
          <w:color w:val="000000" w:themeColor="text1"/>
        </w:rPr>
        <w:t xml:space="preserve">. Ar gael yn: </w:t>
      </w:r>
      <w:hyperlink r:id="rId20">
        <w:r w:rsidRPr="6512DB45">
          <w:rPr>
            <w:rStyle w:val="Hyperlink"/>
            <w:rFonts w:asciiTheme="minorHAnsi" w:hAnsiTheme="minorHAnsi"/>
          </w:rPr>
          <w:t>www.simplypsychology.org/learning-kolb.html</w:t>
        </w:r>
      </w:hyperlink>
      <w:r w:rsidRPr="6512DB45">
        <w:rPr>
          <w:color w:val="000000" w:themeColor="text1"/>
        </w:rPr>
        <w:t xml:space="preserve"> (Cyrchwyd 17 o Rhagfyr 2021)</w:t>
      </w:r>
    </w:p>
    <w:p w14:paraId="29B1D2E7" w14:textId="77777777" w:rsidR="000025F7" w:rsidRDefault="000025F7" w:rsidP="00D8081D">
      <w:pPr>
        <w:pStyle w:val="AssignBody"/>
      </w:pPr>
      <w:r w:rsidRPr="6512DB45">
        <w:rPr>
          <w:color w:val="333333"/>
          <w:sz w:val="21"/>
          <w:szCs w:val="21"/>
        </w:rPr>
        <w:t xml:space="preserve">Mertler, C. 2017. Sharing and Reflecting. In: </w:t>
      </w:r>
      <w:r w:rsidRPr="6512DB45">
        <w:rPr>
          <w:i/>
          <w:iCs/>
          <w:color w:val="333333"/>
          <w:sz w:val="21"/>
          <w:szCs w:val="21"/>
        </w:rPr>
        <w:t>Action Research: Improving Schools and Empowering Educators</w:t>
      </w:r>
      <w:r w:rsidRPr="6512DB45">
        <w:rPr>
          <w:color w:val="333333"/>
          <w:sz w:val="21"/>
          <w:szCs w:val="21"/>
        </w:rPr>
        <w:t>, Fifth Edition ed. Thousand Oaks, CA: SAGE Publications, Inc pp. 256-280. Ar gael yn: &lt;http://www.doi.org/10.4135/9781483396484&gt; [Darllenwyd 14 Rhagfyr 2021]</w:t>
      </w:r>
    </w:p>
    <w:p w14:paraId="25F4BB17" w14:textId="77777777" w:rsidR="000025F7" w:rsidRDefault="000025F7" w:rsidP="00D8081D">
      <w:pPr>
        <w:pStyle w:val="AssignBody"/>
        <w:rPr>
          <w:color w:val="333333"/>
          <w:sz w:val="21"/>
          <w:szCs w:val="21"/>
        </w:rPr>
      </w:pPr>
      <w:r w:rsidRPr="6512DB45">
        <w:rPr>
          <w:color w:val="333333"/>
          <w:sz w:val="21"/>
          <w:szCs w:val="21"/>
        </w:rPr>
        <w:t>Murata A. (2011) I</w:t>
      </w:r>
      <w:r w:rsidRPr="6512DB45">
        <w:rPr>
          <w:i/>
          <w:iCs/>
          <w:color w:val="333333"/>
          <w:sz w:val="21"/>
          <w:szCs w:val="21"/>
        </w:rPr>
        <w:t>ntroduction: Conceptual Overview of Lesson Study. In</w:t>
      </w:r>
      <w:r w:rsidRPr="6512DB45">
        <w:rPr>
          <w:color w:val="333333"/>
          <w:sz w:val="21"/>
          <w:szCs w:val="21"/>
        </w:rPr>
        <w:t xml:space="preserve">: Hart L., Alston A., Murata A. (eds) Lesson Study Research and Practice in Mathematics Education. Springer, Dordrecht. </w:t>
      </w:r>
      <w:hyperlink r:id="rId21">
        <w:r w:rsidRPr="6512DB45">
          <w:rPr>
            <w:rStyle w:val="Hyperlink"/>
            <w:rFonts w:asciiTheme="minorHAnsi" w:hAnsiTheme="minorHAnsi"/>
            <w:sz w:val="21"/>
            <w:szCs w:val="21"/>
          </w:rPr>
          <w:t>https://doi.org/10.1007/978-90-481-9941-9_1</w:t>
        </w:r>
      </w:hyperlink>
    </w:p>
    <w:p w14:paraId="38BA2CA9" w14:textId="77777777" w:rsidR="000025F7" w:rsidRDefault="000025F7" w:rsidP="00D8081D">
      <w:pPr>
        <w:pStyle w:val="AssignBody"/>
        <w:rPr>
          <w:color w:val="212529"/>
          <w:sz w:val="18"/>
          <w:szCs w:val="18"/>
        </w:rPr>
      </w:pPr>
      <w:r w:rsidRPr="6512DB45">
        <w:rPr>
          <w:color w:val="212529"/>
          <w:sz w:val="18"/>
          <w:szCs w:val="18"/>
        </w:rPr>
        <w:t>Özdemir, S. M. (2019).</w:t>
      </w:r>
      <w:r w:rsidRPr="6512DB45">
        <w:rPr>
          <w:i/>
          <w:iCs/>
          <w:color w:val="212529"/>
          <w:sz w:val="18"/>
          <w:szCs w:val="18"/>
        </w:rPr>
        <w:t xml:space="preserve"> Implementation of the Lesson Study as a Tool to Improve Students' Learning and Professional Development of Teachers . Participatory Educational Research</w:t>
      </w:r>
      <w:r w:rsidRPr="6512DB45">
        <w:rPr>
          <w:color w:val="212529"/>
          <w:sz w:val="18"/>
          <w:szCs w:val="18"/>
        </w:rPr>
        <w:t xml:space="preserve"> , 6 (1) , 36-53 . DOI: 10.17275/per.19.4.6.1</w:t>
      </w:r>
    </w:p>
    <w:p w14:paraId="595017ED" w14:textId="77777777" w:rsidR="000025F7" w:rsidRDefault="000025F7" w:rsidP="00D8081D">
      <w:pPr>
        <w:pStyle w:val="AssignBody"/>
        <w:rPr>
          <w:rFonts w:eastAsia="Calibri"/>
        </w:rPr>
      </w:pPr>
      <w:r w:rsidRPr="6512DB45">
        <w:t xml:space="preserve">Ramrathan,L. Grange,L.le and Shawa, L.B. </w:t>
      </w:r>
      <w:r w:rsidRPr="6512DB45">
        <w:rPr>
          <w:i/>
          <w:iCs/>
        </w:rPr>
        <w:t>Ethics in educational research: Chapter 29</w:t>
      </w:r>
      <w:r w:rsidRPr="6512DB45">
        <w:t xml:space="preserve">. Ar gael yn: </w:t>
      </w:r>
      <w:hyperlink r:id="rId22">
        <w:r w:rsidRPr="6512DB45">
          <w:rPr>
            <w:rStyle w:val="Hyperlink"/>
          </w:rPr>
          <w:t>file:///N:/Downloads/EducationStudies_Chapter29.pdf</w:t>
        </w:r>
      </w:hyperlink>
      <w:r w:rsidRPr="6512DB45">
        <w:t xml:space="preserve"> (Cyrchwyd 18 o Rhagfyr 2021)</w:t>
      </w:r>
    </w:p>
    <w:p w14:paraId="70B2B257" w14:textId="77777777" w:rsidR="000025F7" w:rsidRDefault="000025F7" w:rsidP="00D8081D">
      <w:pPr>
        <w:pStyle w:val="AssignBody"/>
        <w:rPr>
          <w:color w:val="3A3A3A"/>
        </w:rPr>
      </w:pPr>
      <w:r w:rsidRPr="6512DB45">
        <w:rPr>
          <w:color w:val="3A3A3A"/>
        </w:rPr>
        <w:t xml:space="preserve">Rohrkemper, M.M. (1985) ‘Individual differences in students’ perceptions of routine classroom events.’, </w:t>
      </w:r>
      <w:r w:rsidRPr="6512DB45">
        <w:rPr>
          <w:i/>
          <w:iCs/>
          <w:color w:val="3A3A3A"/>
        </w:rPr>
        <w:t>Journal of educational psychology.</w:t>
      </w:r>
      <w:r w:rsidRPr="6512DB45">
        <w:rPr>
          <w:color w:val="3A3A3A"/>
        </w:rPr>
        <w:t>, 77(1), pp. 29–44. doi:10.1037/0022-0663.77.1.29.</w:t>
      </w:r>
    </w:p>
    <w:p w14:paraId="1270AC3E" w14:textId="77777777" w:rsidR="000025F7" w:rsidRDefault="000025F7" w:rsidP="00D8081D">
      <w:pPr>
        <w:pStyle w:val="AssignBody"/>
      </w:pPr>
      <w:r w:rsidRPr="6512DB45">
        <w:t>Siveel, J. (1993) Child-centered Learning. The Edwin Mellen Press: Lampeter, Wales</w:t>
      </w:r>
    </w:p>
    <w:p w14:paraId="078C8B16" w14:textId="77777777" w:rsidR="000025F7" w:rsidRDefault="000025F7" w:rsidP="00D8081D">
      <w:pPr>
        <w:pStyle w:val="AssignBody"/>
        <w:rPr>
          <w:color w:val="333333"/>
        </w:rPr>
      </w:pPr>
      <w:r w:rsidRPr="6512DB45">
        <w:rPr>
          <w:color w:val="333333"/>
        </w:rPr>
        <w:t xml:space="preserve">Takahashi, A., McDougal, T. (2016) Collaborative lesson research: maximizing the impact of lesson study.  Ar gael yn: </w:t>
      </w:r>
      <w:hyperlink r:id="rId23" w:anchor="citeas">
        <w:r w:rsidRPr="6512DB45">
          <w:rPr>
            <w:rStyle w:val="Hyperlink"/>
            <w:rFonts w:asciiTheme="minorHAnsi" w:hAnsiTheme="minorHAnsi"/>
          </w:rPr>
          <w:t>https://link.springer.com/article/10.1007/s11858-015-0752-x#citeas</w:t>
        </w:r>
      </w:hyperlink>
      <w:r>
        <w:t xml:space="preserve"> </w:t>
      </w:r>
      <w:r w:rsidRPr="6512DB45">
        <w:t>(Cyrchwyd 20 o Chwefror 2022)</w:t>
      </w:r>
    </w:p>
    <w:p w14:paraId="35C08630" w14:textId="77777777" w:rsidR="000025F7" w:rsidRDefault="000025F7" w:rsidP="00D8081D">
      <w:pPr>
        <w:pStyle w:val="AssignBody"/>
        <w:rPr>
          <w:color w:val="000000" w:themeColor="text1"/>
        </w:rPr>
      </w:pPr>
      <w:r w:rsidRPr="6512DB45">
        <w:rPr>
          <w:color w:val="000000" w:themeColor="text1"/>
        </w:rPr>
        <w:t xml:space="preserve">Theschoolrun.com(2022)  How to teach your child teamwork. Ar gael yn: </w:t>
      </w:r>
      <w:hyperlink r:id="rId24">
        <w:r w:rsidRPr="6512DB45">
          <w:rPr>
            <w:rStyle w:val="Hyperlink"/>
            <w:rFonts w:asciiTheme="minorHAnsi" w:hAnsiTheme="minorHAnsi"/>
          </w:rPr>
          <w:t>https://www.theschoolrun.com/how-teach-your-child-teamwork</w:t>
        </w:r>
      </w:hyperlink>
      <w:r w:rsidRPr="6512DB45">
        <w:t xml:space="preserve">  </w:t>
      </w:r>
      <w:r w:rsidRPr="6512DB45">
        <w:rPr>
          <w:color w:val="000000" w:themeColor="text1"/>
        </w:rPr>
        <w:t>(Cyrchwyd 20 o Chwefror 2022)</w:t>
      </w:r>
    </w:p>
    <w:p w14:paraId="35E8A5F2" w14:textId="77777777" w:rsidR="000025F7" w:rsidRDefault="000025F7" w:rsidP="00D8081D">
      <w:pPr>
        <w:pStyle w:val="AssignBody"/>
      </w:pPr>
      <w:r w:rsidRPr="6512DB45">
        <w:t xml:space="preserve">UNICEF(1992) The United Nations Convention on the Rights of the Child. Ar gael yn: </w:t>
      </w:r>
      <w:hyperlink r:id="rId25">
        <w:r w:rsidRPr="6512DB45">
          <w:rPr>
            <w:rStyle w:val="Hyperlink"/>
            <w:rFonts w:asciiTheme="minorHAnsi" w:hAnsiTheme="minorHAnsi"/>
          </w:rPr>
          <w:t>https://downloads.unicef.org.uk/wp-content/uploads/2016/08/unicef-convention-rights-child-uncrc.pdf?_adal_sd=www.unicef.org.uk.1645532753973&amp;_adal_ca=so%3DGoogle%26me%3Dorganic%26ca%3D(not%2520set)%26co%3D(not%2520set)%26ke%3D(not%2520set).1645532753973&amp;_adal_cw=1645532742192.1645532753973&amp;_adal_id=e7189c5a-5694-45d1-a90c-1950469440f6.1645532742.2.1645532742.1645532742.bb6cb638-0d87-4585-a5a2-</w:t>
        </w:r>
        <w:r w:rsidRPr="6512DB45">
          <w:rPr>
            <w:rStyle w:val="Hyperlink"/>
            <w:rFonts w:asciiTheme="minorHAnsi" w:hAnsiTheme="minorHAnsi"/>
          </w:rPr>
          <w:lastRenderedPageBreak/>
          <w:t>8b4a8fa92b85.1645532753973&amp;_ga=2.138188147.219617520.1645532740-529710461.1645532740</w:t>
        </w:r>
      </w:hyperlink>
      <w:r w:rsidRPr="6512DB45">
        <w:t>(Cyrchwyd 17 o Rhagfyr 2021)</w:t>
      </w:r>
    </w:p>
    <w:p w14:paraId="39330BD5" w14:textId="77777777" w:rsidR="000025F7" w:rsidRDefault="000025F7" w:rsidP="00D8081D">
      <w:pPr>
        <w:pStyle w:val="AssignBody"/>
        <w:rPr>
          <w:color w:val="3A3A3A"/>
        </w:rPr>
      </w:pPr>
      <w:r w:rsidRPr="6512DB45">
        <w:rPr>
          <w:color w:val="3A3A3A"/>
        </w:rPr>
        <w:t xml:space="preserve">Vygotsky, L.S. and A. Kozulin (1986) </w:t>
      </w:r>
      <w:r w:rsidRPr="6512DB45">
        <w:rPr>
          <w:i/>
          <w:iCs/>
          <w:color w:val="3A3A3A"/>
        </w:rPr>
        <w:t>Thought and language /</w:t>
      </w:r>
      <w:r w:rsidRPr="6512DB45">
        <w:rPr>
          <w:color w:val="3A3A3A"/>
        </w:rPr>
        <w:t>. Cambridge, (Mass.) :: MIT Press,.</w:t>
      </w:r>
    </w:p>
    <w:p w14:paraId="7659B8D3" w14:textId="77777777" w:rsidR="000025F7" w:rsidRDefault="000025F7" w:rsidP="00D8081D">
      <w:pPr>
        <w:pStyle w:val="AssignBody"/>
        <w:rPr>
          <w:color w:val="222222"/>
        </w:rPr>
      </w:pPr>
      <w:r w:rsidRPr="6512DB45">
        <w:rPr>
          <w:color w:val="222222"/>
        </w:rPr>
        <w:t>Wiles, R., Crow, G., Heath, S. and Charles, V., (2006) Anonymity and confidentiality.Oxford: University of Southampton</w:t>
      </w:r>
    </w:p>
    <w:p w14:paraId="6B147DAC" w14:textId="77777777" w:rsidR="000025F7" w:rsidRDefault="000025F7" w:rsidP="00D8081D">
      <w:pPr>
        <w:pStyle w:val="AssignBody"/>
        <w:rPr>
          <w:color w:val="222222"/>
        </w:rPr>
      </w:pPr>
      <w:r w:rsidRPr="6512DB45">
        <w:rPr>
          <w:color w:val="222222"/>
        </w:rPr>
        <w:t xml:space="preserve">Wma, W.M.A.(2008). declaration of Helsinki–ethical principles for medical research involving human subjects–WMA–the world medical association. </w:t>
      </w:r>
      <w:r w:rsidRPr="6512DB45">
        <w:rPr>
          <w:i/>
          <w:iCs/>
          <w:color w:val="222222"/>
        </w:rPr>
        <w:t>World Med. Assoc</w:t>
      </w:r>
      <w:r w:rsidRPr="6512DB45">
        <w:rPr>
          <w:color w:val="222222"/>
        </w:rPr>
        <w:t>.</w:t>
      </w:r>
    </w:p>
    <w:p w14:paraId="6618E401" w14:textId="323DC34F" w:rsidR="6512DB45" w:rsidRDefault="6512DB45" w:rsidP="00D8081D">
      <w:pPr>
        <w:pStyle w:val="AssignBody"/>
        <w:rPr>
          <w:color w:val="333333"/>
          <w:sz w:val="20"/>
          <w:szCs w:val="20"/>
        </w:rPr>
      </w:pPr>
    </w:p>
    <w:p w14:paraId="067A7303" w14:textId="5785D9BD" w:rsidR="00535C8F" w:rsidRDefault="00535C8F" w:rsidP="00D8081D">
      <w:pPr>
        <w:pStyle w:val="AssignBody"/>
        <w:rPr>
          <w:color w:val="333333"/>
          <w:sz w:val="20"/>
          <w:szCs w:val="20"/>
        </w:rPr>
      </w:pPr>
    </w:p>
    <w:p w14:paraId="44FEF942" w14:textId="3A09CCCC" w:rsidR="00535C8F" w:rsidRDefault="00535C8F" w:rsidP="00D8081D">
      <w:pPr>
        <w:pStyle w:val="AssignBody"/>
        <w:rPr>
          <w:color w:val="333333"/>
          <w:sz w:val="20"/>
          <w:szCs w:val="20"/>
        </w:rPr>
      </w:pPr>
    </w:p>
    <w:p w14:paraId="25027D9D" w14:textId="72067BF2" w:rsidR="00535C8F" w:rsidRDefault="00535C8F" w:rsidP="00D8081D">
      <w:pPr>
        <w:pStyle w:val="AssignBody"/>
        <w:rPr>
          <w:color w:val="333333"/>
          <w:sz w:val="20"/>
          <w:szCs w:val="20"/>
        </w:rPr>
      </w:pPr>
    </w:p>
    <w:p w14:paraId="7DCDE627" w14:textId="6D047E4D" w:rsidR="00535C8F" w:rsidRDefault="00535C8F" w:rsidP="00D8081D">
      <w:pPr>
        <w:pStyle w:val="AssignBody"/>
        <w:rPr>
          <w:color w:val="333333"/>
          <w:sz w:val="20"/>
          <w:szCs w:val="20"/>
        </w:rPr>
      </w:pPr>
    </w:p>
    <w:p w14:paraId="606E39B2" w14:textId="0723185D" w:rsidR="00535C8F" w:rsidRDefault="00535C8F" w:rsidP="00D8081D">
      <w:pPr>
        <w:pStyle w:val="AssignBody"/>
        <w:rPr>
          <w:color w:val="333333"/>
          <w:sz w:val="20"/>
          <w:szCs w:val="20"/>
        </w:rPr>
      </w:pPr>
    </w:p>
    <w:p w14:paraId="686A6C31" w14:textId="7C288306" w:rsidR="00535C8F" w:rsidRDefault="00535C8F" w:rsidP="00535C8F">
      <w:pPr>
        <w:pStyle w:val="AssignBody"/>
        <w:rPr>
          <w:b/>
          <w:u w:val="single"/>
        </w:rPr>
      </w:pPr>
      <w:r w:rsidRPr="00535C8F">
        <w:rPr>
          <w:b/>
          <w:u w:val="single"/>
        </w:rPr>
        <w:t>Atodiadau</w:t>
      </w:r>
    </w:p>
    <w:p w14:paraId="39377763" w14:textId="11155593" w:rsidR="00535C8F" w:rsidRDefault="00535C8F" w:rsidP="00535C8F">
      <w:pPr>
        <w:pStyle w:val="AssignBody"/>
        <w:rPr>
          <w:b/>
          <w:u w:val="single"/>
        </w:rPr>
      </w:pPr>
    </w:p>
    <w:p w14:paraId="7A80926F" w14:textId="02FE9D07" w:rsidR="000025F7" w:rsidRDefault="000025F7" w:rsidP="00535C8F">
      <w:pPr>
        <w:pStyle w:val="AssignBody"/>
        <w:rPr>
          <w:b/>
          <w:u w:val="single"/>
        </w:rPr>
      </w:pPr>
      <w:r>
        <w:rPr>
          <w:b/>
          <w:u w:val="single"/>
        </w:rPr>
        <w:t>Ffurflen Foeseg</w:t>
      </w:r>
    </w:p>
    <w:p w14:paraId="7CDAC066" w14:textId="6D29766C" w:rsidR="000025F7" w:rsidRDefault="000025F7" w:rsidP="00535C8F">
      <w:pPr>
        <w:pStyle w:val="AssignBody"/>
      </w:pPr>
      <w:hyperlink r:id="rId26" w:history="1">
        <w:r w:rsidRPr="00764C36">
          <w:rPr>
            <w:rStyle w:val="Hyperlink"/>
          </w:rPr>
          <w:t>https://uowtsd-my.sharepoint.com/:w:/r/personal/1902154_student_uwtsd_ac_uk/_layouts/15/Doc.aspx?sourcedoc=%7BA74814D5-8BCE-4450-8DD0-28A117EBABE3%7D&amp;file=Rhydian%20Ffurflen%20Foeseg%20Terfynol.docx&amp;action=default&amp;mobileredirect=true</w:t>
        </w:r>
      </w:hyperlink>
    </w:p>
    <w:p w14:paraId="163BFFE4" w14:textId="77777777" w:rsidR="000025F7" w:rsidRPr="000025F7" w:rsidRDefault="000025F7" w:rsidP="00535C8F">
      <w:pPr>
        <w:pStyle w:val="AssignBody"/>
      </w:pPr>
    </w:p>
    <w:p w14:paraId="0A57FFB2" w14:textId="28FCED62" w:rsidR="000025F7" w:rsidRDefault="000025F7" w:rsidP="00535C8F">
      <w:pPr>
        <w:pStyle w:val="AssignBody"/>
        <w:rPr>
          <w:b/>
          <w:u w:val="single"/>
        </w:rPr>
      </w:pPr>
    </w:p>
    <w:p w14:paraId="219F817C" w14:textId="0C3D59F8" w:rsidR="000025F7" w:rsidRDefault="000025F7" w:rsidP="00535C8F">
      <w:pPr>
        <w:pStyle w:val="AssignBody"/>
        <w:rPr>
          <w:b/>
          <w:u w:val="single"/>
        </w:rPr>
      </w:pPr>
      <w:r>
        <w:rPr>
          <w:b/>
          <w:u w:val="single"/>
        </w:rPr>
        <w:t>Taflen Myfyrio</w:t>
      </w:r>
    </w:p>
    <w:p w14:paraId="491F8D0D" w14:textId="0E75D2D3" w:rsidR="000025F7" w:rsidRDefault="000924D7" w:rsidP="00535C8F">
      <w:pPr>
        <w:pStyle w:val="AssignBody"/>
      </w:pPr>
      <w:hyperlink r:id="rId27" w:history="1">
        <w:r w:rsidRPr="00764C36">
          <w:rPr>
            <w:rStyle w:val="Hyperlink"/>
          </w:rPr>
          <w:t>https://uowtsd-my.sharepoint.com/:w:/r/personal/1902154_student_uwtsd_ac_uk/_layouts/15/Doc.aspx?sourcedoc=%7B0AC7611A-5BE2-4EA7-B0A6-8AECAAE629CB%7D&amp;file=Taflen%20Myfyrio.docx&amp;action=default&amp;mobileredirect=true</w:t>
        </w:r>
      </w:hyperlink>
    </w:p>
    <w:p w14:paraId="00FBA994" w14:textId="77777777" w:rsidR="000924D7" w:rsidRDefault="000924D7" w:rsidP="00535C8F">
      <w:pPr>
        <w:pStyle w:val="AssignBody"/>
      </w:pPr>
      <w:bookmarkStart w:id="1" w:name="_GoBack"/>
      <w:bookmarkEnd w:id="1"/>
    </w:p>
    <w:p w14:paraId="23A70113" w14:textId="742134D1" w:rsidR="000025F7" w:rsidRDefault="000025F7" w:rsidP="00535C8F">
      <w:pPr>
        <w:pStyle w:val="AssignBody"/>
        <w:rPr>
          <w:b/>
          <w:u w:val="single"/>
        </w:rPr>
      </w:pPr>
      <w:r>
        <w:rPr>
          <w:b/>
          <w:u w:val="single"/>
        </w:rPr>
        <w:t>Cwestiynau Cyfweliad</w:t>
      </w:r>
    </w:p>
    <w:p w14:paraId="38F43E99" w14:textId="2AACC7E2" w:rsidR="000025F7" w:rsidRDefault="000025F7" w:rsidP="00535C8F">
      <w:pPr>
        <w:pStyle w:val="AssignBody"/>
      </w:pPr>
      <w:hyperlink r:id="rId28" w:history="1">
        <w:r w:rsidRPr="00764C36">
          <w:rPr>
            <w:rStyle w:val="Hyperlink"/>
          </w:rPr>
          <w:t>https://uowtsd-my.sharepoint.com/:w:/r/personal/1902154_student_uwtsd_ac_uk/_layouts/15/Doc.aspx?sourcedoc=%7BB1E201CF-B194-4E5F-8092-A8D5B91661E4%7D&amp;file=Cwestiynau%20cyfweliad.docx&amp;action=default&amp;mobileredirect=true</w:t>
        </w:r>
      </w:hyperlink>
    </w:p>
    <w:p w14:paraId="3574359B" w14:textId="33D4C09F" w:rsidR="000025F7" w:rsidRDefault="000025F7" w:rsidP="00535C8F">
      <w:pPr>
        <w:pStyle w:val="AssignBody"/>
      </w:pPr>
    </w:p>
    <w:p w14:paraId="03EE64C3" w14:textId="2E1FC90B" w:rsidR="000025F7" w:rsidRPr="000025F7" w:rsidRDefault="000025F7" w:rsidP="00535C8F">
      <w:pPr>
        <w:pStyle w:val="AssignBody"/>
        <w:rPr>
          <w:b/>
          <w:u w:val="single"/>
        </w:rPr>
      </w:pPr>
      <w:r w:rsidRPr="000025F7">
        <w:rPr>
          <w:b/>
          <w:u w:val="single"/>
        </w:rPr>
        <w:t>Taflen Arsylwi</w:t>
      </w:r>
    </w:p>
    <w:p w14:paraId="5738D37E" w14:textId="074514C1" w:rsidR="000025F7" w:rsidRDefault="00E14820" w:rsidP="00535C8F">
      <w:pPr>
        <w:pStyle w:val="AssignBody"/>
      </w:pPr>
      <w:hyperlink r:id="rId29" w:history="1">
        <w:r w:rsidRPr="00764C36">
          <w:rPr>
            <w:rStyle w:val="Hyperlink"/>
          </w:rPr>
          <w:t>https://uowtsd-my.sharepoint.com/:w:/r/personal/1902154_student_uwtsd_ac_uk/_layouts/15/Doc.aspx?sourcedoc=%7BC6D07A4E-C703-47AD-B23B-BBA77FEDAA2F%7D&amp;file=Taflen%20Arsylwi.docx&amp;action=default&amp;mobileredirect=true</w:t>
        </w:r>
      </w:hyperlink>
    </w:p>
    <w:p w14:paraId="4EC49417" w14:textId="77777777" w:rsidR="00E14820" w:rsidRDefault="00E14820" w:rsidP="00535C8F">
      <w:pPr>
        <w:pStyle w:val="AssignBody"/>
      </w:pPr>
    </w:p>
    <w:p w14:paraId="5712DDE4" w14:textId="354EE3FC" w:rsidR="000025F7" w:rsidRPr="000025F7" w:rsidRDefault="000025F7" w:rsidP="00535C8F">
      <w:pPr>
        <w:pStyle w:val="AssignBody"/>
        <w:rPr>
          <w:b/>
          <w:u w:val="single"/>
        </w:rPr>
      </w:pPr>
      <w:r w:rsidRPr="000025F7">
        <w:rPr>
          <w:b/>
          <w:u w:val="single"/>
        </w:rPr>
        <w:t>Llythyr Cydsynio</w:t>
      </w:r>
    </w:p>
    <w:p w14:paraId="2E8CF9B6" w14:textId="4B024592" w:rsidR="000025F7" w:rsidRDefault="000025F7" w:rsidP="00535C8F">
      <w:pPr>
        <w:pStyle w:val="AssignBody"/>
      </w:pPr>
      <w:hyperlink r:id="rId30" w:history="1">
        <w:r w:rsidRPr="00764C36">
          <w:rPr>
            <w:rStyle w:val="Hyperlink"/>
          </w:rPr>
          <w:t>https://uowtsd-my.sharepoint.com/:w:/r/personal/1902154_student_uwtsd_ac_uk/_layouts/15/Doc.aspx?sourcedoc=%7BF8943962-BF57-4911-9869-749AA468AC8D%7D&amp;file=Llythr%20Cydsynio.docx&amp;action=default&amp;mobileredirect=true</w:t>
        </w:r>
      </w:hyperlink>
    </w:p>
    <w:p w14:paraId="53D39269" w14:textId="77777777" w:rsidR="000025F7" w:rsidRPr="000025F7" w:rsidRDefault="000025F7" w:rsidP="00535C8F">
      <w:pPr>
        <w:pStyle w:val="AssignBody"/>
      </w:pPr>
    </w:p>
    <w:sectPr w:rsidR="000025F7" w:rsidRPr="000025F7">
      <w:headerReference w:type="default" r:id="rId31"/>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B14CF8" w14:textId="77777777" w:rsidR="00CE7DBB" w:rsidRDefault="00CE7DBB" w:rsidP="00E611D9">
      <w:pPr>
        <w:spacing w:after="0" w:line="240" w:lineRule="auto"/>
      </w:pPr>
      <w:r>
        <w:separator/>
      </w:r>
    </w:p>
  </w:endnote>
  <w:endnote w:type="continuationSeparator" w:id="0">
    <w:p w14:paraId="03643BF2" w14:textId="77777777" w:rsidR="00CE7DBB" w:rsidRDefault="00CE7DBB"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31959A" w14:textId="17EF26BE" w:rsidR="00E611D9" w:rsidRDefault="045B1433">
    <w:pPr>
      <w:pStyle w:val="Footer"/>
      <w:jc w:val="center"/>
    </w:pPr>
    <w:r>
      <w:t xml:space="preserve">Page </w:t>
    </w:r>
    <w:sdt>
      <w:sdtPr>
        <w:id w:val="1801405421"/>
        <w:docPartObj>
          <w:docPartGallery w:val="Page Numbers (Bottom of Page)"/>
          <w:docPartUnique/>
        </w:docPartObj>
      </w:sdtPr>
      <w:sdtEndPr>
        <w:rPr>
          <w:noProof/>
        </w:rPr>
      </w:sdtEndPr>
      <w:sdtContent>
        <w:r w:rsidR="00E611D9" w:rsidRPr="045B1433">
          <w:fldChar w:fldCharType="begin"/>
        </w:r>
        <w:r w:rsidR="00E611D9">
          <w:instrText xml:space="preserve"> PAGE   \* MERGEFORMAT </w:instrText>
        </w:r>
        <w:r w:rsidR="00E611D9" w:rsidRPr="045B1433">
          <w:fldChar w:fldCharType="separate"/>
        </w:r>
        <w:r w:rsidR="000924D7">
          <w:rPr>
            <w:noProof/>
          </w:rPr>
          <w:t>9</w:t>
        </w:r>
        <w:r w:rsidR="00E611D9" w:rsidRPr="045B1433">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A9D7E6" w14:textId="77777777" w:rsidR="00CE7DBB" w:rsidRDefault="00CE7DBB" w:rsidP="00E611D9">
      <w:pPr>
        <w:spacing w:after="0" w:line="240" w:lineRule="auto"/>
      </w:pPr>
      <w:r>
        <w:separator/>
      </w:r>
    </w:p>
  </w:footnote>
  <w:footnote w:type="continuationSeparator" w:id="0">
    <w:p w14:paraId="7E41FD8D" w14:textId="77777777" w:rsidR="00CE7DBB" w:rsidRDefault="00CE7DBB"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45B1433">
      <w:tc>
        <w:tcPr>
          <w:tcW w:w="4508" w:type="dxa"/>
        </w:tcPr>
        <w:p w14:paraId="739FBAFA" w14:textId="67BF386C" w:rsidR="00E611D9" w:rsidRPr="00E611D9" w:rsidRDefault="045B1433">
          <w:pPr>
            <w:pStyle w:val="Header"/>
            <w:rPr>
              <w:rFonts w:ascii="Arial" w:hAnsi="Arial" w:cs="Arial"/>
            </w:rPr>
          </w:pPr>
          <w:r w:rsidRPr="045B1433">
            <w:rPr>
              <w:rFonts w:ascii="Arial" w:hAnsi="Arial" w:cs="Arial"/>
            </w:rPr>
            <w:t>ECAD</w:t>
          </w:r>
          <w:r w:rsidR="00F2630B">
            <w:rPr>
              <w:rFonts w:ascii="Arial" w:hAnsi="Arial" w:cs="Arial"/>
            </w:rPr>
            <w:t>6010</w:t>
          </w:r>
        </w:p>
      </w:tc>
      <w:tc>
        <w:tcPr>
          <w:tcW w:w="4508" w:type="dxa"/>
        </w:tcPr>
        <w:p w14:paraId="51D506A0" w14:textId="3281837C" w:rsidR="00E611D9" w:rsidRPr="00E611D9" w:rsidRDefault="00F2630B" w:rsidP="00E611D9">
          <w:pPr>
            <w:pStyle w:val="Header"/>
            <w:jc w:val="right"/>
            <w:rPr>
              <w:rFonts w:ascii="Arial" w:hAnsi="Arial" w:cs="Arial"/>
            </w:rPr>
          </w:pPr>
          <w:r>
            <w:rPr>
              <w:rFonts w:ascii="Arial" w:hAnsi="Arial" w:cs="Arial"/>
            </w:rPr>
            <w:t xml:space="preserve"> Rhif Myfyriwr</w:t>
          </w:r>
          <w:r w:rsidR="045B1433" w:rsidRPr="045B1433">
            <w:rPr>
              <w:rFonts w:ascii="Arial" w:hAnsi="Arial" w:cs="Arial"/>
            </w:rPr>
            <w:t>:</w:t>
          </w:r>
          <w:r>
            <w:rPr>
              <w:rFonts w:ascii="Arial" w:hAnsi="Arial" w:cs="Arial"/>
            </w:rPr>
            <w:t>1902154</w:t>
          </w:r>
          <w:r w:rsidR="045B1433" w:rsidRPr="045B1433">
            <w:rPr>
              <w:rFonts w:ascii="Arial" w:hAnsi="Arial" w:cs="Arial"/>
            </w:rPr>
            <w:t xml:space="preserve"> </w:t>
          </w:r>
        </w:p>
      </w:tc>
    </w:tr>
  </w:tbl>
  <w:p w14:paraId="31028CA5" w14:textId="77933D01" w:rsidR="00E611D9" w:rsidRDefault="00E611D9">
    <w:pPr>
      <w:pStyle w:val="Header"/>
    </w:pPr>
  </w:p>
</w:hdr>
</file>

<file path=word/intelligence2.xml><?xml version="1.0" encoding="utf-8"?>
<int2:intelligence xmlns:int2="http://schemas.microsoft.com/office/intelligence/2020/intelligence">
  <int2:observations>
    <int2:textHash int2:hashCode="rJm3vQ0PVW1o4S" int2:id="wvk7xE37">
      <int2:state int2:type="LegacyProofing" int2:value="Rejected"/>
    </int2:textHash>
    <int2:textHash int2:hashCode="xgJmqK2tL47mfX" int2:id="3NRiIqo9">
      <int2:state int2:type="LegacyProofing" int2:value="Rejected"/>
    </int2:textHash>
    <int2:textHash int2:hashCode="onFuzC9N7ddLVl" int2:id="dssXJw3R">
      <int2:state int2:type="LegacyProofing" int2:value="Rejected"/>
    </int2:textHash>
    <int2:textHash int2:hashCode="QmhfEdqRpVsfXF" int2:id="4GLL6Zaz">
      <int2:state int2:type="LegacyProofing" int2:value="Rejected"/>
    </int2:textHash>
    <int2:textHash int2:hashCode="L57iszZoIBLLRF" int2:id="jSvsvcik">
      <int2:state int2:type="LegacyProofing" int2:value="Rejected"/>
    </int2:textHash>
    <int2:textHash int2:hashCode="pbwdmyrnTnqKJJ" int2:id="0UCaGynw">
      <int2:state int2:type="LegacyProofing" int2:value="Rejected"/>
    </int2:textHash>
    <int2:textHash int2:hashCode="K/o/3iXylB2db0" int2:id="sDd74oL9">
      <int2:state int2:type="LegacyProofing" int2:value="Rejected"/>
    </int2:textHash>
    <int2:textHash int2:hashCode="zQnhipvXTtrKfU" int2:id="dpBFox4S">
      <int2:state int2:type="LegacyProofing" int2:value="Rejected"/>
    </int2:textHash>
    <int2:textHash int2:hashCode="ltzzoy/AyR40jO" int2:id="WDo9Nvah">
      <int2:state int2:type="LegacyProofing" int2:value="Rejected"/>
    </int2:textHash>
    <int2:textHash int2:hashCode="Ff5oZZVLMxFCu4" int2:id="TIfzVHZ4">
      <int2:state int2:type="LegacyProofing" int2:value="Rejected"/>
    </int2:textHash>
    <int2:textHash int2:hashCode="4RUjxf8j/BYArK" int2:id="9qBLSE7m">
      <int2:state int2:type="LegacyProofing" int2:value="Rejected"/>
    </int2:textHash>
    <int2:textHash int2:hashCode="r5OzkTuTRKK0zA" int2:id="YPWZ9oIf">
      <int2:state int2:type="LegacyProofing" int2:value="Rejected"/>
    </int2:textHash>
    <int2:textHash int2:hashCode="BmTFZcmN4JnlPd" int2:id="WKcBja01">
      <int2:state int2:type="LegacyProofing" int2:value="Rejected"/>
    </int2:textHash>
    <int2:textHash int2:hashCode="Lwd9OFxUXkqWw0" int2:id="3i5cCmuz">
      <int2:state int2:type="LegacyProofing" int2:value="Rejected"/>
    </int2:textHash>
    <int2:textHash int2:hashCode="WM8dsvDYkI7RrU" int2:id="1Aho44oR">
      <int2:state int2:type="LegacyProofing" int2:value="Rejected"/>
    </int2:textHash>
    <int2:textHash int2:hashCode="ZBiKLzrw58foP0" int2:id="EVYNVcP3">
      <int2:state int2:type="LegacyProofing" int2:value="Rejected"/>
    </int2:textHash>
    <int2:textHash int2:hashCode="ivB4Ad1dgjlQbh" int2:id="gwkwuv9V">
      <int2:state int2:type="LegacyProofing" int2:value="Rejected"/>
    </int2:textHash>
    <int2:textHash int2:hashCode="VqBKr2nmtm1klq" int2:id="laVLe0vG">
      <int2:state int2:type="LegacyProofing" int2:value="Rejected"/>
    </int2:textHash>
    <int2:textHash int2:hashCode="DRMvV+LF65+jhG" int2:id="MhM0s8xe">
      <int2:state int2:type="LegacyProofing" int2:value="Rejected"/>
    </int2:textHash>
    <int2:textHash int2:hashCode="WtQxSMkKjy0pb8" int2:id="TiAyf3Eu">
      <int2:state int2:type="LegacyProofing" int2:value="Rejected"/>
    </int2:textHash>
    <int2:textHash int2:hashCode="GUViuXsCrBkFKK" int2:id="ewgji7y7">
      <int2:state int2:type="LegacyProofing" int2:value="Rejected"/>
    </int2:textHash>
    <int2:textHash int2:hashCode="oWLK/8tolyIPTR" int2:id="XIkRx32i">
      <int2:state int2:type="LegacyProofing" int2:value="Rejected"/>
    </int2:textHash>
    <int2:textHash int2:hashCode="IBYh1tWsUD1eEb" int2:id="tD9qn1k0">
      <int2:state int2:type="LegacyProofing" int2:value="Rejected"/>
    </int2:textHash>
    <int2:textHash int2:hashCode="OxqnNQFkzJi2IZ" int2:id="jLbsDx9h">
      <int2:state int2:type="LegacyProofing" int2:value="Rejected"/>
    </int2:textHash>
    <int2:textHash int2:hashCode="ekiDkKk5xHlcwa" int2:id="P8TVGCPQ">
      <int2:state int2:type="LegacyProofing" int2:value="Rejected"/>
    </int2:textHash>
    <int2:textHash int2:hashCode="+sqGN6ZAH4V6fO" int2:id="Gxt1Oopl">
      <int2:state int2:type="LegacyProofing" int2:value="Rejected"/>
    </int2:textHash>
    <int2:textHash int2:hashCode="KaYfa/OPe/KjQg" int2:id="JRqQ1tTE">
      <int2:state int2:type="LegacyProofing" int2:value="Rejected"/>
    </int2:textHash>
    <int2:textHash int2:hashCode="rqwDZQ8CFKmqc6" int2:id="b5FYe4W9">
      <int2:state int2:type="LegacyProofing" int2:value="Rejected"/>
    </int2:textHash>
    <int2:textHash int2:hashCode="AW50L3q8AnavvP" int2:id="thtvvRjY">
      <int2:state int2:type="LegacyProofing" int2:value="Rejected"/>
    </int2:textHash>
    <int2:textHash int2:hashCode="8a96D3mgjR264z" int2:id="P3QDLfVz">
      <int2:state int2:type="LegacyProofing" int2:value="Rejected"/>
    </int2:textHash>
    <int2:textHash int2:hashCode="x+Qv1nLdgRTOuS" int2:id="188eRYXh">
      <int2:state int2:type="LegacyProofing" int2:value="Rejected"/>
    </int2:textHash>
    <int2:textHash int2:hashCode="hqwR1pMpWdZmxk" int2:id="oMJnjcxk">
      <int2:state int2:type="LegacyProofing" int2:value="Rejected"/>
    </int2:textHash>
    <int2:textHash int2:hashCode="E87x6GcgFGRUDk" int2:id="WGqkk7F0">
      <int2:state int2:type="LegacyProofing" int2:value="Rejected"/>
    </int2:textHash>
    <int2:textHash int2:hashCode="36ypeuM7dNi0xC" int2:id="37N48gQJ">
      <int2:state int2:type="LegacyProofing" int2:value="Rejected"/>
    </int2:textHash>
    <int2:textHash int2:hashCode="BC3EUS+j05HFFw" int2:id="n34mDrkY">
      <int2:state int2:type="LegacyProofing" int2:value="Rejected"/>
    </int2:textHash>
    <int2:textHash int2:hashCode="dknXvOliKlPsZf" int2:id="YGJ74ZLr">
      <int2:state int2:type="LegacyProofing" int2:value="Rejected"/>
    </int2:textHash>
    <int2:textHash int2:hashCode="0WHy8LBVQlhu0c" int2:id="9PF3hl0W">
      <int2:state int2:type="LegacyProofing" int2:value="Rejected"/>
    </int2:textHash>
    <int2:textHash int2:hashCode="d6RnAOpJaC+TKk" int2:id="IYEdFG9R">
      <int2:state int2:type="LegacyProofing" int2:value="Rejected"/>
    </int2:textHash>
    <int2:textHash int2:hashCode="JU6+/py1sLy2ky" int2:id="bnfqvWXo">
      <int2:state int2:type="LegacyProofing" int2:value="Rejected"/>
    </int2:textHash>
    <int2:textHash int2:hashCode="CbaZqYv4hlbv4e" int2:id="AC1loVIg">
      <int2:state int2:type="LegacyProofing" int2:value="Rejected"/>
    </int2:textHash>
    <int2:textHash int2:hashCode="tYGG2/BmZ31EJ3" int2:id="U0v1AqgL">
      <int2:state int2:type="LegacyProofing" int2:value="Rejected"/>
    </int2:textHash>
    <int2:textHash int2:hashCode="I9jgFWBiFlyjc2" int2:id="1rPSwWd9">
      <int2:state int2:type="LegacyProofing" int2:value="Rejected"/>
    </int2:textHash>
    <int2:textHash int2:hashCode="rrCcBue3VibX+t" int2:id="BUd3t8J8">
      <int2:state int2:type="LegacyProofing" int2:value="Rejected"/>
    </int2:textHash>
    <int2:textHash int2:hashCode="PEj7y+JQ3tlnNg" int2:id="NfLYIgyG">
      <int2:state int2:type="LegacyProofing" int2:value="Rejected"/>
    </int2:textHash>
    <int2:textHash int2:hashCode="YIUL3nKhBIu6DH" int2:id="anV19qdY">
      <int2:state int2:type="LegacyProofing" int2:value="Rejected"/>
    </int2:textHash>
    <int2:textHash int2:hashCode="/iVFLdgRnB1QA5" int2:id="Fe5YO0NM">
      <int2:state int2:type="LegacyProofing" int2:value="Rejected"/>
    </int2:textHash>
    <int2:textHash int2:hashCode="gUYFxkpcHDwtPC" int2:id="WHTQoyT6">
      <int2:state int2:type="LegacyProofing" int2:value="Rejected"/>
    </int2:textHash>
    <int2:textHash int2:hashCode="76xvYsMa/PZDqV" int2:id="yMQZLvwE">
      <int2:state int2:type="LegacyProofing" int2:value="Rejected"/>
    </int2:textHash>
    <int2:textHash int2:hashCode="cJY0BRRxOFqtoy" int2:id="FC7vEeQo">
      <int2:state int2:type="LegacyProofing" int2:value="Rejected"/>
    </int2:textHash>
    <int2:textHash int2:hashCode="1pIE/2nAgEQrQk" int2:id="XYXqISxa">
      <int2:state int2:type="LegacyProofing" int2:value="Rejected"/>
    </int2:textHash>
    <int2:textHash int2:hashCode="7QT/Tavx4tTNa4" int2:id="cVF3hx3H">
      <int2:state int2:type="LegacyProofing" int2:value="Rejected"/>
    </int2:textHash>
    <int2:textHash int2:hashCode="N6UwGojaM03Fr8" int2:id="eHumrpMb">
      <int2:state int2:type="LegacyProofing" int2:value="Rejected"/>
    </int2:textHash>
    <int2:textHash int2:hashCode="W0AJUYs3+pOMJC" int2:id="cNksmoVN">
      <int2:state int2:type="LegacyProofing" int2:value="Rejected"/>
    </int2:textHash>
    <int2:textHash int2:hashCode="wqawPxkN+ytKqR" int2:id="YekJbgla">
      <int2:state int2:type="LegacyProofing" int2:value="Rejected"/>
    </int2:textHash>
    <int2:textHash int2:hashCode="JFfgxsDgl66gkn" int2:id="K40lXEVw">
      <int2:state int2:type="LegacyProofing" int2:value="Rejected"/>
    </int2:textHash>
    <int2:textHash int2:hashCode="9C72ISgCXH/Tj0" int2:id="P8Iq35PR">
      <int2:state int2:type="LegacyProofing" int2:value="Rejected"/>
    </int2:textHash>
    <int2:textHash int2:hashCode="LaC2jfiEF1K7dH" int2:id="VJybSoz7">
      <int2:state int2:type="LegacyProofing" int2:value="Rejected"/>
    </int2:textHash>
    <int2:textHash int2:hashCode="bTI27DyIA5ylNL" int2:id="8hbflPht">
      <int2:state int2:type="LegacyProofing" int2:value="Rejected"/>
    </int2:textHash>
    <int2:textHash int2:hashCode="LHvxt3eFm3Fkex" int2:id="4gYpG5G4">
      <int2:state int2:type="LegacyProofing" int2:value="Rejected"/>
    </int2:textHash>
    <int2:textHash int2:hashCode="rxDvIN2QYLvurQ" int2:id="TDd1mL35">
      <int2:state int2:type="LegacyProofing" int2:value="Rejected"/>
    </int2:textHash>
    <int2:textHash int2:hashCode="YrN2Bob9CdqxSg" int2:id="Bz81YH3C">
      <int2:state int2:type="LegacyProofing" int2:value="Rejected"/>
    </int2:textHash>
    <int2:textHash int2:hashCode="z/pQoyyxOiQNcF" int2:id="hycyKKun">
      <int2:state int2:type="LegacyProofing" int2:value="Rejected"/>
    </int2:textHash>
    <int2:textHash int2:hashCode="Qd52H1NN2qCSTr" int2:id="Jd5xVbHe">
      <int2:state int2:type="LegacyProofing" int2:value="Rejected"/>
    </int2:textHash>
    <int2:textHash int2:hashCode="EUp34JNQvNiQSC" int2:id="Nbgp8hnp">
      <int2:state int2:type="LegacyProofing"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1240"/>
    <w:rsid w:val="000025F7"/>
    <w:rsid w:val="00084B7F"/>
    <w:rsid w:val="000924D7"/>
    <w:rsid w:val="000A7472"/>
    <w:rsid w:val="000B4536"/>
    <w:rsid w:val="00105D46"/>
    <w:rsid w:val="00145997"/>
    <w:rsid w:val="002022D1"/>
    <w:rsid w:val="002229F0"/>
    <w:rsid w:val="00336694"/>
    <w:rsid w:val="004AE9E8"/>
    <w:rsid w:val="004BBEC9"/>
    <w:rsid w:val="00534C97"/>
    <w:rsid w:val="00535C8F"/>
    <w:rsid w:val="006015C6"/>
    <w:rsid w:val="006419C3"/>
    <w:rsid w:val="00691A46"/>
    <w:rsid w:val="0069FF78"/>
    <w:rsid w:val="006B5861"/>
    <w:rsid w:val="00717604"/>
    <w:rsid w:val="00740294"/>
    <w:rsid w:val="007EF47C"/>
    <w:rsid w:val="00817F7A"/>
    <w:rsid w:val="00890E79"/>
    <w:rsid w:val="009D16C6"/>
    <w:rsid w:val="00B46601"/>
    <w:rsid w:val="00BC651E"/>
    <w:rsid w:val="00CD1240"/>
    <w:rsid w:val="00CE7DBB"/>
    <w:rsid w:val="00D30AD9"/>
    <w:rsid w:val="00D8081D"/>
    <w:rsid w:val="00E14820"/>
    <w:rsid w:val="00E611D9"/>
    <w:rsid w:val="00F2630B"/>
    <w:rsid w:val="00F71AA3"/>
    <w:rsid w:val="0109A589"/>
    <w:rsid w:val="012127E5"/>
    <w:rsid w:val="012B34E7"/>
    <w:rsid w:val="016E9A9A"/>
    <w:rsid w:val="019BEF31"/>
    <w:rsid w:val="01A16231"/>
    <w:rsid w:val="021A3C76"/>
    <w:rsid w:val="022ED0F0"/>
    <w:rsid w:val="0231D9B6"/>
    <w:rsid w:val="023EDD33"/>
    <w:rsid w:val="02568A26"/>
    <w:rsid w:val="0259961F"/>
    <w:rsid w:val="0278CB01"/>
    <w:rsid w:val="028C8AF6"/>
    <w:rsid w:val="02F5F070"/>
    <w:rsid w:val="03421534"/>
    <w:rsid w:val="0343029E"/>
    <w:rsid w:val="0348B982"/>
    <w:rsid w:val="03835F8B"/>
    <w:rsid w:val="03B6953E"/>
    <w:rsid w:val="03D1E7AF"/>
    <w:rsid w:val="03F52C1F"/>
    <w:rsid w:val="041E7593"/>
    <w:rsid w:val="04378864"/>
    <w:rsid w:val="04497DD4"/>
    <w:rsid w:val="045B1433"/>
    <w:rsid w:val="0465F49A"/>
    <w:rsid w:val="04A4788E"/>
    <w:rsid w:val="04F4E12B"/>
    <w:rsid w:val="0590FC80"/>
    <w:rsid w:val="05B29DEC"/>
    <w:rsid w:val="06570240"/>
    <w:rsid w:val="06BA2B6C"/>
    <w:rsid w:val="070E2B9A"/>
    <w:rsid w:val="070F5163"/>
    <w:rsid w:val="07149A28"/>
    <w:rsid w:val="07153456"/>
    <w:rsid w:val="071F5B48"/>
    <w:rsid w:val="074E6E4D"/>
    <w:rsid w:val="0750A156"/>
    <w:rsid w:val="07520B35"/>
    <w:rsid w:val="075FBEB0"/>
    <w:rsid w:val="0771B1C2"/>
    <w:rsid w:val="077F6E59"/>
    <w:rsid w:val="079D4E22"/>
    <w:rsid w:val="07B2FC19"/>
    <w:rsid w:val="07C8E2A4"/>
    <w:rsid w:val="08081FB2"/>
    <w:rsid w:val="0886BB73"/>
    <w:rsid w:val="08960109"/>
    <w:rsid w:val="08A558D2"/>
    <w:rsid w:val="08C6B6B6"/>
    <w:rsid w:val="08C89D42"/>
    <w:rsid w:val="08CF6670"/>
    <w:rsid w:val="08D0C0BB"/>
    <w:rsid w:val="0910C36F"/>
    <w:rsid w:val="0944BF78"/>
    <w:rsid w:val="094842B4"/>
    <w:rsid w:val="097933CB"/>
    <w:rsid w:val="098683A6"/>
    <w:rsid w:val="0A140053"/>
    <w:rsid w:val="0A79A010"/>
    <w:rsid w:val="0A819411"/>
    <w:rsid w:val="0AB9372D"/>
    <w:rsid w:val="0B2661C8"/>
    <w:rsid w:val="0B2AAE44"/>
    <w:rsid w:val="0B51A4D1"/>
    <w:rsid w:val="0B5ED488"/>
    <w:rsid w:val="0B6F98AA"/>
    <w:rsid w:val="0B970067"/>
    <w:rsid w:val="0BD9A40E"/>
    <w:rsid w:val="0BF2CC6B"/>
    <w:rsid w:val="0C090D05"/>
    <w:rsid w:val="0C09DEE9"/>
    <w:rsid w:val="0C197B91"/>
    <w:rsid w:val="0C244A43"/>
    <w:rsid w:val="0C2D3092"/>
    <w:rsid w:val="0C55078E"/>
    <w:rsid w:val="0CDBAD7B"/>
    <w:rsid w:val="0CE90212"/>
    <w:rsid w:val="0D154ECF"/>
    <w:rsid w:val="0DA2D793"/>
    <w:rsid w:val="0DA5AF4A"/>
    <w:rsid w:val="0E19DA5D"/>
    <w:rsid w:val="0E429AE4"/>
    <w:rsid w:val="0E76A8FB"/>
    <w:rsid w:val="0E894CD8"/>
    <w:rsid w:val="0EA70E11"/>
    <w:rsid w:val="0EAA5602"/>
    <w:rsid w:val="0ECE4919"/>
    <w:rsid w:val="0EE7176A"/>
    <w:rsid w:val="0F1112FA"/>
    <w:rsid w:val="0F1144D0"/>
    <w:rsid w:val="0F1840CF"/>
    <w:rsid w:val="0F86DB41"/>
    <w:rsid w:val="0FA73D06"/>
    <w:rsid w:val="0FD15D5D"/>
    <w:rsid w:val="0FDDBCAC"/>
    <w:rsid w:val="0FEF67BD"/>
    <w:rsid w:val="102515F4"/>
    <w:rsid w:val="104FFE92"/>
    <w:rsid w:val="109D0B4C"/>
    <w:rsid w:val="10BA057D"/>
    <w:rsid w:val="10C88960"/>
    <w:rsid w:val="10D53418"/>
    <w:rsid w:val="10DD080B"/>
    <w:rsid w:val="110B88C1"/>
    <w:rsid w:val="11430D67"/>
    <w:rsid w:val="11A934E9"/>
    <w:rsid w:val="121F1238"/>
    <w:rsid w:val="12397C5A"/>
    <w:rsid w:val="1255D5DE"/>
    <w:rsid w:val="126534C1"/>
    <w:rsid w:val="12859686"/>
    <w:rsid w:val="12A620EC"/>
    <w:rsid w:val="12B87286"/>
    <w:rsid w:val="133FFE0B"/>
    <w:rsid w:val="135CB6B6"/>
    <w:rsid w:val="1396344A"/>
    <w:rsid w:val="139F0768"/>
    <w:rsid w:val="13CB85FB"/>
    <w:rsid w:val="13D54CBB"/>
    <w:rsid w:val="147F6F0D"/>
    <w:rsid w:val="14ACB073"/>
    <w:rsid w:val="153C4F16"/>
    <w:rsid w:val="1572D3D4"/>
    <w:rsid w:val="15808654"/>
    <w:rsid w:val="15CB3427"/>
    <w:rsid w:val="15D54843"/>
    <w:rsid w:val="16167E8A"/>
    <w:rsid w:val="1681BAE0"/>
    <w:rsid w:val="16A500F6"/>
    <w:rsid w:val="16ACDC6E"/>
    <w:rsid w:val="16C41725"/>
    <w:rsid w:val="17A79446"/>
    <w:rsid w:val="17C9FF5C"/>
    <w:rsid w:val="17FB77B2"/>
    <w:rsid w:val="181019A8"/>
    <w:rsid w:val="18752B5F"/>
    <w:rsid w:val="18A78F4A"/>
    <w:rsid w:val="18BF2C8A"/>
    <w:rsid w:val="18D1CA94"/>
    <w:rsid w:val="1902D4E9"/>
    <w:rsid w:val="193EE530"/>
    <w:rsid w:val="19F8909F"/>
    <w:rsid w:val="1A3D6A63"/>
    <w:rsid w:val="1A43ED92"/>
    <w:rsid w:val="1A5596A1"/>
    <w:rsid w:val="1AABC867"/>
    <w:rsid w:val="1ABC6DC8"/>
    <w:rsid w:val="1AC763D4"/>
    <w:rsid w:val="1AFF2F0D"/>
    <w:rsid w:val="1B31CB62"/>
    <w:rsid w:val="1B79C717"/>
    <w:rsid w:val="1B8B9676"/>
    <w:rsid w:val="1BC2D58D"/>
    <w:rsid w:val="1C677428"/>
    <w:rsid w:val="1C751BB4"/>
    <w:rsid w:val="1CBD88EC"/>
    <w:rsid w:val="1CF7BA9E"/>
    <w:rsid w:val="1D129DD0"/>
    <w:rsid w:val="1D7B8E54"/>
    <w:rsid w:val="1DF84600"/>
    <w:rsid w:val="1E4E8978"/>
    <w:rsid w:val="1E575677"/>
    <w:rsid w:val="1E59594D"/>
    <w:rsid w:val="1E7E04FE"/>
    <w:rsid w:val="1E8AE639"/>
    <w:rsid w:val="1ED4F2F2"/>
    <w:rsid w:val="1EDCF70D"/>
    <w:rsid w:val="1F058A64"/>
    <w:rsid w:val="1F102E82"/>
    <w:rsid w:val="1F39B1B7"/>
    <w:rsid w:val="1F5D4946"/>
    <w:rsid w:val="1F8E738D"/>
    <w:rsid w:val="1FF326D8"/>
    <w:rsid w:val="20004F75"/>
    <w:rsid w:val="20A19A30"/>
    <w:rsid w:val="20B117D4"/>
    <w:rsid w:val="21241358"/>
    <w:rsid w:val="2205198F"/>
    <w:rsid w:val="2260834A"/>
    <w:rsid w:val="2263B510"/>
    <w:rsid w:val="22AFCF3C"/>
    <w:rsid w:val="22E25A62"/>
    <w:rsid w:val="2306C84E"/>
    <w:rsid w:val="23336EBE"/>
    <w:rsid w:val="234741E1"/>
    <w:rsid w:val="23932FB7"/>
    <w:rsid w:val="23CCB045"/>
    <w:rsid w:val="240074F6"/>
    <w:rsid w:val="240E7A84"/>
    <w:rsid w:val="246ACAFC"/>
    <w:rsid w:val="24ABA0F9"/>
    <w:rsid w:val="25085C85"/>
    <w:rsid w:val="251B97AA"/>
    <w:rsid w:val="2578307F"/>
    <w:rsid w:val="260CE9B9"/>
    <w:rsid w:val="26142E15"/>
    <w:rsid w:val="262B2A68"/>
    <w:rsid w:val="26434375"/>
    <w:rsid w:val="2647174E"/>
    <w:rsid w:val="265F7360"/>
    <w:rsid w:val="26BBEAE9"/>
    <w:rsid w:val="27099651"/>
    <w:rsid w:val="2735156C"/>
    <w:rsid w:val="2783568A"/>
    <w:rsid w:val="2826C3D7"/>
    <w:rsid w:val="283C7E0C"/>
    <w:rsid w:val="286B4C8B"/>
    <w:rsid w:val="28D2F694"/>
    <w:rsid w:val="2908E853"/>
    <w:rsid w:val="2A00371B"/>
    <w:rsid w:val="2A0B3E3A"/>
    <w:rsid w:val="2A609465"/>
    <w:rsid w:val="2A86438E"/>
    <w:rsid w:val="2A98B7ED"/>
    <w:rsid w:val="2AB348D7"/>
    <w:rsid w:val="2AB47A98"/>
    <w:rsid w:val="2AC02668"/>
    <w:rsid w:val="2AF0D6FD"/>
    <w:rsid w:val="2B311585"/>
    <w:rsid w:val="2B4B094B"/>
    <w:rsid w:val="2B602A06"/>
    <w:rsid w:val="2B607921"/>
    <w:rsid w:val="2BACCC99"/>
    <w:rsid w:val="2BDF6EF1"/>
    <w:rsid w:val="2BE43BC4"/>
    <w:rsid w:val="2CA16F05"/>
    <w:rsid w:val="2CBF4AB1"/>
    <w:rsid w:val="2CCCE5E6"/>
    <w:rsid w:val="2CF0FABB"/>
    <w:rsid w:val="2D3EA95E"/>
    <w:rsid w:val="2D7D3373"/>
    <w:rsid w:val="2DBE7452"/>
    <w:rsid w:val="2E34CC76"/>
    <w:rsid w:val="2E52833F"/>
    <w:rsid w:val="2E68B647"/>
    <w:rsid w:val="2E6CED61"/>
    <w:rsid w:val="2E82AA0D"/>
    <w:rsid w:val="2F36F18E"/>
    <w:rsid w:val="2F405605"/>
    <w:rsid w:val="2F8D3A75"/>
    <w:rsid w:val="2F8DF445"/>
    <w:rsid w:val="2F98CF80"/>
    <w:rsid w:val="2FE17724"/>
    <w:rsid w:val="2FEA6ECF"/>
    <w:rsid w:val="2FEB3FA3"/>
    <w:rsid w:val="30236A06"/>
    <w:rsid w:val="302F4C81"/>
    <w:rsid w:val="306FF7EA"/>
    <w:rsid w:val="30D14066"/>
    <w:rsid w:val="31255D48"/>
    <w:rsid w:val="31290AD6"/>
    <w:rsid w:val="318608F1"/>
    <w:rsid w:val="318A2401"/>
    <w:rsid w:val="318C326D"/>
    <w:rsid w:val="319B5440"/>
    <w:rsid w:val="31B47DC0"/>
    <w:rsid w:val="31D77FF2"/>
    <w:rsid w:val="32335E60"/>
    <w:rsid w:val="32461B5F"/>
    <w:rsid w:val="3265E094"/>
    <w:rsid w:val="32668D98"/>
    <w:rsid w:val="326E9250"/>
    <w:rsid w:val="32727FE0"/>
    <w:rsid w:val="3281C660"/>
    <w:rsid w:val="32BBEA21"/>
    <w:rsid w:val="32BCFCC7"/>
    <w:rsid w:val="32C4DB37"/>
    <w:rsid w:val="32D51D72"/>
    <w:rsid w:val="3318C197"/>
    <w:rsid w:val="3370DD9F"/>
    <w:rsid w:val="33A62C53"/>
    <w:rsid w:val="33CEF0FC"/>
    <w:rsid w:val="3406E77B"/>
    <w:rsid w:val="341B85FA"/>
    <w:rsid w:val="342EE8B9"/>
    <w:rsid w:val="3457BA82"/>
    <w:rsid w:val="345CFE0A"/>
    <w:rsid w:val="3460AB98"/>
    <w:rsid w:val="3493588D"/>
    <w:rsid w:val="34E8871A"/>
    <w:rsid w:val="35020986"/>
    <w:rsid w:val="3502BDA4"/>
    <w:rsid w:val="350F20B4"/>
    <w:rsid w:val="351D15F5"/>
    <w:rsid w:val="353A8682"/>
    <w:rsid w:val="353EEDB3"/>
    <w:rsid w:val="3543690D"/>
    <w:rsid w:val="3599C50B"/>
    <w:rsid w:val="359E2E5A"/>
    <w:rsid w:val="35B2EA12"/>
    <w:rsid w:val="35DAB676"/>
    <w:rsid w:val="35F4CF5F"/>
    <w:rsid w:val="3624C43B"/>
    <w:rsid w:val="362594FC"/>
    <w:rsid w:val="363CF6F1"/>
    <w:rsid w:val="36824FA6"/>
    <w:rsid w:val="3682940D"/>
    <w:rsid w:val="369E8E05"/>
    <w:rsid w:val="36DF396E"/>
    <w:rsid w:val="36E8E1C9"/>
    <w:rsid w:val="36FF14CE"/>
    <w:rsid w:val="370691BE"/>
    <w:rsid w:val="3739FEBB"/>
    <w:rsid w:val="37713B15"/>
    <w:rsid w:val="378F5B44"/>
    <w:rsid w:val="37D97C93"/>
    <w:rsid w:val="3802F9D3"/>
    <w:rsid w:val="382E7BEB"/>
    <w:rsid w:val="386F0271"/>
    <w:rsid w:val="3883CE38"/>
    <w:rsid w:val="38A008B8"/>
    <w:rsid w:val="39125738"/>
    <w:rsid w:val="39246D6B"/>
    <w:rsid w:val="396F37FD"/>
    <w:rsid w:val="399B2E53"/>
    <w:rsid w:val="39E717E9"/>
    <w:rsid w:val="3A0FCF20"/>
    <w:rsid w:val="3AA6971F"/>
    <w:rsid w:val="3B2B252B"/>
    <w:rsid w:val="3B62C727"/>
    <w:rsid w:val="3B661CAD"/>
    <w:rsid w:val="3B7FD4E5"/>
    <w:rsid w:val="3B9B2878"/>
    <w:rsid w:val="3BE1013B"/>
    <w:rsid w:val="3C2971F4"/>
    <w:rsid w:val="3C40B541"/>
    <w:rsid w:val="3C5EA54D"/>
    <w:rsid w:val="3C734AE6"/>
    <w:rsid w:val="3CA3C128"/>
    <w:rsid w:val="3CB60C2B"/>
    <w:rsid w:val="3D1D6FEB"/>
    <w:rsid w:val="3D2E5116"/>
    <w:rsid w:val="3D8CDD86"/>
    <w:rsid w:val="3D994C85"/>
    <w:rsid w:val="3DC5FF96"/>
    <w:rsid w:val="3DFD079F"/>
    <w:rsid w:val="3E0133F4"/>
    <w:rsid w:val="3E077F53"/>
    <w:rsid w:val="3E1A1058"/>
    <w:rsid w:val="3E388A96"/>
    <w:rsid w:val="3E3DC28B"/>
    <w:rsid w:val="3E46890F"/>
    <w:rsid w:val="3E5ED353"/>
    <w:rsid w:val="3EDC453F"/>
    <w:rsid w:val="3EF89F5F"/>
    <w:rsid w:val="3F26FBA8"/>
    <w:rsid w:val="3F351CE6"/>
    <w:rsid w:val="3F604968"/>
    <w:rsid w:val="3F6CE323"/>
    <w:rsid w:val="3F825772"/>
    <w:rsid w:val="3FA34FB4"/>
    <w:rsid w:val="3FBDD041"/>
    <w:rsid w:val="3FDE72ED"/>
    <w:rsid w:val="3FE0BABC"/>
    <w:rsid w:val="3FF33C93"/>
    <w:rsid w:val="40A9346D"/>
    <w:rsid w:val="40F4406C"/>
    <w:rsid w:val="40F54508"/>
    <w:rsid w:val="41059E08"/>
    <w:rsid w:val="41325802"/>
    <w:rsid w:val="4145964E"/>
    <w:rsid w:val="4161A9D3"/>
    <w:rsid w:val="41628A39"/>
    <w:rsid w:val="41B68EA0"/>
    <w:rsid w:val="41F8B7D1"/>
    <w:rsid w:val="424316CC"/>
    <w:rsid w:val="4267F4F2"/>
    <w:rsid w:val="42D36FAC"/>
    <w:rsid w:val="42FFD42D"/>
    <w:rsid w:val="4303E3EA"/>
    <w:rsid w:val="431442AF"/>
    <w:rsid w:val="43186D16"/>
    <w:rsid w:val="434D8E6D"/>
    <w:rsid w:val="435DCF27"/>
    <w:rsid w:val="43C43DA3"/>
    <w:rsid w:val="44089226"/>
    <w:rsid w:val="440A8647"/>
    <w:rsid w:val="440CFDD0"/>
    <w:rsid w:val="44176068"/>
    <w:rsid w:val="445F1780"/>
    <w:rsid w:val="44959580"/>
    <w:rsid w:val="44D32846"/>
    <w:rsid w:val="44D8BA74"/>
    <w:rsid w:val="451EF622"/>
    <w:rsid w:val="45413C58"/>
    <w:rsid w:val="4548FB2A"/>
    <w:rsid w:val="4554D212"/>
    <w:rsid w:val="45600E04"/>
    <w:rsid w:val="45647C4F"/>
    <w:rsid w:val="458D783D"/>
    <w:rsid w:val="45E647D4"/>
    <w:rsid w:val="461F78EE"/>
    <w:rsid w:val="464D3A3E"/>
    <w:rsid w:val="465C6626"/>
    <w:rsid w:val="46D28B5D"/>
    <w:rsid w:val="46E5DD36"/>
    <w:rsid w:val="46F8CF64"/>
    <w:rsid w:val="471FE74E"/>
    <w:rsid w:val="4723A9F3"/>
    <w:rsid w:val="4774DF8C"/>
    <w:rsid w:val="47EC8D3C"/>
    <w:rsid w:val="47F7501E"/>
    <w:rsid w:val="48263527"/>
    <w:rsid w:val="484A0103"/>
    <w:rsid w:val="4865B49D"/>
    <w:rsid w:val="4867F955"/>
    <w:rsid w:val="48903894"/>
    <w:rsid w:val="4959BB74"/>
    <w:rsid w:val="4968B92E"/>
    <w:rsid w:val="499624E8"/>
    <w:rsid w:val="49C20588"/>
    <w:rsid w:val="4A1B4751"/>
    <w:rsid w:val="4A2E5428"/>
    <w:rsid w:val="4A7D6350"/>
    <w:rsid w:val="4AFDBE5F"/>
    <w:rsid w:val="4B14B98F"/>
    <w:rsid w:val="4B1DCB95"/>
    <w:rsid w:val="4BF6DE27"/>
    <w:rsid w:val="4BFA7791"/>
    <w:rsid w:val="4BFB28B2"/>
    <w:rsid w:val="4C403CE6"/>
    <w:rsid w:val="4C51D1CC"/>
    <w:rsid w:val="4C720AB9"/>
    <w:rsid w:val="4C915C36"/>
    <w:rsid w:val="4CB8973E"/>
    <w:rsid w:val="4D1696EA"/>
    <w:rsid w:val="4D1D71CA"/>
    <w:rsid w:val="4D5D49A9"/>
    <w:rsid w:val="4D6721C9"/>
    <w:rsid w:val="4E0ED739"/>
    <w:rsid w:val="4E2D2C97"/>
    <w:rsid w:val="4E356CB6"/>
    <w:rsid w:val="4E5E160B"/>
    <w:rsid w:val="4E6691A2"/>
    <w:rsid w:val="4E8812A7"/>
    <w:rsid w:val="4E882717"/>
    <w:rsid w:val="4EB53767"/>
    <w:rsid w:val="4EF91A0A"/>
    <w:rsid w:val="4F0FE689"/>
    <w:rsid w:val="4F26E76E"/>
    <w:rsid w:val="4F7E4CC7"/>
    <w:rsid w:val="4F89728E"/>
    <w:rsid w:val="4F8B2649"/>
    <w:rsid w:val="4FED852C"/>
    <w:rsid w:val="500689C9"/>
    <w:rsid w:val="5012E07F"/>
    <w:rsid w:val="50B34764"/>
    <w:rsid w:val="50FDD08A"/>
    <w:rsid w:val="51362EAB"/>
    <w:rsid w:val="516D1A01"/>
    <w:rsid w:val="5171DF6B"/>
    <w:rsid w:val="51A5C839"/>
    <w:rsid w:val="5238F255"/>
    <w:rsid w:val="525E8830"/>
    <w:rsid w:val="527A3BAE"/>
    <w:rsid w:val="529CC52C"/>
    <w:rsid w:val="52C61C91"/>
    <w:rsid w:val="53BF9668"/>
    <w:rsid w:val="53E64A07"/>
    <w:rsid w:val="53F02855"/>
    <w:rsid w:val="53F48C08"/>
    <w:rsid w:val="5438958D"/>
    <w:rsid w:val="549A63CF"/>
    <w:rsid w:val="549FDAEC"/>
    <w:rsid w:val="54B75BE5"/>
    <w:rsid w:val="55072B3F"/>
    <w:rsid w:val="555C7D8B"/>
    <w:rsid w:val="55673A33"/>
    <w:rsid w:val="558D62F4"/>
    <w:rsid w:val="559537F1"/>
    <w:rsid w:val="55D1A3C3"/>
    <w:rsid w:val="55D26318"/>
    <w:rsid w:val="55EAFE95"/>
    <w:rsid w:val="5605F2DA"/>
    <w:rsid w:val="562116F3"/>
    <w:rsid w:val="56225E10"/>
    <w:rsid w:val="56304400"/>
    <w:rsid w:val="5719EEBA"/>
    <w:rsid w:val="57310852"/>
    <w:rsid w:val="573B61CE"/>
    <w:rsid w:val="576C0AC8"/>
    <w:rsid w:val="5792F0DC"/>
    <w:rsid w:val="57A0D82F"/>
    <w:rsid w:val="57BCE754"/>
    <w:rsid w:val="57C5A125"/>
    <w:rsid w:val="5805086E"/>
    <w:rsid w:val="5829D8FF"/>
    <w:rsid w:val="5842F150"/>
    <w:rsid w:val="58A97C72"/>
    <w:rsid w:val="58B9BB2A"/>
    <w:rsid w:val="58EA7E6C"/>
    <w:rsid w:val="590C06B0"/>
    <w:rsid w:val="5958B7B5"/>
    <w:rsid w:val="59712BF4"/>
    <w:rsid w:val="59720F60"/>
    <w:rsid w:val="59C18CA7"/>
    <w:rsid w:val="59CEB5CA"/>
    <w:rsid w:val="59ECA384"/>
    <w:rsid w:val="5A864ECD"/>
    <w:rsid w:val="5ACA919E"/>
    <w:rsid w:val="5BD54134"/>
    <w:rsid w:val="5BF05952"/>
    <w:rsid w:val="5C8D31E8"/>
    <w:rsid w:val="5CC9BC62"/>
    <w:rsid w:val="5D166273"/>
    <w:rsid w:val="5DC07C48"/>
    <w:rsid w:val="5DC2C6BF"/>
    <w:rsid w:val="5DE123F3"/>
    <w:rsid w:val="5E15C3FD"/>
    <w:rsid w:val="5E24B2A6"/>
    <w:rsid w:val="5E290249"/>
    <w:rsid w:val="5E67D407"/>
    <w:rsid w:val="5E94FDCA"/>
    <w:rsid w:val="5EAF010E"/>
    <w:rsid w:val="5ECD7432"/>
    <w:rsid w:val="5EED85E1"/>
    <w:rsid w:val="5F07F2FD"/>
    <w:rsid w:val="5F22E35D"/>
    <w:rsid w:val="5F3E9B35"/>
    <w:rsid w:val="5FACD520"/>
    <w:rsid w:val="5FC9FF0C"/>
    <w:rsid w:val="5FF7AEAA"/>
    <w:rsid w:val="600A87B0"/>
    <w:rsid w:val="6022D6B3"/>
    <w:rsid w:val="60527E87"/>
    <w:rsid w:val="608B1CAA"/>
    <w:rsid w:val="6095D74F"/>
    <w:rsid w:val="60BE38B1"/>
    <w:rsid w:val="60DA6B96"/>
    <w:rsid w:val="6113471A"/>
    <w:rsid w:val="6164894B"/>
    <w:rsid w:val="6165CF6D"/>
    <w:rsid w:val="61CC9E8C"/>
    <w:rsid w:val="61FFB81F"/>
    <w:rsid w:val="622526A3"/>
    <w:rsid w:val="622C38CD"/>
    <w:rsid w:val="622C94DE"/>
    <w:rsid w:val="622F8739"/>
    <w:rsid w:val="6244F2F2"/>
    <w:rsid w:val="624651B6"/>
    <w:rsid w:val="62578C8D"/>
    <w:rsid w:val="62B625B5"/>
    <w:rsid w:val="62DD9689"/>
    <w:rsid w:val="62F7E243"/>
    <w:rsid w:val="62FF99FB"/>
    <w:rsid w:val="63476940"/>
    <w:rsid w:val="63689291"/>
    <w:rsid w:val="63B6BEC0"/>
    <w:rsid w:val="63C2BD6C"/>
    <w:rsid w:val="63E9CEB1"/>
    <w:rsid w:val="63F15C1A"/>
    <w:rsid w:val="644CF648"/>
    <w:rsid w:val="6450E049"/>
    <w:rsid w:val="649014C1"/>
    <w:rsid w:val="649B6A5C"/>
    <w:rsid w:val="64A87950"/>
    <w:rsid w:val="64F18B0F"/>
    <w:rsid w:val="64F81F51"/>
    <w:rsid w:val="6508C3AB"/>
    <w:rsid w:val="6512DB45"/>
    <w:rsid w:val="651FA358"/>
    <w:rsid w:val="6563D98F"/>
    <w:rsid w:val="656DB3C0"/>
    <w:rsid w:val="657DF278"/>
    <w:rsid w:val="65C8913A"/>
    <w:rsid w:val="65CD8FE0"/>
    <w:rsid w:val="65F9FE83"/>
    <w:rsid w:val="6634142E"/>
    <w:rsid w:val="6666F02E"/>
    <w:rsid w:val="6673F22C"/>
    <w:rsid w:val="6686E752"/>
    <w:rsid w:val="66ADB1A2"/>
    <w:rsid w:val="66DD3A61"/>
    <w:rsid w:val="67187E5D"/>
    <w:rsid w:val="6753E0F1"/>
    <w:rsid w:val="67F156C1"/>
    <w:rsid w:val="68BD3149"/>
    <w:rsid w:val="68C59489"/>
    <w:rsid w:val="68E31506"/>
    <w:rsid w:val="690530A2"/>
    <w:rsid w:val="692F8A61"/>
    <w:rsid w:val="69781022"/>
    <w:rsid w:val="69C12800"/>
    <w:rsid w:val="69E5BD86"/>
    <w:rsid w:val="69F30368"/>
    <w:rsid w:val="6A477A59"/>
    <w:rsid w:val="6A5901AA"/>
    <w:rsid w:val="6A7B4BA1"/>
    <w:rsid w:val="6A852A4B"/>
    <w:rsid w:val="6A9B2B7A"/>
    <w:rsid w:val="6A9D6D0E"/>
    <w:rsid w:val="6B1F964C"/>
    <w:rsid w:val="6B4BFD51"/>
    <w:rsid w:val="6B818DE7"/>
    <w:rsid w:val="6BA9F55A"/>
    <w:rsid w:val="6BCC08E9"/>
    <w:rsid w:val="6C0E652E"/>
    <w:rsid w:val="6C51A3A3"/>
    <w:rsid w:val="6C55C4F1"/>
    <w:rsid w:val="6C826808"/>
    <w:rsid w:val="6C9D4FB3"/>
    <w:rsid w:val="6CCE3D52"/>
    <w:rsid w:val="6CD26874"/>
    <w:rsid w:val="6CF537D5"/>
    <w:rsid w:val="6CF8C8C2"/>
    <w:rsid w:val="6D176BFA"/>
    <w:rsid w:val="6D17A7CF"/>
    <w:rsid w:val="6D213FB3"/>
    <w:rsid w:val="6D46C75F"/>
    <w:rsid w:val="6D67D94A"/>
    <w:rsid w:val="6DBCCB0D"/>
    <w:rsid w:val="6DF3A3BB"/>
    <w:rsid w:val="6DF8E3EA"/>
    <w:rsid w:val="6E0144A2"/>
    <w:rsid w:val="6E18E887"/>
    <w:rsid w:val="6E595488"/>
    <w:rsid w:val="6E6F22E6"/>
    <w:rsid w:val="6E7DEAAD"/>
    <w:rsid w:val="6E7E9850"/>
    <w:rsid w:val="6E949923"/>
    <w:rsid w:val="6E992173"/>
    <w:rsid w:val="6EEB8582"/>
    <w:rsid w:val="6F5D7E10"/>
    <w:rsid w:val="6FAF517E"/>
    <w:rsid w:val="6FD4262C"/>
    <w:rsid w:val="7019BB0E"/>
    <w:rsid w:val="701F6E74"/>
    <w:rsid w:val="704F4377"/>
    <w:rsid w:val="70501174"/>
    <w:rsid w:val="70D7F803"/>
    <w:rsid w:val="71218C8B"/>
    <w:rsid w:val="716DC66E"/>
    <w:rsid w:val="71890446"/>
    <w:rsid w:val="718ED155"/>
    <w:rsid w:val="71A65469"/>
    <w:rsid w:val="71AE7369"/>
    <w:rsid w:val="71E842CF"/>
    <w:rsid w:val="723963E1"/>
    <w:rsid w:val="723AA88C"/>
    <w:rsid w:val="72440CD4"/>
    <w:rsid w:val="726FB62A"/>
    <w:rsid w:val="7292CAC3"/>
    <w:rsid w:val="730BC6EE"/>
    <w:rsid w:val="7321AFD4"/>
    <w:rsid w:val="73394CD7"/>
    <w:rsid w:val="73A3B547"/>
    <w:rsid w:val="73BE1EC7"/>
    <w:rsid w:val="73CFFCA9"/>
    <w:rsid w:val="73D2F781"/>
    <w:rsid w:val="7409B006"/>
    <w:rsid w:val="74A8193B"/>
    <w:rsid w:val="74B97BAC"/>
    <w:rsid w:val="74F29116"/>
    <w:rsid w:val="7525426D"/>
    <w:rsid w:val="754A9D7E"/>
    <w:rsid w:val="75594482"/>
    <w:rsid w:val="757BAD96"/>
    <w:rsid w:val="75D3C58C"/>
    <w:rsid w:val="7643E99C"/>
    <w:rsid w:val="764DD5DB"/>
    <w:rsid w:val="7656155B"/>
    <w:rsid w:val="76EDA9A5"/>
    <w:rsid w:val="770CD504"/>
    <w:rsid w:val="776E4934"/>
    <w:rsid w:val="77B3E034"/>
    <w:rsid w:val="77C83DC0"/>
    <w:rsid w:val="78160412"/>
    <w:rsid w:val="78793F6B"/>
    <w:rsid w:val="788C3C8A"/>
    <w:rsid w:val="789A0955"/>
    <w:rsid w:val="78B27977"/>
    <w:rsid w:val="78B35AF2"/>
    <w:rsid w:val="78D98D44"/>
    <w:rsid w:val="79F5EF02"/>
    <w:rsid w:val="7A0DF108"/>
    <w:rsid w:val="7A4E49D8"/>
    <w:rsid w:val="7A527ABA"/>
    <w:rsid w:val="7A5BFDDB"/>
    <w:rsid w:val="7A6A6891"/>
    <w:rsid w:val="7ADA1550"/>
    <w:rsid w:val="7B0B8ECB"/>
    <w:rsid w:val="7B61A34C"/>
    <w:rsid w:val="7B62C9A3"/>
    <w:rsid w:val="7B6EACBB"/>
    <w:rsid w:val="7B91BF63"/>
    <w:rsid w:val="7BA7F26B"/>
    <w:rsid w:val="7BAC2985"/>
    <w:rsid w:val="7BC1E631"/>
    <w:rsid w:val="7BDFFE26"/>
    <w:rsid w:val="7BEA1A39"/>
    <w:rsid w:val="7BF28F2B"/>
    <w:rsid w:val="7C5E72A9"/>
    <w:rsid w:val="7C693C03"/>
    <w:rsid w:val="7CA6D2A8"/>
    <w:rsid w:val="7D0E49DD"/>
    <w:rsid w:val="7D398811"/>
    <w:rsid w:val="7D43724E"/>
    <w:rsid w:val="7DA33A61"/>
    <w:rsid w:val="7E69C16E"/>
    <w:rsid w:val="7EA74489"/>
    <w:rsid w:val="7EAF1986"/>
    <w:rsid w:val="7EE3241A"/>
    <w:rsid w:val="7EF90189"/>
    <w:rsid w:val="7F21BAFB"/>
    <w:rsid w:val="7F58F3D7"/>
    <w:rsid w:val="7F608ACC"/>
    <w:rsid w:val="7F76A845"/>
    <w:rsid w:val="7FAC4CE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45B1433"/>
    <w:rPr>
      <w:lang w:val="cy-GB"/>
    </w:rPr>
  </w:style>
  <w:style w:type="paragraph" w:styleId="Heading1">
    <w:name w:val="heading 1"/>
    <w:basedOn w:val="Normal"/>
    <w:next w:val="Normal"/>
    <w:link w:val="Heading1Char"/>
    <w:uiPriority w:val="9"/>
    <w:qFormat/>
    <w:rsid w:val="045B1433"/>
    <w:pPr>
      <w:keepNext/>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45B1433"/>
    <w:pPr>
      <w:keepNext/>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45B1433"/>
    <w:pPr>
      <w:keepNext/>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iPriority w:val="9"/>
    <w:unhideWhenUsed/>
    <w:qFormat/>
    <w:rsid w:val="045B1433"/>
    <w:pPr>
      <w:keepNext/>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45B1433"/>
    <w:pPr>
      <w:keepNext/>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45B1433"/>
    <w:pPr>
      <w:keepNext/>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045B1433"/>
    <w:pPr>
      <w:keepNext/>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045B1433"/>
    <w:pPr>
      <w:keepNext/>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045B1433"/>
    <w:pPr>
      <w:keepNext/>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uiPriority w:val="1"/>
    <w:qFormat/>
    <w:rsid w:val="045B1433"/>
    <w:pPr>
      <w:spacing w:after="0"/>
      <w:ind w:left="1134" w:right="1134"/>
    </w:pPr>
    <w:rPr>
      <w:rFonts w:ascii="Arial" w:eastAsiaTheme="minorEastAsia" w:hAnsi="Arial"/>
      <w:i/>
      <w:iCs/>
    </w:rPr>
  </w:style>
  <w:style w:type="paragraph" w:customStyle="1" w:styleId="AssignBody">
    <w:name w:val="AssignBody"/>
    <w:basedOn w:val="AssignQuote"/>
    <w:link w:val="AssignBodyChar"/>
    <w:uiPriority w:val="1"/>
    <w:qFormat/>
    <w:rsid w:val="045B1433"/>
    <w:pPr>
      <w:ind w:left="0" w:right="0"/>
    </w:pPr>
    <w:rPr>
      <w:i w:val="0"/>
      <w:iCs w:val="0"/>
    </w:rPr>
  </w:style>
  <w:style w:type="character" w:customStyle="1" w:styleId="AssignQuoteChar">
    <w:name w:val="AssignQuote Char"/>
    <w:basedOn w:val="DefaultParagraphFont"/>
    <w:link w:val="AssignQuote"/>
    <w:uiPriority w:val="1"/>
    <w:rsid w:val="045B1433"/>
    <w:rPr>
      <w:rFonts w:ascii="Arial" w:eastAsiaTheme="minorEastAsia" w:hAnsi="Arial" w:cstheme="minorBidi"/>
      <w:i/>
      <w:iCs/>
      <w:noProof w:val="0"/>
      <w:lang w:val="cy-GB"/>
    </w:rPr>
  </w:style>
  <w:style w:type="paragraph" w:customStyle="1" w:styleId="AssignSubHeader">
    <w:name w:val="AssignSubHeader"/>
    <w:basedOn w:val="AssignBody"/>
    <w:next w:val="AssignBody"/>
    <w:link w:val="AssignSubHeaderChar"/>
    <w:uiPriority w:val="1"/>
    <w:qFormat/>
    <w:rsid w:val="045B1433"/>
    <w:rPr>
      <w:b/>
      <w:bCs/>
      <w:sz w:val="28"/>
      <w:szCs w:val="28"/>
    </w:rPr>
  </w:style>
  <w:style w:type="character" w:customStyle="1" w:styleId="AssignBodyChar">
    <w:name w:val="AssignBody Char"/>
    <w:basedOn w:val="AssignQuoteChar"/>
    <w:link w:val="AssignBody"/>
    <w:uiPriority w:val="1"/>
    <w:rsid w:val="045B1433"/>
    <w:rPr>
      <w:rFonts w:ascii="Arial" w:eastAsiaTheme="minorEastAsia" w:hAnsi="Arial" w:cstheme="minorBidi"/>
      <w:i w:val="0"/>
      <w:iCs w:val="0"/>
      <w:noProof w:val="0"/>
      <w:lang w:val="cy-GB"/>
    </w:rPr>
  </w:style>
  <w:style w:type="paragraph" w:customStyle="1" w:styleId="AssignHeader">
    <w:name w:val="AssignHeader"/>
    <w:basedOn w:val="AssignSubHeader"/>
    <w:next w:val="AssignSubHeader"/>
    <w:link w:val="AssignHeaderChar"/>
    <w:uiPriority w:val="1"/>
    <w:qFormat/>
    <w:rsid w:val="045B1433"/>
    <w:pPr>
      <w:jc w:val="center"/>
    </w:pPr>
    <w:rPr>
      <w:sz w:val="36"/>
      <w:szCs w:val="36"/>
      <w:u w:val="single"/>
    </w:rPr>
  </w:style>
  <w:style w:type="character" w:customStyle="1" w:styleId="AssignSubHeaderChar">
    <w:name w:val="AssignSubHeader Char"/>
    <w:basedOn w:val="AssignBodyChar"/>
    <w:link w:val="AssignSubHeader"/>
    <w:uiPriority w:val="1"/>
    <w:rsid w:val="045B1433"/>
    <w:rPr>
      <w:rFonts w:ascii="Arial" w:eastAsiaTheme="minorEastAsia" w:hAnsi="Arial" w:cstheme="minorBidi"/>
      <w:b/>
      <w:bCs/>
      <w:i w:val="0"/>
      <w:iCs w:val="0"/>
      <w:noProof w:val="0"/>
      <w:sz w:val="28"/>
      <w:szCs w:val="28"/>
      <w:lang w:val="cy-GB"/>
    </w:rPr>
  </w:style>
  <w:style w:type="paragraph" w:styleId="Header">
    <w:name w:val="header"/>
    <w:basedOn w:val="Normal"/>
    <w:link w:val="HeaderChar"/>
    <w:uiPriority w:val="99"/>
    <w:unhideWhenUsed/>
    <w:rsid w:val="045B1433"/>
    <w:pPr>
      <w:tabs>
        <w:tab w:val="center" w:pos="4513"/>
        <w:tab w:val="right" w:pos="9026"/>
      </w:tabs>
      <w:spacing w:after="0"/>
    </w:pPr>
  </w:style>
  <w:style w:type="character" w:customStyle="1" w:styleId="AssignHeaderChar">
    <w:name w:val="AssignHeader Char"/>
    <w:basedOn w:val="AssignSubHeaderChar"/>
    <w:link w:val="AssignHeader"/>
    <w:uiPriority w:val="1"/>
    <w:rsid w:val="045B1433"/>
    <w:rPr>
      <w:rFonts w:ascii="Arial" w:eastAsiaTheme="minorEastAsia" w:hAnsi="Arial" w:cstheme="minorBidi"/>
      <w:b/>
      <w:bCs/>
      <w:i w:val="0"/>
      <w:iCs w:val="0"/>
      <w:noProof w:val="0"/>
      <w:sz w:val="36"/>
      <w:szCs w:val="36"/>
      <w:u w:val="single"/>
      <w:lang w:val="cy-GB"/>
    </w:rPr>
  </w:style>
  <w:style w:type="character" w:customStyle="1" w:styleId="HeaderChar">
    <w:name w:val="Header Char"/>
    <w:basedOn w:val="DefaultParagraphFont"/>
    <w:link w:val="Header"/>
    <w:uiPriority w:val="99"/>
    <w:rsid w:val="045B1433"/>
    <w:rPr>
      <w:noProof w:val="0"/>
      <w:lang w:val="cy-GB"/>
    </w:rPr>
  </w:style>
  <w:style w:type="paragraph" w:styleId="Footer">
    <w:name w:val="footer"/>
    <w:basedOn w:val="Normal"/>
    <w:link w:val="FooterChar"/>
    <w:uiPriority w:val="99"/>
    <w:unhideWhenUsed/>
    <w:rsid w:val="045B1433"/>
    <w:pPr>
      <w:tabs>
        <w:tab w:val="center" w:pos="4513"/>
        <w:tab w:val="right" w:pos="9026"/>
      </w:tabs>
      <w:spacing w:after="0"/>
    </w:pPr>
  </w:style>
  <w:style w:type="character" w:customStyle="1" w:styleId="FooterChar">
    <w:name w:val="Footer Char"/>
    <w:basedOn w:val="DefaultParagraphFont"/>
    <w:link w:val="Footer"/>
    <w:uiPriority w:val="99"/>
    <w:rsid w:val="045B1433"/>
    <w:rPr>
      <w:noProof w:val="0"/>
      <w:lang w:val="cy-GB"/>
    </w:rPr>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45B1433"/>
    <w:pPr>
      <w:spacing w:after="0"/>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045B1433"/>
    <w:rPr>
      <w:rFonts w:eastAsiaTheme="minorEastAsia"/>
      <w:color w:val="5A5A5A"/>
    </w:rPr>
  </w:style>
  <w:style w:type="paragraph" w:styleId="Quote">
    <w:name w:val="Quote"/>
    <w:basedOn w:val="Normal"/>
    <w:next w:val="Normal"/>
    <w:link w:val="QuoteChar"/>
    <w:uiPriority w:val="29"/>
    <w:qFormat/>
    <w:rsid w:val="045B1433"/>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045B1433"/>
    <w:pPr>
      <w:spacing w:before="360" w:after="360"/>
      <w:ind w:left="864" w:right="864"/>
      <w:jc w:val="center"/>
    </w:pPr>
    <w:rPr>
      <w:i/>
      <w:iCs/>
      <w:color w:val="4472C4" w:themeColor="accent1"/>
    </w:rPr>
  </w:style>
  <w:style w:type="paragraph" w:styleId="ListParagraph">
    <w:name w:val="List Paragraph"/>
    <w:basedOn w:val="Normal"/>
    <w:uiPriority w:val="34"/>
    <w:qFormat/>
    <w:rsid w:val="045B1433"/>
    <w:pPr>
      <w:ind w:left="720"/>
      <w:contextualSpacing/>
    </w:pPr>
  </w:style>
  <w:style w:type="character" w:customStyle="1" w:styleId="Heading1Char">
    <w:name w:val="Heading 1 Char"/>
    <w:basedOn w:val="DefaultParagraphFont"/>
    <w:link w:val="Heading1"/>
    <w:uiPriority w:val="9"/>
    <w:rsid w:val="045B1433"/>
    <w:rPr>
      <w:rFonts w:asciiTheme="majorHAnsi" w:eastAsiaTheme="majorEastAsia" w:hAnsiTheme="majorHAnsi" w:cstheme="majorBidi"/>
      <w:noProof w:val="0"/>
      <w:color w:val="2F5496" w:themeColor="accent1" w:themeShade="BF"/>
      <w:sz w:val="32"/>
      <w:szCs w:val="32"/>
      <w:lang w:val="cy-GB"/>
    </w:rPr>
  </w:style>
  <w:style w:type="character" w:customStyle="1" w:styleId="Heading2Char">
    <w:name w:val="Heading 2 Char"/>
    <w:basedOn w:val="DefaultParagraphFont"/>
    <w:link w:val="Heading2"/>
    <w:uiPriority w:val="9"/>
    <w:rsid w:val="045B1433"/>
    <w:rPr>
      <w:rFonts w:asciiTheme="majorHAnsi" w:eastAsiaTheme="majorEastAsia" w:hAnsiTheme="majorHAnsi" w:cstheme="majorBidi"/>
      <w:noProof w:val="0"/>
      <w:color w:val="2F5496" w:themeColor="accent1" w:themeShade="BF"/>
      <w:sz w:val="26"/>
      <w:szCs w:val="26"/>
      <w:lang w:val="cy-GB"/>
    </w:rPr>
  </w:style>
  <w:style w:type="character" w:customStyle="1" w:styleId="Heading3Char">
    <w:name w:val="Heading 3 Char"/>
    <w:basedOn w:val="DefaultParagraphFont"/>
    <w:link w:val="Heading3"/>
    <w:uiPriority w:val="9"/>
    <w:rsid w:val="045B1433"/>
    <w:rPr>
      <w:rFonts w:asciiTheme="majorHAnsi" w:eastAsiaTheme="majorEastAsia" w:hAnsiTheme="majorHAnsi" w:cstheme="majorBidi"/>
      <w:noProof w:val="0"/>
      <w:color w:val="1F3763"/>
      <w:sz w:val="24"/>
      <w:szCs w:val="24"/>
      <w:lang w:val="cy-GB"/>
    </w:rPr>
  </w:style>
  <w:style w:type="character" w:customStyle="1" w:styleId="Heading4Char">
    <w:name w:val="Heading 4 Char"/>
    <w:basedOn w:val="DefaultParagraphFont"/>
    <w:link w:val="Heading4"/>
    <w:uiPriority w:val="9"/>
    <w:rsid w:val="045B1433"/>
    <w:rPr>
      <w:rFonts w:asciiTheme="majorHAnsi" w:eastAsiaTheme="majorEastAsia" w:hAnsiTheme="majorHAnsi" w:cstheme="majorBidi"/>
      <w:i/>
      <w:iCs/>
      <w:noProof w:val="0"/>
      <w:color w:val="2F5496" w:themeColor="accent1" w:themeShade="BF"/>
      <w:lang w:val="cy-GB"/>
    </w:rPr>
  </w:style>
  <w:style w:type="character" w:customStyle="1" w:styleId="Heading5Char">
    <w:name w:val="Heading 5 Char"/>
    <w:basedOn w:val="DefaultParagraphFont"/>
    <w:link w:val="Heading5"/>
    <w:uiPriority w:val="9"/>
    <w:rsid w:val="045B1433"/>
    <w:rPr>
      <w:rFonts w:asciiTheme="majorHAnsi" w:eastAsiaTheme="majorEastAsia" w:hAnsiTheme="majorHAnsi" w:cstheme="majorBidi"/>
      <w:noProof w:val="0"/>
      <w:color w:val="2F5496" w:themeColor="accent1" w:themeShade="BF"/>
      <w:lang w:val="cy-GB"/>
    </w:rPr>
  </w:style>
  <w:style w:type="character" w:customStyle="1" w:styleId="Heading6Char">
    <w:name w:val="Heading 6 Char"/>
    <w:basedOn w:val="DefaultParagraphFont"/>
    <w:link w:val="Heading6"/>
    <w:uiPriority w:val="9"/>
    <w:rsid w:val="045B1433"/>
    <w:rPr>
      <w:rFonts w:asciiTheme="majorHAnsi" w:eastAsiaTheme="majorEastAsia" w:hAnsiTheme="majorHAnsi" w:cstheme="majorBidi"/>
      <w:noProof w:val="0"/>
      <w:color w:val="1F3763"/>
      <w:lang w:val="cy-GB"/>
    </w:rPr>
  </w:style>
  <w:style w:type="character" w:customStyle="1" w:styleId="Heading7Char">
    <w:name w:val="Heading 7 Char"/>
    <w:basedOn w:val="DefaultParagraphFont"/>
    <w:link w:val="Heading7"/>
    <w:uiPriority w:val="9"/>
    <w:rsid w:val="045B1433"/>
    <w:rPr>
      <w:rFonts w:asciiTheme="majorHAnsi" w:eastAsiaTheme="majorEastAsia" w:hAnsiTheme="majorHAnsi" w:cstheme="majorBidi"/>
      <w:i/>
      <w:iCs/>
      <w:noProof w:val="0"/>
      <w:color w:val="1F3763"/>
      <w:lang w:val="cy-GB"/>
    </w:rPr>
  </w:style>
  <w:style w:type="character" w:customStyle="1" w:styleId="Heading8Char">
    <w:name w:val="Heading 8 Char"/>
    <w:basedOn w:val="DefaultParagraphFont"/>
    <w:link w:val="Heading8"/>
    <w:uiPriority w:val="9"/>
    <w:rsid w:val="045B1433"/>
    <w:rPr>
      <w:rFonts w:asciiTheme="majorHAnsi" w:eastAsiaTheme="majorEastAsia" w:hAnsiTheme="majorHAnsi" w:cstheme="majorBidi"/>
      <w:noProof w:val="0"/>
      <w:color w:val="272727"/>
      <w:sz w:val="21"/>
      <w:szCs w:val="21"/>
      <w:lang w:val="cy-GB"/>
    </w:rPr>
  </w:style>
  <w:style w:type="character" w:customStyle="1" w:styleId="Heading9Char">
    <w:name w:val="Heading 9 Char"/>
    <w:basedOn w:val="DefaultParagraphFont"/>
    <w:link w:val="Heading9"/>
    <w:uiPriority w:val="9"/>
    <w:rsid w:val="045B1433"/>
    <w:rPr>
      <w:rFonts w:asciiTheme="majorHAnsi" w:eastAsiaTheme="majorEastAsia" w:hAnsiTheme="majorHAnsi" w:cstheme="majorBidi"/>
      <w:i/>
      <w:iCs/>
      <w:noProof w:val="0"/>
      <w:color w:val="272727"/>
      <w:sz w:val="21"/>
      <w:szCs w:val="21"/>
      <w:lang w:val="cy-GB"/>
    </w:rPr>
  </w:style>
  <w:style w:type="character" w:customStyle="1" w:styleId="TitleChar">
    <w:name w:val="Title Char"/>
    <w:basedOn w:val="DefaultParagraphFont"/>
    <w:link w:val="Title"/>
    <w:uiPriority w:val="10"/>
    <w:rsid w:val="045B1433"/>
    <w:rPr>
      <w:rFonts w:asciiTheme="majorHAnsi" w:eastAsiaTheme="majorEastAsia" w:hAnsiTheme="majorHAnsi" w:cstheme="majorBidi"/>
      <w:noProof w:val="0"/>
      <w:sz w:val="56"/>
      <w:szCs w:val="56"/>
      <w:lang w:val="cy-GB"/>
    </w:rPr>
  </w:style>
  <w:style w:type="character" w:customStyle="1" w:styleId="SubtitleChar">
    <w:name w:val="Subtitle Char"/>
    <w:basedOn w:val="DefaultParagraphFont"/>
    <w:link w:val="Subtitle"/>
    <w:uiPriority w:val="11"/>
    <w:rsid w:val="045B1433"/>
    <w:rPr>
      <w:rFonts w:asciiTheme="minorHAnsi" w:eastAsiaTheme="minorEastAsia" w:hAnsiTheme="minorHAnsi" w:cstheme="minorBidi"/>
      <w:noProof w:val="0"/>
      <w:color w:val="5A5A5A"/>
      <w:lang w:val="cy-GB"/>
    </w:rPr>
  </w:style>
  <w:style w:type="character" w:customStyle="1" w:styleId="QuoteChar">
    <w:name w:val="Quote Char"/>
    <w:basedOn w:val="DefaultParagraphFont"/>
    <w:link w:val="Quote"/>
    <w:uiPriority w:val="29"/>
    <w:rsid w:val="045B1433"/>
    <w:rPr>
      <w:i/>
      <w:iCs/>
      <w:noProof w:val="0"/>
      <w:color w:val="404040" w:themeColor="text1" w:themeTint="BF"/>
      <w:lang w:val="cy-GB"/>
    </w:rPr>
  </w:style>
  <w:style w:type="character" w:customStyle="1" w:styleId="IntenseQuoteChar">
    <w:name w:val="Intense Quote Char"/>
    <w:basedOn w:val="DefaultParagraphFont"/>
    <w:link w:val="IntenseQuote"/>
    <w:uiPriority w:val="30"/>
    <w:rsid w:val="045B1433"/>
    <w:rPr>
      <w:i/>
      <w:iCs/>
      <w:noProof w:val="0"/>
      <w:color w:val="4472C4" w:themeColor="accent1"/>
      <w:lang w:val="cy-GB"/>
    </w:rPr>
  </w:style>
  <w:style w:type="paragraph" w:styleId="TOC1">
    <w:name w:val="toc 1"/>
    <w:basedOn w:val="Normal"/>
    <w:next w:val="Normal"/>
    <w:uiPriority w:val="39"/>
    <w:unhideWhenUsed/>
    <w:rsid w:val="045B1433"/>
    <w:pPr>
      <w:spacing w:after="100"/>
    </w:pPr>
  </w:style>
  <w:style w:type="paragraph" w:styleId="TOC2">
    <w:name w:val="toc 2"/>
    <w:basedOn w:val="Normal"/>
    <w:next w:val="Normal"/>
    <w:uiPriority w:val="39"/>
    <w:unhideWhenUsed/>
    <w:rsid w:val="045B1433"/>
    <w:pPr>
      <w:spacing w:after="100"/>
      <w:ind w:left="220"/>
    </w:pPr>
  </w:style>
  <w:style w:type="paragraph" w:styleId="TOC3">
    <w:name w:val="toc 3"/>
    <w:basedOn w:val="Normal"/>
    <w:next w:val="Normal"/>
    <w:uiPriority w:val="39"/>
    <w:unhideWhenUsed/>
    <w:rsid w:val="045B1433"/>
    <w:pPr>
      <w:spacing w:after="100"/>
      <w:ind w:left="440"/>
    </w:pPr>
  </w:style>
  <w:style w:type="paragraph" w:styleId="TOC4">
    <w:name w:val="toc 4"/>
    <w:basedOn w:val="Normal"/>
    <w:next w:val="Normal"/>
    <w:uiPriority w:val="39"/>
    <w:unhideWhenUsed/>
    <w:rsid w:val="045B1433"/>
    <w:pPr>
      <w:spacing w:after="100"/>
      <w:ind w:left="660"/>
    </w:pPr>
  </w:style>
  <w:style w:type="paragraph" w:styleId="TOC5">
    <w:name w:val="toc 5"/>
    <w:basedOn w:val="Normal"/>
    <w:next w:val="Normal"/>
    <w:uiPriority w:val="39"/>
    <w:unhideWhenUsed/>
    <w:rsid w:val="045B1433"/>
    <w:pPr>
      <w:spacing w:after="100"/>
      <w:ind w:left="880"/>
    </w:pPr>
  </w:style>
  <w:style w:type="paragraph" w:styleId="TOC6">
    <w:name w:val="toc 6"/>
    <w:basedOn w:val="Normal"/>
    <w:next w:val="Normal"/>
    <w:uiPriority w:val="39"/>
    <w:unhideWhenUsed/>
    <w:rsid w:val="045B1433"/>
    <w:pPr>
      <w:spacing w:after="100"/>
      <w:ind w:left="1100"/>
    </w:pPr>
  </w:style>
  <w:style w:type="paragraph" w:styleId="TOC7">
    <w:name w:val="toc 7"/>
    <w:basedOn w:val="Normal"/>
    <w:next w:val="Normal"/>
    <w:uiPriority w:val="39"/>
    <w:unhideWhenUsed/>
    <w:rsid w:val="045B1433"/>
    <w:pPr>
      <w:spacing w:after="100"/>
      <w:ind w:left="1320"/>
    </w:pPr>
  </w:style>
  <w:style w:type="paragraph" w:styleId="TOC8">
    <w:name w:val="toc 8"/>
    <w:basedOn w:val="Normal"/>
    <w:next w:val="Normal"/>
    <w:uiPriority w:val="39"/>
    <w:unhideWhenUsed/>
    <w:rsid w:val="045B1433"/>
    <w:pPr>
      <w:spacing w:after="100"/>
      <w:ind w:left="1540"/>
    </w:pPr>
  </w:style>
  <w:style w:type="paragraph" w:styleId="TOC9">
    <w:name w:val="toc 9"/>
    <w:basedOn w:val="Normal"/>
    <w:next w:val="Normal"/>
    <w:uiPriority w:val="39"/>
    <w:unhideWhenUsed/>
    <w:rsid w:val="045B1433"/>
    <w:pPr>
      <w:spacing w:after="100"/>
      <w:ind w:left="1760"/>
    </w:pPr>
  </w:style>
  <w:style w:type="paragraph" w:styleId="EndnoteText">
    <w:name w:val="endnote text"/>
    <w:basedOn w:val="Normal"/>
    <w:link w:val="EndnoteTextChar"/>
    <w:uiPriority w:val="99"/>
    <w:semiHidden/>
    <w:unhideWhenUsed/>
    <w:rsid w:val="045B1433"/>
    <w:pPr>
      <w:spacing w:after="0"/>
    </w:pPr>
    <w:rPr>
      <w:sz w:val="20"/>
      <w:szCs w:val="20"/>
    </w:rPr>
  </w:style>
  <w:style w:type="character" w:customStyle="1" w:styleId="EndnoteTextChar">
    <w:name w:val="Endnote Text Char"/>
    <w:basedOn w:val="DefaultParagraphFont"/>
    <w:link w:val="EndnoteText"/>
    <w:uiPriority w:val="99"/>
    <w:semiHidden/>
    <w:rsid w:val="045B1433"/>
    <w:rPr>
      <w:noProof w:val="0"/>
      <w:sz w:val="20"/>
      <w:szCs w:val="20"/>
      <w:lang w:val="cy-GB"/>
    </w:rPr>
  </w:style>
  <w:style w:type="paragraph" w:styleId="FootnoteText">
    <w:name w:val="footnote text"/>
    <w:basedOn w:val="Normal"/>
    <w:link w:val="FootnoteTextChar"/>
    <w:uiPriority w:val="99"/>
    <w:semiHidden/>
    <w:unhideWhenUsed/>
    <w:rsid w:val="045B1433"/>
    <w:pPr>
      <w:spacing w:after="0"/>
    </w:pPr>
    <w:rPr>
      <w:sz w:val="20"/>
      <w:szCs w:val="20"/>
    </w:rPr>
  </w:style>
  <w:style w:type="character" w:customStyle="1" w:styleId="FootnoteTextChar">
    <w:name w:val="Footnote Text Char"/>
    <w:basedOn w:val="DefaultParagraphFont"/>
    <w:link w:val="FootnoteText"/>
    <w:uiPriority w:val="99"/>
    <w:semiHidden/>
    <w:rsid w:val="045B1433"/>
    <w:rPr>
      <w:noProof w:val="0"/>
      <w:sz w:val="20"/>
      <w:szCs w:val="20"/>
      <w:lang w:val="cy-GB"/>
    </w:r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hcc.hawaii.edu" TargetMode="External"/><Relationship Id="rId18" Type="http://schemas.openxmlformats.org/officeDocument/2006/relationships/hyperlink" Target="https://hwb.gov.wales/api/storage/b0e91f7c-0050-47b6-9b23-0273d39df9f3/canllawiau-cwricwlwm-i-gymru-070220.pdf" TargetMode="External"/><Relationship Id="rId26" Type="http://schemas.openxmlformats.org/officeDocument/2006/relationships/hyperlink" Target="https://uowtsd-my.sharepoint.com/:w:/r/personal/1902154_student_uwtsd_ac_uk/_layouts/15/Doc.aspx?sourcedoc=%7BA74814D5-8BCE-4450-8DD0-28A117EBABE3%7D&amp;file=Rhydian%20Ffurflen%20Foeseg%20Terfynol.docx&amp;action=default&amp;mobileredirect=true" TargetMode="External"/><Relationship Id="rId3" Type="http://schemas.openxmlformats.org/officeDocument/2006/relationships/customXml" Target="../customXml/item3.xml"/><Relationship Id="rId21" Type="http://schemas.openxmlformats.org/officeDocument/2006/relationships/hyperlink" Target="https://doi.org/10.1007/978-90-481-9941-9_1" TargetMode="External"/><Relationship Id="rId34" Type="http://schemas.openxmlformats.org/officeDocument/2006/relationships/glossaryDocument" Target="glossary/document.xml"/><Relationship Id="rId7" Type="http://schemas.openxmlformats.org/officeDocument/2006/relationships/webSettings" Target="webSettings.xml"/><Relationship Id="rId12" Type="http://schemas.openxmlformats.org/officeDocument/2006/relationships/hyperlink" Target="https://llyw.cymru/sites/default/files/publications/2018-03/dyfodol-llwyddiannus.pdf" TargetMode="External"/><Relationship Id="rId17" Type="http://schemas.openxmlformats.org/officeDocument/2006/relationships/hyperlink" Target="https://learningjournals.co.uk/what-is-the-leuven-scale-and-how-to-use-it/" TargetMode="External"/><Relationship Id="rId25" Type="http://schemas.openxmlformats.org/officeDocument/2006/relationships/hyperlink" Target="https://downloads.unicef.org.uk/wp-content/uploads/2016/08/unicef-convention-rights-child-uncrc.pdf?_adal_sd=www.unicef.org.uk.1645532753973&amp;_adal_ca=so%3DGoogle%26me%3Dorganic%26ca%3D(not%2520set)%26co%3D(not%2520set)%26ke%3D(not%2520set).1645532753973&amp;_adal_cw=1645532742192.1645532753973&amp;_adal_id=e7189c5a-5694-45d1-a90c-1950469440f6.1645532742.2.1645532742.1645532742.bb6cb638-0d87-4585-a5a2-8b4a8fa92b85.1645532753973&amp;_ga=2.138188147.219617520.1645532740-529710461.1645532740"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nlprobationers.co.uk/wp-content/uploads/2019/04/Group-3A-Kerr-E..pdf" TargetMode="External"/><Relationship Id="rId20" Type="http://schemas.openxmlformats.org/officeDocument/2006/relationships/hyperlink" Target="http://www.simplypsychology.org/learning-kolb.html" TargetMode="External"/><Relationship Id="rId29" Type="http://schemas.openxmlformats.org/officeDocument/2006/relationships/hyperlink" Target="https://uowtsd-my.sharepoint.com/:w:/r/personal/1902154_student_uwtsd_ac_uk/_layouts/15/Doc.aspx?sourcedoc=%7BC6D07A4E-C703-47AD-B23B-BBA77FEDAA2F%7D&amp;file=Taflen%20Arsylwi.docx&amp;action=default&amp;mobileredirect=true"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psycnet.apa.org/doi/10.1002/cd.23219842309" TargetMode="External"/><Relationship Id="rId24" Type="http://schemas.openxmlformats.org/officeDocument/2006/relationships/hyperlink" Target="https://www.theschoolrun.com/how-teach-your-child-teamwork" TargetMode="External"/><Relationship Id="rId32"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nepc.colorado.edu/publication/gettingteacher-assessment-right" TargetMode="External"/><Relationship Id="rId23" Type="http://schemas.openxmlformats.org/officeDocument/2006/relationships/hyperlink" Target="https://link.springer.com/article/10.1007/s11858-015-0752-x" TargetMode="External"/><Relationship Id="rId28" Type="http://schemas.openxmlformats.org/officeDocument/2006/relationships/hyperlink" Target="https://uowtsd-my.sharepoint.com/:w:/r/personal/1902154_student_uwtsd_ac_uk/_layouts/15/Doc.aspx?sourcedoc=%7BB1E201CF-B194-4E5F-8092-A8D5B91661E4%7D&amp;file=Cwestiynau%20cyfweliad.docx&amp;action=default&amp;mobileredirect=true" TargetMode="External"/><Relationship Id="rId10" Type="http://schemas.openxmlformats.org/officeDocument/2006/relationships/hyperlink" Target="https://uowtsd-my.sharepoint.com/:w:/r/personal/1902154_student_uwtsd_ac_uk/_layouts/15/Doc.aspx?sourcedoc=%7B7B9E0ED8-6456-4CC1-A999-F3E08601A80F%7D&amp;file=2021-2022%20SAC%20Safonau%20Proffesiynol%20(1).docx&amp;action=default&amp;mobileredirect=true" TargetMode="External"/><Relationship Id="rId19" Type="http://schemas.openxmlformats.org/officeDocument/2006/relationships/hyperlink" Target="https://www.preservearticles.com/education/what-are-the-advantages-and-disadvantages-of-lesson-planning/27934" TargetMode="External"/><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doi.org/10.18574/9780814732953" TargetMode="External"/><Relationship Id="rId22" Type="http://schemas.openxmlformats.org/officeDocument/2006/relationships/hyperlink" Target="file:///N:/Downloads/EducationStudies_Chapter29.pdf" TargetMode="External"/><Relationship Id="rId27" Type="http://schemas.openxmlformats.org/officeDocument/2006/relationships/hyperlink" Target="https://uowtsd-my.sharepoint.com/:w:/r/personal/1902154_student_uwtsd_ac_uk/_layouts/15/Doc.aspx?sourcedoc=%7B0AC7611A-5BE2-4EA7-B0A6-8AECAAE629CB%7D&amp;file=Taflen%20Myfyrio.docx&amp;action=default&amp;mobileredirect=true" TargetMode="External"/><Relationship Id="rId30" Type="http://schemas.openxmlformats.org/officeDocument/2006/relationships/hyperlink" Target="https://uowtsd-my.sharepoint.com/:w:/r/personal/1902154_student_uwtsd_ac_uk/_layouts/15/Doc.aspx?sourcedoc=%7BF8943962-BF57-4911-9869-749AA468AC8D%7D&amp;file=Llythr%20Cydsynio.docx&amp;action=default&amp;mobileredirect=true" TargetMode="External"/><Relationship Id="rId35" Type="http://schemas.openxmlformats.org/officeDocument/2006/relationships/theme" Target="theme/theme1.xml"/><Relationship Id="Rcd8bb6991e9f4cfe" Type="http://schemas.microsoft.com/office/2020/10/relationships/intelligence" Target="intelligence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compat>
    <w:useFELayout/>
    <w:compatSetting w:name="compatibilityMode" w:uri="http://schemas.microsoft.com/office/word" w:val="12"/>
  </w:compat>
  <w:rsids>
    <w:rsidRoot w:val="00040AC1"/>
    <w:rsid w:val="00040A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76833E-C4E4-48A0-9018-456CC2E4BC84}">
  <ds:schemaRefs>
    <ds:schemaRef ds:uri="d2d6d51c-be45-489c-bfaa-c0c3d4c0c982"/>
    <ds:schemaRef ds:uri="696490a5-0429-499a-a254-a60426c02ef0"/>
    <ds:schemaRef ds:uri="http://purl.org/dc/elements/1.1/"/>
    <ds:schemaRef ds:uri="http://schemas.microsoft.com/office/2006/metadata/properties"/>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http://www.w3.org/XML/1998/namespace"/>
    <ds:schemaRef ds:uri="http://purl.org/dc/terms/"/>
  </ds:schemaRefs>
</ds:datastoreItem>
</file>

<file path=customXml/itemProps2.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3.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74E1C20-DF58-4AF2-B4F6-110DFD92F2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1075</TotalTime>
  <Pages>9</Pages>
  <Words>5549</Words>
  <Characters>31630</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Rhydian Howells</cp:lastModifiedBy>
  <cp:revision>6</cp:revision>
  <dcterms:created xsi:type="dcterms:W3CDTF">2022-02-23T17:37:00Z</dcterms:created>
  <dcterms:modified xsi:type="dcterms:W3CDTF">2022-02-24T11:31:00Z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