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rPr>
          <w:rFonts w:ascii="Calibri" w:hAnsi="Calibri" w:cs="Calibri"/>
          <w:b/>
          <w:bCs/>
          <w:sz w:val="48"/>
          <w:szCs w:val="48"/>
        </w:rPr>
      </w:pPr>
      <w:r>
        <w:rPr>
          <w:rFonts w:ascii="Calibri" w:hAnsi="Calibri" w:cs="Calibri"/>
          <w:b/>
          <w:bCs/>
          <w:sz w:val="48"/>
          <w:szCs w:val="48"/>
        </w:rPr>
        <w:drawing>
          <wp:inline distT="0" distB="0" distL="0" distR="0">
            <wp:extent cx="5633085" cy="2212975"/>
            <wp:effectExtent l="0" t="0" r="5715" b="222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rPr>
          <w:rStyle w:val="38"/>
          <w:rFonts w:ascii="Arial" w:hAnsi="Arial" w:cs="Arial"/>
          <w:sz w:val="48"/>
          <w:szCs w:val="48"/>
        </w:rPr>
      </w:pPr>
    </w:p>
    <w:p>
      <w:pPr>
        <w:spacing w:line="360" w:lineRule="auto"/>
        <w:rPr>
          <w:rFonts w:hint="default" w:ascii="Times New Roman" w:hAnsi="Times New Roman" w:cs="Times New Roman"/>
          <w:b/>
          <w:bCs/>
          <w:sz w:val="44"/>
          <w:szCs w:val="44"/>
        </w:rPr>
      </w:pPr>
    </w:p>
    <w:p>
      <w:pPr>
        <w:pStyle w:val="13"/>
        <w:spacing w:before="156" w:beforeLines="50" w:after="156" w:afterLines="50" w:line="360" w:lineRule="auto"/>
        <w:rPr>
          <w:rFonts w:hint="default" w:ascii="Arial Regular" w:hAnsi="Arial Regular" w:cs="Arial Regular" w:eastAsiaTheme="minorEastAsia"/>
          <w:b w:val="0"/>
          <w:bCs/>
          <w:caps w:val="0"/>
          <w:color w:val="000000" w:themeColor="text1"/>
          <w:spacing w:val="0"/>
          <w:sz w:val="44"/>
          <w:szCs w:val="44"/>
          <w:lang w:val="en-US" w:eastAsia="zh-CN" w:bidi="ar-SA"/>
          <w14:textFill>
            <w14:solidFill>
              <w14:schemeClr w14:val="tx1"/>
            </w14:solidFill>
          </w14:textFill>
        </w:rPr>
      </w:pPr>
      <w:r>
        <w:rPr>
          <w:rFonts w:hint="default" w:ascii="Arial Regular" w:hAnsi="Arial Regular" w:cs="Arial Regular" w:eastAsiaTheme="minorEastAsia"/>
          <w:b w:val="0"/>
          <w:bCs/>
          <w:caps w:val="0"/>
          <w:color w:val="000000" w:themeColor="text1"/>
          <w:spacing w:val="0"/>
          <w:sz w:val="44"/>
          <w:szCs w:val="44"/>
          <w:lang w:val="en-US" w:eastAsia="zh-CN" w:bidi="ar-SA"/>
          <w14:textFill>
            <w14:solidFill>
              <w14:schemeClr w14:val="tx1"/>
            </w14:solidFill>
          </w14:textFill>
        </w:rPr>
        <w:t xml:space="preserve">Doing business in South Africa: Challenges and Sensitivities in Business Communication </w:t>
      </w:r>
    </w:p>
    <w:p>
      <w:pPr>
        <w:rPr>
          <w:rFonts w:ascii="Arial" w:hAnsi="Arial" w:cs="Arial"/>
          <w:sz w:val="32"/>
          <w:szCs w:val="32"/>
        </w:rPr>
      </w:pPr>
    </w:p>
    <w:p>
      <w:pPr>
        <w:rPr>
          <w:rFonts w:ascii="Arial" w:hAnsi="Arial" w:cs="Arial"/>
          <w:sz w:val="48"/>
          <w:szCs w:val="48"/>
        </w:rPr>
      </w:pPr>
      <w:r>
        <w:rPr>
          <w:rFonts w:ascii="Arial" w:hAnsi="Arial" w:cs="Arial"/>
          <w:sz w:val="32"/>
          <w:szCs w:val="32"/>
        </w:rPr>
        <w:t xml:space="preserve">              </w:t>
      </w:r>
      <w:r>
        <w:rPr>
          <w:rFonts w:ascii="Arial" w:hAnsi="Arial" w:cs="Arial"/>
          <w:sz w:val="48"/>
          <w:szCs w:val="48"/>
        </w:rPr>
        <w:t xml:space="preserve">  </w:t>
      </w:r>
    </w:p>
    <w:p>
      <w:pPr>
        <w:spacing w:line="360" w:lineRule="auto"/>
        <w:jc w:val="center"/>
        <w:rPr>
          <w:rFonts w:hint="default" w:ascii="Arial Regular" w:hAnsi="Arial Regular" w:cs="Arial Regular"/>
          <w:b w:val="0"/>
          <w:bCs/>
          <w:color w:val="000000" w:themeColor="text1"/>
          <w:sz w:val="44"/>
          <w:szCs w:val="44"/>
          <w14:textFill>
            <w14:solidFill>
              <w14:schemeClr w14:val="tx1"/>
            </w14:solidFill>
          </w14:textFill>
        </w:rPr>
      </w:pPr>
      <w:r>
        <w:rPr>
          <w:rFonts w:hint="default" w:ascii="Arial Regular" w:hAnsi="Arial Regular" w:cs="Arial Regular"/>
          <w:b w:val="0"/>
          <w:bCs/>
          <w:color w:val="000000" w:themeColor="text1"/>
          <w:sz w:val="44"/>
          <w:szCs w:val="44"/>
          <w14:textFill>
            <w14:solidFill>
              <w14:schemeClr w14:val="tx1"/>
            </w14:solidFill>
          </w14:textFill>
        </w:rPr>
        <w:t>7 January 2022</w:t>
      </w:r>
    </w:p>
    <w:p>
      <w:pPr>
        <w:spacing w:line="360" w:lineRule="auto"/>
        <w:jc w:val="center"/>
        <w:rPr>
          <w:rFonts w:hint="default" w:ascii="Arial Regular" w:hAnsi="Arial Regular" w:cs="Arial Regular"/>
          <w:b w:val="0"/>
          <w:bCs/>
          <w:color w:val="000000" w:themeColor="text1"/>
          <w:sz w:val="44"/>
          <w:szCs w:val="44"/>
          <w14:textFill>
            <w14:solidFill>
              <w14:schemeClr w14:val="tx1"/>
            </w14:solidFill>
          </w14:textFill>
        </w:rPr>
      </w:pPr>
      <w:r>
        <w:rPr>
          <w:rFonts w:hint="default" w:ascii="Arial Regular" w:hAnsi="Arial Regular" w:cs="Arial Regular"/>
          <w:b w:val="0"/>
          <w:bCs/>
          <w:color w:val="000000" w:themeColor="text1"/>
          <w:sz w:val="44"/>
          <w:szCs w:val="44"/>
          <w14:textFill>
            <w14:solidFill>
              <w14:schemeClr w14:val="tx1"/>
            </w14:solidFill>
          </w14:textFill>
        </w:rPr>
        <w:t>Name:Li Yaodong</w:t>
      </w:r>
    </w:p>
    <w:p>
      <w:pPr>
        <w:spacing w:line="360" w:lineRule="auto"/>
        <w:jc w:val="center"/>
        <w:rPr>
          <w:rFonts w:hint="default" w:ascii="Arial Regular" w:hAnsi="Arial Regular" w:cs="Arial Regular"/>
          <w:b w:val="0"/>
          <w:bCs/>
          <w:color w:val="000000" w:themeColor="text1"/>
          <w:sz w:val="44"/>
          <w:szCs w:val="44"/>
          <w14:textFill>
            <w14:solidFill>
              <w14:schemeClr w14:val="tx1"/>
            </w14:solidFill>
          </w14:textFill>
        </w:rPr>
      </w:pPr>
      <w:r>
        <w:rPr>
          <w:rFonts w:hint="default" w:ascii="Arial Regular" w:hAnsi="Arial Regular" w:cs="Arial Regular"/>
          <w:b w:val="0"/>
          <w:bCs/>
          <w:color w:val="000000" w:themeColor="text1"/>
          <w:sz w:val="44"/>
          <w:szCs w:val="44"/>
          <w14:textFill>
            <w14:solidFill>
              <w14:schemeClr w14:val="tx1"/>
            </w14:solidFill>
          </w14:textFill>
        </w:rPr>
        <w:t>ID:2108265</w:t>
      </w:r>
    </w:p>
    <w:p>
      <w:pPr>
        <w:rPr>
          <w:rFonts w:hint="default" w:ascii="Arial" w:hAnsi="Arial" w:cs="Arial" w:eastAsiaTheme="minorEastAsia"/>
          <w:sz w:val="32"/>
          <w:szCs w:val="32"/>
          <w:lang w:val="en-US" w:eastAsia="zh-CN"/>
        </w:rPr>
      </w:pPr>
    </w:p>
    <w:p>
      <w:pPr>
        <w:rPr>
          <w:rFonts w:ascii="Arial" w:hAnsi="Arial" w:cs="Arial"/>
          <w:sz w:val="44"/>
          <w:szCs w:val="44"/>
        </w:rPr>
      </w:pPr>
    </w:p>
    <w:p>
      <w:pPr>
        <w:spacing w:before="156" w:beforeLines="50" w:after="156" w:afterLines="50" w:line="360" w:lineRule="auto"/>
        <w:rPr>
          <w:rFonts w:ascii="Arial" w:hAnsi="Arial" w:cs="Arial" w:eastAsiaTheme="majorEastAsia"/>
          <w:spacing w:val="40"/>
        </w:rPr>
      </w:pPr>
      <w:r>
        <w:rPr>
          <w:rFonts w:ascii="Arial" w:hAnsi="Arial" w:cs="Arial"/>
        </w:rPr>
        <w:br w:type="page"/>
      </w:r>
    </w:p>
    <w:p>
      <w:pPr>
        <w:spacing w:before="156" w:beforeLines="50" w:after="156" w:afterLines="50" w:line="360" w:lineRule="auto"/>
        <w:jc w:val="both"/>
        <w:rPr>
          <w:rFonts w:ascii="Arial" w:hAnsi="Arial" w:cs="Arial"/>
          <w:sz w:val="20"/>
          <w:szCs w:val="20"/>
        </w:rPr>
      </w:pPr>
      <w:r>
        <w:rPr>
          <w:rFonts w:ascii="Arial" w:hAnsi="Arial" w:cs="Arial"/>
          <w:sz w:val="20"/>
          <w:szCs w:val="20"/>
        </w:rPr>
        <w:t xml:space="preserve">At present, the process of global economic integration is accelerating, national economies are interpenetrating and interdependent featured with cross-border trades, as well as flows of talents </w:t>
      </w:r>
      <w:r>
        <w:rPr>
          <w:rFonts w:ascii="Arial" w:hAnsi="Arial" w:cs="Arial"/>
          <w:sz w:val="20"/>
          <w:szCs w:val="20"/>
        </w:rPr>
        <w:fldChar w:fldCharType="begin" w:fldLock="1"/>
      </w:r>
      <w:r>
        <w:rPr>
          <w:rFonts w:ascii="Arial" w:hAnsi="Arial" w:cs="Arial"/>
          <w:sz w:val="20"/>
          <w:szCs w:val="20"/>
        </w:rPr>
        <w:instrText xml:space="preserve">ADDIN CSL_CITATION {"citationItems":[{"id":"ITEM-1","itemData":{"DOI":"10.1177/1748048506060115","ISSN":"17480485","abstract":"Communication is the basic concept in explaining globalization, Globalization can be observed as the worldwide expansion of a functionally differentiated European society through intercultural communication, In this society, since the 17th century, intercultural communication has assumed the form of a modernist ethnocentrism based on values such as knowledge, pluralism and individualism, During the 20th century, historical changes created the necessity for new forms of intercultural communication, In the last decade of that century, a transcultural form of communication based on dialogue was proposed as a basis for cross-cultural adaptation, a creation of multicultural identities and a construction of a hybrid multicultural society, However, this transcultural form creates paradoxes and difficulties in intercultural communication, mixing the preservation of cultural difference with the search for synthesis, Consequently, a new form of intercultural dialogue, dealing with incommensurable differences and managing conflicts, is needed to create coordination among different cultural perspectives. COPYRIGHT © 2006 SAGE PUBLICATIONS.","author":[{"dropping-particle":"","family":"Baraldi","given":"Claudio","non-dropping-particle":"","parse-names":false,"suffix":""}],"container-title":"International Communication Gazette","id":"ITEM-1","issue":"1","issued":{"date-parts":[["2006","2"]]},"page":"53-69","title":"New forms of intercultural communication in a globalized world","type":"article","volume":"68"},"uris":["http://www.mendeley.com/documents/?uuid=2473dda0-8bd4-3f67-af90-6970b43b8e64"]}],"mendeley":{"formattedCitation":"(Baraldi, 2006)","plainTextFormattedCitation":"(Baraldi, 2006)","previouslyFormattedCitation":"(Baraldi, 2006)"},"properties":{"noteIndex":0},"schema":"https://github.com/citation-style-language/schema/raw/master/csl-citation.json"}</w:instrText>
      </w:r>
      <w:r>
        <w:rPr>
          <w:rFonts w:ascii="Arial" w:hAnsi="Arial" w:cs="Arial"/>
          <w:sz w:val="20"/>
          <w:szCs w:val="20"/>
        </w:rPr>
        <w:fldChar w:fldCharType="separate"/>
      </w:r>
      <w:r>
        <w:rPr>
          <w:rFonts w:ascii="Arial" w:hAnsi="Arial" w:cs="Arial"/>
          <w:sz w:val="20"/>
          <w:szCs w:val="20"/>
        </w:rPr>
        <w:t>(Baraldi, 2006)</w:t>
      </w:r>
      <w:r>
        <w:rPr>
          <w:rFonts w:ascii="Arial" w:hAnsi="Arial" w:cs="Arial"/>
          <w:sz w:val="20"/>
          <w:szCs w:val="20"/>
        </w:rPr>
        <w:fldChar w:fldCharType="end"/>
      </w:r>
      <w:r>
        <w:rPr>
          <w:rFonts w:ascii="Arial" w:hAnsi="Arial" w:cs="Arial"/>
          <w:sz w:val="20"/>
          <w:szCs w:val="20"/>
        </w:rPr>
        <w:t xml:space="preserve">. Culturally diverse employees can lead to more comprehensive and complementary skillsets and more unique perspectives in innovation, therefore resulting in enhanced productivity and performance </w:t>
      </w:r>
      <w:r>
        <w:rPr>
          <w:rFonts w:ascii="Arial" w:hAnsi="Arial" w:cs="Arial"/>
          <w:sz w:val="20"/>
          <w:szCs w:val="20"/>
        </w:rPr>
        <w:fldChar w:fldCharType="begin" w:fldLock="1"/>
      </w:r>
      <w:r>
        <w:rPr>
          <w:rFonts w:ascii="Arial" w:hAnsi="Arial" w:cs="Arial"/>
          <w:sz w:val="20"/>
          <w:szCs w:val="20"/>
        </w:rPr>
        <w:instrText xml:space="preserve">ADDIN CSL_CITATION {"citationItems":[{"id":"ITEM-1","itemData":{"DOI":"10.1002/9781119227793.ch16","ISBN":"9781119227793","abstract":"Intercultural exposures and interactions is part of the everyday life of the globalized society. Intercultural competency is imperative for living, studying and working in the contemporary society. This chapter is concerned with intercultural competency in the contexts of globalization. The chapter discusses the opportunities and challenges of intercultural communication in the global network society; articulates the theories and concepts of intercultural communication and intercultural competence; and explores the components of intercultural communication competence.","author":[{"dropping-particle":"","family":"Guo","given":"Qin","non-dropping-particle":"","parse-names":false,"suffix":""}],"container-title":"The Wiley Handbook of Global Workplace Learning","id":"ITEM-1","issued":{"date-parts":[["2019","3","25"]]},"page":"277-299","publisher":"wiley","title":"Competency in globalization and intercultural communication","type":"chapter"},"uris":["http://www.mendeley.com/documents/?uuid=c3024994-4312-3b50-ad8d-256fe6f2c23c"]},{"id":"ITEM-2","itemData":{"DOI":"10.1002/9781444390681.ch11","ISBN":"9781405184076","author":[{"dropping-particle":"","family":"Sorrells","given":"Kathryn","non-dropping-particle":"","parse-names":false,"suffix":""}],"container-title":"The Handbook of Critical Intercultural Communication","id":"ITEM-2","issued":{"date-parts":[["2011"]]},"page":"171-189","title":"Re-Imagining Intercultural Communication in the Context of Globalization","type":"chapter"},"uris":["http://www.mendeley.com/documents/?uuid=0a3b8121-5b76-3c92-b36a-c9752214c670"]}],"mendeley":{"formattedCitation":"(Sorrells, 2011; Guo, 2019)","plainTextFormattedCitation":"(Sorrells, 2011; Guo, 2019)","previouslyFormattedCitation":"(Sorrells, 2011; Guo, 2019)"},"properties":{"noteIndex":0},"schema":"https://github.com/citation-style-language/schema/raw/master/csl-citation.json"}</w:instrText>
      </w:r>
      <w:r>
        <w:rPr>
          <w:rFonts w:ascii="Arial" w:hAnsi="Arial" w:cs="Arial"/>
          <w:sz w:val="20"/>
          <w:szCs w:val="20"/>
        </w:rPr>
        <w:fldChar w:fldCharType="separate"/>
      </w:r>
      <w:r>
        <w:rPr>
          <w:rFonts w:ascii="Arial" w:hAnsi="Arial" w:cs="Arial"/>
          <w:sz w:val="20"/>
          <w:szCs w:val="20"/>
        </w:rPr>
        <w:t>(Sorrells, 2011; Guo, 2019)</w:t>
      </w:r>
      <w:r>
        <w:rPr>
          <w:rFonts w:ascii="Arial" w:hAnsi="Arial" w:cs="Arial"/>
          <w:sz w:val="20"/>
          <w:szCs w:val="20"/>
        </w:rPr>
        <w:fldChar w:fldCharType="end"/>
      </w:r>
      <w:r>
        <w:rPr>
          <w:rFonts w:ascii="Arial" w:hAnsi="Arial" w:cs="Arial"/>
          <w:sz w:val="20"/>
          <w:szCs w:val="20"/>
        </w:rPr>
        <w:t xml:space="preserve">. Smooth intercultural communication is widely perceived as a fundamental requirement to navigate a diverse team in an effective manner. Although cultural distances have been shrinking in the context of increasing globalization and technological advances, but cross-cultural business communication still remain to be demonstrably polymorphous. People from different cultural backgrounds differ greatly in terms of language, knowledge, beliefs, laws, customs and values, modes of thinking and ethics </w:t>
      </w:r>
      <w:r>
        <w:rPr>
          <w:rFonts w:ascii="Arial" w:hAnsi="Arial" w:cs="Arial"/>
          <w:sz w:val="20"/>
          <w:szCs w:val="20"/>
        </w:rPr>
        <w:fldChar w:fldCharType="begin" w:fldLock="1"/>
      </w:r>
      <w:r>
        <w:rPr>
          <w:rFonts w:ascii="Arial" w:hAnsi="Arial" w:cs="Arial"/>
          <w:sz w:val="20"/>
          <w:szCs w:val="20"/>
        </w:rPr>
        <w:instrText xml:space="preserve">ADDIN CSL_CITATION {"citationItems":[{"id":"ITEM-1","itemData":{"author":[{"dropping-particle":"","family":"Bennett","given":"Milton J","non-dropping-particle":"","parse-names":false,"suffix":""}],"id":"ITEM-1","issued":{"date-parts":[["1988"]]},"publisher":"Intercultural Press Yarmouth, ME","title":"Basic Concepts of Intercultural Communication: Selected Readings","type":"book"},"uris":["http://www.mendeley.com/documents/?uuid=ff6f6079-f280-4e70-86ac-99edddfb2f64"]}],"mendeley":{"formattedCitation":"(Bennett, 1988)","plainTextFormattedCitation":"(Bennett, 1988)","previouslyFormattedCitation":"(Bennett, 1988)"},"properties":{"noteIndex":0},"schema":"https://github.com/citation-style-language/schema/raw/master/csl-citation.json"}</w:instrText>
      </w:r>
      <w:r>
        <w:rPr>
          <w:rFonts w:ascii="Arial" w:hAnsi="Arial" w:cs="Arial"/>
          <w:sz w:val="20"/>
          <w:szCs w:val="20"/>
        </w:rPr>
        <w:fldChar w:fldCharType="separate"/>
      </w:r>
      <w:r>
        <w:rPr>
          <w:rFonts w:ascii="Arial" w:hAnsi="Arial" w:cs="Arial"/>
          <w:sz w:val="20"/>
          <w:szCs w:val="20"/>
        </w:rPr>
        <w:t>(Bennett, 1988)</w:t>
      </w:r>
      <w:r>
        <w:rPr>
          <w:rFonts w:ascii="Arial" w:hAnsi="Arial" w:cs="Arial"/>
          <w:sz w:val="20"/>
          <w:szCs w:val="20"/>
        </w:rPr>
        <w:fldChar w:fldCharType="end"/>
      </w:r>
      <w:r>
        <w:rPr>
          <w:rFonts w:ascii="Arial" w:hAnsi="Arial" w:cs="Arial"/>
          <w:sz w:val="20"/>
          <w:szCs w:val="20"/>
        </w:rPr>
        <w:t xml:space="preserve">. For any domestic businesses wants to expand their businesses internationally, it is a perquisite that they do a thorough research towards the potential challenges and sensitivities they may encounter in the potential host countries they intend to operate. The present essay investigates the challenges and sensitivities may be confronted by British businesses when operating in South Arica. </w:t>
      </w:r>
    </w:p>
    <w:p>
      <w:pPr>
        <w:spacing w:before="156" w:beforeLines="50" w:after="156" w:afterLines="50" w:line="360" w:lineRule="auto"/>
        <w:jc w:val="both"/>
        <w:rPr>
          <w:rFonts w:ascii="Arial" w:hAnsi="Arial" w:cs="Arial"/>
          <w:sz w:val="20"/>
          <w:szCs w:val="20"/>
        </w:rPr>
      </w:pPr>
      <w:r>
        <w:rPr>
          <w:rFonts w:ascii="Arial" w:hAnsi="Arial" w:cs="Arial"/>
        </w:rPr>
        <w:drawing>
          <wp:inline distT="0" distB="0" distL="0" distR="0">
            <wp:extent cx="6188075" cy="3065145"/>
            <wp:effectExtent l="0" t="0" r="3175" b="2540"/>
            <wp:docPr id="1" name="图片 1" descr="The 11 languages of South Africa - South Africa Gate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he 11 languages of South Africa - South Africa Gateway"/>
                    <pic:cNvPicPr>
                      <a:picLocks noChangeAspect="1" noChangeArrowheads="1"/>
                    </pic:cNvPicPr>
                  </pic:nvPicPr>
                  <pic:blipFill>
                    <a:blip r:embed="rId5">
                      <a:extLst>
                        <a:ext uri="{28A0092B-C50C-407E-A947-70E740481C1C}">
                          <a14:useLocalDpi xmlns:a14="http://schemas.microsoft.com/office/drawing/2010/main" val="0"/>
                        </a:ext>
                      </a:extLst>
                    </a:blip>
                    <a:srcRect t="11205" b="7655"/>
                    <a:stretch>
                      <a:fillRect/>
                    </a:stretch>
                  </pic:blipFill>
                  <pic:spPr>
                    <a:xfrm>
                      <a:off x="0" y="0"/>
                      <a:ext cx="6188710" cy="3065128"/>
                    </a:xfrm>
                    <a:prstGeom prst="rect">
                      <a:avLst/>
                    </a:prstGeom>
                    <a:noFill/>
                    <a:ln>
                      <a:noFill/>
                    </a:ln>
                  </pic:spPr>
                </pic:pic>
              </a:graphicData>
            </a:graphic>
          </wp:inline>
        </w:drawing>
      </w:r>
    </w:p>
    <w:p>
      <w:pPr>
        <w:spacing w:before="156" w:beforeLines="50" w:after="156" w:afterLines="50" w:line="360" w:lineRule="auto"/>
        <w:jc w:val="center"/>
        <w:rPr>
          <w:rStyle w:val="38"/>
          <w:rFonts w:ascii="Arial" w:hAnsi="Arial" w:cs="Arial"/>
        </w:rPr>
      </w:pPr>
      <w:r>
        <w:rPr>
          <w:rStyle w:val="38"/>
          <w:rFonts w:ascii="Arial" w:hAnsi="Arial" w:cs="Arial"/>
        </w:rPr>
        <w:t>Figure 1. Official languages spoken by South Africans.</w:t>
      </w:r>
    </w:p>
    <w:p>
      <w:pPr>
        <w:spacing w:before="156" w:beforeLines="50" w:after="156" w:afterLines="50" w:line="360" w:lineRule="auto"/>
        <w:jc w:val="center"/>
        <w:rPr>
          <w:rFonts w:ascii="Arial" w:hAnsi="Arial" w:cs="Arial"/>
          <w:b/>
          <w:bCs/>
          <w:i/>
          <w:iCs/>
          <w:spacing w:val="10"/>
          <w:sz w:val="20"/>
          <w:szCs w:val="20"/>
        </w:rPr>
      </w:pPr>
      <w:r>
        <w:rPr>
          <w:rStyle w:val="38"/>
          <w:rFonts w:ascii="Arial" w:hAnsi="Arial" w:cs="Arial"/>
        </w:rPr>
        <w:t xml:space="preserve">Source: </w:t>
      </w:r>
      <w:r>
        <w:rPr>
          <w:rStyle w:val="38"/>
          <w:rFonts w:ascii="Arial" w:hAnsi="Arial" w:cs="Arial"/>
        </w:rPr>
        <w:fldChar w:fldCharType="begin" w:fldLock="1"/>
      </w:r>
      <w:r>
        <w:rPr>
          <w:rStyle w:val="38"/>
          <w:rFonts w:ascii="Arial" w:hAnsi="Arial" w:cs="Arial"/>
        </w:rPr>
        <w:instrText xml:space="preserve">ADDIN CSL_CITATION {"citationItems":[{"id":"ITEM-1","itemData":{"URL":"https://southafrica-info.com/arts-culture/11-languages-south-africa/","accessed":{"date-parts":[["2022","1","4"]]},"author":[{"dropping-particle":"","family":"South Africa Gateway","given":"","non-dropping-particle":"","parse-names":false,"suffix":""}],"id":"ITEM-1","issued":{"date-parts":[["2018"]]},"title":"The 11 languages of South Africa","type":"webpage"},"uris":["http://www.mendeley.com/documents/?uuid=9a7aba7a-d074-3840-a527-aa45f53d4652"]}],"mendeley":{"formattedCitation":"(South Africa Gateway, 2018)","plainTextFormattedCitation":"(South Africa Gateway, 2018)","previouslyFormattedCitation":"(South Africa Gateway, 2018)"},"properties":{"noteIndex":0},"schema":"https://github.com/citation-style-language/schema/raw/master/csl-citation.json"}</w:instrText>
      </w:r>
      <w:r>
        <w:rPr>
          <w:rStyle w:val="38"/>
          <w:rFonts w:ascii="Arial" w:hAnsi="Arial" w:cs="Arial"/>
        </w:rPr>
        <w:fldChar w:fldCharType="separate"/>
      </w:r>
      <w:r>
        <w:rPr>
          <w:rStyle w:val="38"/>
          <w:rFonts w:ascii="Arial" w:hAnsi="Arial" w:cs="Arial"/>
        </w:rPr>
        <w:t>(South Africa Gateway, 2018)</w:t>
      </w:r>
      <w:r>
        <w:rPr>
          <w:rStyle w:val="38"/>
          <w:rFonts w:ascii="Arial" w:hAnsi="Arial" w:cs="Arial"/>
        </w:rPr>
        <w:fldChar w:fldCharType="end"/>
      </w:r>
    </w:p>
    <w:p>
      <w:pPr>
        <w:spacing w:before="156" w:beforeLines="50" w:after="156" w:afterLines="50" w:line="360" w:lineRule="auto"/>
        <w:jc w:val="both"/>
        <w:rPr>
          <w:rFonts w:ascii="Arial" w:hAnsi="Arial" w:cs="Arial"/>
          <w:sz w:val="22"/>
          <w:szCs w:val="22"/>
        </w:rPr>
      </w:pPr>
      <w:r>
        <w:rPr>
          <w:rFonts w:ascii="Arial" w:hAnsi="Arial" w:cs="Arial"/>
          <w:sz w:val="20"/>
          <w:szCs w:val="20"/>
        </w:rPr>
        <w:t xml:space="preserve">Verbal communication, as well as the accompanying non-verbal communication, has been the most prominent way in intercultural communication. The official language used by British companies will, of course, be English. However, South Africa has been famous for its language diversity, as it has 11 official languages that may emerge in the workplace </w:t>
      </w:r>
      <w:r>
        <w:rPr>
          <w:rFonts w:ascii="Arial" w:hAnsi="Arial" w:cs="Arial"/>
          <w:sz w:val="20"/>
          <w:szCs w:val="20"/>
        </w:rPr>
        <w:fldChar w:fldCharType="begin" w:fldLock="1"/>
      </w:r>
      <w:r>
        <w:rPr>
          <w:rFonts w:ascii="Arial" w:hAnsi="Arial" w:cs="Arial"/>
          <w:sz w:val="20"/>
          <w:szCs w:val="20"/>
        </w:rPr>
        <w:instrText xml:space="preserve">ADDIN CSL_CITATION {"citationItems":[{"id":"ITEM-1","itemData":{"URL":"https://southafrica-info.com/arts-culture/11-languages-south-africa/","accessed":{"date-parts":[["2022","1","4"]]},"author":[{"dropping-particle":"","family":"South Africa Gateway","given":"","non-dropping-particle":"","parse-names":false,"suffix":""}],"id":"ITEM-1","issued":{"date-parts":[["2018"]]},"title":"The 11 languages of South Africa","type":"webpage"},"uris":["http://www.mendeley.com/documents/?uuid=9a7aba7a-d074-3840-a527-aa45f53d4652"]}],"mendeley":{"formattedCitation":"(South Africa Gateway, 2018)","plainTextFormattedCitation":"(South Africa Gateway, 2018)","previouslyFormattedCitation":"(South Africa Gateway, 2018)"},"properties":{"noteIndex":0},"schema":"https://github.com/citation-style-language/schema/raw/master/csl-citation.json"}</w:instrText>
      </w:r>
      <w:r>
        <w:rPr>
          <w:rFonts w:ascii="Arial" w:hAnsi="Arial" w:cs="Arial"/>
          <w:sz w:val="20"/>
          <w:szCs w:val="20"/>
        </w:rPr>
        <w:fldChar w:fldCharType="separate"/>
      </w:r>
      <w:r>
        <w:rPr>
          <w:rFonts w:ascii="Arial" w:hAnsi="Arial" w:cs="Arial"/>
          <w:sz w:val="20"/>
          <w:szCs w:val="20"/>
        </w:rPr>
        <w:t>(South Africa Gateway, 2018)</w:t>
      </w:r>
      <w:r>
        <w:rPr>
          <w:rFonts w:ascii="Arial" w:hAnsi="Arial" w:cs="Arial"/>
          <w:sz w:val="20"/>
          <w:szCs w:val="20"/>
        </w:rPr>
        <w:fldChar w:fldCharType="end"/>
      </w:r>
      <w:r>
        <w:rPr>
          <w:rFonts w:ascii="Arial" w:hAnsi="Arial" w:cs="Arial"/>
          <w:sz w:val="20"/>
          <w:szCs w:val="20"/>
        </w:rPr>
        <w:t xml:space="preserve">. Specifically, IsiZulu and isiXhosa are the most two </w:t>
      </w:r>
      <w:r>
        <w:rPr>
          <w:rFonts w:ascii="Arial" w:hAnsi="Arial" w:cs="Arial"/>
          <w:sz w:val="22"/>
          <w:szCs w:val="22"/>
        </w:rPr>
        <w:t xml:space="preserve">commonly used languages, and English is spoken by only one in ten people </w:t>
      </w:r>
      <w:r>
        <w:rPr>
          <w:rFonts w:ascii="Arial" w:hAnsi="Arial" w:cs="Arial"/>
          <w:sz w:val="22"/>
          <w:szCs w:val="22"/>
        </w:rPr>
        <w:fldChar w:fldCharType="begin" w:fldLock="1"/>
      </w:r>
      <w:r>
        <w:rPr>
          <w:rFonts w:ascii="Arial" w:hAnsi="Arial" w:cs="Arial"/>
          <w:sz w:val="22"/>
          <w:szCs w:val="22"/>
        </w:rPr>
        <w:instrText xml:space="preserve">ADDIN CSL_CITATION {"citationItems":[{"id":"ITEM-1","itemData":{"URL":"https://www.worldatlas.com/articles/languages-of-south-africa.html","accessed":{"date-parts":[["2022","1","4"]]},"author":[{"dropping-particle":"","family":"World Atlas","given":"","non-dropping-particle":"","parse-names":false,"suffix":""}],"id":"ITEM-1","issued":{"date-parts":[["2018"]]},"title":"Languages Of South Africa","type":"webpage"},"uris":["http://www.mendeley.com/documents/?uuid=fc29936a-6348-3e9c-8852-20e04347139d"]}],"mendeley":{"formattedCitation":"(World Atlas, 2018)","plainTextFormattedCitation":"(World Atlas, 2018)","previouslyFormattedCitation":"(World Atlas, 2018)"},"properties":{"noteIndex":0},"schema":"https://github.com/citation-style-language/schema/raw/master/csl-citation.json"}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(World Atlas, 2018)</w:t>
      </w:r>
      <w:r>
        <w:rPr>
          <w:rFonts w:ascii="Arial" w:hAnsi="Arial" w:cs="Arial"/>
          <w:sz w:val="22"/>
          <w:szCs w:val="22"/>
        </w:rPr>
        <w:fldChar w:fldCharType="end"/>
      </w:r>
      <w:r>
        <w:rPr>
          <w:rFonts w:ascii="Arial" w:hAnsi="Arial" w:cs="Arial"/>
          <w:sz w:val="22"/>
          <w:szCs w:val="22"/>
        </w:rPr>
        <w:t>. Although English is an urban language of public life, widely used in the businesses and governments in cities such as Johannesburg, Durban, etc.</w:t>
      </w:r>
      <w:r>
        <w:rPr>
          <w:rFonts w:ascii="Arial" w:hAnsi="Arial" w:cs="Arial"/>
          <w:sz w:val="22"/>
          <w:szCs w:val="22"/>
        </w:rPr>
        <w:fldChar w:fldCharType="begin" w:fldLock="1"/>
      </w:r>
      <w:r>
        <w:rPr>
          <w:rFonts w:ascii="Arial" w:hAnsi="Arial" w:cs="Arial"/>
          <w:sz w:val="22"/>
          <w:szCs w:val="22"/>
        </w:rPr>
        <w:instrText xml:space="preserve">ADDIN CSL_CITATION {"citationItems":[{"id":"ITEM-1","itemData":{"DOI":"10.1080/20786190.2014.977034","ISSN":"20786204","abstract":"Background: Culture is the framework that directs human behaviour in a given situation. Accordingly, culture also influences the meaning and expression of pain. However, the influence of culture on the communication of pain is not always understood and considered by healthcare practitioners. It is often erroneously anticipated that all children (irrespective of cultural origin) will express pain either through quiet endurance or loud verbal complaints. This view could contribute to the inadequate management of pain that is so often described in pain literature. Pain assessment and measurement are integral components of pain management, but are often negatively affected by the healthcare professional’s pre-conceived ideas, as well as by his or her inability to understand the cultural meaning of pain, the non-verbal and verbal language of pain, and the patient’s ability to cope with pain. Method: The aim of this study was to identify the unique meaning of pain in reference to both general and paediatric pain. In addition, the study aimed at gaining insight into the origin and management of pain. This was achieved by means of qualitative methodology. The study group included people from the South African Nguni and Sotho cultures. A total of 42 participants, who were on average 42 years old, were interviewed. Results: The study indeed indicated variances between the experience and expression of pain and the generally accepted idea that pain is not culture based. Conclusion: Health care providers need to be increasingly aware of and sensitive to the cultural expression of pain and how differences in the communication of pain could possibly influence their care plan.","author":[{"dropping-particle":"","family":"Nortjé","given":"Nico","non-dropping-particle":"","parse-names":false,"suffix":""},{"dropping-particle":"","family":"Albertyn","given":"René","non-dropping-particle":"","parse-names":false,"suffix":""}],"container-title":"South African Family Practice","id":"ITEM-1","issue":"1","issued":{"date-parts":[["2015"]]},"page":"24-27","publisher":"Medpharm Publications","title":"The cultural language of pain: A South African study","type":"article-journal","volume":"57"},"uris":["http://www.mendeley.com/documents/?uuid=4a7fe513-e32b-3562-badf-37e01a5504f0"]}],"mendeley":{"formattedCitation":"(Nortjé and Albertyn, 2015)","plainTextFormattedCitation":"(Nortjé and Albertyn, 2015)","previouslyFormattedCitation":"(Nortjé and Albertyn, 2015)"},"properties":{"noteIndex":0},"schema":"https://github.com/citation-style-language/schema/raw/master/csl-citation.json"}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(Nortjé and Albertyn, 2015)</w:t>
      </w:r>
      <w:r>
        <w:rPr>
          <w:rFonts w:ascii="Arial" w:hAnsi="Arial" w:cs="Arial"/>
          <w:sz w:val="22"/>
          <w:szCs w:val="22"/>
        </w:rPr>
        <w:fldChar w:fldCharType="end"/>
      </w:r>
      <w:r>
        <w:rPr>
          <w:rFonts w:ascii="Arial" w:hAnsi="Arial" w:cs="Arial"/>
          <w:sz w:val="22"/>
          <w:szCs w:val="22"/>
        </w:rPr>
        <w:t xml:space="preserve"> However, the insistencies on using English when operating in South Africa may result in extra complexities when communicating to local employees, or operating in less developed cities where English is not commonly used. The evident gap here posed by language barriers here is an absolute challenge for British businesses. Languages are not the only factors we should consider in communication. Words and texts can be perceived in a very different way due to contextual cues. South Africa has experienced a unique evolution brought about by immigration from Europe, which results in low ethnic homogeneity. Like most European countries, South Africa has a low context culture judging by the criteria by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{"citationItems":[{"id":"ITEM-1","itemData":{"author":[{"dropping-particle":"","family":"Hall","given":"Edward Twitchell","non-dropping-particle":"","parse-names":false,"suffix":""}],"id":"ITEM-1","issued":{"date-parts":[["1989"]]},"publisher":"Anchor","title":"Beyond culture","type":"book"},"uris":["http://www.mendeley.com/documents/?uuid=1b3ebd38-8755-4d8c-bae2-77db7e732ae8"]}],"mendeley":{"formattedCitation":"(Hall, 1989)","manualFormatting":"Hall (1989)","plainTextFormattedCitation":"(Hall, 1989)","previouslyFormattedCitation":"(Hall, 1989)"},"properties":{"noteIndex":0},"schema":"https://github.com/citation-style-language/schema/raw/master/csl-citation.json"}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Hall (1989)</w:t>
      </w:r>
      <w:r>
        <w:rPr>
          <w:rFonts w:ascii="Arial" w:hAnsi="Arial" w:cs="Arial"/>
          <w:sz w:val="22"/>
          <w:szCs w:val="22"/>
        </w:rPr>
        <w:fldChar w:fldCharType="end"/>
      </w:r>
      <w:r>
        <w:rPr>
          <w:rFonts w:ascii="Arial" w:hAnsi="Arial" w:cs="Arial"/>
          <w:sz w:val="22"/>
          <w:szCs w:val="22"/>
        </w:rPr>
        <w:t xml:space="preserve"> in classifying cultures according to their specific communication style, which is in the same category as Britain. In general, that means they both communicate in an explicit and straightforward manner with relatively high reliance on verbal and written information to information exchange, and with specific communication contexts less important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{"citationItems":[{"id":"ITEM-1","itemData":{"author":[{"dropping-particle":"","family":"Thompson","given":"Leonard","non-dropping-particle":"","parse-names":false,"suffix":""}],"id":"ITEM-1","issued":{"date-parts":[["2014"]]},"publisher":"Yale University Press","title":"A history of South Africa","type":"book"},"uris":["http://www.mendeley.com/documents/?uuid=291218c4-3d17-40d1-b021-4e5485fd131b"]}],"mendeley":{"formattedCitation":"(Thompson, 2014)","plainTextFormattedCitation":"(Thompson, 2014)","previouslyFormattedCitation":"(Thompson, 2014)"},"properties":{"noteIndex":0},"schema":"https://github.com/citation-style-language/schema/raw/master/csl-citation.json"}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(Thompson, 2014)</w:t>
      </w:r>
      <w:r>
        <w:rPr>
          <w:rFonts w:ascii="Arial" w:hAnsi="Arial" w:cs="Arial"/>
          <w:sz w:val="22"/>
          <w:szCs w:val="22"/>
        </w:rPr>
        <w:fldChar w:fldCharType="end"/>
      </w:r>
      <w:r>
        <w:rPr>
          <w:rFonts w:ascii="Arial" w:hAnsi="Arial" w:cs="Arial"/>
          <w:sz w:val="22"/>
          <w:szCs w:val="22"/>
        </w:rPr>
        <w:t xml:space="preserve">. However, the complex culture of South Africa still indicates some differences in communication styles across communities. For instance, the black South Africans have a relative higher context culture, as they prefer to convey information both verbally and non-verbally and pretty talkative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{"citationItems":[{"id":"ITEM-1","itemData":{"author":[{"dropping-particle":"","family":"Berg","given":"Astrid","non-dropping-particle":"","parse-names":false,"suffix":""}],"id":"ITEM-1","issued":{"date-parts":[["2012"]]},"publisher":"Texas University Press","title":"Connecting with South Africa: Cultural communication and understanding","type":"book"},"uris":["http://www.mendeley.com/documents/?uuid=bd23436f-89ba-44d6-a55d-00f9d6525b88"]}],"mendeley":{"formattedCitation":"(Berg, 2012)","plainTextFormattedCitation":"(Berg, 2012)","previouslyFormattedCitation":"(Berg, 2012)"},"properties":{"noteIndex":0},"schema":"https://github.com/citation-style-language/schema/raw/master/csl-citation.json"}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(Berg, 2012)</w:t>
      </w:r>
      <w:r>
        <w:rPr>
          <w:rFonts w:ascii="Arial" w:hAnsi="Arial" w:cs="Arial"/>
          <w:sz w:val="22"/>
          <w:szCs w:val="22"/>
        </w:rPr>
        <w:fldChar w:fldCharType="end"/>
      </w:r>
      <w:r>
        <w:rPr>
          <w:rFonts w:ascii="Arial" w:hAnsi="Arial" w:cs="Arial"/>
          <w:sz w:val="22"/>
          <w:szCs w:val="22"/>
        </w:rPr>
        <w:t xml:space="preserve">. Also, the black majority have a strong tribal identity, and interacting with them tends to be noisy, folksy, and do not strictly adhere to agendas. Meanwhile, white South Africans of European origins are typically prouder of their cultural heritage and communicate in an elegant, relaxed, and reserved way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{"citationItems":[{"id":"ITEM-1","itemData":{"author":[{"dropping-particle":"","family":"Hadfield","given":"Leslie Anne","non-dropping-particle":"","parse-names":false,"suffix":""}],"id":"ITEM-1","issued":{"date-parts":[["2016"]]},"publisher":"MSU Press","title":"Liberation and development: Black consciousness community programs in South Africa","type":"book"},"uris":["http://www.mendeley.com/documents/?uuid=93f111c1-c857-4d89-afbe-92acd701745d"]}],"mendeley":{"formattedCitation":"(Hadfield, 2016)","plainTextFormattedCitation":"(Hadfield, 2016)","previouslyFormattedCitation":"(Hadfield, 2016)"},"properties":{"noteIndex":0},"schema":"https://github.com/citation-style-language/schema/raw/master/csl-citation.json"}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(Hadfield, 2016)</w:t>
      </w:r>
      <w:r>
        <w:rPr>
          <w:rFonts w:ascii="Arial" w:hAnsi="Arial" w:cs="Arial"/>
          <w:sz w:val="22"/>
          <w:szCs w:val="22"/>
        </w:rPr>
        <w:fldChar w:fldCharType="end"/>
      </w:r>
      <w:r>
        <w:rPr>
          <w:rFonts w:ascii="Arial" w:hAnsi="Arial" w:cs="Arial"/>
          <w:sz w:val="22"/>
          <w:szCs w:val="22"/>
        </w:rPr>
        <w:t xml:space="preserve">. The diversity of the official languages and the diversity of tribal cultures present an obvious challenge for British people. It is important for them to figure out the specific communities their employees are from, and adopt an appropriate way of communication according to the specific communication styles. The solution for British businesses is to design and implement some basic communication training to both British and South African employees. The contents of training should involve language skills and communication styles. Choosing one official language, such as English to be used in the workplace communication is highly necessary to remove any language barriers, but the understanding on other languages and communication styles with different South African communities can help with developing a more cohesive and transparent working environment. </w:t>
      </w:r>
    </w:p>
    <w:p>
      <w:pPr>
        <w:spacing w:before="156" w:beforeLines="50" w:after="156" w:afterLines="50" w:line="360" w:lineRule="auto"/>
        <w:jc w:val="center"/>
        <w:rPr>
          <w:rFonts w:ascii="Arial" w:hAnsi="Arial" w:cs="Arial"/>
          <w:sz w:val="22"/>
          <w:szCs w:val="22"/>
        </w:rPr>
      </w:pPr>
      <w:r>
        <w:rPr>
          <w:rFonts w:ascii="Arial" w:hAnsi="Arial" w:cs="Arial"/>
          <w:sz w:val="22"/>
          <w:szCs w:val="22"/>
        </w:rPr>
        <w:drawing>
          <wp:inline distT="0" distB="0" distL="0" distR="0">
            <wp:extent cx="4824095" cy="280416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4823878" cy="2804403"/>
                    </a:xfrm>
                    <a:prstGeom prst="rect">
                      <a:avLst/>
                    </a:prstGeom>
                  </pic:spPr>
                </pic:pic>
              </a:graphicData>
            </a:graphic>
          </wp:inline>
        </w:drawing>
      </w:r>
    </w:p>
    <w:p>
      <w:pPr>
        <w:spacing w:before="156" w:beforeLines="50" w:after="156" w:afterLines="50" w:line="360" w:lineRule="auto"/>
        <w:jc w:val="center"/>
        <w:rPr>
          <w:rStyle w:val="38"/>
          <w:rFonts w:ascii="Arial" w:hAnsi="Arial" w:cs="Arial"/>
          <w:sz w:val="22"/>
          <w:szCs w:val="22"/>
        </w:rPr>
      </w:pPr>
      <w:r>
        <w:rPr>
          <w:rStyle w:val="38"/>
          <w:rFonts w:ascii="Arial" w:hAnsi="Arial" w:cs="Arial"/>
          <w:sz w:val="22"/>
          <w:szCs w:val="22"/>
        </w:rPr>
        <w:t>Figure 2. Country comparison: South Africa and United Kingdom</w:t>
      </w:r>
    </w:p>
    <w:p>
      <w:pPr>
        <w:spacing w:before="156" w:beforeLines="50" w:after="156" w:afterLines="50" w:line="360" w:lineRule="auto"/>
        <w:jc w:val="center"/>
        <w:rPr>
          <w:rStyle w:val="38"/>
          <w:rFonts w:ascii="Arial" w:hAnsi="Arial" w:cs="Arial"/>
          <w:sz w:val="22"/>
          <w:szCs w:val="22"/>
        </w:rPr>
      </w:pPr>
      <w:r>
        <w:rPr>
          <w:rStyle w:val="38"/>
          <w:rFonts w:ascii="Arial" w:hAnsi="Arial" w:cs="Arial"/>
          <w:sz w:val="22"/>
          <w:szCs w:val="22"/>
        </w:rPr>
        <w:t xml:space="preserve">Source: </w:t>
      </w:r>
      <w:r>
        <w:rPr>
          <w:rStyle w:val="38"/>
          <w:rFonts w:ascii="Arial" w:hAnsi="Arial" w:cs="Arial"/>
          <w:sz w:val="22"/>
          <w:szCs w:val="22"/>
        </w:rPr>
        <w:fldChar w:fldCharType="begin" w:fldLock="1"/>
      </w:r>
      <w:r>
        <w:rPr>
          <w:rStyle w:val="38"/>
          <w:rFonts w:ascii="Arial" w:hAnsi="Arial" w:cs="Arial"/>
          <w:sz w:val="22"/>
          <w:szCs w:val="22"/>
        </w:rPr>
        <w:instrText xml:space="preserve">ADDIN CSL_CITATION {"citationItems":[{"id":"ITEM-1","itemData":{"URL":"https://www.hofstede-insights.com/country-comparison/south-africa,the-uk/","accessed":{"date-parts":[["2022","1","4"]]},"author":[{"dropping-particle":"","family":"Hofstede Insight","given":"","non-dropping-particle":"","parse-names":false,"suffix":""}],"id":"ITEM-1","issued":{"date-parts":[["0"]]},"title":"Country Comparison - Hofstede Insights","type":"webpage"},"uris":["http://www.mendeley.com/documents/?uuid=a0f44174-d885-3d33-b598-8bd03308915b"]}],"mendeley":{"formattedCitation":"(Hofstede Insight, no date)","plainTextFormattedCitation":"(Hofstede Insight, no date)","previouslyFormattedCitation":"(Hofstede Insight, no date)"},"properties":{"noteIndex":0},"schema":"https://github.com/citation-style-language/schema/raw/master/csl-citation.json"}</w:instrText>
      </w:r>
      <w:r>
        <w:rPr>
          <w:rStyle w:val="38"/>
          <w:rFonts w:ascii="Arial" w:hAnsi="Arial" w:cs="Arial"/>
          <w:sz w:val="22"/>
          <w:szCs w:val="22"/>
        </w:rPr>
        <w:fldChar w:fldCharType="separate"/>
      </w:r>
      <w:r>
        <w:rPr>
          <w:rStyle w:val="38"/>
          <w:rFonts w:ascii="Arial" w:hAnsi="Arial" w:cs="Arial"/>
          <w:b w:val="0"/>
          <w:i w:val="0"/>
          <w:sz w:val="22"/>
          <w:szCs w:val="22"/>
        </w:rPr>
        <w:t>(Hofstede Insight, no date)</w:t>
      </w:r>
      <w:r>
        <w:rPr>
          <w:rStyle w:val="38"/>
          <w:rFonts w:ascii="Arial" w:hAnsi="Arial" w:cs="Arial"/>
          <w:sz w:val="22"/>
          <w:szCs w:val="22"/>
        </w:rPr>
        <w:fldChar w:fldCharType="end"/>
      </w:r>
    </w:p>
    <w:p>
      <w:pPr>
        <w:spacing w:before="156" w:beforeLines="50" w:after="156" w:afterLines="50" w:line="360" w:lineRule="auto"/>
        <w:jc w:val="both"/>
        <w:rPr>
          <w:rFonts w:ascii="Arial" w:hAnsi="Arial" w:cs="Arial"/>
          <w:sz w:val="22"/>
          <w:szCs w:val="22"/>
        </w:rPr>
      </w:pPr>
      <w:r>
        <w:rPr>
          <w:rFonts w:ascii="Arial" w:hAnsi="Arial" w:cs="Arial"/>
          <w:sz w:val="22"/>
          <w:szCs w:val="22"/>
        </w:rPr>
        <w:t xml:space="preserve">However, international business communication concerns more than verbal and non-verbal communication mentioned above. More awareness and sensitivity should also be placed in the other underlying influential factors. In a multicultural workplace, employees from both parties are influenced by their own culture and the culture of the organization to form a code of conduct and value evaluation standards, when they are exposed to the new culture brought by foreign employees, there might be barriers in communication </w:t>
      </w:r>
      <w:r>
        <w:rPr>
          <w:rFonts w:ascii="Arial" w:hAnsi="Arial" w:cs="Arial"/>
          <w:sz w:val="22"/>
          <w:szCs w:val="22"/>
        </w:rPr>
        <w:fldChar w:fldCharType="begin" w:fldLock="1"/>
      </w:r>
      <w:r>
        <w:rPr>
          <w:rFonts w:ascii="Arial" w:hAnsi="Arial" w:cs="Arial"/>
          <w:sz w:val="22"/>
          <w:szCs w:val="22"/>
        </w:rPr>
        <w:instrText xml:space="preserve">ADDIN CSL_CITATION {"citationItems":[{"id":"ITEM-1","itemData":{"ISSN":"1839-9053","abstract":"With the accelerating pace of globalization and unprecedentedly increase of population mobility, intercultural contact has been penetrated into every field of the world in an interwoven and interdependent form. The complex interdependency and interconnectivity require a deeper understanding of the varieties and characteristics of intercultural contacts. Since Oberg proposed the concept “cultural shock” in 1960, the research on intercultural contacts has been developed for more than half a century, and a relatively complete theoretical framework has been established. The paper, through a comprehensive review of the literature, gives an explicit timeline of the research development. Barry’s acculturation and its varieties and Affect-Behavior-Cognition (ABC) theories are clearly demonstrated in the paper.","author":[{"dropping-particle":"","family":"Yue","given":"Yun","non-dropping-particle":"","parse-names":false,"suffix":""},{"dropping-particle":"","family":"Le","given":"Quynh","non-dropping-particle":"","parse-names":false,"suffix":""}],"container-title":"International Journal of Innovative Interdisciplinary Research","id":"ITEM-1","issue":"2","issued":{"date-parts":[["2012"]]},"page":"133-141","title":"From “ Cultural Shock ” to “ ABC Framework ”: Development of Intercultural Contact Theory","type":"article-journal","volume":"2"},"uris":["http://www.mendeley.com/documents/?uuid=4266caef-a6d0-3296-a8d3-be221d6ec5e9"]}],"mendeley":{"formattedCitation":"(Yue and Le, 2012)","plainTextFormattedCitation":"(Yue and Le, 2012)","previouslyFormattedCitation":"(Yue and Le, 2012)"},"properties":{"noteIndex":0},"schema":"https://github.com/citation-style-language/schema/raw/master/csl-citation.json"}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(Yue and Le, 2012)</w:t>
      </w:r>
      <w:r>
        <w:rPr>
          <w:rFonts w:ascii="Arial" w:hAnsi="Arial" w:cs="Arial"/>
          <w:sz w:val="22"/>
          <w:szCs w:val="22"/>
        </w:rPr>
        <w:fldChar w:fldCharType="end"/>
      </w:r>
      <w:r>
        <w:rPr>
          <w:rFonts w:ascii="Arial" w:hAnsi="Arial" w:cs="Arial"/>
          <w:sz w:val="22"/>
          <w:szCs w:val="22"/>
        </w:rPr>
        <w:t xml:space="preserve">. The six cultural dimensions promoted by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{"citationItems":[{"id":"ITEM-1","itemData":{"author":[{"dropping-particle":"","family":"Hofstede","given":"Geert.","non-dropping-particle":"","parse-names":false,"suffix":""}],"container-title":"Online readings in psychology and culture","id":"ITEM-1","issue":"1","issued":{"date-parts":[["2011"]]},"page":"2307-0919","title":"Dimensionalizing cultures: The Hofstede model in context.","type":"article-journal","volume":"2"},"uris":["http://www.mendeley.com/documents/?uuid=0c03a322-ea08-457c-85f8-155229884277"]}],"mendeley":{"formattedCitation":"(Hofstede, 2011)","manualFormatting":"Hofstede (2011)","plainTextFormattedCitation":"(Hofstede, 2011)","previouslyFormattedCitation":"(Hofstede, 2011)"},"properties":{"noteIndex":0},"schema":"https://github.com/citation-style-language/schema/raw/master/csl-citation.json"}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Hofstede (2011)</w:t>
      </w:r>
      <w:r>
        <w:rPr>
          <w:rFonts w:ascii="Arial" w:hAnsi="Arial" w:cs="Arial"/>
          <w:sz w:val="22"/>
          <w:szCs w:val="22"/>
        </w:rPr>
        <w:fldChar w:fldCharType="end"/>
      </w:r>
      <w:r>
        <w:rPr>
          <w:rFonts w:ascii="Arial" w:hAnsi="Arial" w:cs="Arial"/>
          <w:sz w:val="22"/>
          <w:szCs w:val="22"/>
        </w:rPr>
        <w:t xml:space="preserve"> affords us a great practical framework to compare South African culture towards the British culture and figure out specific details British people should pay attention to. In terms of power distance, South African employees, despite belove than the average level, still accept a more hierarchical order than British employees, indicating everybody prefers a specific job position that needs further justification </w:t>
      </w:r>
      <w:r>
        <w:rPr>
          <w:rFonts w:ascii="Arial" w:hAnsi="Arial" w:cs="Arial"/>
          <w:sz w:val="22"/>
          <w:szCs w:val="22"/>
        </w:rPr>
        <w:fldChar w:fldCharType="begin" w:fldLock="1"/>
      </w:r>
      <w:r>
        <w:rPr>
          <w:rFonts w:ascii="Arial" w:hAnsi="Arial" w:cs="Arial"/>
          <w:sz w:val="22"/>
          <w:szCs w:val="22"/>
        </w:rPr>
        <w:instrText xml:space="preserve">ADDIN CSL_CITATION {"citationItems":[{"id":"ITEM-1","itemData":{"DOI":"10.5465/amp.2012.0033","ISSN":"15589080","abstract":"While management research has made significant progress in globalizing its reach, African organizations have remained a missing link. We argue that Africa-focused management research may address the major problem of organizational effectiveness through work on the two major theoretical building blocks: institutions and resources. Building a model of organizational effectiveness in Africa, this article discusses the interactive processes within each of the two building blocks and the transformational mechanisms that link each theory and organizational effectiveness in the African context.","author":[{"dropping-particle":"","family":"Zoogah","given":"David B.","non-dropping-particle":"","parse-names":false,"suffix":""},{"dropping-particle":"","family":"Peng","given":"Mike W.","non-dropping-particle":"","parse-names":false,"suffix":""},{"dropping-particle":"","family":"Woldu","given":"Habte","non-dropping-particle":"","parse-names":false,"suffix":""}],"container-title":"Academy of Management Perspectives","id":"ITEM-1","issue":"1","issued":{"date-parts":[["2015","2","1"]]},"page":"7-31","publisher":"Academy of Management","title":"Institutions, resources, and organizational effectiveness in Africa","type":"paper-conference","volume":"29"},"uris":["http://www.mendeley.com/documents/?uuid=383474d5-ee72-3cdb-98e1-ad9398dd7aac"]}],"mendeley":{"formattedCitation":"(Zoogah, Peng and Woldu, 2015)","plainTextFormattedCitation":"(Zoogah, Peng and Woldu, 2015)","previouslyFormattedCitation":"(Zoogah, Peng and Woldu, 2015)"},"properties":{"noteIndex":0},"schema":"https://github.com/citation-style-language/schema/raw/master/csl-citation.json"}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(Zoogah, Peng and Woldu, 2015)</w:t>
      </w:r>
      <w:r>
        <w:rPr>
          <w:rFonts w:ascii="Arial" w:hAnsi="Arial" w:cs="Arial"/>
          <w:sz w:val="22"/>
          <w:szCs w:val="22"/>
        </w:rPr>
        <w:fldChar w:fldCharType="end"/>
      </w:r>
      <w:r>
        <w:rPr>
          <w:rFonts w:ascii="Arial" w:hAnsi="Arial" w:cs="Arial"/>
          <w:sz w:val="22"/>
          <w:szCs w:val="22"/>
        </w:rPr>
        <w:t xml:space="preserve">. The senior leaderships make the final decision, after or even without consensus with subordinates. The main topics of conversation are usually carried out by the top, and the bottom is more of a feedback source </w:t>
      </w:r>
      <w:r>
        <w:rPr>
          <w:rFonts w:ascii="Arial" w:hAnsi="Arial" w:cs="Arial"/>
          <w:sz w:val="22"/>
          <w:szCs w:val="22"/>
        </w:rPr>
        <w:fldChar w:fldCharType="begin" w:fldLock="1"/>
      </w:r>
      <w:r>
        <w:rPr>
          <w:rFonts w:ascii="Arial" w:hAnsi="Arial" w:cs="Arial"/>
          <w:sz w:val="22"/>
          <w:szCs w:val="22"/>
        </w:rPr>
        <w:instrText xml:space="preserve">ADDIN CSL_CITATION {"citationItems":[{"id":"ITEM-1","itemData":{"DOI":"10.4102/sajip.v36i1.800","ISSN":"0258-5200","abstract":"Orientation: Organisational climate and job satisfaction are distinct but related constructs, and both appear to influence employees’ understanding of the work environment and their level of job satisfaction.Research purpose: The objective of this study was to explore the relationship between organisational climate and job satisfaction to determine whether employees’ perceptions of the work environment influence their level of job satisfaction.Motivation for the study: Organisations are facing more challenges than ever before. These challenges are not unique to any specific organisation or industry, but affect all organisations.Organisational climate in particular is constantly challenged by changes impacting organisations today.Research design, approach and method: An organisational climate questionnaire was administered to a convenience sample of 696 employees from a population of 1453 employees working in three regions in which the organisation was operational. Confirmatory and exploratory factor analyses were used to investigate the structure of the climate model.Main findings: The revised 12-factor model (after the confirmatory factor analysis) fitted the data best and the researchers therefore decided to proceed with the revised 12-factor model (11 dimensions) for further analysis. A stepwise regression was conducted and nine dimensions of organisational climate were found to predict job satisfaction. The results indicated a strong positive correlation (r = 0.813, p&lt; 0.01) between organisational climate and the dependent variable of job satisfaction.Practical implications: This study provided support for the view that line managers and human resource practitioners should be aware that different biographical groups have different needs that can influence their job satisfaction levels and different perceptions of the climate within the organisation and that this impacts on their behaviour.Contribution: The findings of this study indicated a positive relationship between organisational climate scores and job satisfaction scores and thus, regardless of how the dimensions are perceived, organisational climate has an influence on job satisfaction.","author":[{"dropping-particle":"","family":"Castro","given":"Monia L.","non-dropping-particle":"","parse-names":false,"suffix":""},{"dropping-particle":"","family":"Martins","given":"Nico","non-dropping-particle":"","parse-names":false,"suffix":""}],"container-title":"Journal of Industrial Psychology","id":"ITEM-1","issue":"1","issued":{"date-parts":[["2010"]]},"title":"The relationship between organisational climate and employee satisfaction in a South African information and technology organisation","type":"article-journal","volume":"36"},"uris":["http://www.mendeley.com/documents/?uuid=cb3565e0-e129-3a5e-b09e-be1128fd83da"]}],"mendeley":{"formattedCitation":"(Castro and Martins, 2010)","plainTextFormattedCitation":"(Castro and Martins, 2010)","previouslyFormattedCitation":"(Castro and Martins, 2010)"},"properties":{"noteIndex":0},"schema":"https://github.com/citation-style-language/schema/raw/master/csl-citation.json"}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(Castro and Martins, 2010)</w:t>
      </w:r>
      <w:r>
        <w:rPr>
          <w:rFonts w:ascii="Arial" w:hAnsi="Arial" w:cs="Arial"/>
          <w:sz w:val="22"/>
          <w:szCs w:val="22"/>
        </w:rPr>
        <w:fldChar w:fldCharType="end"/>
      </w:r>
      <w:r>
        <w:rPr>
          <w:rFonts w:ascii="Arial" w:hAnsi="Arial" w:cs="Arial"/>
          <w:sz w:val="22"/>
          <w:szCs w:val="22"/>
        </w:rPr>
        <w:t xml:space="preserve">. However, attention should be paid here is that black community are so different as they have an inertial prejudice from the apartheid period and will perceive hierarchy, power and authority in the organization as a manifestation of inherited inequalities, especially when they work with white people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{"citationItems":[{"id":"ITEM-1","itemData":{"author":[{"dropping-particle":"","family":"Berg","given":"Astrid","non-dropping-particle":"","parse-names":false,"suffix":""}],"id":"ITEM-1","issued":{"date-parts":[["2012"]]},"publisher":"Texas University Press","title":"Connecting with South Africa: Cultural communication and understanding","type":"book"},"uris":["http://www.mendeley.com/documents/?uuid=bd23436f-89ba-44d6-a55d-00f9d6525b88"]}],"mendeley":{"formattedCitation":"(Berg, 2012)","plainTextFormattedCitation":"(Berg, 2012)","previouslyFormattedCitation":"(Berg, 2012)"},"properties":{"noteIndex":0},"schema":"https://github.com/citation-style-language/schema/raw/master/csl-citation.json"}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(Berg, 2012)</w:t>
      </w:r>
      <w:r>
        <w:rPr>
          <w:rFonts w:ascii="Arial" w:hAnsi="Arial" w:cs="Arial"/>
          <w:sz w:val="22"/>
          <w:szCs w:val="22"/>
        </w:rPr>
        <w:fldChar w:fldCharType="end"/>
      </w:r>
      <w:r>
        <w:rPr>
          <w:rFonts w:ascii="Arial" w:hAnsi="Arial" w:cs="Arial"/>
          <w:sz w:val="22"/>
          <w:szCs w:val="22"/>
        </w:rPr>
        <w:t xml:space="preserve">. The organizational structure in Britain tends to be flatter with emphasis on two way communication between subordinates and superiors and the respect of employee voices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{"citationItems":[{"id":"ITEM-1","itemData":{"author":[{"dropping-particle":"","family":"Berg","given":"Astrid","non-dropping-particle":"","parse-names":false,"suffix":""}],"id":"ITEM-1","issued":{"date-parts":[["2012"]]},"publisher":"Texas University Press","title":"Connecting with South Africa: Cultural communication and understanding","type":"book"},"uris":["http://www.mendeley.com/documents/?uuid=bd23436f-89ba-44d6-a55d-00f9d6525b88"]}],"mendeley":{"formattedCitation":"(Berg, 2012)","plainTextFormattedCitation":"(Berg, 2012)","previouslyFormattedCitation":"(Berg, 2012)"},"properties":{"noteIndex":0},"schema":"https://github.com/citation-style-language/schema/raw/master/csl-citation.json"}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(Berg, 2012)</w:t>
      </w:r>
      <w:r>
        <w:rPr>
          <w:rFonts w:ascii="Arial" w:hAnsi="Arial" w:cs="Arial"/>
          <w:sz w:val="22"/>
          <w:szCs w:val="22"/>
        </w:rPr>
        <w:fldChar w:fldCharType="end"/>
      </w:r>
      <w:r>
        <w:rPr>
          <w:rFonts w:ascii="Arial" w:hAnsi="Arial" w:cs="Arial"/>
          <w:sz w:val="22"/>
          <w:szCs w:val="22"/>
        </w:rPr>
        <w:t xml:space="preserve">. In terms of individualism, South Africa is less individualistic compared to Britain, and it has a higher preference for a more tightly-knit social framework, but both of them are individualistic societies </w:t>
      </w:r>
      <w:r>
        <w:rPr>
          <w:rFonts w:ascii="Arial" w:hAnsi="Arial" w:cs="Arial"/>
          <w:sz w:val="22"/>
          <w:szCs w:val="22"/>
        </w:rPr>
        <w:fldChar w:fldCharType="begin" w:fldLock="1"/>
      </w:r>
      <w:r>
        <w:rPr>
          <w:rFonts w:ascii="Arial" w:hAnsi="Arial" w:cs="Arial"/>
          <w:sz w:val="22"/>
          <w:szCs w:val="22"/>
        </w:rPr>
        <w:instrText xml:space="preserve">ADDIN CSL_CITATION {"citationItems":[{"id":"ITEM-1","itemData":{"DOI":"10.1080/1553118X.2011.561075","ISSN":"1553118X","abstract":"The aim of this study was to promote theory building in strategic communication by testing and measuring public relations roles theory through an online survey among a population of 782 South African advertising, public relations, and government practitioners. Eight of the roles were previously tested in public relations research, and a ninth, the role of strategist, was conceptualized for this study based on the work of Steyn (2002, 2007). Reliability analysis confirmed seven of the nine roles existed in South African communication practice: strategist, cultural interpreter, media relations, communication facilitator, expert prescriber, liaison, and process facilitator. However, factor analysis reduced data to four parsimonious roles: strategist, media specialist, liaison, and cultural interpreter. Statistically significant ANOVA findings showed the cultural interpreter role was most performed in government and the mining/industrial/manufacturing sectors. A synergistic worldview helped practitioners to better perform the cultural interpreter role. The findings showed that these roles were largely performed across different contexts, indicating that strategic communication can be viewed as a common denominator for all forms of communication practice. This research challenges the siloed study of communication practice in forms such as public relations, advertising, or government relations, and indicates that there is more common ground between communication practice in different settings than previously thought. © Taylor &amp; Francis Group, LLC.","author":[{"dropping-particle":"","family":"Tindall","given":"Natalie T.J.","non-dropping-particle":"","parse-names":false,"suffix":""},{"dropping-particle":"","family":"Holtzhausen","given":"Derina R.","non-dropping-particle":"","parse-names":false,"suffix":""}],"container-title":"International Journal of Strategic Communication","id":"ITEM-1","issue":"2","issued":{"date-parts":[["2011","4"]]},"page":"74-94","title":"Toward a roles theory for strategic communication: The case of South Africa","type":"article-journal","volume":"5"},"uris":["http://www.mendeley.com/documents/?uuid=cade90c4-2901-31da-a496-37392d3722d7"]}],"mendeley":{"formattedCitation":"(Tindall and Holtzhausen, 2011)","plainTextFormattedCitation":"(Tindall and Holtzhausen, 2011)","previouslyFormattedCitation":"(Tindall and Holtzhausen, 2011)"},"properties":{"noteIndex":0},"schema":"https://github.com/citation-style-language/schema/raw/master/csl-citation.json"}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(Tindall and Holtzhausen, 2011)</w:t>
      </w:r>
      <w:r>
        <w:rPr>
          <w:rFonts w:ascii="Arial" w:hAnsi="Arial" w:cs="Arial"/>
          <w:sz w:val="22"/>
          <w:szCs w:val="22"/>
        </w:rPr>
        <w:fldChar w:fldCharType="end"/>
      </w:r>
      <w:r>
        <w:rPr>
          <w:rFonts w:ascii="Arial" w:hAnsi="Arial" w:cs="Arial"/>
          <w:sz w:val="22"/>
          <w:szCs w:val="22"/>
        </w:rPr>
        <w:t xml:space="preserve">. The contract between the employer and employee in the British workplace is based on mutual society, and any human resource decisions will be made with reference to individual performance </w:t>
      </w:r>
      <w:r>
        <w:rPr>
          <w:rFonts w:ascii="Arial" w:hAnsi="Arial" w:cs="Arial"/>
          <w:sz w:val="22"/>
          <w:szCs w:val="22"/>
        </w:rPr>
        <w:fldChar w:fldCharType="begin" w:fldLock="1"/>
      </w:r>
      <w:r>
        <w:rPr>
          <w:rFonts w:ascii="Arial" w:hAnsi="Arial" w:cs="Arial"/>
          <w:sz w:val="22"/>
          <w:szCs w:val="22"/>
        </w:rPr>
        <w:instrText xml:space="preserve">ADDIN CSL_CITATION {"citationItems":[{"id":"ITEM-1","itemData":{"DOI":"10.1111/joop.12062","ISSN":"20448325","abstract":"Drawing on conservation of resources (COR) theory, this study examines conditions under which psychological contract breach relates to employees' use of work-role innovation as a means to acquire or conserve resources. Specifically, we used the organizational embeddedness dimensions of links, person-organization (P-O) fit, and sacrifices (Mitchell et al., Academy of Management Journal, 44, 1102) to capture the kinds of resources that are likely to determine whether breach relates to more (resource acquisition) or less (resource conservation) innovation. We expected breach to relate to more innovation among employees with more links, better P-O fit, or fewer sacrifices. Using survey data from 90 university professionals and alumni in Australia, we found that links, P-O fit, and sacrifices moderated the breach-innovation relationship as hypothesized. Specifically, breach was related to more innovation after 6 months among employees with more links, better P-O fit, or fewer perceived sacrifices, as compared to those with fewer links, lower P-O fit, or greater perceived sacrifices. Implications of these findings for theory and practice are discussed. © 2014 The British Psychological Society.","author":[{"dropping-particle":"","family":"Kiazad","given":"Kohyar","non-dropping-particle":"","parse-names":false,"suffix":""},{"dropping-particle":"","family":"Seibert","given":"Scott E.","non-dropping-particle":"","parse-names":false,"suffix":""},{"dropping-particle":"","family":"Kraimer","given":"Maria L.","non-dropping-particle":"","parse-names":false,"suffix":""}],"container-title":"Journal of Occupational and Organizational Psychology","id":"ITEM-1","issue":"3","issued":{"date-parts":[["2014"]]},"page":"535-556","publisher":"John Wiley and Sons Ltd.","title":"Psychological contract breach and employee innovation: A conservation of resources perspective","type":"article-journal","volume":"87"},"uris":["http://www.mendeley.com/documents/?uuid=3ce8cd86-fe79-3af3-9845-a9122f21dbfc"]}],"mendeley":{"formattedCitation":"(Kiazad, Seibert and Kraimer, 2014)","plainTextFormattedCitation":"(Kiazad, Seibert and Kraimer, 2014)","previouslyFormattedCitation":"(Kiazad, Seibert and Kraimer, 2014)"},"properties":{"noteIndex":0},"schema":"https://github.com/citation-style-language/schema/raw/master/csl-citation.json"}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(Kiazad, Seibert and Kraimer, 2014)</w:t>
      </w:r>
      <w:r>
        <w:rPr>
          <w:rFonts w:ascii="Arial" w:hAnsi="Arial" w:cs="Arial"/>
          <w:sz w:val="22"/>
          <w:szCs w:val="22"/>
        </w:rPr>
        <w:fldChar w:fldCharType="end"/>
      </w:r>
      <w:r>
        <w:rPr>
          <w:rFonts w:ascii="Arial" w:hAnsi="Arial" w:cs="Arial"/>
          <w:sz w:val="22"/>
          <w:szCs w:val="22"/>
        </w:rPr>
        <w:t xml:space="preserve">. British employees are influenced by a culture of individualism, and when faced with a communication objective, British employees make use of the facts and figures they have gathered to communicate, so that most of their thinking is based on their own perceptions and analysis of reality, rather than on the thinking of others </w:t>
      </w:r>
      <w:r>
        <w:rPr>
          <w:rFonts w:ascii="Arial" w:hAnsi="Arial" w:cs="Arial"/>
          <w:sz w:val="22"/>
          <w:szCs w:val="22"/>
        </w:rPr>
        <w:fldChar w:fldCharType="begin" w:fldLock="1"/>
      </w:r>
      <w:r>
        <w:rPr>
          <w:rFonts w:ascii="Arial" w:hAnsi="Arial" w:cs="Arial"/>
          <w:sz w:val="22"/>
          <w:szCs w:val="22"/>
        </w:rPr>
        <w:instrText xml:space="preserve">ADDIN CSL_CITATION {"citationItems":[{"id":"ITEM-1","itemData":{"DOI":"10.1177/026192702237956","ISSN":"0261927X","abstract":"American and British managers working in American companies in Britain were inter-viewed about issues associated with the workplace communication styles of themselves and the other group. They were asked to comment both descriptively and evaluatively about both similarities and differences. Transcripts were coded in terms of emergent themes. Results showed that the two groups were agreed about the existence and nature of differences. However, both groups displayed in-group favoritism and out-group disapproval in their evaluations; each group saw the style of the other as being comparatively dysfunctional. The results were interpreted to suggest that the American style and stated preferences reflected an orientation toward efficient task-related problem solving, whereas the British emphasized processes rather than products and status-based social relations. Given the greater transparency of the American style, it is argued that it is likely to be more efficient and less prone to misunderstandings for outsiders who are competent and familiar with English but not with local cultural conventions.","author":[{"dropping-particle":"","family":"Dunkerley","given":"Kathleen J.","non-dropping-particle":"","parse-names":false,"suffix":""},{"dropping-particle":"","family":"Robinson","given":"W. Peter","non-dropping-particle":"","parse-names":false,"suffix":""}],"container-title":"Journal of Language and Social Psychology","id":"ITEM-1","issue":"4","issued":{"date-parts":[["2002"]]},"page":"393-409","title":"Similarities and differences in perceptions and evaluations of the communication styles of American and British mangers","type":"article","volume":"21"},"uris":["http://www.mendeley.com/documents/?uuid=02c9164e-e355-3ca0-97c5-243c9476fe2d"]}],"mendeley":{"formattedCitation":"(Dunkerley and Robinson, 2002)","plainTextFormattedCitation":"(Dunkerley and Robinson, 2002)","previouslyFormattedCitation":"(Dunkerley and Robinson, 2002)"},"properties":{"noteIndex":0},"schema":"https://github.com/citation-style-language/schema/raw/master/csl-citation.json"}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(Dunkerley and Robinson, 2002)</w:t>
      </w:r>
      <w:r>
        <w:rPr>
          <w:rFonts w:ascii="Arial" w:hAnsi="Arial" w:cs="Arial"/>
          <w:sz w:val="22"/>
          <w:szCs w:val="22"/>
        </w:rPr>
        <w:fldChar w:fldCharType="end"/>
      </w:r>
      <w:r>
        <w:rPr>
          <w:rFonts w:ascii="Arial" w:hAnsi="Arial" w:cs="Arial"/>
          <w:sz w:val="22"/>
          <w:szCs w:val="22"/>
        </w:rPr>
        <w:t xml:space="preserve">. While, South African employees may place a bit more attention on the psychological contract with employers, desiring for more sense of caring and belongingness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{"citationItems":[{"id":"ITEM-1","itemData":{"author":[{"dropping-particle":"","family":"Berg","given":"Astrid","non-dropping-particle":"","parse-names":false,"suffix":""}],"id":"ITEM-1","issued":{"date-parts":[["2012"]]},"publisher":"Texas University Press","title":"Connecting with South Africa: Cultural communication and understanding","type":"book"},"uris":["http://www.mendeley.com/documents/?uuid=bd23436f-89ba-44d6-a55d-00f9d6525b88"]}],"mendeley":{"formattedCitation":"(Berg, 2012)","plainTextFormattedCitation":"(Berg, 2012)","previouslyFormattedCitation":"(Berg, 2012)"},"properties":{"noteIndex":0},"schema":"https://github.com/citation-style-language/schema/raw/master/csl-citation.json"}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(Berg, 2012)</w:t>
      </w:r>
      <w:r>
        <w:rPr>
          <w:rFonts w:ascii="Arial" w:hAnsi="Arial" w:cs="Arial"/>
          <w:sz w:val="22"/>
          <w:szCs w:val="22"/>
        </w:rPr>
        <w:fldChar w:fldCharType="end"/>
      </w:r>
      <w:r>
        <w:rPr>
          <w:rFonts w:ascii="Arial" w:hAnsi="Arial" w:cs="Arial"/>
          <w:sz w:val="22"/>
          <w:szCs w:val="22"/>
        </w:rPr>
        <w:t xml:space="preserve">. The exception can be found in the black community, as they perceive the tribe as everything and have a strong tribal affiliation. The increasingly developed education systems in South Africa and other socio-cultural changes enabled by modernization are eroding the tribal bonds gradually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{"citationItems":[{"id":"ITEM-1","itemData":{"author":[{"dropping-particle":"","family":"Thompson","given":"Leonard","non-dropping-particle":"","parse-names":false,"suffix":""}],"id":"ITEM-1","issued":{"date-parts":[["2014"]]},"publisher":"Yale University Press","title":"A history of South Africa","type":"book"},"uris":["http://www.mendeley.com/documents/?uuid=291218c4-3d17-40d1-b021-4e5485fd131b"]}],"mendeley":{"formattedCitation":"(Thompson, 2014)","plainTextFormattedCitation":"(Thompson, 2014)","previouslyFormattedCitation":"(Thompson, 2014)"},"properties":{"noteIndex":0},"schema":"https://github.com/citation-style-language/schema/raw/master/csl-citation.json"}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(Thompson, 2014)</w:t>
      </w:r>
      <w:r>
        <w:rPr>
          <w:rFonts w:ascii="Arial" w:hAnsi="Arial" w:cs="Arial"/>
          <w:sz w:val="22"/>
          <w:szCs w:val="22"/>
        </w:rPr>
        <w:fldChar w:fldCharType="end"/>
      </w:r>
      <w:r>
        <w:rPr>
          <w:rFonts w:ascii="Arial" w:hAnsi="Arial" w:cs="Arial"/>
          <w:sz w:val="22"/>
          <w:szCs w:val="22"/>
        </w:rPr>
        <w:t xml:space="preserve">. In terms of masculinity, South Africa and Britain have similar scores, and both of them are masculine societies where people are oriented by work, equity, competition and achievements. In terms of uncertainty avoidance, South African people show a tendency to avoid uncertainties through maintaining some rigid codes of conduct and beliefs and appreciate values directness for the sake of clarity and mutual understanding. For instance, they will be well prepared with a plan and schedule of how they want a company event (such as a meeting) to go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{"citationItems":[{"id":"ITEM-1","itemData":{"author":[{"dropping-particle":"","family":"Berg","given":"Astrid","non-dropping-particle":"","parse-names":false,"suffix":""}],"id":"ITEM-1","issued":{"date-parts":[["2012"]]},"publisher":"Texas University Press","title":"Connecting with South Africa: Cultural communication and understanding","type":"book"},"uris":["http://www.mendeley.com/documents/?uuid=bd23436f-89ba-44d6-a55d-00f9d6525b88"]}],"mendeley":{"formattedCitation":"(Berg, 2012)","plainTextFormattedCitation":"(Berg, 2012)","previouslyFormattedCitation":"(Berg, 2012)"},"properties":{"noteIndex":0},"schema":"https://github.com/citation-style-language/schema/raw/master/csl-citation.json"}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(Berg, 2012)</w:t>
      </w:r>
      <w:r>
        <w:rPr>
          <w:rFonts w:ascii="Arial" w:hAnsi="Arial" w:cs="Arial"/>
          <w:sz w:val="22"/>
          <w:szCs w:val="22"/>
        </w:rPr>
        <w:fldChar w:fldCharType="end"/>
      </w:r>
      <w:r>
        <w:rPr>
          <w:rFonts w:ascii="Arial" w:hAnsi="Arial" w:cs="Arial"/>
          <w:sz w:val="22"/>
          <w:szCs w:val="22"/>
        </w:rPr>
        <w:t xml:space="preserve">. For British employees who naturally embrace uncertainties through behaving out of the ordinary, South African employees may be intolerant and uncomfortable. The uncertainty avoidance is especially true on the while majority in South Africa, but less obvious in the black Africans. In terms of long-term orientation, South African culture is much more normative than pragmatic in their thinking with great respect exhibited for traditions. South African employees prefer quick results and responses in business decisions, while black South Africans tends to have a longer-term orientation than the general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{"citationItems":[{"id":"ITEM-1","itemData":{"author":[{"dropping-particle":"","family":"Berg","given":"Astrid","non-dropping-particle":"","parse-names":false,"suffix":""}],"id":"ITEM-1","issued":{"date-parts":[["2012"]]},"publisher":"Texas University Press","title":"Connecting with South Africa: Cultural communication and understanding","type":"book"},"uris":["http://www.mendeley.com/documents/?uuid=bd23436f-89ba-44d6-a55d-00f9d6525b88"]}],"mendeley":{"formattedCitation":"(Berg, 2012)","plainTextFormattedCitation":"(Berg, 2012)","previouslyFormattedCitation":"(Berg, 2012)"},"properties":{"noteIndex":0},"schema":"https://github.com/citation-style-language/schema/raw/master/csl-citation.json"}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(Berg, 2012)</w:t>
      </w:r>
      <w:r>
        <w:rPr>
          <w:rFonts w:ascii="Arial" w:hAnsi="Arial" w:cs="Arial"/>
          <w:sz w:val="22"/>
          <w:szCs w:val="22"/>
        </w:rPr>
        <w:fldChar w:fldCharType="end"/>
      </w:r>
      <w:r>
        <w:rPr>
          <w:rFonts w:ascii="Arial" w:hAnsi="Arial" w:cs="Arial"/>
          <w:sz w:val="22"/>
          <w:szCs w:val="22"/>
        </w:rPr>
        <w:t xml:space="preserve">. British employees are influenced by a long-term oriented culture, which is reflected in their mastery of the concept of time, i.e. because of their perception of the dynamics of things, the topics on communication usually do not cut straight to the chase, but spend time in understanding the background of the person they are communicating with and only start talking about serious matters after the relationship between the two parties has been expanded </w:t>
      </w:r>
      <w:r>
        <w:rPr>
          <w:rFonts w:ascii="Arial" w:hAnsi="Arial" w:cs="Arial"/>
          <w:sz w:val="22"/>
          <w:szCs w:val="22"/>
        </w:rPr>
        <w:fldChar w:fldCharType="begin" w:fldLock="1"/>
      </w:r>
      <w:r>
        <w:rPr>
          <w:rFonts w:ascii="Arial" w:hAnsi="Arial" w:cs="Arial"/>
          <w:sz w:val="22"/>
          <w:szCs w:val="22"/>
        </w:rPr>
        <w:instrText xml:space="preserve">ADDIN CSL_CITATION {"citationItems":[{"id":"ITEM-1","itemData":{"ISSN":"1404-1634","author":[{"dropping-particle":"","family":"Nixon","given":"Yumi","non-dropping-particle":"","parse-names":false,"suffix":""},{"dropping-particle":"","family":"Bull","given":"Peter","non-dropping-particle":"","parse-names":false,"suffix":""}],"container-title":"Journal of Intercultural Communication","id":"ITEM-1","issue":"12","issued":{"date-parts":[["2006"]]},"title":"Cultural communication styles and accuracy in cross-cultural perception: A British and Japanese study","type":"article-journal"},"uris":["http://www.mendeley.com/documents/?uuid=6ae17dcd-e337-320e-909f-4d7bfd939619"]}],"mendeley":{"formattedCitation":"(Nixon and Bull, 2006)","plainTextFormattedCitation":"(Nixon and Bull, 2006)","previouslyFormattedCitation":"(Nixon and Bull, 2006)"},"properties":{"noteIndex":0},"schema":"https://github.com/citation-style-language/schema/raw/master/csl-citation.json"}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(Nixon and Bull, 2006)</w:t>
      </w:r>
      <w:r>
        <w:rPr>
          <w:rFonts w:ascii="Arial" w:hAnsi="Arial" w:cs="Arial"/>
          <w:sz w:val="22"/>
          <w:szCs w:val="22"/>
        </w:rPr>
        <w:fldChar w:fldCharType="end"/>
      </w:r>
      <w:r>
        <w:rPr>
          <w:rFonts w:ascii="Arial" w:hAnsi="Arial" w:cs="Arial"/>
          <w:sz w:val="22"/>
          <w:szCs w:val="22"/>
        </w:rPr>
        <w:t xml:space="preserve">. Regarding the indulgence dimension, the scores are quite similar between South Africa and Britain. Both of them are clearly concerned with their basic human drives related to work-life balance and natural desires, and people are more inclined towards consumption due to the rapid modernization process in Africa. Besides, the prosperous economy in South Africa affords people with higher living standard and greater consumption desires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{"citationItems":[{"id":"ITEM-1","itemData":{"author":[{"dropping-particle":"","family":"Economics","given":"W Kaus - Journal of Development","non-dropping-particle":"","parse-names":false,"suffix":""},{"dropping-particle":"","family":"2013","given":"undefined","non-dropping-particle":"","parse-names":false,"suffix":""}],"container-title":"Elsevier","id":"ITEM-1","issued":{"date-parts":[["0"]]},"title":"Conspicuous consumption and “race”: Evidence from South Africa","type":"article-journal"},"uris":["http://www.mendeley.com/documents/?uuid=d5a1ac94-0994-3575-82bf-611c3087b7ed"]}],"mendeley":{"formattedCitation":"(Economics and 2013, no date)","plainTextFormattedCitation":"(Economics and 2013, no date)","previouslyFormattedCitation":"(Economics and 2013, no date)"},"properties":{"noteIndex":0},"schema":"https://github.com/citation-style-language/schema/raw/master/csl-citation.json"}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(Economics and 2013, no date)</w:t>
      </w:r>
      <w:r>
        <w:rPr>
          <w:rFonts w:ascii="Arial" w:hAnsi="Arial" w:cs="Arial"/>
          <w:sz w:val="22"/>
          <w:szCs w:val="22"/>
        </w:rPr>
        <w:fldChar w:fldCharType="end"/>
      </w:r>
      <w:r>
        <w:rPr>
          <w:rFonts w:ascii="Arial" w:hAnsi="Arial" w:cs="Arial"/>
          <w:sz w:val="22"/>
          <w:szCs w:val="22"/>
        </w:rPr>
        <w:t xml:space="preserve">. The higher indulgence level not only manifests in the private workplaces but also within bureaucratic institutions where behaviors of public employees would be significantly influenced by bribery, interpersonal connection and personal desire to maintain social status, given the fact that South Africa has a less effective legal system </w:t>
      </w:r>
      <w:r>
        <w:rPr>
          <w:rFonts w:ascii="Arial" w:hAnsi="Arial" w:cs="Arial"/>
          <w:sz w:val="22"/>
          <w:szCs w:val="22"/>
        </w:rPr>
        <w:fldChar w:fldCharType="begin" w:fldLock="1"/>
      </w:r>
      <w:r>
        <w:rPr>
          <w:rFonts w:ascii="Arial" w:hAnsi="Arial" w:cs="Arial"/>
          <w:sz w:val="22"/>
          <w:szCs w:val="22"/>
        </w:rPr>
        <w:instrText xml:space="preserve">ADDIN CSL_CITATION {"citationItems":[{"id":"ITEM-1","itemData":{"DOI":"10.1080/0376835X.2019.1678460","ISSN":"14703637","abstract":"Poverty and corruption can both immiserate a nation. Globalisation through open trade can potentially increase economic growth, providing employment and increased incomes to the poor. Corruption can dampen or even reduce these positive developments. Although globalisation is considered instrumental in development strategies, theoretically, the impact of globalisation on poverty reduction is ambiguous, an ambiguity that is also reflected in the empirical literature. The corruption-poverty literature clearly reveals that empirical findings on such association are at best heterogeneous. This article examines the effects of globalisation and corruption on poverty using time series data for South Africa for the period 1991–2016. Three indicators of poverty and recently developed measures of globalisation and corruption were employed in the logistic regression model used for estimation. The results confirm that globalisation reduces poverty while corruption intensifies it. The globalisation findings are robust across the different measures of poverty while unidirectional results show corruption increases poverty.","author":[{"dropping-particle":"","family":"Salahuddin","given":"Mohammad","non-dropping-particle":"","parse-names":false,"suffix":""},{"dropping-particle":"","family":"Vink","given":"Nick","non-dropping-particle":"","parse-names":false,"suffix":""},{"dropping-particle":"","family":"Ralph","given":"Nicholas","non-dropping-particle":"","parse-names":false,"suffix":""},{"dropping-particle":"","family":"Gow","given":"Jeff","non-dropping-particle":"","parse-names":false,"suffix":""}],"container-title":"Development Southern Africa","id":"ITEM-1","issue":"4","issued":{"date-parts":[["2020","7","3"]]},"page":"617-643","publisher":"Routledge","title":"Globalisation, poverty and corruption: Retarding progress in South Africa","type":"article-journal","volume":"37"},"uris":["http://www.mendeley.com/documents/?uuid=3d138b61-d962-3a67-b248-a4fdcce8a60f"]}],"mendeley":{"formattedCitation":"(Salahuddin &lt;i&gt;et al.&lt;/i&gt;, 2020)","plainTextFormattedCitation":"(Salahuddin et al., 2020)","previouslyFormattedCitation":"(Salahuddin &lt;i&gt;et al.&lt;/i&gt;, 2020)"},"properties":{"noteIndex":0},"schema":"https://github.com/citation-style-language/schema/raw/master/csl-citation.json"}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 xml:space="preserve">(Salahuddin </w:t>
      </w:r>
      <w:r>
        <w:rPr>
          <w:rFonts w:ascii="Arial" w:hAnsi="Arial" w:cs="Arial"/>
          <w:i/>
          <w:sz w:val="22"/>
          <w:szCs w:val="22"/>
        </w:rPr>
        <w:t>et al.</w:t>
      </w:r>
      <w:r>
        <w:rPr>
          <w:rFonts w:ascii="Arial" w:hAnsi="Arial" w:cs="Arial"/>
          <w:sz w:val="22"/>
          <w:szCs w:val="22"/>
        </w:rPr>
        <w:t>, 2020)</w:t>
      </w:r>
      <w:r>
        <w:rPr>
          <w:rFonts w:ascii="Arial" w:hAnsi="Arial" w:cs="Arial"/>
          <w:sz w:val="22"/>
          <w:szCs w:val="22"/>
        </w:rPr>
        <w:fldChar w:fldCharType="end"/>
      </w:r>
      <w:r>
        <w:rPr>
          <w:rFonts w:ascii="Arial" w:hAnsi="Arial" w:cs="Arial"/>
          <w:sz w:val="22"/>
          <w:szCs w:val="22"/>
        </w:rPr>
        <w:t xml:space="preserve">. These differences in cultures may influence business endeavors such as decision making, problem solving, team development, meeting scheduling, negotiation, etc. Considering the peculiarities of British and South African cultures discussed above, it is necessary for British businesses operating in South Africa to be culturally aware, sensitive and competent. Especially, the challenges and sensitivities can arise from specific sub-cultural groups within South Africa. The innumerable differences between British culture and South African culture, maybe even within the different South African cultures, bring with them a high potential for conflicts, misunderstandings, discriminations, disregard, frictions or even clashes. </w:t>
      </w:r>
    </w:p>
    <w:p>
      <w:pPr>
        <w:spacing w:before="156" w:beforeLines="50" w:after="156" w:afterLines="50" w:line="360" w:lineRule="auto"/>
        <w:jc w:val="both"/>
        <w:rPr>
          <w:rFonts w:ascii="Arial" w:hAnsi="Arial" w:cs="Arial"/>
          <w:sz w:val="22"/>
          <w:szCs w:val="22"/>
        </w:rPr>
      </w:pPr>
      <w:r>
        <w:rPr>
          <w:rFonts w:ascii="Arial" w:hAnsi="Arial" w:cs="Arial"/>
          <w:sz w:val="22"/>
          <w:szCs w:val="22"/>
        </w:rPr>
        <w:t xml:space="preserve">Other common challenges in communication are interpersonal issues and gift-giving issues. Within the workplace, gift-giving can be seen as part of the milieu of the social working environment, which are legitimate relationship building. Nevertheless, the gift-giving to other cultures can be seen as bribery and kickbacks. However, it seems that both South African and Britain has taken the same common ground regarding gift-giving in businesses. South African Anti-Corruption Laws, Code of Conducts under the Public Service, and The Executive Ethics Code have been among the worlds’ most stringent </w:t>
      </w:r>
      <w:r>
        <w:rPr>
          <w:rFonts w:ascii="Arial" w:hAnsi="Arial" w:cs="Arial"/>
          <w:sz w:val="22"/>
          <w:szCs w:val="22"/>
        </w:rPr>
        <w:fldChar w:fldCharType="begin" w:fldLock="1"/>
      </w:r>
      <w:r>
        <w:rPr>
          <w:rFonts w:ascii="Arial" w:hAnsi="Arial" w:cs="Arial"/>
          <w:sz w:val="22"/>
          <w:szCs w:val="22"/>
        </w:rPr>
        <w:instrText xml:space="preserve">ADDIN CSL_CITATION {"citationItems":[{"id":"ITEM-1","itemData":{"DOI":"10.1002/pa.1587","ISSN":"14791854","abstract":"The public sector of many African countries is notoriously corrupt; cultural inclinations and socialization processes largely have a tendency to lead public officials into actions that may amount to corrupt practices. Providing seven (7) key pointers for reflection, this study explores public sector corruption in African countries by examining the interplay between culturally acceptable norms and professional expectations of public officials. The public official, by these two unparalleled expectations, tends to walk on a tight rope which often results in ethical dilemma and conflict of interest. The study adopts Riggs' prismatic-sala model and uses the case of Ghana and traditional proverbs to explain the cultural context within which Ghanaian public official ought to operate. How can one combine these cultural expectations with professionalism? To what extent does the ‘collectivity culture’, ‘culture of gift giving and acceptance’, ‘extended family system’, ‘ethnic loyalty’ and ‘unfettered respect of the aged’ downplay professional bureaucratic and ethical principles? Copyright © 2016 John Wiley &amp; Sons, Ltd.","author":[{"dropping-particle":"","family":"Yeboah-Assiamah","given":"Emmanuel","non-dropping-particle":"","parse-names":false,"suffix":""},{"dropping-particle":"","family":"Asamoah","given":"Kwame","non-dropping-particle":"","parse-names":false,"suffix":""},{"dropping-particle":"","family":"Bawole","given":"Justice Nyigmah","non-dropping-particle":"","parse-names":false,"suffix":""},{"dropping-particle":"","family":"Musah-Surugu","given":"Issah Justice","non-dropping-particle":"","parse-names":false,"suffix":""}],"container-title":"Journal of Public Affairs","id":"ITEM-1","issue":"3","issued":{"date-parts":[["2016","8","1"]]},"page":"279-293","publisher":"John Wiley and Sons Ltd","title":"A socio-cultural approach to public sector corruption in Africa: key pointers for reflection","type":"article-journal","volume":"16"},"uris":["http://www.mendeley.com/documents/?uuid=3e6d5203-dea9-3bb6-8b5a-c988ff59bbf2"]},{"id":"ITEM-2","itemData":{"DOI":"10.1002/9781118783665.ieicc0094","author":[{"dropping-particle":"","family":"Bornman","given":"Elirea","non-dropping-particle":"","parse-names":false,"suffix":""}],"container-title":"The International Encyclopedia of Intercultural Communication","id":"ITEM-2","issued":{"date-parts":[["2017","12","13"]]},"page":"1-10","publisher":"Wiley","title":"Intercultural Communication Study in South Africa","type":"chapter"},"uris":["http://www.mendeley.com/documents/?uuid=7ccdc996-1b81-38ac-beff-96c35b189b68"]}],"mendeley":{"formattedCitation":"(Yeboah-Assiamah &lt;i&gt;et al.&lt;/i&gt;, 2016; Bornman, 2017)","plainTextFormattedCitation":"(Yeboah-Assiamah et al., 2016; Bornman, 2017)","previouslyFormattedCitation":"(Yeboah-Assiamah &lt;i&gt;et al.&lt;/i&gt;, 2016; Bornman, 2017)"},"properties":{"noteIndex":0},"schema":"https://github.com/citation-style-language/schema/raw/master/csl-citation.json"}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 xml:space="preserve">(Yeboah-Assiamah </w:t>
      </w:r>
      <w:r>
        <w:rPr>
          <w:rFonts w:ascii="Arial" w:hAnsi="Arial" w:cs="Arial"/>
          <w:i/>
          <w:sz w:val="22"/>
          <w:szCs w:val="22"/>
        </w:rPr>
        <w:t>et al.</w:t>
      </w:r>
      <w:r>
        <w:rPr>
          <w:rFonts w:ascii="Arial" w:hAnsi="Arial" w:cs="Arial"/>
          <w:sz w:val="22"/>
          <w:szCs w:val="22"/>
        </w:rPr>
        <w:t>, 2016; Bornman, 2017)</w:t>
      </w:r>
      <w:r>
        <w:rPr>
          <w:rFonts w:ascii="Arial" w:hAnsi="Arial" w:cs="Arial"/>
          <w:sz w:val="22"/>
          <w:szCs w:val="22"/>
        </w:rPr>
        <w:fldChar w:fldCharType="end"/>
      </w:r>
      <w:r>
        <w:rPr>
          <w:rFonts w:ascii="Arial" w:hAnsi="Arial" w:cs="Arial"/>
          <w:sz w:val="22"/>
          <w:szCs w:val="22"/>
        </w:rPr>
        <w:t xml:space="preserve">. The essence of the Law indicates where the gift exchange courtesies may constitute an inducement to obtain an improper advantage over another, it is not advisable </w:t>
      </w:r>
      <w:r>
        <w:rPr>
          <w:rFonts w:ascii="Arial" w:hAnsi="Arial" w:cs="Arial"/>
          <w:sz w:val="22"/>
          <w:szCs w:val="22"/>
        </w:rPr>
        <w:fldChar w:fldCharType="begin" w:fldLock="1"/>
      </w:r>
      <w:r>
        <w:rPr>
          <w:rFonts w:ascii="Arial" w:hAnsi="Arial" w:cs="Arial"/>
          <w:sz w:val="22"/>
          <w:szCs w:val="22"/>
        </w:rPr>
        <w:instrText xml:space="preserve">ADDIN CSL_CITATION {"citationItems":[{"id":"ITEM-1","itemData":{"URL":"https://www.globalcompliancenews.com/anti-corruption/anti-corruption-in-south-africa-2/","accessed":{"date-parts":[["2022","1","4"]]},"author":[{"dropping-particle":"","family":"Global Compliance News","given":"","non-dropping-particle":"","parse-names":false,"suffix":""}],"id":"ITEM-1","issued":{"date-parts":[["2020"]]},"title":"Anti-Corruption in South Africa ","type":"webpage"},"uris":["http://www.mendeley.com/documents/?uuid=9986fce5-ba6d-342c-a633-da41326e0749"]}],"mendeley":{"formattedCitation":"(Global Compliance News, 2020)","plainTextFormattedCitation":"(Global Compliance News, 2020)","previouslyFormattedCitation":"(Global Compliance News, 2020)"},"properties":{"noteIndex":0},"schema":"https://github.com/citation-style-language/schema/raw/master/csl-citation.json"}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(Global Compliance News, 2020)</w:t>
      </w:r>
      <w:r>
        <w:rPr>
          <w:rFonts w:ascii="Arial" w:hAnsi="Arial" w:cs="Arial"/>
          <w:sz w:val="22"/>
          <w:szCs w:val="22"/>
        </w:rPr>
        <w:fldChar w:fldCharType="end"/>
      </w:r>
      <w:r>
        <w:rPr>
          <w:rFonts w:ascii="Arial" w:hAnsi="Arial" w:cs="Arial"/>
          <w:sz w:val="22"/>
          <w:szCs w:val="22"/>
        </w:rPr>
        <w:t xml:space="preserve">. The British workplace emphasises independence and objectivity, which is enabled by general regulation such as Anti-Bribery Law and firm-specific guidelines </w:t>
      </w:r>
      <w:r>
        <w:rPr>
          <w:rFonts w:ascii="Arial" w:hAnsi="Arial" w:cs="Arial"/>
          <w:sz w:val="22"/>
          <w:szCs w:val="22"/>
        </w:rPr>
        <w:fldChar w:fldCharType="begin" w:fldLock="1"/>
      </w:r>
      <w:r>
        <w:rPr>
          <w:rFonts w:ascii="Arial" w:hAnsi="Arial" w:cs="Arial"/>
          <w:sz w:val="22"/>
          <w:szCs w:val="22"/>
        </w:rPr>
        <w:instrText xml:space="preserve">ADDIN CSL_CITATION {"citationItems":[{"id":"ITEM-1","itemData":{"abstract":"GLI: Global Legal Insights - Bribery &amp; Corruption 2022, 9th Ed. - United Kingdom chapter written by Anneka Randhawa - White &amp; Case and Jonah Anderson - White &amp; Case covering 5 topics","author":[{"dropping-particle":"","family":"Global Legal Insights","given":"","non-dropping-particle":"","parse-names":false,"suffix":""}],"id":"ITEM-1","issued":{"date-parts":[["2019"]]},"publisher":"Global Legal Group","title":"Bribery &amp; Corruption Laws and Regulations | United Kingdom | GLI","type":"article-journal"},"uris":["http://www.mendeley.com/documents/?uuid=b6e2702e-0f7f-34e3-8e47-e8c1a6ce3290"]}],"mendeley":{"formattedCitation":"(Global Legal Insights, 2019)","plainTextFormattedCitation":"(Global Legal Insights, 2019)","previouslyFormattedCitation":"(Global Legal Insights, 2019)"},"properties":{"noteIndex":0},"schema":"https://github.com/citation-style-language/schema/raw/master/csl-citation.json"}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(Global Legal Insights, 2019)</w:t>
      </w:r>
      <w:r>
        <w:rPr>
          <w:rFonts w:ascii="Arial" w:hAnsi="Arial" w:cs="Arial"/>
          <w:sz w:val="22"/>
          <w:szCs w:val="22"/>
        </w:rPr>
        <w:fldChar w:fldCharType="end"/>
      </w:r>
      <w:r>
        <w:rPr>
          <w:rFonts w:ascii="Arial" w:hAnsi="Arial" w:cs="Arial"/>
          <w:sz w:val="22"/>
          <w:szCs w:val="22"/>
        </w:rPr>
        <w:t xml:space="preserve">. A similar stance against gift-giving culture does not mean British businesses should not perceive it as a potential communication challenge. As the culture of gift-giving and the framework that governs gift-giving varies from country to country, there should be a delicate balance between whether a gift-giving should be interpreted as acceptable. Especially, despite being quite stringent, the current regulation against corruption in South African is highly fragmented, too, with some inconsistencies and multiple ambiguities, making it hard for British businesses to define the boundary between gifts and corrupt practices </w:t>
      </w:r>
      <w:r>
        <w:rPr>
          <w:rFonts w:ascii="Arial" w:hAnsi="Arial" w:cs="Arial"/>
          <w:sz w:val="22"/>
          <w:szCs w:val="22"/>
        </w:rPr>
        <w:fldChar w:fldCharType="begin" w:fldLock="1"/>
      </w:r>
      <w:r>
        <w:rPr>
          <w:rFonts w:ascii="Arial" w:hAnsi="Arial" w:cs="Arial"/>
          <w:sz w:val="22"/>
          <w:szCs w:val="22"/>
        </w:rPr>
        <w:instrText xml:space="preserve">ADDIN CSL_CITATION {"citationItems":[{"id":"ITEM-1","itemData":{"DOI":"10.1080/0376835X.2019.1678460","ISSN":"14703637","abstract":"Poverty and corruption can both immiserate a nation. Globalisation through open trade can potentially increase economic growth, providing employment and increased incomes to the poor. Corruption can dampen or even reduce these positive developments. Although globalisation is considered instrumental in development strategies, theoretically, the impact of globalisation on poverty reduction is ambiguous, an ambiguity that is also reflected in the empirical literature. The corruption-poverty literature clearly reveals that empirical findings on such association are at best heterogeneous. This article examines the effects of globalisation and corruption on poverty using time series data for South Africa for the period 1991–2016. Three indicators of poverty and recently developed measures of globalisation and corruption were employed in the logistic regression model used for estimation. The results confirm that globalisation reduces poverty while corruption intensifies it. The globalisation findings are robust across the different measures of poverty while unidirectional results show corruption increases poverty.","author":[{"dropping-particle":"","family":"Salahuddin","given":"Mohammad","non-dropping-particle":"","parse-names":false,"suffix":""},{"dropping-particle":"","family":"Vink","given":"Nick","non-dropping-particle":"","parse-names":false,"suffix":""},{"dropping-particle":"","family":"Ralph","given":"Nicholas","non-dropping-particle":"","parse-names":false,"suffix":""},{"dropping-particle":"","family":"Gow","given":"Jeff","non-dropping-particle":"","parse-names":false,"suffix":""}],"container-title":"Development Southern Africa","id":"ITEM-1","issue":"4","issued":{"date-parts":[["2020","7","3"]]},"page":"617-643","publisher":"Routledge","title":"Globalisation, poverty and corruption: Retarding progress in South Africa","type":"article-journal","volume":"37"},"uris":["http://www.mendeley.com/documents/?uuid=3d138b61-d962-3a67-b248-a4fdcce8a60f"]}],"mendeley":{"formattedCitation":"(Salahuddin &lt;i&gt;et al.&lt;/i&gt;, 2020)","plainTextFormattedCitation":"(Salahuddin et al., 2020)","previouslyFormattedCitation":"(Salahuddin &lt;i&gt;et al.&lt;/i&gt;, 2020)"},"properties":{"noteIndex":0},"schema":"https://github.com/citation-style-language/schema/raw/master/csl-citation.json"}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 xml:space="preserve">(Salahuddin </w:t>
      </w:r>
      <w:r>
        <w:rPr>
          <w:rFonts w:ascii="Arial" w:hAnsi="Arial" w:cs="Arial"/>
          <w:i/>
          <w:sz w:val="22"/>
          <w:szCs w:val="22"/>
        </w:rPr>
        <w:t>et al.</w:t>
      </w:r>
      <w:r>
        <w:rPr>
          <w:rFonts w:ascii="Arial" w:hAnsi="Arial" w:cs="Arial"/>
          <w:sz w:val="22"/>
          <w:szCs w:val="22"/>
        </w:rPr>
        <w:t>, 2020)</w:t>
      </w:r>
      <w:r>
        <w:rPr>
          <w:rFonts w:ascii="Arial" w:hAnsi="Arial" w:cs="Arial"/>
          <w:sz w:val="22"/>
          <w:szCs w:val="22"/>
        </w:rPr>
        <w:fldChar w:fldCharType="end"/>
      </w:r>
      <w:r>
        <w:rPr>
          <w:rFonts w:ascii="Arial" w:hAnsi="Arial" w:cs="Arial"/>
          <w:sz w:val="22"/>
          <w:szCs w:val="22"/>
        </w:rPr>
        <w:t xml:space="preserve">. Therefore, a thorough investigation of South-African local regulation and preferences in terms of gift-giving is required to facilitate the establishment of clear and comprehensive firm-specific guidelines. Most South African people are like British people, as they trust the explicit rules and regulations as the basis to develop trust against each other and against the organization </w:t>
      </w:r>
      <w:r>
        <w:rPr>
          <w:rFonts w:ascii="Arial" w:hAnsi="Arial" w:cs="Arial"/>
          <w:sz w:val="22"/>
          <w:szCs w:val="22"/>
        </w:rPr>
        <w:fldChar w:fldCharType="begin" w:fldLock="1"/>
      </w:r>
      <w:r>
        <w:rPr>
          <w:rFonts w:ascii="Arial" w:hAnsi="Arial" w:cs="Arial"/>
          <w:sz w:val="22"/>
          <w:szCs w:val="22"/>
        </w:rPr>
        <w:instrText xml:space="preserve">ADDIN CSL_CITATION {"citationItems":[{"id":"ITEM-1","itemData":{"author":[{"dropping-particle":"","family":"Berg","given":"Astrid","non-dropping-particle":"","parse-names":false,"suffix":""}],"id":"ITEM-1","issued":{"date-parts":[["2012"]]},"publisher":"Texas University Press","title":"Connecting with South Africa: Cultural communication and understanding","type":"book"},"uris":["http://www.mendeley.com/documents/?uuid=bd23436f-89ba-44d6-a55d-00f9d6525b88"]}],"mendeley":{"formattedCitation":"(Berg, 2012)","plainTextFormattedCitation":"(Berg, 2012)","previouslyFormattedCitation":"(Berg, 2012)"},"properties":{"noteIndex":0},"schema":"https://github.com/citation-style-language/schema/raw/master/csl-citation.json"}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(Berg, 2012)</w:t>
      </w:r>
      <w:r>
        <w:rPr>
          <w:rFonts w:ascii="Arial" w:hAnsi="Arial" w:cs="Arial"/>
          <w:sz w:val="22"/>
          <w:szCs w:val="22"/>
        </w:rPr>
        <w:fldChar w:fldCharType="end"/>
      </w:r>
      <w:r>
        <w:rPr>
          <w:rFonts w:ascii="Arial" w:hAnsi="Arial" w:cs="Arial"/>
          <w:sz w:val="22"/>
          <w:szCs w:val="22"/>
        </w:rPr>
        <w:t xml:space="preserve">. That is to say, they rely on normative formal networks to establish mutual trust. However, the black majority in South Africa tend to resort to informal networking, say interpersonal relationships, for developing trust </w:t>
      </w:r>
      <w:r>
        <w:rPr>
          <w:rFonts w:ascii="Arial" w:hAnsi="Arial" w:cs="Arial"/>
          <w:sz w:val="22"/>
          <w:szCs w:val="22"/>
        </w:rPr>
        <w:fldChar w:fldCharType="begin" w:fldLock="1"/>
      </w:r>
      <w:r>
        <w:rPr>
          <w:rFonts w:ascii="Arial" w:hAnsi="Arial" w:cs="Arial"/>
          <w:sz w:val="22"/>
          <w:szCs w:val="22"/>
        </w:rPr>
        <w:instrText xml:space="preserve">ADDIN CSL_CITATION {"citationItems":[{"id":"ITEM-1","itemData":{"ISSN":"10577769","abstract":"Communication does not occur in a void; people always communicate within a situation or setting (Steinberg, 1994). As human beings, we use language, i.e., verbal and nonverbal signals to communicate and interact with one another and to link us to the world. Much of what we do when we interact with others is based on our cultural values and background. In this interaction we often encounter people who not only use different languages but who also come from cultures and backgrounds different from ours. Because of our differences, misunderstandings may occur in the process of communication and this may have a negative effect on people around us. The discussion will commence by explaining nonverbal communication and by providing an overview of recent South African history. A deliberation on nonverbal behavioural aspects pertaining to Africans will follow. Lastly, a scenario will be used to demonstrate how a lack of understanding of other people's culture and non-verbal gestures can cause misunderstandings.","author":[{"dropping-particle":"","family":"Ntuli","given":"Cynthia Danisile","non-dropping-particle":"","parse-names":false,"suffix":""}],"container-title":"Intercultural Communication Studies","id":"ITEM-1","issue":"2","issued":{"date-parts":[["2012"]]},"page":"20-31","title":"Intercultural misunderstanding in South Africa: An analysis of nonverbal communication behaviour in context","type":"article-journal","volume":"21"},"uris":["http://www.mendeley.com/documents/?uuid=d8c7bced-f293-3d59-abd9-4be2c0bb1e77"]}],"mendeley":{"formattedCitation":"(Ntuli, 2012)","plainTextFormattedCitation":"(Ntuli, 2012)","previouslyFormattedCitation":"(Ntuli, 2012)"},"properties":{"noteIndex":0},"schema":"https://github.com/citation-style-language/schema/raw/master/csl-citation.json"}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(Ntuli, 2012)</w:t>
      </w:r>
      <w:r>
        <w:rPr>
          <w:rFonts w:ascii="Arial" w:hAnsi="Arial" w:cs="Arial"/>
          <w:sz w:val="22"/>
          <w:szCs w:val="22"/>
        </w:rPr>
        <w:fldChar w:fldCharType="end"/>
      </w:r>
      <w:r>
        <w:rPr>
          <w:rFonts w:ascii="Arial" w:hAnsi="Arial" w:cs="Arial"/>
          <w:sz w:val="22"/>
          <w:szCs w:val="22"/>
        </w:rPr>
        <w:t xml:space="preserve">. That indicates different attitudes and behaviours should be taken by British businesses when interacting with different sub-communities in South Africa. </w:t>
      </w:r>
    </w:p>
    <w:p>
      <w:pPr>
        <w:spacing w:before="156" w:beforeLines="50" w:after="156" w:afterLines="50" w:line="360" w:lineRule="auto"/>
        <w:jc w:val="both"/>
        <w:rPr>
          <w:rFonts w:ascii="Arial" w:hAnsi="Arial" w:cs="Arial"/>
          <w:sz w:val="22"/>
          <w:szCs w:val="22"/>
        </w:rPr>
      </w:pPr>
      <w:r>
        <w:rPr>
          <w:rFonts w:ascii="Arial" w:hAnsi="Arial" w:cs="Arial"/>
          <w:sz w:val="22"/>
          <w:szCs w:val="22"/>
        </w:rPr>
        <w:t xml:space="preserve">The above discussion indicates South Africa as a multicultural society with many discrepancies compared to Britain and across strata. To cope with above mentioned challenges and sensitivities in business communication when operating in South Africa, some recommendations are given here. On the basis of a full understanding of cultural differences, UK companies should develop coping strategies based on the communication barriers caused by cultural differences. The deep-seated causes of cross-cultural communication problems should be analysed on the basis of their causes. However, it is important to note that cultural factors that influence communication do not occur in isolation but are more often the result of several cultural factors simultaneously. Then, strategies should be developed for different communication problems. After analysing the causes of communication barriers, resources are promptly mobilised to help employees cope with the solutions. On the basis of not changing the organisational culture, and according to the main needs of different business activities and in combination with the existing main culture, a suitable and flexible intercultural communication strategy is developed for the company in order to facilitate adjustments in the values, thinking styles, communication styles, time perceptions and personal habits of employees. This is of great importance given to the complexity and diversity of the South Africa culture. The flexibility in the communication strategies will ensure maximized communication effectiveness when interacting with different communities </w:t>
      </w:r>
      <w:r>
        <w:rPr>
          <w:rFonts w:ascii="Arial" w:hAnsi="Arial" w:cs="Arial"/>
          <w:sz w:val="22"/>
          <w:szCs w:val="22"/>
        </w:rPr>
        <w:fldChar w:fldCharType="begin" w:fldLock="1"/>
      </w:r>
      <w:r>
        <w:rPr>
          <w:rFonts w:ascii="Arial" w:hAnsi="Arial" w:cs="Arial"/>
          <w:sz w:val="22"/>
          <w:szCs w:val="22"/>
        </w:rPr>
        <w:instrText xml:space="preserve">ADDIN CSL_CITATION {"citationItems":[{"id":"ITEM-1","itemData":{"DOI":"10.4324/9781315529257","ISBN":"9781315529257","author":[{"dropping-particle":"","family":"Steyn","given":"Melissa","non-dropping-particle":"","parse-names":false,"suffix":""},{"dropping-particle":"","family":"Reygan","given":"Finn","non-dropping-particle":"","parse-names":false,"suffix":""}],"container-title":"Intercultural Competence in Higher Education: International Approaches, Assessment and Application","id":"ITEM-1","issued":{"date-parts":[["2017"]]},"page":"83-94","title":"New competencies for intercultural communication: Power, privilege, and the decolonisation of higher education in South Africa","type":"chapter"},"uris":["http://www.mendeley.com/documents/?uuid=bcd3e1f0-8a91-3202-b6dc-20cd3e1326d4"]}],"mendeley":{"formattedCitation":"(Steyn and Reygan, 2017)","plainTextFormattedCitation":"(Steyn and Reygan, 2017)"},"properties":{"noteIndex":0},"schema":"https://github.com/citation-style-language/schema/raw/master/csl-citation.json"}</w:instrText>
      </w:r>
      <w:r>
        <w:rPr>
          <w:rFonts w:ascii="Arial" w:hAnsi="Arial" w:cs="Arial"/>
          <w:sz w:val="22"/>
          <w:szCs w:val="22"/>
        </w:rPr>
        <w:fldChar w:fldCharType="separate"/>
      </w:r>
      <w:r>
        <w:rPr>
          <w:rFonts w:ascii="Arial" w:hAnsi="Arial" w:cs="Arial"/>
          <w:sz w:val="22"/>
          <w:szCs w:val="22"/>
        </w:rPr>
        <w:t>(Steyn and Reygan, 2017)</w:t>
      </w:r>
      <w:r>
        <w:rPr>
          <w:rFonts w:ascii="Arial" w:hAnsi="Arial" w:cs="Arial"/>
          <w:sz w:val="22"/>
          <w:szCs w:val="22"/>
        </w:rPr>
        <w:fldChar w:fldCharType="end"/>
      </w:r>
      <w:r>
        <w:rPr>
          <w:rFonts w:ascii="Arial" w:hAnsi="Arial" w:cs="Arial"/>
          <w:sz w:val="22"/>
          <w:szCs w:val="22"/>
        </w:rPr>
        <w:t xml:space="preserve">. Also, Bennett (1988) indicated that intercultural sensitivity can be enhanced through training that posits a continuum of increasing sophistication in coping with differences, resulting in gradual movement from ethnocentrism to ethnorelativism with greater awareness and acceptance of difference. Especially, the training contents should cover major themes covered above, including basic language training, business technique training, communication skill training, etc. The training designed for South African employees and Britain employees should be specifically targeted, and different training formats, such as lectures, mentorship, orientation, sharing, activities, can be intertwined to improve intercultural competencies. </w:t>
      </w:r>
    </w:p>
    <w:p>
      <w:pPr>
        <w:spacing w:before="156" w:beforeLines="50" w:after="156" w:afterLines="50" w:line="360" w:lineRule="auto"/>
        <w:jc w:val="both"/>
        <w:rPr>
          <w:rFonts w:ascii="Arial" w:hAnsi="Arial" w:cs="Arial"/>
          <w:sz w:val="22"/>
          <w:szCs w:val="22"/>
        </w:rPr>
      </w:pPr>
      <w:r>
        <w:rPr>
          <w:rFonts w:ascii="Arial" w:hAnsi="Arial" w:cs="Arial"/>
          <w:sz w:val="22"/>
          <w:szCs w:val="22"/>
        </w:rPr>
        <w:t xml:space="preserve">Without effective business communication, work progress would become an uphill task for British businesses operating in South Africa. The multicultural workforce requires attention being paid to challenges and sensitivities to communication. Through comparing typical cultural aspects between Britain and South Africa, the present essay highlights some challenges and sensitivities in the workplace in South Africa. Major challenges presented here include the language barriers, the communication styles, the values and beliefs, the gift-giving culture, etc. Especially, as South Africa is a nation with high cultural diversity, the challenges and sensitivities may vary from one community to another. The above discussion indicates the black majority has been an exception exhibiting a distinct feature in communication. A deep dive into each sub-culture is necessary to enhance the flexibility and effectiveness of communication. </w:t>
      </w:r>
    </w:p>
    <w:p>
      <w:pPr>
        <w:spacing w:before="156" w:beforeLines="50" w:after="156" w:afterLines="50" w:line="360" w:lineRule="auto"/>
        <w:jc w:val="both"/>
        <w:rPr>
          <w:rFonts w:ascii="Arial" w:hAnsi="Arial" w:cs="Arial"/>
        </w:rPr>
      </w:pPr>
    </w:p>
    <w:p>
      <w:pPr>
        <w:spacing w:before="156" w:beforeLines="50" w:after="156" w:afterLines="50" w:line="360" w:lineRule="auto"/>
        <w:jc w:val="both"/>
        <w:rPr>
          <w:rFonts w:ascii="Arial" w:hAnsi="Arial" w:cs="Arial"/>
        </w:rPr>
      </w:pPr>
    </w:p>
    <w:p>
      <w:pPr>
        <w:spacing w:before="156" w:beforeLines="50" w:after="156" w:afterLines="50" w:line="360" w:lineRule="auto"/>
        <w:jc w:val="both"/>
        <w:rPr>
          <w:rFonts w:ascii="Arial" w:hAnsi="Arial" w:cs="Arial"/>
        </w:rPr>
      </w:pPr>
    </w:p>
    <w:p>
      <w:pPr>
        <w:spacing w:before="156" w:beforeLines="50" w:after="156" w:afterLines="50" w:line="360" w:lineRule="auto"/>
        <w:jc w:val="both"/>
        <w:rPr>
          <w:rFonts w:ascii="Arial" w:hAnsi="Arial" w:cs="Arial"/>
        </w:rPr>
      </w:pPr>
      <w:bookmarkStart w:id="0" w:name="_GoBack"/>
      <w:bookmarkEnd w:id="0"/>
    </w:p>
    <w:p>
      <w:pPr>
        <w:spacing w:before="156" w:beforeLines="50" w:after="156" w:afterLines="50" w:line="360" w:lineRule="auto"/>
        <w:jc w:val="both"/>
        <w:rPr>
          <w:rFonts w:hint="eastAsia" w:ascii="Arial" w:hAnsi="Arial" w:cs="Arial"/>
        </w:rPr>
      </w:pPr>
    </w:p>
    <w:p>
      <w:pPr>
        <w:spacing w:before="156" w:beforeLines="50" w:after="156" w:afterLines="50" w:line="360" w:lineRule="auto"/>
        <w:rPr>
          <w:rStyle w:val="38"/>
          <w:rFonts w:ascii="Arial" w:hAnsi="Arial" w:cs="Arial"/>
        </w:rPr>
      </w:pPr>
      <w:r>
        <w:rPr>
          <w:rStyle w:val="38"/>
          <w:rFonts w:ascii="Arial" w:hAnsi="Arial" w:cs="Arial"/>
        </w:rPr>
        <w:t xml:space="preserve">References </w:t>
      </w:r>
    </w:p>
    <w:p>
      <w:pPr>
        <w:autoSpaceDE w:val="0"/>
        <w:autoSpaceDN w:val="0"/>
        <w:adjustRightInd w:val="0"/>
        <w:spacing w:before="156" w:beforeLines="50" w:after="156" w:afterLines="50" w:line="360" w:lineRule="auto"/>
        <w:rPr>
          <w:rFonts w:ascii="Arial" w:hAnsi="Arial" w:eastAsia="等线" w:cs="Arial"/>
          <w:sz w:val="20"/>
          <w:szCs w:val="24"/>
        </w:rPr>
      </w:pPr>
      <w:r>
        <w:rPr>
          <w:rStyle w:val="38"/>
          <w:rFonts w:ascii="Arial" w:hAnsi="Arial" w:cs="Arial"/>
        </w:rPr>
        <w:fldChar w:fldCharType="begin" w:fldLock="1"/>
      </w:r>
      <w:r>
        <w:rPr>
          <w:rStyle w:val="38"/>
          <w:rFonts w:ascii="Arial" w:hAnsi="Arial" w:cs="Arial"/>
        </w:rPr>
        <w:instrText xml:space="preserve">ADDIN Mendeley Bibliography CSL_BIBLIOGRAPHY </w:instrText>
      </w:r>
      <w:r>
        <w:rPr>
          <w:rStyle w:val="38"/>
          <w:rFonts w:ascii="Arial" w:hAnsi="Arial" w:cs="Arial"/>
        </w:rPr>
        <w:fldChar w:fldCharType="separate"/>
      </w:r>
      <w:r>
        <w:rPr>
          <w:rFonts w:ascii="Arial" w:hAnsi="Arial" w:eastAsia="等线" w:cs="Arial"/>
          <w:sz w:val="20"/>
          <w:szCs w:val="24"/>
        </w:rPr>
        <w:t xml:space="preserve">Baraldi, C. (2006) ‘New forms of intercultural communication in a globalized world’, </w:t>
      </w:r>
      <w:r>
        <w:rPr>
          <w:rFonts w:ascii="Arial" w:hAnsi="Arial" w:eastAsia="等线" w:cs="Arial"/>
          <w:i/>
          <w:iCs/>
          <w:sz w:val="20"/>
          <w:szCs w:val="24"/>
        </w:rPr>
        <w:t>International Communication Gazette</w:t>
      </w:r>
      <w:r>
        <w:rPr>
          <w:rFonts w:ascii="Arial" w:hAnsi="Arial" w:eastAsia="等线" w:cs="Arial"/>
          <w:sz w:val="20"/>
          <w:szCs w:val="24"/>
        </w:rPr>
        <w:t>, pp. 53–69. doi: 10.1177/1748048506060115.</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Bennett, M. J. (1988) </w:t>
      </w:r>
      <w:r>
        <w:rPr>
          <w:rFonts w:ascii="Arial" w:hAnsi="Arial" w:eastAsia="等线" w:cs="Arial"/>
          <w:i/>
          <w:iCs/>
          <w:sz w:val="20"/>
          <w:szCs w:val="24"/>
        </w:rPr>
        <w:t>Basic Concepts of Intercultural Communication: Selected Readings</w:t>
      </w:r>
      <w:r>
        <w:rPr>
          <w:rFonts w:ascii="Arial" w:hAnsi="Arial" w:eastAsia="等线" w:cs="Arial"/>
          <w:sz w:val="20"/>
          <w:szCs w:val="24"/>
        </w:rPr>
        <w:t>. Intercultural Press Yarmouth, ME.</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Berg, A. (2012) </w:t>
      </w:r>
      <w:r>
        <w:rPr>
          <w:rFonts w:ascii="Arial" w:hAnsi="Arial" w:eastAsia="等线" w:cs="Arial"/>
          <w:i/>
          <w:iCs/>
          <w:sz w:val="20"/>
          <w:szCs w:val="24"/>
        </w:rPr>
        <w:t>Connecting with South Africa: Cultural communication and understanding</w:t>
      </w:r>
      <w:r>
        <w:rPr>
          <w:rFonts w:ascii="Arial" w:hAnsi="Arial" w:eastAsia="等线" w:cs="Arial"/>
          <w:sz w:val="20"/>
          <w:szCs w:val="24"/>
        </w:rPr>
        <w:t>. Texas University Press.</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Bornman, E. (2017) ‘Intercultural Communication Study in South Africa’, in </w:t>
      </w:r>
      <w:r>
        <w:rPr>
          <w:rFonts w:ascii="Arial" w:hAnsi="Arial" w:eastAsia="等线" w:cs="Arial"/>
          <w:i/>
          <w:iCs/>
          <w:sz w:val="20"/>
          <w:szCs w:val="24"/>
        </w:rPr>
        <w:t>The International Encyclopedia of Intercultural Communication</w:t>
      </w:r>
      <w:r>
        <w:rPr>
          <w:rFonts w:ascii="Arial" w:hAnsi="Arial" w:eastAsia="等线" w:cs="Arial"/>
          <w:sz w:val="20"/>
          <w:szCs w:val="24"/>
        </w:rPr>
        <w:t>. Wiley, pp. 1–10. doi: 10.1002/9781118783665.ieicc0094.</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Castro, M. L. and Martins, N. (2010) ‘The relationship between organisational climate and employee satisfaction in a South African information and technology organisation’, </w:t>
      </w:r>
      <w:r>
        <w:rPr>
          <w:rFonts w:ascii="Arial" w:hAnsi="Arial" w:eastAsia="等线" w:cs="Arial"/>
          <w:i/>
          <w:iCs/>
          <w:sz w:val="20"/>
          <w:szCs w:val="24"/>
        </w:rPr>
        <w:t>Journal of Industrial Psychology</w:t>
      </w:r>
      <w:r>
        <w:rPr>
          <w:rFonts w:ascii="Arial" w:hAnsi="Arial" w:eastAsia="等线" w:cs="Arial"/>
          <w:sz w:val="20"/>
          <w:szCs w:val="24"/>
        </w:rPr>
        <w:t>, 36(1). doi: 10.4102/sajip.v36i1.800.</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Dunkerley, K. J. and Robinson, W. P. (2002) ‘Similarities and differences in perceptions and evaluations of the communication styles of American and British mangers’, </w:t>
      </w:r>
      <w:r>
        <w:rPr>
          <w:rFonts w:ascii="Arial" w:hAnsi="Arial" w:eastAsia="等线" w:cs="Arial"/>
          <w:i/>
          <w:iCs/>
          <w:sz w:val="20"/>
          <w:szCs w:val="24"/>
        </w:rPr>
        <w:t>Journal of Language and Social Psychology</w:t>
      </w:r>
      <w:r>
        <w:rPr>
          <w:rFonts w:ascii="Arial" w:hAnsi="Arial" w:eastAsia="等线" w:cs="Arial"/>
          <w:sz w:val="20"/>
          <w:szCs w:val="24"/>
        </w:rPr>
        <w:t>, pp. 393–409. doi: 10.1177/026192702237956.</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Economics, W. K.-J. of D. and 2013,  undefined (no date) ‘Conspicuous consumption and “race”: Evidence from South Africa’, </w:t>
      </w:r>
      <w:r>
        <w:rPr>
          <w:rFonts w:ascii="Arial" w:hAnsi="Arial" w:eastAsia="等线" w:cs="Arial"/>
          <w:i/>
          <w:iCs/>
          <w:sz w:val="20"/>
          <w:szCs w:val="24"/>
        </w:rPr>
        <w:t>Elsevier</w:t>
      </w:r>
      <w:r>
        <w:rPr>
          <w:rFonts w:ascii="Arial" w:hAnsi="Arial" w:eastAsia="等线" w:cs="Arial"/>
          <w:sz w:val="20"/>
          <w:szCs w:val="24"/>
        </w:rPr>
        <w:t>. Available at: https://www.sciencedirect.com/science/article/pii/S0304387812000648?casa_token=OuF6lA9xsaIAAAAA:z50o-EP4h6DjfU-pc14X0mUNeLixrvcOejaO1aWgCxZWOOePFh3_gzDYRvlkpjRofVX32hs84A (Accessed: 4 January 2022).</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Global Compliance News (2020) </w:t>
      </w:r>
      <w:r>
        <w:rPr>
          <w:rFonts w:ascii="Arial" w:hAnsi="Arial" w:eastAsia="等线" w:cs="Arial"/>
          <w:i/>
          <w:iCs/>
          <w:sz w:val="20"/>
          <w:szCs w:val="24"/>
        </w:rPr>
        <w:t xml:space="preserve">Anti-Corruption in South Africa </w:t>
      </w:r>
      <w:r>
        <w:rPr>
          <w:rFonts w:ascii="Arial" w:hAnsi="Arial" w:eastAsia="等线" w:cs="Arial"/>
          <w:sz w:val="20"/>
          <w:szCs w:val="24"/>
        </w:rPr>
        <w:t>. Available at: https://www.globalcompliancenews.com/anti-corruption/anti-corruption-in-south-africa-2/ (Accessed: 4 January 2022).</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Global Legal Insights (2019) ‘Bribery &amp; Corruption Laws and Regulations | United Kingdom | GLI’. Available at: https://www.globallegalinsights.com/practice-areas/bribery-and-corruption-laws-and-regulations/united-kingdom (Accessed: 4 January 2022).</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Guo, Q. (2019) ‘Competency in globalization and intercultural communication’, in </w:t>
      </w:r>
      <w:r>
        <w:rPr>
          <w:rFonts w:ascii="Arial" w:hAnsi="Arial" w:eastAsia="等线" w:cs="Arial"/>
          <w:i/>
          <w:iCs/>
          <w:sz w:val="20"/>
          <w:szCs w:val="24"/>
        </w:rPr>
        <w:t>The Wiley Handbook of Global Workplace Learning</w:t>
      </w:r>
      <w:r>
        <w:rPr>
          <w:rFonts w:ascii="Arial" w:hAnsi="Arial" w:eastAsia="等线" w:cs="Arial"/>
          <w:sz w:val="20"/>
          <w:szCs w:val="24"/>
        </w:rPr>
        <w:t>. wiley, pp. 277–299. doi: 10.1002/9781119227793.ch16.</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Hadfield, L. A. (2016) </w:t>
      </w:r>
      <w:r>
        <w:rPr>
          <w:rFonts w:ascii="Arial" w:hAnsi="Arial" w:eastAsia="等线" w:cs="Arial"/>
          <w:i/>
          <w:iCs/>
          <w:sz w:val="20"/>
          <w:szCs w:val="24"/>
        </w:rPr>
        <w:t>Liberation and development: Black consciousness community programs in South Africa</w:t>
      </w:r>
      <w:r>
        <w:rPr>
          <w:rFonts w:ascii="Arial" w:hAnsi="Arial" w:eastAsia="等线" w:cs="Arial"/>
          <w:sz w:val="20"/>
          <w:szCs w:val="24"/>
        </w:rPr>
        <w:t>. MSU Press.</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Hall, E. T. (1989) </w:t>
      </w:r>
      <w:r>
        <w:rPr>
          <w:rFonts w:ascii="Arial" w:hAnsi="Arial" w:eastAsia="等线" w:cs="Arial"/>
          <w:i/>
          <w:iCs/>
          <w:sz w:val="20"/>
          <w:szCs w:val="24"/>
        </w:rPr>
        <w:t>Beyond culture</w:t>
      </w:r>
      <w:r>
        <w:rPr>
          <w:rFonts w:ascii="Arial" w:hAnsi="Arial" w:eastAsia="等线" w:cs="Arial"/>
          <w:sz w:val="20"/>
          <w:szCs w:val="24"/>
        </w:rPr>
        <w:t>. Anchor.</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Hofstede, G. (2011) ‘Dimensionalizing cultures: The Hofstede model in context.’, </w:t>
      </w:r>
      <w:r>
        <w:rPr>
          <w:rFonts w:ascii="Arial" w:hAnsi="Arial" w:eastAsia="等线" w:cs="Arial"/>
          <w:i/>
          <w:iCs/>
          <w:sz w:val="20"/>
          <w:szCs w:val="24"/>
        </w:rPr>
        <w:t>Online readings in psychology and culture</w:t>
      </w:r>
      <w:r>
        <w:rPr>
          <w:rFonts w:ascii="Arial" w:hAnsi="Arial" w:eastAsia="等线" w:cs="Arial"/>
          <w:sz w:val="20"/>
          <w:szCs w:val="24"/>
        </w:rPr>
        <w:t>, 2(1), pp. 2307–0919.</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Hofstede Insight (no date) </w:t>
      </w:r>
      <w:r>
        <w:rPr>
          <w:rFonts w:ascii="Arial" w:hAnsi="Arial" w:eastAsia="等线" w:cs="Arial"/>
          <w:i/>
          <w:iCs/>
          <w:sz w:val="20"/>
          <w:szCs w:val="24"/>
        </w:rPr>
        <w:t>Country Comparison - Hofstede Insights</w:t>
      </w:r>
      <w:r>
        <w:rPr>
          <w:rFonts w:ascii="Arial" w:hAnsi="Arial" w:eastAsia="等线" w:cs="Arial"/>
          <w:sz w:val="20"/>
          <w:szCs w:val="24"/>
        </w:rPr>
        <w:t>. Available at: https://www.hofstede-insights.com/country-comparison/south-africa,the-uk/ (Accessed: 4 January 2022).</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Kiazad, K., Seibert, S. E. and Kraimer, M. L. (2014) ‘Psychological contract breach and employee innovation: A conservation of resources perspective’, </w:t>
      </w:r>
      <w:r>
        <w:rPr>
          <w:rFonts w:ascii="Arial" w:hAnsi="Arial" w:eastAsia="等线" w:cs="Arial"/>
          <w:i/>
          <w:iCs/>
          <w:sz w:val="20"/>
          <w:szCs w:val="24"/>
        </w:rPr>
        <w:t>Journal of Occupational and Organizational Psychology</w:t>
      </w:r>
      <w:r>
        <w:rPr>
          <w:rFonts w:ascii="Arial" w:hAnsi="Arial" w:eastAsia="等线" w:cs="Arial"/>
          <w:sz w:val="20"/>
          <w:szCs w:val="24"/>
        </w:rPr>
        <w:t>, 87(3), pp. 535–556. doi: 10.1111/joop.12062.</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Nixon, Y. and Bull, P. (2006) ‘Cultural communication styles and accuracy in cross-cultural perception: A British and Japanese study’, </w:t>
      </w:r>
      <w:r>
        <w:rPr>
          <w:rFonts w:ascii="Arial" w:hAnsi="Arial" w:eastAsia="等线" w:cs="Arial"/>
          <w:i/>
          <w:iCs/>
          <w:sz w:val="20"/>
          <w:szCs w:val="24"/>
        </w:rPr>
        <w:t>Journal of Intercultural Communication</w:t>
      </w:r>
      <w:r>
        <w:rPr>
          <w:rFonts w:ascii="Arial" w:hAnsi="Arial" w:eastAsia="等线" w:cs="Arial"/>
          <w:sz w:val="20"/>
          <w:szCs w:val="24"/>
        </w:rPr>
        <w:t>, (12). Available at: http://search.ebscohost.com/login.aspx?direct=true&amp;profile=ehost&amp;scope=site&amp;authtype=crawler&amp;jrnl=14041634&amp;AN=22917033&amp;h=NWoe%2B3eyebiixRTgQ1gdqASkRzXG8uzlExZ%2Fmrel%2BAqwTcnND8MSz0crEngZhmSU8VbaP7K0I%2Fei9o8DvYEMOQ%3D%3D&amp;crl=c&amp;casa_token=uqGGGRkl7mUAAAAA (Accessed: 4 January 2022).</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Nortjé, N. and Albertyn, R. (2015) ‘The cultural language of pain: A South African study’, </w:t>
      </w:r>
      <w:r>
        <w:rPr>
          <w:rFonts w:ascii="Arial" w:hAnsi="Arial" w:eastAsia="等线" w:cs="Arial"/>
          <w:i/>
          <w:iCs/>
          <w:sz w:val="20"/>
          <w:szCs w:val="24"/>
        </w:rPr>
        <w:t>South African Family Practice</w:t>
      </w:r>
      <w:r>
        <w:rPr>
          <w:rFonts w:ascii="Arial" w:hAnsi="Arial" w:eastAsia="等线" w:cs="Arial"/>
          <w:sz w:val="20"/>
          <w:szCs w:val="24"/>
        </w:rPr>
        <w:t>, 57(1), pp. 24–27. doi: 10.1080/20786190.2014.977034.</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Ntuli, C. D. (2012) ‘Intercultural misunderstanding in South Africa: An analysis of nonverbal communication behaviour in context’, </w:t>
      </w:r>
      <w:r>
        <w:rPr>
          <w:rFonts w:ascii="Arial" w:hAnsi="Arial" w:eastAsia="等线" w:cs="Arial"/>
          <w:i/>
          <w:iCs/>
          <w:sz w:val="20"/>
          <w:szCs w:val="24"/>
        </w:rPr>
        <w:t>Intercultural Communication Studies</w:t>
      </w:r>
      <w:r>
        <w:rPr>
          <w:rFonts w:ascii="Arial" w:hAnsi="Arial" w:eastAsia="等线" w:cs="Arial"/>
          <w:sz w:val="20"/>
          <w:szCs w:val="24"/>
        </w:rPr>
        <w:t>, 21(2), pp. 20–31. Available at: https://web.uri.edu/iaics/files/02CynthiaDanisileNtuli.pdf (Accessed: 4 January 2022).</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Salahuddin, M. </w:t>
      </w:r>
      <w:r>
        <w:rPr>
          <w:rFonts w:ascii="Arial" w:hAnsi="Arial" w:eastAsia="等线" w:cs="Arial"/>
          <w:i/>
          <w:iCs/>
          <w:sz w:val="20"/>
          <w:szCs w:val="24"/>
        </w:rPr>
        <w:t>et al.</w:t>
      </w:r>
      <w:r>
        <w:rPr>
          <w:rFonts w:ascii="Arial" w:hAnsi="Arial" w:eastAsia="等线" w:cs="Arial"/>
          <w:sz w:val="20"/>
          <w:szCs w:val="24"/>
        </w:rPr>
        <w:t xml:space="preserve"> (2020) ‘Globalisation, poverty and corruption: Retarding progress in South Africa’, </w:t>
      </w:r>
      <w:r>
        <w:rPr>
          <w:rFonts w:ascii="Arial" w:hAnsi="Arial" w:eastAsia="等线" w:cs="Arial"/>
          <w:i/>
          <w:iCs/>
          <w:sz w:val="20"/>
          <w:szCs w:val="24"/>
        </w:rPr>
        <w:t>Development Southern Africa</w:t>
      </w:r>
      <w:r>
        <w:rPr>
          <w:rFonts w:ascii="Arial" w:hAnsi="Arial" w:eastAsia="等线" w:cs="Arial"/>
          <w:sz w:val="20"/>
          <w:szCs w:val="24"/>
        </w:rPr>
        <w:t>, 37(4), pp. 617–643. doi: 10.1080/0376835X.2019.1678460.</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Sorrells, K. (2011) ‘Re-Imagining Intercultural Communication in the Context of Globalization’, in </w:t>
      </w:r>
      <w:r>
        <w:rPr>
          <w:rFonts w:ascii="Arial" w:hAnsi="Arial" w:eastAsia="等线" w:cs="Arial"/>
          <w:i/>
          <w:iCs/>
          <w:sz w:val="20"/>
          <w:szCs w:val="24"/>
        </w:rPr>
        <w:t>The Handbook of Critical Intercultural Communication</w:t>
      </w:r>
      <w:r>
        <w:rPr>
          <w:rFonts w:ascii="Arial" w:hAnsi="Arial" w:eastAsia="等线" w:cs="Arial"/>
          <w:sz w:val="20"/>
          <w:szCs w:val="24"/>
        </w:rPr>
        <w:t>, pp. 171–189. doi: 10.1002/9781444390681.ch11.</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South Africa Gateway (2018) </w:t>
      </w:r>
      <w:r>
        <w:rPr>
          <w:rFonts w:ascii="Arial" w:hAnsi="Arial" w:eastAsia="等线" w:cs="Arial"/>
          <w:i/>
          <w:iCs/>
          <w:sz w:val="20"/>
          <w:szCs w:val="24"/>
        </w:rPr>
        <w:t>The 11 languages of South Africa</w:t>
      </w:r>
      <w:r>
        <w:rPr>
          <w:rFonts w:ascii="Arial" w:hAnsi="Arial" w:eastAsia="等线" w:cs="Arial"/>
          <w:sz w:val="20"/>
          <w:szCs w:val="24"/>
        </w:rPr>
        <w:t>. Available at: https://southafrica-info.com/arts-culture/11-languages-south-africa/ (Accessed: 4 January 2022).</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Steyn, M. and Reygan, F. (2017) ‘New competencies for intercultural communication: Power, privilege, and the decolonisation of higher education in South Africa’, in </w:t>
      </w:r>
      <w:r>
        <w:rPr>
          <w:rFonts w:ascii="Arial" w:hAnsi="Arial" w:eastAsia="等线" w:cs="Arial"/>
          <w:i/>
          <w:iCs/>
          <w:sz w:val="20"/>
          <w:szCs w:val="24"/>
        </w:rPr>
        <w:t>Intercultural Competence in Higher Education: International Approaches, Assessment and Application</w:t>
      </w:r>
      <w:r>
        <w:rPr>
          <w:rFonts w:ascii="Arial" w:hAnsi="Arial" w:eastAsia="等线" w:cs="Arial"/>
          <w:sz w:val="20"/>
          <w:szCs w:val="24"/>
        </w:rPr>
        <w:t>, pp. 83–94. doi: 10.4324/9781315529257.</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Thompson, L. (2014) </w:t>
      </w:r>
      <w:r>
        <w:rPr>
          <w:rFonts w:ascii="Arial" w:hAnsi="Arial" w:eastAsia="等线" w:cs="Arial"/>
          <w:i/>
          <w:iCs/>
          <w:sz w:val="20"/>
          <w:szCs w:val="24"/>
        </w:rPr>
        <w:t>A history of South Africa</w:t>
      </w:r>
      <w:r>
        <w:rPr>
          <w:rFonts w:ascii="Arial" w:hAnsi="Arial" w:eastAsia="等线" w:cs="Arial"/>
          <w:sz w:val="20"/>
          <w:szCs w:val="24"/>
        </w:rPr>
        <w:t>. Yale University Press.</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Tindall, N. T. J. and Holtzhausen, D. R. (2011) ‘Toward a roles theory for strategic communication: The case of South Africa’, </w:t>
      </w:r>
      <w:r>
        <w:rPr>
          <w:rFonts w:ascii="Arial" w:hAnsi="Arial" w:eastAsia="等线" w:cs="Arial"/>
          <w:i/>
          <w:iCs/>
          <w:sz w:val="20"/>
          <w:szCs w:val="24"/>
        </w:rPr>
        <w:t>International Journal of Strategic Communication</w:t>
      </w:r>
      <w:r>
        <w:rPr>
          <w:rFonts w:ascii="Arial" w:hAnsi="Arial" w:eastAsia="等线" w:cs="Arial"/>
          <w:sz w:val="20"/>
          <w:szCs w:val="24"/>
        </w:rPr>
        <w:t>, 5(2), pp. 74–94. doi: 10.1080/1553118X.2011.561075.</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World Atlas (2018) </w:t>
      </w:r>
      <w:r>
        <w:rPr>
          <w:rFonts w:ascii="Arial" w:hAnsi="Arial" w:eastAsia="等线" w:cs="Arial"/>
          <w:i/>
          <w:iCs/>
          <w:sz w:val="20"/>
          <w:szCs w:val="24"/>
        </w:rPr>
        <w:t>Languages Of South Africa</w:t>
      </w:r>
      <w:r>
        <w:rPr>
          <w:rFonts w:ascii="Arial" w:hAnsi="Arial" w:eastAsia="等线" w:cs="Arial"/>
          <w:sz w:val="20"/>
          <w:szCs w:val="24"/>
        </w:rPr>
        <w:t>. Available at: https://www.worldatlas.com/articles/languages-of-south-africa.html (Accessed: 4 January 2022).</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Yeboah-Assiamah, E. </w:t>
      </w:r>
      <w:r>
        <w:rPr>
          <w:rFonts w:ascii="Arial" w:hAnsi="Arial" w:eastAsia="等线" w:cs="Arial"/>
          <w:i/>
          <w:iCs/>
          <w:sz w:val="20"/>
          <w:szCs w:val="24"/>
        </w:rPr>
        <w:t>et al.</w:t>
      </w:r>
      <w:r>
        <w:rPr>
          <w:rFonts w:ascii="Arial" w:hAnsi="Arial" w:eastAsia="等线" w:cs="Arial"/>
          <w:sz w:val="20"/>
          <w:szCs w:val="24"/>
        </w:rPr>
        <w:t xml:space="preserve"> (2016) ‘A socio-cultural approach to public sector corruption in Africa: key pointers for reflection’, </w:t>
      </w:r>
      <w:r>
        <w:rPr>
          <w:rFonts w:ascii="Arial" w:hAnsi="Arial" w:eastAsia="等线" w:cs="Arial"/>
          <w:i/>
          <w:iCs/>
          <w:sz w:val="20"/>
          <w:szCs w:val="24"/>
        </w:rPr>
        <w:t>Journal of Public Affairs</w:t>
      </w:r>
      <w:r>
        <w:rPr>
          <w:rFonts w:ascii="Arial" w:hAnsi="Arial" w:eastAsia="等线" w:cs="Arial"/>
          <w:sz w:val="20"/>
          <w:szCs w:val="24"/>
        </w:rPr>
        <w:t>, 16(3), pp. 279–293. doi: 10.1002/pa.1587.</w:t>
      </w:r>
    </w:p>
    <w:p>
      <w:pPr>
        <w:autoSpaceDE w:val="0"/>
        <w:autoSpaceDN w:val="0"/>
        <w:adjustRightInd w:val="0"/>
        <w:spacing w:before="156" w:beforeLines="50" w:after="156" w:afterLines="50" w:line="360" w:lineRule="auto"/>
        <w:rPr>
          <w:rFonts w:ascii="Arial" w:hAnsi="Arial" w:eastAsia="等线" w:cs="Arial"/>
          <w:sz w:val="20"/>
          <w:szCs w:val="24"/>
        </w:rPr>
      </w:pPr>
      <w:r>
        <w:rPr>
          <w:rFonts w:ascii="Arial" w:hAnsi="Arial" w:eastAsia="等线" w:cs="Arial"/>
          <w:sz w:val="20"/>
          <w:szCs w:val="24"/>
        </w:rPr>
        <w:t xml:space="preserve">Yue, Y. and Le, Q. (2012) ‘From “ Cultural Shock ” to “ ABC Framework ”: Development of Intercultural Contact Theory’, </w:t>
      </w:r>
      <w:r>
        <w:rPr>
          <w:rFonts w:ascii="Arial" w:hAnsi="Arial" w:eastAsia="等线" w:cs="Arial"/>
          <w:i/>
          <w:iCs/>
          <w:sz w:val="20"/>
          <w:szCs w:val="24"/>
        </w:rPr>
        <w:t>International Journal of Innovative Interdisciplinary Research</w:t>
      </w:r>
      <w:r>
        <w:rPr>
          <w:rFonts w:ascii="Arial" w:hAnsi="Arial" w:eastAsia="等线" w:cs="Arial"/>
          <w:sz w:val="20"/>
          <w:szCs w:val="24"/>
        </w:rPr>
        <w:t>, 2(2), pp. 133–141. Available at: https://www.auamii.com/jiir/Vol-01/issue-02/10yue.pdf (Accessed: 4 January 2022).</w:t>
      </w:r>
    </w:p>
    <w:p>
      <w:pPr>
        <w:autoSpaceDE w:val="0"/>
        <w:autoSpaceDN w:val="0"/>
        <w:adjustRightInd w:val="0"/>
        <w:spacing w:before="156" w:beforeLines="50" w:after="156" w:afterLines="50" w:line="360" w:lineRule="auto"/>
        <w:rPr>
          <w:rFonts w:ascii="Arial" w:hAnsi="Arial" w:eastAsia="等线" w:cs="Arial"/>
          <w:sz w:val="20"/>
        </w:rPr>
      </w:pPr>
      <w:r>
        <w:rPr>
          <w:rFonts w:ascii="Arial" w:hAnsi="Arial" w:eastAsia="等线" w:cs="Arial"/>
          <w:sz w:val="20"/>
          <w:szCs w:val="24"/>
        </w:rPr>
        <w:t xml:space="preserve">Zoogah, D. B., Peng, M. W. and Woldu, H. (2015) ‘Institutions, resources, and organizational effectiveness in Africa’, in </w:t>
      </w:r>
      <w:r>
        <w:rPr>
          <w:rFonts w:ascii="Arial" w:hAnsi="Arial" w:eastAsia="等线" w:cs="Arial"/>
          <w:i/>
          <w:iCs/>
          <w:sz w:val="20"/>
          <w:szCs w:val="24"/>
        </w:rPr>
        <w:t>Academy of Management Perspectives</w:t>
      </w:r>
      <w:r>
        <w:rPr>
          <w:rFonts w:ascii="Arial" w:hAnsi="Arial" w:eastAsia="等线" w:cs="Arial"/>
          <w:sz w:val="20"/>
          <w:szCs w:val="24"/>
        </w:rPr>
        <w:t>. Academy of Management, pp. 7–31. doi: 10.5465/amp.2012.0033.</w:t>
      </w:r>
    </w:p>
    <w:p>
      <w:pPr>
        <w:spacing w:before="156" w:beforeLines="50" w:after="156" w:afterLines="50" w:line="360" w:lineRule="auto"/>
        <w:rPr>
          <w:rStyle w:val="38"/>
          <w:rFonts w:ascii="Arial" w:hAnsi="Arial" w:cs="Arial"/>
        </w:rPr>
      </w:pPr>
      <w:r>
        <w:rPr>
          <w:rStyle w:val="38"/>
          <w:rFonts w:ascii="Arial" w:hAnsi="Arial" w:cs="Arial"/>
        </w:rPr>
        <w:fldChar w:fldCharType="end"/>
      </w:r>
    </w:p>
    <w:p>
      <w:pPr>
        <w:spacing w:before="156" w:beforeLines="50" w:after="156" w:afterLines="50" w:line="360" w:lineRule="auto"/>
        <w:rPr>
          <w:rStyle w:val="38"/>
          <w:rFonts w:ascii="Arial" w:hAnsi="Arial" w:cs="Arial"/>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等线">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Arial">
    <w:panose1 w:val="020B0604020202090204"/>
    <w:charset w:val="00"/>
    <w:family w:val="swiss"/>
    <w:pitch w:val="default"/>
    <w:sig w:usb0="E0000AFF" w:usb1="00007843" w:usb2="00000001" w:usb3="00000000" w:csb0="400001BF" w:csb1="DFF7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00000000" w:usb1="00000000"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微软雅黑">
    <w:altName w:val="汉仪旗黑"/>
    <w:panose1 w:val="020B0503020204020204"/>
    <w:charset w:val="86"/>
    <w:family w:val="auto"/>
    <w:pitch w:val="default"/>
    <w:sig w:usb0="00000000" w:usb1="00000000" w:usb2="00000016" w:usb3="00000000" w:csb0="0004001F" w:csb1="00000000"/>
  </w:font>
  <w:font w:name="Tahoma">
    <w:panose1 w:val="020B0804030504040204"/>
    <w:charset w:val="00"/>
    <w:family w:val="auto"/>
    <w:pitch w:val="default"/>
    <w:sig w:usb0="E1002AFF" w:usb1="C000605B" w:usb2="00000029" w:usb3="00000000" w:csb0="200101FF" w:csb1="20280000"/>
  </w:font>
  <w:font w:name="汉仪旗黑">
    <w:panose1 w:val="00020600040101010101"/>
    <w:charset w:val="86"/>
    <w:family w:val="auto"/>
    <w:pitch w:val="default"/>
    <w:sig w:usb0="A00002BF" w:usb1="1ACF7CFA" w:usb2="00000016" w:usb3="00000000" w:csb0="0004009F" w:csb1="DFD7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Courier New">
    <w:panose1 w:val="02070609020205090404"/>
    <w:charset w:val="00"/>
    <w:family w:val="modern"/>
    <w:pitch w:val="default"/>
    <w:sig w:usb0="E0000AFF" w:usb1="40007843" w:usb2="00000001" w:usb3="00000000" w:csb0="400001BF" w:csb1="DFF70000"/>
  </w:font>
  <w:font w:name="Calibri Light">
    <w:altName w:val="Helvetica Neue"/>
    <w:panose1 w:val="020F0302020204030204"/>
    <w:charset w:val="00"/>
    <w:family w:val="swiss"/>
    <w:pitch w:val="default"/>
    <w:sig w:usb0="00000000" w:usb1="00000000" w:usb2="00000009" w:usb3="00000000" w:csb0="000001FF" w:csb1="0000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DengXian">
    <w:altName w:val="汉仪中等线KW"/>
    <w:panose1 w:val="02010600030101010101"/>
    <w:charset w:val="86"/>
    <w:family w:val="auto"/>
    <w:pitch w:val="default"/>
    <w:sig w:usb0="00000000" w:usb1="00000000" w:usb2="00000016" w:usb3="00000000" w:csb0="0004000F" w:csb1="00000000"/>
  </w:font>
  <w:font w:name="DengXian Light">
    <w:altName w:val="汉仪中等线KW"/>
    <w:panose1 w:val="02010600030101010101"/>
    <w:charset w:val="86"/>
    <w:family w:val="auto"/>
    <w:pitch w:val="default"/>
    <w:sig w:usb0="00000000" w:usb1="00000000" w:usb2="00000016" w:usb3="00000000" w:csb0="0004000F" w:csb1="00000000"/>
  </w:font>
  <w:font w:name="Avenir Book">
    <w:panose1 w:val="02000503020000020003"/>
    <w:charset w:val="00"/>
    <w:family w:val="auto"/>
    <w:pitch w:val="default"/>
    <w:sig w:usb0="800000AF" w:usb1="5000204A" w:usb2="00000000" w:usb3="00000000" w:csb0="0000009B" w:csb1="00000000"/>
  </w:font>
  <w:font w:name="Khmer Sangam MN">
    <w:panose1 w:val="02000400000000000000"/>
    <w:charset w:val="00"/>
    <w:family w:val="auto"/>
    <w:pitch w:val="default"/>
    <w:sig w:usb0="80000003" w:usb1="00002040" w:usb2="00010000" w:usb3="00000000" w:csb0="00000001" w:csb1="00000000"/>
  </w:font>
  <w:font w:name="Toppan Bunkyu Gothic Regular">
    <w:panose1 w:val="020B0600000000000000"/>
    <w:charset w:val="80"/>
    <w:family w:val="auto"/>
    <w:pitch w:val="default"/>
    <w:sig w:usb0="000002D7" w:usb1="2AC73C11" w:usb2="00000012" w:usb3="00000000" w:csb0="2002009F" w:csb1="00000000"/>
  </w:font>
  <w:font w:name="Times New Roman Regular">
    <w:panose1 w:val="02020603050405020304"/>
    <w:charset w:val="00"/>
    <w:family w:val="auto"/>
    <w:pitch w:val="default"/>
    <w:sig w:usb0="E0002AEF" w:usb1="C0007841" w:usb2="00000009" w:usb3="00000000" w:csb0="400001FF" w:csb1="FFFF0000"/>
  </w:font>
  <w:font w:name="Times New Roman Bold">
    <w:panose1 w:val="02020603050405020304"/>
    <w:charset w:val="00"/>
    <w:family w:val="auto"/>
    <w:pitch w:val="default"/>
    <w:sig w:usb0="E0002AEF" w:usb1="C0007841" w:usb2="00000009" w:usb3="00000000" w:csb0="400001FF" w:csb1="FFFF0000"/>
  </w:font>
  <w:font w:name="Times New Roman Bold Italic">
    <w:panose1 w:val="02020603050405020304"/>
    <w:charset w:val="00"/>
    <w:family w:val="auto"/>
    <w:pitch w:val="default"/>
    <w:sig w:usb0="E0002AEF" w:usb1="C0007841" w:usb2="00000009" w:usb3="00000000" w:csb0="400001FF" w:csb1="FFFF0000"/>
  </w:font>
  <w:font w:name="American Typewriter Regular">
    <w:panose1 w:val="02090604020004020304"/>
    <w:charset w:val="00"/>
    <w:family w:val="auto"/>
    <w:pitch w:val="default"/>
    <w:sig w:usb0="A000006F" w:usb1="00000019" w:usb2="00000000" w:usb3="00000000" w:csb0="20000111" w:csb1="00000000"/>
  </w:font>
  <w:font w:name="Arial Regular">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Arial Italic">
    <w:panose1 w:val="020B0604020202090204"/>
    <w:charset w:val="00"/>
    <w:family w:val="auto"/>
    <w:pitch w:val="default"/>
    <w:sig w:usb0="E0000AFF" w:usb1="00007843" w:usb2="00000001" w:usb3="00000000" w:csb0="400001BF" w:csb1="DFF70000"/>
  </w:font>
  <w:font w:name="Arial Bold Italic">
    <w:panose1 w:val="020B0604020202090204"/>
    <w:charset w:val="00"/>
    <w:family w:val="auto"/>
    <w:pitch w:val="default"/>
    <w:sig w:usb0="E0000AFF" w:usb1="00007843" w:usb2="00000001" w:usb3="00000000" w:csb0="400001BF" w:csb1="DF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doNotDisplayPageBoundaries w:val="1"/>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U3t7AwNDc3MTO2sDRW0lEKTi0uzszPAykwqgUA8vhRfiwAAAA="/>
  </w:docVars>
  <w:rsids>
    <w:rsidRoot w:val="00626847"/>
    <w:rsid w:val="000A46D4"/>
    <w:rsid w:val="001B2628"/>
    <w:rsid w:val="001C11AC"/>
    <w:rsid w:val="002019AA"/>
    <w:rsid w:val="002217F9"/>
    <w:rsid w:val="00223329"/>
    <w:rsid w:val="00241CBC"/>
    <w:rsid w:val="00284F56"/>
    <w:rsid w:val="00314F74"/>
    <w:rsid w:val="003A07E8"/>
    <w:rsid w:val="004126EA"/>
    <w:rsid w:val="004239DC"/>
    <w:rsid w:val="00500C5C"/>
    <w:rsid w:val="005460F2"/>
    <w:rsid w:val="00575151"/>
    <w:rsid w:val="00595CD3"/>
    <w:rsid w:val="005B5693"/>
    <w:rsid w:val="00602B33"/>
    <w:rsid w:val="00626847"/>
    <w:rsid w:val="00667C41"/>
    <w:rsid w:val="00685CDF"/>
    <w:rsid w:val="006E5231"/>
    <w:rsid w:val="006F5749"/>
    <w:rsid w:val="00700F24"/>
    <w:rsid w:val="00751DA5"/>
    <w:rsid w:val="00792368"/>
    <w:rsid w:val="007C789B"/>
    <w:rsid w:val="007F450B"/>
    <w:rsid w:val="008338B0"/>
    <w:rsid w:val="008839D7"/>
    <w:rsid w:val="008D593A"/>
    <w:rsid w:val="008F28A9"/>
    <w:rsid w:val="00930F68"/>
    <w:rsid w:val="00955178"/>
    <w:rsid w:val="009B4A43"/>
    <w:rsid w:val="009C4199"/>
    <w:rsid w:val="00A16318"/>
    <w:rsid w:val="00AD0AB8"/>
    <w:rsid w:val="00AF56C4"/>
    <w:rsid w:val="00B1480C"/>
    <w:rsid w:val="00B559CE"/>
    <w:rsid w:val="00BB1590"/>
    <w:rsid w:val="00BD6F6C"/>
    <w:rsid w:val="00CD4E5E"/>
    <w:rsid w:val="00CF36B0"/>
    <w:rsid w:val="00D00392"/>
    <w:rsid w:val="00D3497B"/>
    <w:rsid w:val="00D6757A"/>
    <w:rsid w:val="00DD3E62"/>
    <w:rsid w:val="00DE1FD4"/>
    <w:rsid w:val="00DF155A"/>
    <w:rsid w:val="00E04126"/>
    <w:rsid w:val="00E26296"/>
    <w:rsid w:val="00E3728A"/>
    <w:rsid w:val="00E50F7C"/>
    <w:rsid w:val="00E7764F"/>
    <w:rsid w:val="00EA7A9F"/>
    <w:rsid w:val="00EB33DE"/>
    <w:rsid w:val="00EE70AC"/>
    <w:rsid w:val="00F00925"/>
    <w:rsid w:val="00F07B44"/>
    <w:rsid w:val="00FB1764"/>
    <w:rsid w:val="F9BF09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12" w:lineRule="auto"/>
    </w:pPr>
    <w:rPr>
      <w:rFonts w:asciiTheme="minorHAnsi" w:hAnsiTheme="minorHAnsi" w:eastAsiaTheme="minorEastAsia" w:cstheme="minorBidi"/>
      <w:sz w:val="21"/>
      <w:szCs w:val="21"/>
      <w:lang w:val="en-US" w:eastAsia="zh-CN" w:bidi="ar-SA"/>
    </w:rPr>
  </w:style>
  <w:style w:type="paragraph" w:styleId="2">
    <w:name w:val="heading 1"/>
    <w:basedOn w:val="1"/>
    <w:next w:val="1"/>
    <w:link w:val="18"/>
    <w:qFormat/>
    <w:uiPriority w:val="9"/>
    <w:pPr>
      <w:keepNext/>
      <w:keepLines/>
      <w:pBdr>
        <w:left w:val="single" w:color="ED7D31" w:themeColor="accent2" w:sz="12" w:space="12"/>
      </w:pBdr>
      <w:spacing w:before="80" w:after="80" w:line="240" w:lineRule="auto"/>
      <w:outlineLvl w:val="0"/>
    </w:pPr>
    <w:rPr>
      <w:rFonts w:asciiTheme="majorHAnsi" w:hAnsiTheme="majorHAnsi" w:eastAsiaTheme="majorEastAsia" w:cstheme="majorBidi"/>
      <w:caps/>
      <w:spacing w:val="10"/>
      <w:sz w:val="36"/>
      <w:szCs w:val="36"/>
    </w:rPr>
  </w:style>
  <w:style w:type="paragraph" w:styleId="3">
    <w:name w:val="heading 2"/>
    <w:basedOn w:val="1"/>
    <w:next w:val="1"/>
    <w:link w:val="19"/>
    <w:unhideWhenUsed/>
    <w:qFormat/>
    <w:uiPriority w:val="9"/>
    <w:pPr>
      <w:keepNext/>
      <w:keepLines/>
      <w:spacing w:before="120" w:after="0" w:line="240" w:lineRule="auto"/>
      <w:outlineLvl w:val="1"/>
    </w:pPr>
    <w:rPr>
      <w:rFonts w:asciiTheme="majorHAnsi" w:hAnsiTheme="majorHAnsi" w:eastAsiaTheme="majorEastAsia" w:cstheme="majorBidi"/>
      <w:sz w:val="36"/>
      <w:szCs w:val="36"/>
    </w:rPr>
  </w:style>
  <w:style w:type="paragraph" w:styleId="4">
    <w:name w:val="heading 3"/>
    <w:basedOn w:val="1"/>
    <w:next w:val="1"/>
    <w:link w:val="20"/>
    <w:unhideWhenUsed/>
    <w:qFormat/>
    <w:uiPriority w:val="9"/>
    <w:pPr>
      <w:keepNext/>
      <w:keepLines/>
      <w:spacing w:before="80" w:after="0" w:line="240" w:lineRule="auto"/>
      <w:outlineLvl w:val="2"/>
    </w:pPr>
    <w:rPr>
      <w:rFonts w:asciiTheme="majorHAnsi" w:hAnsiTheme="majorHAnsi" w:eastAsiaTheme="majorEastAsia" w:cstheme="majorBidi"/>
      <w:caps/>
      <w:sz w:val="28"/>
      <w:szCs w:val="28"/>
    </w:rPr>
  </w:style>
  <w:style w:type="paragraph" w:styleId="5">
    <w:name w:val="heading 4"/>
    <w:basedOn w:val="1"/>
    <w:next w:val="1"/>
    <w:link w:val="21"/>
    <w:unhideWhenUsed/>
    <w:qFormat/>
    <w:uiPriority w:val="9"/>
    <w:pPr>
      <w:keepNext/>
      <w:keepLines/>
      <w:spacing w:before="80" w:after="0" w:line="240" w:lineRule="auto"/>
      <w:outlineLvl w:val="3"/>
    </w:pPr>
    <w:rPr>
      <w:rFonts w:asciiTheme="majorHAnsi" w:hAnsiTheme="majorHAnsi" w:eastAsiaTheme="majorEastAsia" w:cstheme="majorBidi"/>
      <w:i/>
      <w:iCs/>
      <w:sz w:val="28"/>
      <w:szCs w:val="28"/>
    </w:rPr>
  </w:style>
  <w:style w:type="paragraph" w:styleId="6">
    <w:name w:val="heading 5"/>
    <w:basedOn w:val="1"/>
    <w:next w:val="1"/>
    <w:link w:val="22"/>
    <w:unhideWhenUsed/>
    <w:qFormat/>
    <w:uiPriority w:val="9"/>
    <w:pPr>
      <w:keepNext/>
      <w:keepLines/>
      <w:spacing w:before="80" w:after="0" w:line="240" w:lineRule="auto"/>
      <w:outlineLvl w:val="4"/>
    </w:pPr>
    <w:rPr>
      <w:rFonts w:asciiTheme="majorHAnsi" w:hAnsiTheme="majorHAnsi" w:eastAsiaTheme="majorEastAsia" w:cstheme="majorBidi"/>
      <w:sz w:val="24"/>
      <w:szCs w:val="24"/>
    </w:rPr>
  </w:style>
  <w:style w:type="paragraph" w:styleId="7">
    <w:name w:val="heading 6"/>
    <w:basedOn w:val="1"/>
    <w:next w:val="1"/>
    <w:link w:val="23"/>
    <w:unhideWhenUsed/>
    <w:qFormat/>
    <w:uiPriority w:val="9"/>
    <w:pPr>
      <w:keepNext/>
      <w:keepLines/>
      <w:spacing w:before="80" w:after="0" w:line="240" w:lineRule="auto"/>
      <w:outlineLvl w:val="5"/>
    </w:pPr>
    <w:rPr>
      <w:rFonts w:asciiTheme="majorHAnsi" w:hAnsiTheme="majorHAnsi" w:eastAsiaTheme="majorEastAsia" w:cstheme="majorBidi"/>
      <w:i/>
      <w:iCs/>
      <w:sz w:val="24"/>
      <w:szCs w:val="24"/>
    </w:rPr>
  </w:style>
  <w:style w:type="paragraph" w:styleId="8">
    <w:name w:val="heading 7"/>
    <w:basedOn w:val="1"/>
    <w:next w:val="1"/>
    <w:link w:val="24"/>
    <w:unhideWhenUsed/>
    <w:qFormat/>
    <w:uiPriority w:val="9"/>
    <w:pPr>
      <w:keepNext/>
      <w:keepLines/>
      <w:spacing w:before="80" w:after="0" w:line="240" w:lineRule="auto"/>
      <w:outlineLvl w:val="6"/>
    </w:pPr>
    <w:rPr>
      <w:rFonts w:asciiTheme="majorHAnsi" w:hAnsiTheme="majorHAnsi" w:eastAsiaTheme="majorEastAsia" w:cstheme="majorBidi"/>
      <w:color w:val="595959" w:themeColor="text1" w:themeTint="A6"/>
      <w:sz w:val="24"/>
      <w:szCs w:val="24"/>
      <w14:textFill>
        <w14:solidFill>
          <w14:schemeClr w14:val="tx1">
            <w14:lumMod w14:val="65000"/>
            <w14:lumOff w14:val="35000"/>
          </w14:schemeClr>
        </w14:solidFill>
      </w14:textFill>
    </w:rPr>
  </w:style>
  <w:style w:type="paragraph" w:styleId="9">
    <w:name w:val="heading 8"/>
    <w:basedOn w:val="1"/>
    <w:next w:val="1"/>
    <w:link w:val="25"/>
    <w:unhideWhenUsed/>
    <w:qFormat/>
    <w:uiPriority w:val="9"/>
    <w:pPr>
      <w:keepNext/>
      <w:keepLines/>
      <w:spacing w:before="80" w:after="0" w:line="240" w:lineRule="auto"/>
      <w:outlineLvl w:val="7"/>
    </w:pPr>
    <w:rPr>
      <w:rFonts w:asciiTheme="majorHAnsi" w:hAnsiTheme="majorHAnsi" w:eastAsiaTheme="majorEastAsia" w:cstheme="majorBidi"/>
      <w:caps/>
    </w:rPr>
  </w:style>
  <w:style w:type="paragraph" w:styleId="10">
    <w:name w:val="heading 9"/>
    <w:basedOn w:val="1"/>
    <w:next w:val="1"/>
    <w:link w:val="26"/>
    <w:unhideWhenUsed/>
    <w:qFormat/>
    <w:uiPriority w:val="9"/>
    <w:pPr>
      <w:keepNext/>
      <w:keepLines/>
      <w:spacing w:before="80" w:after="0" w:line="240" w:lineRule="auto"/>
      <w:outlineLvl w:val="8"/>
    </w:pPr>
    <w:rPr>
      <w:rFonts w:asciiTheme="majorHAnsi" w:hAnsiTheme="majorHAnsi" w:eastAsiaTheme="majorEastAsia" w:cstheme="majorBidi"/>
      <w:i/>
      <w:iCs/>
      <w:caps/>
    </w:rPr>
  </w:style>
  <w:style w:type="character" w:default="1" w:styleId="14">
    <w:name w:val="Default Paragraph Font"/>
    <w:unhideWhenUsed/>
    <w:uiPriority w:val="1"/>
  </w:style>
  <w:style w:type="table" w:default="1" w:styleId="17">
    <w:name w:val="Normal Table"/>
    <w:unhideWhenUsed/>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line="240" w:lineRule="auto"/>
    </w:pPr>
    <w:rPr>
      <w:b/>
      <w:bCs/>
      <w:color w:val="ED7D31" w:themeColor="accent2"/>
      <w:spacing w:val="10"/>
      <w:sz w:val="16"/>
      <w:szCs w:val="16"/>
      <w14:textFill>
        <w14:solidFill>
          <w14:schemeClr w14:val="accent2"/>
        </w14:solidFill>
      </w14:textFill>
    </w:rPr>
  </w:style>
  <w:style w:type="paragraph" w:styleId="12">
    <w:name w:val="Subtitle"/>
    <w:basedOn w:val="1"/>
    <w:next w:val="1"/>
    <w:link w:val="28"/>
    <w:qFormat/>
    <w:uiPriority w:val="11"/>
    <w:pPr>
      <w:spacing w:after="240"/>
    </w:pPr>
    <w:rPr>
      <w:color w:val="000000" w:themeColor="text1"/>
      <w:sz w:val="24"/>
      <w:szCs w:val="24"/>
      <w14:textFill>
        <w14:solidFill>
          <w14:schemeClr w14:val="tx1"/>
        </w14:solidFill>
      </w14:textFill>
    </w:rPr>
  </w:style>
  <w:style w:type="paragraph" w:styleId="13">
    <w:name w:val="Title"/>
    <w:basedOn w:val="1"/>
    <w:next w:val="1"/>
    <w:link w:val="27"/>
    <w:qFormat/>
    <w:uiPriority w:val="10"/>
    <w:pPr>
      <w:spacing w:after="0" w:line="240" w:lineRule="auto"/>
      <w:contextualSpacing/>
    </w:pPr>
    <w:rPr>
      <w:rFonts w:asciiTheme="majorHAnsi" w:hAnsiTheme="majorHAnsi" w:eastAsiaTheme="majorEastAsia" w:cstheme="majorBidi"/>
      <w:caps/>
      <w:spacing w:val="40"/>
      <w:sz w:val="76"/>
      <w:szCs w:val="76"/>
    </w:rPr>
  </w:style>
  <w:style w:type="character" w:styleId="15">
    <w:name w:val="Strong"/>
    <w:basedOn w:val="14"/>
    <w:qFormat/>
    <w:uiPriority w:val="22"/>
    <w:rPr>
      <w:rFonts w:asciiTheme="minorHAnsi" w:hAnsiTheme="minorHAnsi" w:eastAsiaTheme="minorEastAsia" w:cstheme="minorBidi"/>
      <w:b/>
      <w:bCs/>
      <w:spacing w:val="0"/>
      <w:w w:val="100"/>
      <w:position w:val="0"/>
      <w:sz w:val="20"/>
      <w:szCs w:val="20"/>
    </w:rPr>
  </w:style>
  <w:style w:type="character" w:styleId="16">
    <w:name w:val="Emphasis"/>
    <w:basedOn w:val="14"/>
    <w:qFormat/>
    <w:uiPriority w:val="20"/>
    <w:rPr>
      <w:rFonts w:asciiTheme="minorHAnsi" w:hAnsiTheme="minorHAnsi" w:eastAsiaTheme="minorEastAsia" w:cstheme="minorBidi"/>
      <w:i/>
      <w:iCs/>
      <w:color w:val="C55A11" w:themeColor="accent2" w:themeShade="BF"/>
      <w:sz w:val="20"/>
      <w:szCs w:val="20"/>
    </w:rPr>
  </w:style>
  <w:style w:type="character" w:customStyle="1" w:styleId="18">
    <w:name w:val="标题 1 字符"/>
    <w:basedOn w:val="14"/>
    <w:link w:val="2"/>
    <w:uiPriority w:val="9"/>
    <w:rPr>
      <w:rFonts w:asciiTheme="majorHAnsi" w:hAnsiTheme="majorHAnsi" w:eastAsiaTheme="majorEastAsia" w:cstheme="majorBidi"/>
      <w:caps/>
      <w:spacing w:val="10"/>
      <w:sz w:val="36"/>
      <w:szCs w:val="36"/>
    </w:rPr>
  </w:style>
  <w:style w:type="character" w:customStyle="1" w:styleId="19">
    <w:name w:val="标题 2 字符"/>
    <w:basedOn w:val="14"/>
    <w:link w:val="3"/>
    <w:semiHidden/>
    <w:uiPriority w:val="9"/>
    <w:rPr>
      <w:rFonts w:asciiTheme="majorHAnsi" w:hAnsiTheme="majorHAnsi" w:eastAsiaTheme="majorEastAsia" w:cstheme="majorBidi"/>
      <w:sz w:val="36"/>
      <w:szCs w:val="36"/>
    </w:rPr>
  </w:style>
  <w:style w:type="character" w:customStyle="1" w:styleId="20">
    <w:name w:val="标题 3 字符"/>
    <w:basedOn w:val="14"/>
    <w:link w:val="4"/>
    <w:semiHidden/>
    <w:uiPriority w:val="9"/>
    <w:rPr>
      <w:rFonts w:asciiTheme="majorHAnsi" w:hAnsiTheme="majorHAnsi" w:eastAsiaTheme="majorEastAsia" w:cstheme="majorBidi"/>
      <w:caps/>
      <w:sz w:val="28"/>
      <w:szCs w:val="28"/>
    </w:rPr>
  </w:style>
  <w:style w:type="character" w:customStyle="1" w:styleId="21">
    <w:name w:val="标题 4 字符"/>
    <w:basedOn w:val="14"/>
    <w:link w:val="5"/>
    <w:semiHidden/>
    <w:qFormat/>
    <w:uiPriority w:val="9"/>
    <w:rPr>
      <w:rFonts w:asciiTheme="majorHAnsi" w:hAnsiTheme="majorHAnsi" w:eastAsiaTheme="majorEastAsia" w:cstheme="majorBidi"/>
      <w:i/>
      <w:iCs/>
      <w:sz w:val="28"/>
      <w:szCs w:val="28"/>
    </w:rPr>
  </w:style>
  <w:style w:type="character" w:customStyle="1" w:styleId="22">
    <w:name w:val="标题 5 字符"/>
    <w:basedOn w:val="14"/>
    <w:link w:val="6"/>
    <w:semiHidden/>
    <w:qFormat/>
    <w:uiPriority w:val="9"/>
    <w:rPr>
      <w:rFonts w:asciiTheme="majorHAnsi" w:hAnsiTheme="majorHAnsi" w:eastAsiaTheme="majorEastAsia" w:cstheme="majorBidi"/>
      <w:sz w:val="24"/>
      <w:szCs w:val="24"/>
    </w:rPr>
  </w:style>
  <w:style w:type="character" w:customStyle="1" w:styleId="23">
    <w:name w:val="标题 6 字符"/>
    <w:basedOn w:val="14"/>
    <w:link w:val="7"/>
    <w:semiHidden/>
    <w:qFormat/>
    <w:uiPriority w:val="9"/>
    <w:rPr>
      <w:rFonts w:asciiTheme="majorHAnsi" w:hAnsiTheme="majorHAnsi" w:eastAsiaTheme="majorEastAsia" w:cstheme="majorBidi"/>
      <w:i/>
      <w:iCs/>
      <w:sz w:val="24"/>
      <w:szCs w:val="24"/>
    </w:rPr>
  </w:style>
  <w:style w:type="character" w:customStyle="1" w:styleId="24">
    <w:name w:val="标题 7 字符"/>
    <w:basedOn w:val="14"/>
    <w:link w:val="8"/>
    <w:semiHidden/>
    <w:qFormat/>
    <w:uiPriority w:val="9"/>
    <w:rPr>
      <w:rFonts w:asciiTheme="majorHAnsi" w:hAnsiTheme="majorHAnsi" w:eastAsiaTheme="majorEastAsia" w:cstheme="majorBidi"/>
      <w:color w:val="595959" w:themeColor="text1" w:themeTint="A6"/>
      <w:sz w:val="24"/>
      <w:szCs w:val="24"/>
      <w14:textFill>
        <w14:solidFill>
          <w14:schemeClr w14:val="tx1">
            <w14:lumMod w14:val="65000"/>
            <w14:lumOff w14:val="35000"/>
          </w14:schemeClr>
        </w14:solidFill>
      </w14:textFill>
    </w:rPr>
  </w:style>
  <w:style w:type="character" w:customStyle="1" w:styleId="25">
    <w:name w:val="标题 8 字符"/>
    <w:basedOn w:val="14"/>
    <w:link w:val="9"/>
    <w:semiHidden/>
    <w:qFormat/>
    <w:uiPriority w:val="9"/>
    <w:rPr>
      <w:rFonts w:asciiTheme="majorHAnsi" w:hAnsiTheme="majorHAnsi" w:eastAsiaTheme="majorEastAsia" w:cstheme="majorBidi"/>
      <w:caps/>
    </w:rPr>
  </w:style>
  <w:style w:type="character" w:customStyle="1" w:styleId="26">
    <w:name w:val="标题 9 字符"/>
    <w:basedOn w:val="14"/>
    <w:link w:val="10"/>
    <w:semiHidden/>
    <w:uiPriority w:val="9"/>
    <w:rPr>
      <w:rFonts w:asciiTheme="majorHAnsi" w:hAnsiTheme="majorHAnsi" w:eastAsiaTheme="majorEastAsia" w:cstheme="majorBidi"/>
      <w:i/>
      <w:iCs/>
      <w:caps/>
    </w:rPr>
  </w:style>
  <w:style w:type="character" w:customStyle="1" w:styleId="27">
    <w:name w:val="标题 字符"/>
    <w:basedOn w:val="14"/>
    <w:link w:val="13"/>
    <w:uiPriority w:val="10"/>
    <w:rPr>
      <w:rFonts w:asciiTheme="majorHAnsi" w:hAnsiTheme="majorHAnsi" w:eastAsiaTheme="majorEastAsia" w:cstheme="majorBidi"/>
      <w:caps/>
      <w:spacing w:val="40"/>
      <w:sz w:val="76"/>
      <w:szCs w:val="76"/>
    </w:rPr>
  </w:style>
  <w:style w:type="character" w:customStyle="1" w:styleId="28">
    <w:name w:val="副标题 字符"/>
    <w:basedOn w:val="14"/>
    <w:link w:val="12"/>
    <w:uiPriority w:val="11"/>
    <w:rPr>
      <w:color w:val="000000" w:themeColor="text1"/>
      <w:sz w:val="24"/>
      <w:szCs w:val="24"/>
      <w14:textFill>
        <w14:solidFill>
          <w14:schemeClr w14:val="tx1"/>
        </w14:solidFill>
      </w14:textFill>
    </w:rPr>
  </w:style>
  <w:style w:type="paragraph" w:customStyle="1" w:styleId="29">
    <w:name w:val="No Spacing"/>
    <w:qFormat/>
    <w:uiPriority w:val="1"/>
    <w:pPr>
      <w:spacing w:after="0" w:line="240" w:lineRule="auto"/>
    </w:pPr>
    <w:rPr>
      <w:rFonts w:asciiTheme="minorHAnsi" w:hAnsiTheme="minorHAnsi" w:eastAsiaTheme="minorEastAsia" w:cstheme="minorBidi"/>
      <w:sz w:val="21"/>
      <w:szCs w:val="21"/>
      <w:lang w:val="en-US" w:eastAsia="zh-CN" w:bidi="ar-SA"/>
    </w:rPr>
  </w:style>
  <w:style w:type="paragraph" w:customStyle="1" w:styleId="30">
    <w:name w:val="Quote"/>
    <w:basedOn w:val="1"/>
    <w:next w:val="1"/>
    <w:link w:val="31"/>
    <w:qFormat/>
    <w:uiPriority w:val="29"/>
    <w:pPr>
      <w:spacing w:before="160"/>
      <w:ind w:left="720"/>
    </w:pPr>
    <w:rPr>
      <w:rFonts w:asciiTheme="majorHAnsi" w:hAnsiTheme="majorHAnsi" w:eastAsiaTheme="majorEastAsia" w:cstheme="majorBidi"/>
      <w:sz w:val="24"/>
      <w:szCs w:val="24"/>
    </w:rPr>
  </w:style>
  <w:style w:type="character" w:customStyle="1" w:styleId="31">
    <w:name w:val="引用 字符"/>
    <w:basedOn w:val="14"/>
    <w:link w:val="30"/>
    <w:uiPriority w:val="29"/>
    <w:rPr>
      <w:rFonts w:asciiTheme="majorHAnsi" w:hAnsiTheme="majorHAnsi" w:eastAsiaTheme="majorEastAsia" w:cstheme="majorBidi"/>
      <w:sz w:val="24"/>
      <w:szCs w:val="24"/>
    </w:rPr>
  </w:style>
  <w:style w:type="paragraph" w:customStyle="1" w:styleId="32">
    <w:name w:val="Intense Quote"/>
    <w:basedOn w:val="1"/>
    <w:next w:val="1"/>
    <w:link w:val="33"/>
    <w:qFormat/>
    <w:uiPriority w:val="30"/>
    <w:pPr>
      <w:spacing w:before="100" w:beforeAutospacing="1" w:after="240"/>
      <w:ind w:left="936" w:right="936"/>
      <w:jc w:val="center"/>
    </w:pPr>
    <w:rPr>
      <w:rFonts w:asciiTheme="majorHAnsi" w:hAnsiTheme="majorHAnsi" w:eastAsiaTheme="majorEastAsia" w:cstheme="majorBidi"/>
      <w:caps/>
      <w:color w:val="C55A11" w:themeColor="accent2" w:themeShade="BF"/>
      <w:spacing w:val="10"/>
      <w:sz w:val="28"/>
      <w:szCs w:val="28"/>
    </w:rPr>
  </w:style>
  <w:style w:type="character" w:customStyle="1" w:styleId="33">
    <w:name w:val="明显引用 字符"/>
    <w:basedOn w:val="14"/>
    <w:link w:val="32"/>
    <w:uiPriority w:val="30"/>
    <w:rPr>
      <w:rFonts w:asciiTheme="majorHAnsi" w:hAnsiTheme="majorHAnsi" w:eastAsiaTheme="majorEastAsia" w:cstheme="majorBidi"/>
      <w:caps/>
      <w:color w:val="C55A11" w:themeColor="accent2" w:themeShade="BF"/>
      <w:spacing w:val="10"/>
      <w:sz w:val="28"/>
      <w:szCs w:val="28"/>
    </w:rPr>
  </w:style>
  <w:style w:type="character" w:customStyle="1" w:styleId="34">
    <w:name w:val="Subtle Emphasis"/>
    <w:basedOn w:val="14"/>
    <w:qFormat/>
    <w:uiPriority w:val="19"/>
    <w:rPr>
      <w:i/>
      <w:iCs/>
      <w:color w:val="auto"/>
    </w:rPr>
  </w:style>
  <w:style w:type="character" w:customStyle="1" w:styleId="35">
    <w:name w:val="Intense Emphasis"/>
    <w:basedOn w:val="14"/>
    <w:qFormat/>
    <w:uiPriority w:val="21"/>
    <w:rPr>
      <w:rFonts w:asciiTheme="minorHAnsi" w:hAnsiTheme="minorHAnsi" w:eastAsiaTheme="minorEastAsia" w:cstheme="minorBidi"/>
      <w:b/>
      <w:bCs/>
      <w:i/>
      <w:iCs/>
      <w:color w:val="C55A11" w:themeColor="accent2" w:themeShade="BF"/>
      <w:spacing w:val="0"/>
      <w:w w:val="100"/>
      <w:position w:val="0"/>
      <w:sz w:val="20"/>
      <w:szCs w:val="20"/>
    </w:rPr>
  </w:style>
  <w:style w:type="character" w:customStyle="1" w:styleId="36">
    <w:name w:val="Subtle Reference"/>
    <w:basedOn w:val="14"/>
    <w:qFormat/>
    <w:uiPriority w:val="31"/>
    <w:rPr>
      <w:rFonts w:asciiTheme="minorHAnsi" w:hAnsiTheme="minorHAnsi" w:eastAsiaTheme="minorEastAsia" w:cstheme="minorBidi"/>
      <w:smallCaps/>
      <w:color w:val="auto"/>
      <w:spacing w:val="10"/>
      <w:w w:val="100"/>
      <w:sz w:val="20"/>
      <w:szCs w:val="20"/>
      <w:u w:val="single" w:color="7E7E7E" w:themeColor="text1" w:themeTint="80"/>
    </w:rPr>
  </w:style>
  <w:style w:type="character" w:customStyle="1" w:styleId="37">
    <w:name w:val="Intense Reference"/>
    <w:basedOn w:val="14"/>
    <w:qFormat/>
    <w:uiPriority w:val="32"/>
    <w:rPr>
      <w:rFonts w:asciiTheme="minorHAnsi" w:hAnsiTheme="minorHAnsi" w:eastAsiaTheme="minorEastAsia" w:cstheme="minorBidi"/>
      <w:b/>
      <w:bCs/>
      <w:smallCaps/>
      <w:color w:val="191919" w:themeColor="text1" w:themeTint="E6"/>
      <w:spacing w:val="10"/>
      <w:w w:val="100"/>
      <w:position w:val="0"/>
      <w:sz w:val="20"/>
      <w:szCs w:val="20"/>
      <w:u w:val="single"/>
      <w14:textFill>
        <w14:solidFill>
          <w14:schemeClr w14:val="tx1">
            <w14:lumMod w14:val="90000"/>
            <w14:lumOff w14:val="10000"/>
          </w14:schemeClr>
        </w14:solidFill>
      </w14:textFill>
    </w:rPr>
  </w:style>
  <w:style w:type="character" w:customStyle="1" w:styleId="38">
    <w:name w:val="Book Title"/>
    <w:basedOn w:val="14"/>
    <w:qFormat/>
    <w:uiPriority w:val="33"/>
    <w:rPr>
      <w:rFonts w:asciiTheme="minorHAnsi" w:hAnsiTheme="minorHAnsi" w:eastAsiaTheme="minorEastAsia" w:cstheme="minorBidi"/>
      <w:b/>
      <w:bCs/>
      <w:i/>
      <w:iCs/>
      <w:color w:val="auto"/>
      <w:spacing w:val="10"/>
      <w:w w:val="100"/>
      <w:sz w:val="20"/>
      <w:szCs w:val="20"/>
    </w:rPr>
  </w:style>
  <w:style w:type="paragraph" w:customStyle="1" w:styleId="39">
    <w:name w:val="TOC Heading"/>
    <w:basedOn w:val="2"/>
    <w:next w:val="1"/>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10606</Words>
  <Characters>60460</Characters>
  <Lines>503</Lines>
  <Paragraphs>141</Paragraphs>
  <TotalTime>0</TotalTime>
  <ScaleCrop>false</ScaleCrop>
  <LinksUpToDate>false</LinksUpToDate>
  <CharactersWithSpaces>70925</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2022-01-04T15:06:00Z</dcterms:created>
  <dc:creator>admin admin</dc:creator>
  <cp:lastModifiedBy>liyaodong</cp:lastModifiedBy>
  <dcterms:modified xsi:type="dcterms:W3CDTF">2022-01-07T02:09:27Z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http://www.zotero.org/styles/harvard-university-of-leeds</vt:lpwstr>
  </property>
  <property fmtid="{D5CDD505-2E9C-101B-9397-08002B2CF9AE}" pid="19" name="Mendeley Recent Style Name 8_1">
    <vt:lpwstr>University of Leeds - Harvard</vt:lpwstr>
  </property>
  <property fmtid="{D5CDD505-2E9C-101B-9397-08002B2CF9AE}" pid="20" name="Mendeley Recent Style Id 9_1">
    <vt:lpwstr>http://www.zotero.org/styles/harvard-university-of-westminster</vt:lpwstr>
  </property>
  <property fmtid="{D5CDD505-2E9C-101B-9397-08002B2CF9AE}" pid="21" name="Mendeley Recent Style Name 9_1">
    <vt:lpwstr>University of Westminster - Harvard</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http://www.zotero.org/styles/harvard-cite-them-right</vt:lpwstr>
  </property>
  <property fmtid="{D5CDD505-2E9C-101B-9397-08002B2CF9AE}" pid="25" name="KSOProductBuildVer">
    <vt:lpwstr>2052-3.9.3.6359</vt:lpwstr>
  </property>
</Properties>
</file>