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00C2D5" w14:textId="77777777" w:rsidR="00D776E6" w:rsidRPr="00B756FF" w:rsidRDefault="00D776E6" w:rsidP="00D776E6">
      <w:pPr>
        <w:spacing w:after="0" w:line="480" w:lineRule="auto"/>
        <w:jc w:val="center"/>
        <w:rPr>
          <w:rFonts w:ascii="Times New Roman" w:eastAsia="Times New Roman" w:hAnsi="Times New Roman" w:cs="Times New Roman"/>
          <w:sz w:val="24"/>
          <w:szCs w:val="24"/>
        </w:rPr>
      </w:pPr>
    </w:p>
    <w:p w14:paraId="785DF08D" w14:textId="77777777" w:rsidR="00D776E6" w:rsidRPr="00B756FF" w:rsidRDefault="00D776E6" w:rsidP="00D776E6">
      <w:pPr>
        <w:spacing w:after="0" w:line="480" w:lineRule="auto"/>
        <w:jc w:val="center"/>
        <w:rPr>
          <w:rFonts w:ascii="Times New Roman" w:eastAsia="Times New Roman" w:hAnsi="Times New Roman" w:cs="Times New Roman"/>
          <w:sz w:val="24"/>
          <w:szCs w:val="24"/>
        </w:rPr>
      </w:pPr>
    </w:p>
    <w:p w14:paraId="70B432DD" w14:textId="77777777" w:rsidR="00D776E6" w:rsidRPr="00B756FF" w:rsidRDefault="00D776E6" w:rsidP="00D776E6">
      <w:pPr>
        <w:spacing w:after="0" w:line="480" w:lineRule="auto"/>
        <w:jc w:val="center"/>
        <w:rPr>
          <w:rFonts w:ascii="Times New Roman" w:eastAsia="Times New Roman" w:hAnsi="Times New Roman" w:cs="Times New Roman"/>
          <w:sz w:val="24"/>
          <w:szCs w:val="24"/>
        </w:rPr>
      </w:pPr>
    </w:p>
    <w:p w14:paraId="43861BFA" w14:textId="46E23FBE" w:rsidR="00D776E6" w:rsidRPr="00B756FF" w:rsidRDefault="00D776E6" w:rsidP="00D776E6">
      <w:pPr>
        <w:spacing w:after="0" w:line="480" w:lineRule="auto"/>
        <w:jc w:val="center"/>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PLANNING AND DELIVERING AN INTERNATIONAL EVENT</w:t>
      </w:r>
    </w:p>
    <w:p w14:paraId="52AEC0DA" w14:textId="77777777" w:rsidR="00AC21D4" w:rsidRDefault="00AC21D4" w:rsidP="00AC21D4">
      <w:pPr>
        <w:jc w:val="center"/>
        <w:rPr>
          <w:rFonts w:ascii="Times New Roman Regular" w:hAnsi="Times New Roman Regular" w:cs="Times New Roman Regular"/>
          <w:sz w:val="24"/>
          <w:szCs w:val="24"/>
        </w:rPr>
      </w:pPr>
      <w:r w:rsidRPr="00EC4C17">
        <w:rPr>
          <w:rFonts w:ascii="Times New Roman Regular" w:hAnsi="Times New Roman Regular" w:cs="Times New Roman Regular"/>
          <w:sz w:val="24"/>
          <w:szCs w:val="24"/>
        </w:rPr>
        <w:t>Nuri Begum</w:t>
      </w:r>
    </w:p>
    <w:p w14:paraId="152941AA" w14:textId="77777777" w:rsidR="00AC21D4" w:rsidRDefault="00AC21D4" w:rsidP="00AC21D4">
      <w:pPr>
        <w:jc w:val="center"/>
        <w:rPr>
          <w:rFonts w:ascii="Times New Roman Regular" w:hAnsi="Times New Roman Regular" w:cs="Times New Roman Regular"/>
          <w:sz w:val="24"/>
          <w:szCs w:val="24"/>
        </w:rPr>
      </w:pPr>
    </w:p>
    <w:p w14:paraId="6AC8E1C2" w14:textId="77777777" w:rsidR="00AC21D4" w:rsidRPr="00EC4C17" w:rsidRDefault="00AC21D4" w:rsidP="00AC21D4">
      <w:pPr>
        <w:jc w:val="center"/>
        <w:rPr>
          <w:rFonts w:ascii="Times New Roman Regular" w:hAnsi="Times New Roman Regular" w:cs="Times New Roman Regular"/>
          <w:sz w:val="24"/>
          <w:szCs w:val="24"/>
        </w:rPr>
      </w:pPr>
    </w:p>
    <w:p w14:paraId="3789C8DC" w14:textId="77777777" w:rsidR="00AC21D4" w:rsidRPr="00EC4C17" w:rsidRDefault="00AC21D4" w:rsidP="00AC21D4">
      <w:pPr>
        <w:jc w:val="center"/>
        <w:rPr>
          <w:rFonts w:ascii="Times New Roman Regular" w:hAnsi="Times New Roman Regular" w:cs="Times New Roman Regular"/>
          <w:sz w:val="24"/>
          <w:szCs w:val="24"/>
        </w:rPr>
      </w:pPr>
      <w:r w:rsidRPr="00EC4C17">
        <w:rPr>
          <w:rFonts w:ascii="Times New Roman Regular" w:hAnsi="Times New Roman Regular" w:cs="Times New Roman Regular"/>
          <w:sz w:val="24"/>
          <w:szCs w:val="24"/>
        </w:rPr>
        <w:t>UWTSD</w:t>
      </w:r>
    </w:p>
    <w:p w14:paraId="3BEB83A7" w14:textId="77777777" w:rsidR="00AC21D4" w:rsidRPr="00EC4C17" w:rsidRDefault="00AC21D4" w:rsidP="00AC21D4">
      <w:pPr>
        <w:jc w:val="center"/>
        <w:rPr>
          <w:rFonts w:ascii="Times New Roman Regular" w:hAnsi="Times New Roman Regular" w:cs="Times New Roman Regular"/>
          <w:sz w:val="24"/>
          <w:szCs w:val="24"/>
        </w:rPr>
      </w:pPr>
      <w:r w:rsidRPr="00EC4C17">
        <w:rPr>
          <w:rFonts w:ascii="Times New Roman Regular" w:hAnsi="Times New Roman Regular" w:cs="Times New Roman Regular"/>
          <w:sz w:val="24"/>
          <w:szCs w:val="24"/>
        </w:rPr>
        <w:t xml:space="preserve">INTERNATIONAL HOTEL MANAGEMENT </w:t>
      </w:r>
      <w:proofErr w:type="spellStart"/>
      <w:r w:rsidRPr="00EC4C17">
        <w:rPr>
          <w:rFonts w:ascii="Times New Roman Regular" w:hAnsi="Times New Roman Regular" w:cs="Times New Roman Regular"/>
          <w:sz w:val="24"/>
          <w:szCs w:val="24"/>
        </w:rPr>
        <w:t>Lvl</w:t>
      </w:r>
      <w:proofErr w:type="spellEnd"/>
      <w:r w:rsidRPr="00EC4C17">
        <w:rPr>
          <w:rFonts w:ascii="Times New Roman Regular" w:hAnsi="Times New Roman Regular" w:cs="Times New Roman Regular"/>
          <w:sz w:val="24"/>
          <w:szCs w:val="24"/>
        </w:rPr>
        <w:t xml:space="preserve"> 6</w:t>
      </w:r>
    </w:p>
    <w:p w14:paraId="24F974EB" w14:textId="3E67B78C" w:rsidR="00D776E6" w:rsidRPr="00B756FF" w:rsidRDefault="00AC21D4" w:rsidP="00AC21D4">
      <w:pPr>
        <w:jc w:val="center"/>
        <w:rPr>
          <w:rFonts w:ascii="Times New Roman" w:eastAsia="Times New Roman" w:hAnsi="Times New Roman" w:cs="Times New Roman"/>
          <w:b/>
          <w:bCs/>
          <w:sz w:val="24"/>
          <w:szCs w:val="24"/>
        </w:rPr>
      </w:pPr>
      <w:r w:rsidRPr="00EC4C17">
        <w:rPr>
          <w:rFonts w:ascii="Times New Roman Regular" w:hAnsi="Times New Roman Regular" w:cs="Times New Roman Regular"/>
          <w:sz w:val="24"/>
          <w:szCs w:val="24"/>
        </w:rPr>
        <w:t>Lecturer – Kathryn Flynn</w:t>
      </w:r>
      <w:r w:rsidRPr="00B756FF">
        <w:rPr>
          <w:rFonts w:ascii="Times New Roman" w:eastAsia="Times New Roman" w:hAnsi="Times New Roman" w:cs="Times New Roman"/>
          <w:b/>
          <w:bCs/>
          <w:sz w:val="24"/>
          <w:szCs w:val="24"/>
        </w:rPr>
        <w:t xml:space="preserve"> </w:t>
      </w:r>
      <w:r w:rsidR="00D776E6" w:rsidRPr="00B756FF">
        <w:rPr>
          <w:rFonts w:ascii="Times New Roman" w:eastAsia="Times New Roman" w:hAnsi="Times New Roman" w:cs="Times New Roman"/>
          <w:b/>
          <w:bCs/>
          <w:sz w:val="24"/>
          <w:szCs w:val="24"/>
        </w:rPr>
        <w:br w:type="page"/>
      </w:r>
    </w:p>
    <w:p w14:paraId="0E9C3C23" w14:textId="77777777" w:rsidR="00365EB2" w:rsidRPr="00F70506" w:rsidRDefault="00365EB2" w:rsidP="00D25E5E">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lastRenderedPageBreak/>
        <w:t>Introduction</w:t>
      </w:r>
    </w:p>
    <w:p w14:paraId="19E697A0" w14:textId="77777777" w:rsidR="00431529" w:rsidRDefault="00431529" w:rsidP="00431529">
      <w:pPr>
        <w:spacing w:after="0" w:line="480" w:lineRule="auto"/>
        <w:ind w:firstLine="720"/>
        <w:rPr>
          <w:rFonts w:ascii="Times New Roman" w:eastAsia="Times New Roman" w:hAnsi="Times New Roman" w:cs="Times New Roman"/>
          <w:sz w:val="24"/>
          <w:szCs w:val="24"/>
        </w:rPr>
      </w:pPr>
      <w:r w:rsidRPr="00431529">
        <w:rPr>
          <w:rFonts w:ascii="Times New Roman" w:eastAsia="Times New Roman" w:hAnsi="Times New Roman" w:cs="Times New Roman"/>
          <w:sz w:val="24"/>
          <w:szCs w:val="24"/>
        </w:rPr>
        <w:t xml:space="preserve">The </w:t>
      </w:r>
      <w:proofErr w:type="spellStart"/>
      <w:r w:rsidRPr="00431529">
        <w:rPr>
          <w:rFonts w:ascii="Times New Roman" w:eastAsia="Times New Roman" w:hAnsi="Times New Roman" w:cs="Times New Roman"/>
          <w:sz w:val="24"/>
          <w:szCs w:val="24"/>
        </w:rPr>
        <w:t>FutureTech</w:t>
      </w:r>
      <w:proofErr w:type="spellEnd"/>
      <w:r w:rsidRPr="00431529">
        <w:rPr>
          <w:rFonts w:ascii="Times New Roman" w:eastAsia="Times New Roman" w:hAnsi="Times New Roman" w:cs="Times New Roman"/>
          <w:sz w:val="24"/>
          <w:szCs w:val="24"/>
        </w:rPr>
        <w:t xml:space="preserve"> Hospitality Expo 2024 is a global exhibition with the theme of integrating technologies and innovations in the hospitality industry. This event has been chosen since it meets the dynamic needs of hospitality and tech industry professionals. The convention takes place in San Jose, specifically at the spectacular San Jose Convention Centre, which enjoys a strategic location since Silicon Valley is in San Jose. This environment not only fosters the </w:t>
      </w:r>
      <w:proofErr w:type="spellStart"/>
      <w:r w:rsidRPr="00431529">
        <w:rPr>
          <w:rFonts w:ascii="Times New Roman" w:eastAsia="Times New Roman" w:hAnsi="Times New Roman" w:cs="Times New Roman"/>
          <w:sz w:val="24"/>
          <w:szCs w:val="24"/>
        </w:rPr>
        <w:t>utilisation</w:t>
      </w:r>
      <w:proofErr w:type="spellEnd"/>
      <w:r w:rsidRPr="00431529">
        <w:rPr>
          <w:rFonts w:ascii="Times New Roman" w:eastAsia="Times New Roman" w:hAnsi="Times New Roman" w:cs="Times New Roman"/>
          <w:sz w:val="24"/>
          <w:szCs w:val="24"/>
        </w:rPr>
        <w:t xml:space="preserve"> of each brand that has demonstrated its might in many domains but also, most importantly, fosters cooperation that guarantees the sharing of the latest discoveries of refined technology, thus making the venue most suitable. The target client base of the expo is 30- to 50-year-old </w:t>
      </w:r>
      <w:proofErr w:type="gramStart"/>
      <w:r w:rsidRPr="00431529">
        <w:rPr>
          <w:rFonts w:ascii="Times New Roman" w:eastAsia="Times New Roman" w:hAnsi="Times New Roman" w:cs="Times New Roman"/>
          <w:sz w:val="24"/>
          <w:szCs w:val="24"/>
        </w:rPr>
        <w:t>business people</w:t>
      </w:r>
      <w:proofErr w:type="gramEnd"/>
      <w:r w:rsidRPr="00431529">
        <w:rPr>
          <w:rFonts w:ascii="Times New Roman" w:eastAsia="Times New Roman" w:hAnsi="Times New Roman" w:cs="Times New Roman"/>
          <w:sz w:val="24"/>
          <w:szCs w:val="24"/>
        </w:rPr>
        <w:t xml:space="preserve"> from North America, Europe, and Asia. Thus, this expo meets the diverse requirements and preferences of users searching for ways to increase productivity in hospitality.</w:t>
      </w:r>
    </w:p>
    <w:p w14:paraId="31031DE3" w14:textId="3E53A5D3" w:rsidR="00365EB2" w:rsidRPr="00F70506" w:rsidRDefault="00365EB2" w:rsidP="00431529">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The Event Cycle</w:t>
      </w:r>
    </w:p>
    <w:p w14:paraId="5F9E4F7A" w14:textId="7A0A13C1" w:rsidR="00365EB2" w:rsidRPr="00B756FF"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event cycle involves the processes, planning, and procedures that must be implemented for an event's success. The event cycle applied to 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includes an assessment of 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based on the EMBOK Model as the </w:t>
      </w:r>
      <w:r w:rsidR="00CD01B5" w:rsidRPr="00B756FF">
        <w:rPr>
          <w:rFonts w:ascii="Times New Roman" w:eastAsia="Times New Roman" w:hAnsi="Times New Roman" w:cs="Times New Roman"/>
          <w:sz w:val="24"/>
          <w:szCs w:val="24"/>
        </w:rPr>
        <w:t>theoretical</w:t>
      </w:r>
      <w:r w:rsidR="00DD3730" w:rsidRPr="00B756FF">
        <w:rPr>
          <w:rFonts w:ascii="Times New Roman" w:eastAsia="Times New Roman" w:hAnsi="Times New Roman" w:cs="Times New Roman"/>
          <w:sz w:val="24"/>
          <w:szCs w:val="24"/>
        </w:rPr>
        <w:t xml:space="preserve"> </w:t>
      </w:r>
      <w:r w:rsidRPr="00F70506">
        <w:rPr>
          <w:rFonts w:ascii="Times New Roman" w:eastAsia="Times New Roman" w:hAnsi="Times New Roman" w:cs="Times New Roman"/>
          <w:sz w:val="24"/>
          <w:szCs w:val="24"/>
        </w:rPr>
        <w:t>framework for event planning and event management</w:t>
      </w:r>
      <w:r w:rsidR="00661CD7" w:rsidRPr="00B756FF">
        <w:rPr>
          <w:rFonts w:ascii="Times New Roman" w:eastAsia="Times New Roman" w:hAnsi="Times New Roman" w:cs="Times New Roman"/>
          <w:sz w:val="24"/>
          <w:szCs w:val="24"/>
        </w:rPr>
        <w:t xml:space="preserve"> (</w:t>
      </w:r>
      <w:r w:rsidR="00661CD7" w:rsidRPr="00B756FF">
        <w:rPr>
          <w:rFonts w:ascii="Times New Roman" w:hAnsi="Times New Roman" w:cs="Times New Roman"/>
          <w:sz w:val="24"/>
          <w:szCs w:val="24"/>
        </w:rPr>
        <w:t>Thomas and Stephens, 2022</w:t>
      </w:r>
      <w:r w:rsidR="00661CD7" w:rsidRPr="00B756FF">
        <w:rPr>
          <w:rFonts w:ascii="Times New Roman" w:eastAsia="Times New Roman" w:hAnsi="Times New Roman" w:cs="Times New Roman"/>
          <w:sz w:val="24"/>
          <w:szCs w:val="24"/>
        </w:rPr>
        <w:t>)</w:t>
      </w:r>
      <w:r w:rsidRPr="00F70506">
        <w:rPr>
          <w:rFonts w:ascii="Times New Roman" w:eastAsia="Times New Roman" w:hAnsi="Times New Roman" w:cs="Times New Roman"/>
          <w:sz w:val="24"/>
          <w:szCs w:val="24"/>
        </w:rPr>
        <w:t xml:space="preserve">. The pre-event stage of event management encompasses idea formulation, </w:t>
      </w:r>
      <w:proofErr w:type="spellStart"/>
      <w:r w:rsidRPr="00F70506">
        <w:rPr>
          <w:rFonts w:ascii="Times New Roman" w:eastAsia="Times New Roman" w:hAnsi="Times New Roman" w:cs="Times New Roman"/>
          <w:sz w:val="24"/>
          <w:szCs w:val="24"/>
        </w:rPr>
        <w:t>organising</w:t>
      </w:r>
      <w:proofErr w:type="spellEnd"/>
      <w:r w:rsidRPr="00F70506">
        <w:rPr>
          <w:rFonts w:ascii="Times New Roman" w:eastAsia="Times New Roman" w:hAnsi="Times New Roman" w:cs="Times New Roman"/>
          <w:sz w:val="24"/>
          <w:szCs w:val="24"/>
        </w:rPr>
        <w:t xml:space="preserve"> matters concerning the event, and event marketing to obtain participants and patrons. This phase entails market analysis, identifying the venue, and determining the timescale. The event's final stage is running technology demonstrations at the agreed venue and the direct management of exhibiting associates. </w:t>
      </w:r>
    </w:p>
    <w:p w14:paraId="575BD622" w14:textId="77777777" w:rsidR="00365EB2" w:rsidRPr="00F70506" w:rsidRDefault="00365EB2" w:rsidP="00CD08BE">
      <w:pPr>
        <w:spacing w:after="0" w:line="480" w:lineRule="auto"/>
        <w:jc w:val="center"/>
        <w:rPr>
          <w:rFonts w:ascii="Times New Roman" w:eastAsia="Times New Roman" w:hAnsi="Times New Roman" w:cs="Times New Roman"/>
          <w:sz w:val="24"/>
          <w:szCs w:val="24"/>
        </w:rPr>
      </w:pPr>
      <w:r w:rsidRPr="00B756FF">
        <w:rPr>
          <w:rFonts w:ascii="Times New Roman" w:eastAsia="Times New Roman" w:hAnsi="Times New Roman" w:cs="Times New Roman"/>
          <w:noProof/>
          <w:sz w:val="24"/>
          <w:szCs w:val="24"/>
        </w:rPr>
        <w:lastRenderedPageBreak/>
        <w:drawing>
          <wp:inline distT="0" distB="0" distL="0" distR="0" wp14:anchorId="0316EC03" wp14:editId="28C45DB1">
            <wp:extent cx="5124450" cy="1762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4450" cy="1762125"/>
                    </a:xfrm>
                    <a:prstGeom prst="rect">
                      <a:avLst/>
                    </a:prstGeom>
                    <a:noFill/>
                  </pic:spPr>
                </pic:pic>
              </a:graphicData>
            </a:graphic>
          </wp:inline>
        </w:drawing>
      </w:r>
    </w:p>
    <w:p w14:paraId="7932B5E2" w14:textId="77777777" w:rsidR="00365EB2" w:rsidRPr="00F70506" w:rsidRDefault="00365EB2" w:rsidP="00365EB2">
      <w:pPr>
        <w:spacing w:after="0" w:line="480" w:lineRule="auto"/>
        <w:rPr>
          <w:rFonts w:ascii="Times New Roman" w:eastAsia="Times New Roman" w:hAnsi="Times New Roman" w:cs="Times New Roman"/>
          <w:i/>
          <w:iCs/>
          <w:sz w:val="24"/>
          <w:szCs w:val="24"/>
        </w:rPr>
      </w:pPr>
      <w:r w:rsidRPr="00F70506">
        <w:rPr>
          <w:rFonts w:ascii="Times New Roman" w:eastAsia="Times New Roman" w:hAnsi="Times New Roman" w:cs="Times New Roman"/>
          <w:b/>
          <w:bCs/>
          <w:i/>
          <w:iCs/>
          <w:sz w:val="24"/>
          <w:szCs w:val="24"/>
        </w:rPr>
        <w:t>Figure 1: EMBOK Model</w:t>
      </w:r>
    </w:p>
    <w:p w14:paraId="29788FA5" w14:textId="449DBA40" w:rsidR="00365EB2" w:rsidRPr="00F70506" w:rsidRDefault="0034010F" w:rsidP="00365EB2">
      <w:pPr>
        <w:spacing w:after="0" w:line="480" w:lineRule="auto"/>
        <w:ind w:firstLine="72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 xml:space="preserve">Maslow's hierarchy of needs is a psychological theory that </w:t>
      </w:r>
      <w:proofErr w:type="spellStart"/>
      <w:r w:rsidRPr="00B756FF">
        <w:rPr>
          <w:rFonts w:ascii="Times New Roman" w:eastAsia="Times New Roman" w:hAnsi="Times New Roman" w:cs="Times New Roman"/>
          <w:sz w:val="24"/>
          <w:szCs w:val="24"/>
        </w:rPr>
        <w:t>prioritises</w:t>
      </w:r>
      <w:proofErr w:type="spellEnd"/>
      <w:r w:rsidRPr="00B756FF">
        <w:rPr>
          <w:rFonts w:ascii="Times New Roman" w:eastAsia="Times New Roman" w:hAnsi="Times New Roman" w:cs="Times New Roman"/>
          <w:sz w:val="24"/>
          <w:szCs w:val="24"/>
        </w:rPr>
        <w:t xml:space="preserve"> human needs at five levels, including physiological needs, safety needs, social needs, esteem needs, and self-actualization. </w:t>
      </w:r>
      <w:r w:rsidR="00365EB2" w:rsidRPr="00F70506">
        <w:rPr>
          <w:rFonts w:ascii="Times New Roman" w:eastAsia="Times New Roman" w:hAnsi="Times New Roman" w:cs="Times New Roman"/>
          <w:sz w:val="24"/>
          <w:szCs w:val="24"/>
        </w:rPr>
        <w:t xml:space="preserve">Using this framework when applying the event cycle for the </w:t>
      </w:r>
      <w:proofErr w:type="spellStart"/>
      <w:r w:rsidR="00365EB2" w:rsidRPr="00F70506">
        <w:rPr>
          <w:rFonts w:ascii="Times New Roman" w:eastAsia="Times New Roman" w:hAnsi="Times New Roman" w:cs="Times New Roman"/>
          <w:sz w:val="24"/>
          <w:szCs w:val="24"/>
        </w:rPr>
        <w:t>FutureTech</w:t>
      </w:r>
      <w:proofErr w:type="spellEnd"/>
      <w:r w:rsidR="00365EB2" w:rsidRPr="00F70506">
        <w:rPr>
          <w:rFonts w:ascii="Times New Roman" w:eastAsia="Times New Roman" w:hAnsi="Times New Roman" w:cs="Times New Roman"/>
          <w:sz w:val="24"/>
          <w:szCs w:val="24"/>
        </w:rPr>
        <w:t xml:space="preserve"> Hospitality Expo 2024 guarantees that consideration of the attendees' needs does not occur in isolation. At the planning stage of the event, logistical and marketing concerns should also guarantee adequate satisfaction of the physiological requirements, such as comfortable seating arrangements, food and water, safety needs, a secure venue, and clear emergency evacuation plans, among others</w:t>
      </w:r>
      <w:r w:rsidR="00FB37AD" w:rsidRPr="00B756FF">
        <w:rPr>
          <w:rFonts w:ascii="Times New Roman" w:eastAsia="Times New Roman" w:hAnsi="Times New Roman" w:cs="Times New Roman"/>
          <w:sz w:val="24"/>
          <w:szCs w:val="24"/>
        </w:rPr>
        <w:t xml:space="preserve"> (</w:t>
      </w:r>
      <w:r w:rsidR="00FB37AD" w:rsidRPr="00B756FF">
        <w:rPr>
          <w:rFonts w:ascii="Times New Roman" w:hAnsi="Times New Roman" w:cs="Times New Roman"/>
          <w:sz w:val="24"/>
          <w:szCs w:val="24"/>
        </w:rPr>
        <w:t>Rojas et al., 2023</w:t>
      </w:r>
      <w:r w:rsidR="00FB37AD" w:rsidRPr="00B756FF">
        <w:rPr>
          <w:rFonts w:ascii="Times New Roman" w:eastAsia="Times New Roman" w:hAnsi="Times New Roman" w:cs="Times New Roman"/>
          <w:sz w:val="24"/>
          <w:szCs w:val="24"/>
        </w:rPr>
        <w:t>)</w:t>
      </w:r>
      <w:r w:rsidR="00365EB2" w:rsidRPr="00F70506">
        <w:rPr>
          <w:rFonts w:ascii="Times New Roman" w:eastAsia="Times New Roman" w:hAnsi="Times New Roman" w:cs="Times New Roman"/>
          <w:sz w:val="24"/>
          <w:szCs w:val="24"/>
        </w:rPr>
        <w:t>. During the event execution phase, social needs should also be met through networking, and the general event environment should be perceived as an environment that makes people feel they belong.</w:t>
      </w:r>
    </w:p>
    <w:p w14:paraId="112B8031" w14:textId="77777777" w:rsidR="00365EB2" w:rsidRPr="00B756FF" w:rsidRDefault="00365EB2" w:rsidP="00CD08BE">
      <w:pPr>
        <w:spacing w:after="0" w:line="480" w:lineRule="auto"/>
        <w:jc w:val="center"/>
        <w:rPr>
          <w:rFonts w:ascii="Times New Roman" w:eastAsia="Times New Roman" w:hAnsi="Times New Roman" w:cs="Times New Roman"/>
          <w:b/>
          <w:bCs/>
          <w:sz w:val="24"/>
          <w:szCs w:val="24"/>
        </w:rPr>
      </w:pPr>
      <w:r w:rsidRPr="00B756FF">
        <w:rPr>
          <w:rFonts w:ascii="Times New Roman" w:eastAsia="Times New Roman" w:hAnsi="Times New Roman" w:cs="Times New Roman"/>
          <w:noProof/>
          <w:sz w:val="24"/>
          <w:szCs w:val="24"/>
        </w:rPr>
        <w:drawing>
          <wp:inline distT="0" distB="0" distL="0" distR="0" wp14:anchorId="4E52F729" wp14:editId="571DCD9A">
            <wp:extent cx="4419600"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0417" cy="2362637"/>
                    </a:xfrm>
                    <a:prstGeom prst="rect">
                      <a:avLst/>
                    </a:prstGeom>
                    <a:noFill/>
                  </pic:spPr>
                </pic:pic>
              </a:graphicData>
            </a:graphic>
          </wp:inline>
        </w:drawing>
      </w:r>
    </w:p>
    <w:p w14:paraId="4CE183B5" w14:textId="77777777" w:rsidR="00365EB2" w:rsidRPr="00F70506" w:rsidRDefault="00365EB2" w:rsidP="00365EB2">
      <w:pPr>
        <w:spacing w:after="0" w:line="480" w:lineRule="auto"/>
        <w:rPr>
          <w:rFonts w:ascii="Times New Roman" w:eastAsia="Times New Roman" w:hAnsi="Times New Roman" w:cs="Times New Roman"/>
          <w:i/>
          <w:iCs/>
          <w:sz w:val="24"/>
          <w:szCs w:val="24"/>
        </w:rPr>
      </w:pPr>
      <w:r w:rsidRPr="00F70506">
        <w:rPr>
          <w:rFonts w:ascii="Times New Roman" w:eastAsia="Times New Roman" w:hAnsi="Times New Roman" w:cs="Times New Roman"/>
          <w:b/>
          <w:bCs/>
          <w:i/>
          <w:iCs/>
          <w:sz w:val="24"/>
          <w:szCs w:val="24"/>
        </w:rPr>
        <w:lastRenderedPageBreak/>
        <w:t>Figure 2: Maslow’s Hierarchy of Needs</w:t>
      </w:r>
    </w:p>
    <w:p w14:paraId="0286A188" w14:textId="436C4E68"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concept development stage of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included brainstorming sessions, market research, and consultation with stakeholders regarding the theme, primary objective, and target audience. Given the rapid integration of technology into hospitality, the event was an excellent opportunity to demonstrate innovations taking </w:t>
      </w:r>
      <w:proofErr w:type="spellStart"/>
      <w:r w:rsidRPr="00F70506">
        <w:rPr>
          <w:rFonts w:ascii="Times New Roman" w:eastAsia="Times New Roman" w:hAnsi="Times New Roman" w:cs="Times New Roman"/>
          <w:sz w:val="24"/>
          <w:szCs w:val="24"/>
        </w:rPr>
        <w:t>centre</w:t>
      </w:r>
      <w:proofErr w:type="spellEnd"/>
      <w:r w:rsidRPr="00F70506">
        <w:rPr>
          <w:rFonts w:ascii="Times New Roman" w:eastAsia="Times New Roman" w:hAnsi="Times New Roman" w:cs="Times New Roman"/>
          <w:sz w:val="24"/>
          <w:szCs w:val="24"/>
        </w:rPr>
        <w:t xml:space="preserve"> stage in the tech world and give both technology innovators and hospitality industry leaders a chance to collaborate (Han et al., 2021). Consumer research showed that many hotels were highly interested in technology solutions operating in the hospitality industry and that those aged from 30 to 50 were after the most recent innovations to give themselves the chance to expand their businesses and offer superb experiences to their clients</w:t>
      </w:r>
      <w:r w:rsidR="00C50739">
        <w:rPr>
          <w:rFonts w:ascii="Times New Roman" w:eastAsia="Times New Roman" w:hAnsi="Times New Roman" w:cs="Times New Roman"/>
          <w:sz w:val="24"/>
          <w:szCs w:val="24"/>
        </w:rPr>
        <w:t xml:space="preserve">. </w:t>
      </w:r>
      <w:r w:rsidRPr="00F70506">
        <w:rPr>
          <w:rFonts w:ascii="Times New Roman" w:eastAsia="Times New Roman" w:hAnsi="Times New Roman" w:cs="Times New Roman"/>
          <w:sz w:val="24"/>
          <w:szCs w:val="24"/>
        </w:rPr>
        <w:t>Continuing with the customer feedback sessions, the need for an event that would be an intersection between technology champions and the hospital field was evident, making them invest and participate actively.</w:t>
      </w:r>
    </w:p>
    <w:p w14:paraId="01EF8BAB" w14:textId="0B94480E"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theme, "Technology and Innovation within the Hospitality Sector," was created after conducting detailed market demand studies and capturing current industry trends. Holding the expo in Silicon Valley, a famous global tech hub, was also a symbol that demonstrated exposure to the specific theme. The San Jose Convention Centre, owned by high-tech equipment and advantageously located for tech companies and startups, was chosen as the venue where interesting technological exhibits and demos would be presented. The exclusive combination of established modern technology with the </w:t>
      </w:r>
      <w:proofErr w:type="gramStart"/>
      <w:r w:rsidRPr="00F70506">
        <w:rPr>
          <w:rFonts w:ascii="Times New Roman" w:eastAsia="Times New Roman" w:hAnsi="Times New Roman" w:cs="Times New Roman"/>
          <w:sz w:val="24"/>
          <w:szCs w:val="24"/>
        </w:rPr>
        <w:t>particular requirements</w:t>
      </w:r>
      <w:proofErr w:type="gramEnd"/>
      <w:r w:rsidRPr="00F70506">
        <w:rPr>
          <w:rFonts w:ascii="Times New Roman" w:eastAsia="Times New Roman" w:hAnsi="Times New Roman" w:cs="Times New Roman"/>
          <w:sz w:val="24"/>
          <w:szCs w:val="24"/>
        </w:rPr>
        <w:t xml:space="preserve"> of hospitality services provided the venue for 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w:t>
      </w:r>
    </w:p>
    <w:p w14:paraId="5DCDC782" w14:textId="63095A09"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planning phase was significant in laying the groundwork for the expo's success. Extensive research identified a fitting venue that did not collide with the theme. Due to San Jose being well-known in the tech industry, the San Jose Convention Centre was the best option </w:t>
      </w:r>
      <w:r w:rsidRPr="00F70506">
        <w:rPr>
          <w:rFonts w:ascii="Times New Roman" w:eastAsia="Times New Roman" w:hAnsi="Times New Roman" w:cs="Times New Roman"/>
          <w:sz w:val="24"/>
          <w:szCs w:val="24"/>
        </w:rPr>
        <w:lastRenderedPageBreak/>
        <w:t xml:space="preserve">because it boasts cutting-edge technology and can accommodate thousands of people at any given time (Pagán et al., 2020). Its talent pool and proximity to other big technology companies helped with this motif. The venue committee secured the event's location 18 months before the date. The selection of speakers required us to invite well-known CEOs and innovators endowed with outstanding solutions to educate the audience on up-to-date strategies. This panel was confirmed to have a superstar lineup of executives from Google, Microsoft, Hyatt, and more. With a sustained strategy to reach exhibitors, the </w:t>
      </w:r>
      <w:proofErr w:type="spellStart"/>
      <w:r w:rsidRPr="00F70506">
        <w:rPr>
          <w:rFonts w:ascii="Times New Roman" w:eastAsia="Times New Roman" w:hAnsi="Times New Roman" w:cs="Times New Roman"/>
          <w:sz w:val="24"/>
          <w:szCs w:val="24"/>
        </w:rPr>
        <w:t>organiser</w:t>
      </w:r>
      <w:proofErr w:type="spellEnd"/>
      <w:r w:rsidRPr="00F70506">
        <w:rPr>
          <w:rFonts w:ascii="Times New Roman" w:eastAsia="Times New Roman" w:hAnsi="Times New Roman" w:cs="Times New Roman"/>
          <w:sz w:val="24"/>
          <w:szCs w:val="24"/>
        </w:rPr>
        <w:t xml:space="preserve"> will work closely with the leading hospitality tech vendors.</w:t>
      </w:r>
    </w:p>
    <w:p w14:paraId="3A6BB365"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logistics teams executed various segments. These were branded partnerships up to platinum, gold, and silver tiers and allowed for the visibility of the brands. The international hospitality chain, the AI startup, and the global restaurant companies have all signed the platinum agreement (Calvaresi et al., 2019). The </w:t>
      </w:r>
      <w:proofErr w:type="spellStart"/>
      <w:r w:rsidRPr="00F70506">
        <w:rPr>
          <w:rFonts w:ascii="Times New Roman" w:eastAsia="Times New Roman" w:hAnsi="Times New Roman" w:cs="Times New Roman"/>
          <w:sz w:val="24"/>
          <w:szCs w:val="24"/>
        </w:rPr>
        <w:t>Programme</w:t>
      </w:r>
      <w:proofErr w:type="spellEnd"/>
      <w:r w:rsidRPr="00F70506">
        <w:rPr>
          <w:rFonts w:ascii="Times New Roman" w:eastAsia="Times New Roman" w:hAnsi="Times New Roman" w:cs="Times New Roman"/>
          <w:sz w:val="24"/>
          <w:szCs w:val="24"/>
        </w:rPr>
        <w:t xml:space="preserve"> Committee session rounds up topics, including VR training, AI-driven </w:t>
      </w:r>
      <w:proofErr w:type="spellStart"/>
      <w:r w:rsidRPr="00F70506">
        <w:rPr>
          <w:rFonts w:ascii="Times New Roman" w:eastAsia="Times New Roman" w:hAnsi="Times New Roman" w:cs="Times New Roman"/>
          <w:sz w:val="24"/>
          <w:szCs w:val="24"/>
        </w:rPr>
        <w:t>personalisation</w:t>
      </w:r>
      <w:proofErr w:type="spellEnd"/>
      <w:r w:rsidRPr="00F70506">
        <w:rPr>
          <w:rFonts w:ascii="Times New Roman" w:eastAsia="Times New Roman" w:hAnsi="Times New Roman" w:cs="Times New Roman"/>
          <w:sz w:val="24"/>
          <w:szCs w:val="24"/>
        </w:rPr>
        <w:t xml:space="preserve">, and many others. Merchandising, catering, and providing accommodation items were contracted (Heath and Babu, 2022). The IT needs and technical displays were drawn on a schedule to ensure the objectiveness of the required items. </w:t>
      </w:r>
      <w:proofErr w:type="spellStart"/>
      <w:r w:rsidRPr="00F70506">
        <w:rPr>
          <w:rFonts w:ascii="Times New Roman" w:eastAsia="Times New Roman" w:hAnsi="Times New Roman" w:cs="Times New Roman"/>
          <w:sz w:val="24"/>
          <w:szCs w:val="24"/>
        </w:rPr>
        <w:t>Optimised</w:t>
      </w:r>
      <w:proofErr w:type="spellEnd"/>
      <w:r w:rsidRPr="00F70506">
        <w:rPr>
          <w:rFonts w:ascii="Times New Roman" w:eastAsia="Times New Roman" w:hAnsi="Times New Roman" w:cs="Times New Roman"/>
          <w:sz w:val="24"/>
          <w:szCs w:val="24"/>
        </w:rPr>
        <w:t xml:space="preserve"> floor plans create traffic around the store (Yang et al., 2020). Besides the onsite logistics that comprised signage, registration, transportation, and other aspects, we also had the same difficulties as others.</w:t>
      </w:r>
    </w:p>
    <w:p w14:paraId="50CDEE7A"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execution phase of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was when all the activities were carried out in a well-</w:t>
      </w:r>
      <w:proofErr w:type="spellStart"/>
      <w:r w:rsidRPr="00F70506">
        <w:rPr>
          <w:rFonts w:ascii="Times New Roman" w:eastAsia="Times New Roman" w:hAnsi="Times New Roman" w:cs="Times New Roman"/>
          <w:sz w:val="24"/>
          <w:szCs w:val="24"/>
        </w:rPr>
        <w:t>organised</w:t>
      </w:r>
      <w:proofErr w:type="spellEnd"/>
      <w:r w:rsidRPr="00F70506">
        <w:rPr>
          <w:rFonts w:ascii="Times New Roman" w:eastAsia="Times New Roman" w:hAnsi="Times New Roman" w:cs="Times New Roman"/>
          <w:sz w:val="24"/>
          <w:szCs w:val="24"/>
        </w:rPr>
        <w:t xml:space="preserve"> way to make things happen as they were laid out in plans and agendas. As the tech guys and the venue staff did a month and a half of testing on all the technical ones, the demo equipment, VR labs, conferencing system, and network facility were carefully examined (Laine and Lee, 2023). This objective was to locate issues to reduce the </w:t>
      </w:r>
      <w:r w:rsidRPr="00F70506">
        <w:rPr>
          <w:rFonts w:ascii="Times New Roman" w:eastAsia="Times New Roman" w:hAnsi="Times New Roman" w:cs="Times New Roman"/>
          <w:sz w:val="24"/>
          <w:szCs w:val="24"/>
        </w:rPr>
        <w:lastRenderedPageBreak/>
        <w:t>chances of issues arising when exhibitors and the viewing public access the platform. Moreover, the weighing chose signage as the most powerful and strategic tool to direct foot traffic and rev up the concert feel of the whole venue for enthusiastic music listeners.</w:t>
      </w:r>
    </w:p>
    <w:p w14:paraId="07428E6C"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main task during the execution stage was the supervision of exhibitor move-in, which entailed a multitasking operation of complex booth designs and technology displays from major sponsors across various industries. All onsite logistics implementation </w:t>
      </w:r>
      <w:proofErr w:type="gramStart"/>
      <w:r w:rsidRPr="00F70506">
        <w:rPr>
          <w:rFonts w:ascii="Times New Roman" w:eastAsia="Times New Roman" w:hAnsi="Times New Roman" w:cs="Times New Roman"/>
          <w:sz w:val="24"/>
          <w:szCs w:val="24"/>
        </w:rPr>
        <w:t>took into account</w:t>
      </w:r>
      <w:proofErr w:type="gramEnd"/>
      <w:r w:rsidRPr="00F70506">
        <w:rPr>
          <w:rFonts w:ascii="Times New Roman" w:eastAsia="Times New Roman" w:hAnsi="Times New Roman" w:cs="Times New Roman"/>
          <w:sz w:val="24"/>
          <w:szCs w:val="24"/>
        </w:rPr>
        <w:t xml:space="preserve"> a smooth registration process, highlighted by promotional materials and staff who gave attendees assistance to help them navigate the event (</w:t>
      </w:r>
      <w:proofErr w:type="spellStart"/>
      <w:r w:rsidRPr="00F70506">
        <w:rPr>
          <w:rFonts w:ascii="Times New Roman" w:eastAsia="Times New Roman" w:hAnsi="Times New Roman" w:cs="Times New Roman"/>
          <w:sz w:val="24"/>
          <w:szCs w:val="24"/>
        </w:rPr>
        <w:t>Neuhofer</w:t>
      </w:r>
      <w:proofErr w:type="spellEnd"/>
      <w:r w:rsidRPr="00F70506">
        <w:rPr>
          <w:rFonts w:ascii="Times New Roman" w:eastAsia="Times New Roman" w:hAnsi="Times New Roman" w:cs="Times New Roman"/>
          <w:sz w:val="24"/>
          <w:szCs w:val="24"/>
        </w:rPr>
        <w:t xml:space="preserve"> et al., 2021). An app that had a </w:t>
      </w:r>
      <w:proofErr w:type="spellStart"/>
      <w:r w:rsidRPr="00F70506">
        <w:rPr>
          <w:rFonts w:ascii="Times New Roman" w:eastAsia="Times New Roman" w:hAnsi="Times New Roman" w:cs="Times New Roman"/>
          <w:sz w:val="24"/>
          <w:szCs w:val="24"/>
        </w:rPr>
        <w:t>customisation</w:t>
      </w:r>
      <w:proofErr w:type="spellEnd"/>
      <w:r w:rsidRPr="00F70506">
        <w:rPr>
          <w:rFonts w:ascii="Times New Roman" w:eastAsia="Times New Roman" w:hAnsi="Times New Roman" w:cs="Times New Roman"/>
          <w:sz w:val="24"/>
          <w:szCs w:val="24"/>
        </w:rPr>
        <w:t xml:space="preserve"> made on it was used to help with the scheduling and tracking of sessions and enhance the participants' networking to improve the attendees' overall experience (</w:t>
      </w:r>
      <w:proofErr w:type="spellStart"/>
      <w:r w:rsidRPr="00F70506">
        <w:rPr>
          <w:rFonts w:ascii="Times New Roman" w:eastAsia="Times New Roman" w:hAnsi="Times New Roman" w:cs="Times New Roman"/>
          <w:sz w:val="24"/>
          <w:szCs w:val="24"/>
        </w:rPr>
        <w:t>Talantis</w:t>
      </w:r>
      <w:proofErr w:type="spellEnd"/>
      <w:r w:rsidRPr="00F70506">
        <w:rPr>
          <w:rFonts w:ascii="Times New Roman" w:eastAsia="Times New Roman" w:hAnsi="Times New Roman" w:cs="Times New Roman"/>
          <w:sz w:val="24"/>
          <w:szCs w:val="24"/>
        </w:rPr>
        <w:t xml:space="preserve"> et al., 2022). The keynote speech by an authority figure was the high point of the opening ceremony, which sent a message of the need for collaboration between businesses and drew the participants into the spirit of the conference. During all three days of the expo, concurrent sessions from companies like Marriott and Intel that delve into the future of hospitality brought in much more than just hints and new information, which was quite evident from the final stocks of the exhibit hall.</w:t>
      </w:r>
    </w:p>
    <w:p w14:paraId="1F5E7F62" w14:textId="77777777" w:rsidR="00365EB2" w:rsidRPr="00F70506" w:rsidRDefault="00365EB2" w:rsidP="00365EB2">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Event Concept</w:t>
      </w:r>
    </w:p>
    <w:p w14:paraId="07498448"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Future-Tech Hospitality Expo 2024 is a thrilling event dedicated to "Technology and Innovation Unfolding in the Hospitality and Tourism Setting." Without exaggeration, it will be held in June 2024 at the San Jose Convention Centre, where the technology-fruitful heart of Silicon Valley is situated. Participants ages 30 to 50 with hospitality and technical industry backgrounds from everywhere on the globe are the primary audience of this event, thus reflecting a very diverse demographic interested in the new technologies relating to hospitality </w:t>
      </w:r>
      <w:r w:rsidRPr="00F70506">
        <w:rPr>
          <w:rFonts w:ascii="Times New Roman" w:eastAsia="Times New Roman" w:hAnsi="Times New Roman" w:cs="Times New Roman"/>
          <w:sz w:val="24"/>
          <w:szCs w:val="24"/>
        </w:rPr>
        <w:lastRenderedPageBreak/>
        <w:t>production. The expo will be a powerful creation for tech fanatics and hospitality industry leaders to have mixing bars with interaction and discussion about future technological developments.</w:t>
      </w:r>
    </w:p>
    <w:p w14:paraId="2A64820B" w14:textId="12C9D8B7" w:rsidR="00365EB2"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Attendees at 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on that day will have many activities to participate in, including educational and experiential aspects like immersive experiences, presentations, and demonstrations. The event will commence with an opening ceremony, allowing prominent keynote speakers to address why technology is critical to shaping the future hospitality industry (</w:t>
      </w:r>
      <w:proofErr w:type="spellStart"/>
      <w:r w:rsidRPr="00F70506">
        <w:rPr>
          <w:rFonts w:ascii="Times New Roman" w:eastAsia="Times New Roman" w:hAnsi="Times New Roman" w:cs="Times New Roman"/>
          <w:sz w:val="24"/>
          <w:szCs w:val="24"/>
        </w:rPr>
        <w:t>Sakdiyakorn</w:t>
      </w:r>
      <w:proofErr w:type="spellEnd"/>
      <w:r w:rsidRPr="00F70506">
        <w:rPr>
          <w:rFonts w:ascii="Times New Roman" w:eastAsia="Times New Roman" w:hAnsi="Times New Roman" w:cs="Times New Roman"/>
          <w:sz w:val="24"/>
          <w:szCs w:val="24"/>
        </w:rPr>
        <w:t xml:space="preserve"> et al., 2021). Various solutions on show will include VR simulations of real-life complex hospitality management case scenarios, AI-powered guest </w:t>
      </w:r>
      <w:proofErr w:type="spellStart"/>
      <w:r w:rsidRPr="00F70506">
        <w:rPr>
          <w:rFonts w:ascii="Times New Roman" w:eastAsia="Times New Roman" w:hAnsi="Times New Roman" w:cs="Times New Roman"/>
          <w:sz w:val="24"/>
          <w:szCs w:val="24"/>
        </w:rPr>
        <w:t>personalisation</w:t>
      </w:r>
      <w:proofErr w:type="spellEnd"/>
      <w:r w:rsidRPr="00F70506">
        <w:rPr>
          <w:rFonts w:ascii="Times New Roman" w:eastAsia="Times New Roman" w:hAnsi="Times New Roman" w:cs="Times New Roman"/>
          <w:sz w:val="24"/>
          <w:szCs w:val="24"/>
        </w:rPr>
        <w:t xml:space="preserve"> solutions in various forms and shapes, and sensors powered by IoT that allow innovative management and data analysis (Loureiro, 2022). On top of that, interactive VR training sessions will be periodically provided for staff to practice their skills in customer service, together with AI algorithms for projecting the guest's preferences and </w:t>
      </w:r>
      <w:proofErr w:type="spellStart"/>
      <w:r w:rsidRPr="00F70506">
        <w:rPr>
          <w:rFonts w:ascii="Times New Roman" w:eastAsia="Times New Roman" w:hAnsi="Times New Roman" w:cs="Times New Roman"/>
          <w:sz w:val="24"/>
          <w:szCs w:val="24"/>
        </w:rPr>
        <w:t>optimising</w:t>
      </w:r>
      <w:proofErr w:type="spellEnd"/>
      <w:r w:rsidRPr="00F70506">
        <w:rPr>
          <w:rFonts w:ascii="Times New Roman" w:eastAsia="Times New Roman" w:hAnsi="Times New Roman" w:cs="Times New Roman"/>
          <w:sz w:val="24"/>
          <w:szCs w:val="24"/>
        </w:rPr>
        <w:t xml:space="preserve"> customer satisfaction to ensure loyalty among consumers.</w:t>
      </w:r>
    </w:p>
    <w:p w14:paraId="5C065004" w14:textId="77777777" w:rsidR="00880F5D" w:rsidRPr="00F70506" w:rsidRDefault="00880F5D" w:rsidP="00880F5D">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During the event, visitors will interact with exhibitors, network with industry professionals, and participate in relevant sessions corresponding to their interests and expectations. Culinary shows consisting of menus using science to create exciting and multi-sensory experiences will represent where technology and cooking intersect. In connection with the cocktail parties hosted in the evening at the lounge areas, sponsors can network and create lasting ties with the </w:t>
      </w:r>
      <w:proofErr w:type="spellStart"/>
      <w:r w:rsidRPr="00F70506">
        <w:rPr>
          <w:rFonts w:ascii="Times New Roman" w:eastAsia="Times New Roman" w:hAnsi="Times New Roman" w:cs="Times New Roman"/>
          <w:sz w:val="24"/>
          <w:szCs w:val="24"/>
        </w:rPr>
        <w:t>organisation</w:t>
      </w:r>
      <w:proofErr w:type="spellEnd"/>
      <w:r w:rsidRPr="00F70506">
        <w:rPr>
          <w:rFonts w:ascii="Times New Roman" w:eastAsia="Times New Roman" w:hAnsi="Times New Roman" w:cs="Times New Roman"/>
          <w:sz w:val="24"/>
          <w:szCs w:val="24"/>
        </w:rPr>
        <w:t xml:space="preserve"> and its members (Cook et al., 2023). The workshop will be closed with celebratory sessions </w:t>
      </w:r>
      <w:proofErr w:type="spellStart"/>
      <w:r w:rsidRPr="00F70506">
        <w:rPr>
          <w:rFonts w:ascii="Times New Roman" w:eastAsia="Times New Roman" w:hAnsi="Times New Roman" w:cs="Times New Roman"/>
          <w:sz w:val="24"/>
          <w:szCs w:val="24"/>
        </w:rPr>
        <w:t>summarising</w:t>
      </w:r>
      <w:proofErr w:type="spellEnd"/>
      <w:r w:rsidRPr="00F70506">
        <w:rPr>
          <w:rFonts w:ascii="Times New Roman" w:eastAsia="Times New Roman" w:hAnsi="Times New Roman" w:cs="Times New Roman"/>
          <w:sz w:val="24"/>
          <w:szCs w:val="24"/>
        </w:rPr>
        <w:t xml:space="preserve"> the main achievements and identifying future challenges and opportunities. Ultimately, 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will be an </w:t>
      </w:r>
      <w:r w:rsidRPr="00F70506">
        <w:rPr>
          <w:rFonts w:ascii="Times New Roman" w:eastAsia="Times New Roman" w:hAnsi="Times New Roman" w:cs="Times New Roman"/>
          <w:sz w:val="24"/>
          <w:szCs w:val="24"/>
        </w:rPr>
        <w:lastRenderedPageBreak/>
        <w:t>illuminating and educational event, providing people with critical facts and knowledge about the most recent technological developments that will redefine how hospitality will be in the future.</w:t>
      </w:r>
    </w:p>
    <w:p w14:paraId="0EB0F521" w14:textId="6B090E47" w:rsidR="00365EB2" w:rsidRPr="00F70506" w:rsidRDefault="00365EB2" w:rsidP="00365EB2">
      <w:pPr>
        <w:spacing w:after="0"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Aim</w:t>
      </w:r>
    </w:p>
    <w:p w14:paraId="35B8A02C"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aims to transform the hospitality industry's adoption and integration of innovative technologies through knowledge sharing, partnership building, and networking among leaders in hospitality and technology.</w:t>
      </w:r>
    </w:p>
    <w:p w14:paraId="06E57FC5" w14:textId="77777777" w:rsidR="00365EB2" w:rsidRPr="00F70506" w:rsidRDefault="00365EB2" w:rsidP="00365EB2">
      <w:pPr>
        <w:spacing w:after="0"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Objectives</w:t>
      </w:r>
    </w:p>
    <w:p w14:paraId="2D635C7E" w14:textId="77777777" w:rsidR="00365EB2" w:rsidRPr="00B756FF" w:rsidRDefault="00365EB2" w:rsidP="00365EB2">
      <w:pPr>
        <w:pStyle w:val="ListParagraph"/>
        <w:numPr>
          <w:ilvl w:val="0"/>
          <w:numId w:val="4"/>
        </w:numPr>
        <w:spacing w:after="0"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Welcome 2,000 attendees from over 30 countries representing hotel groups, restaurant chains, travel tech companies, and more by June 2024.</w:t>
      </w:r>
    </w:p>
    <w:p w14:paraId="57E022E4" w14:textId="77777777" w:rsidR="00365EB2" w:rsidRPr="00B756FF" w:rsidRDefault="00365EB2" w:rsidP="00365EB2">
      <w:pPr>
        <w:pStyle w:val="ListParagraph"/>
        <w:numPr>
          <w:ilvl w:val="0"/>
          <w:numId w:val="4"/>
        </w:numPr>
        <w:spacing w:after="0"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Facilitate partnerships between hospitality operators and tech solution providers through curated networking sessions, signing three joint showcase agreements showcasing novel technologies at the event.</w:t>
      </w:r>
    </w:p>
    <w:p w14:paraId="4CA76BDB" w14:textId="77777777" w:rsidR="00365EB2" w:rsidRPr="00B756FF" w:rsidRDefault="00365EB2" w:rsidP="00365EB2">
      <w:pPr>
        <w:pStyle w:val="ListParagraph"/>
        <w:numPr>
          <w:ilvl w:val="0"/>
          <w:numId w:val="4"/>
        </w:numPr>
        <w:spacing w:after="0"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 xml:space="preserve">Engage 90% of attendees through interactive product demonstrations, informative sessions, and reporting an increased understanding of emerging technologies applicable to their </w:t>
      </w:r>
      <w:proofErr w:type="spellStart"/>
      <w:r w:rsidRPr="00B756FF">
        <w:rPr>
          <w:rFonts w:ascii="Times New Roman" w:eastAsia="Times New Roman" w:hAnsi="Times New Roman" w:cs="Times New Roman"/>
          <w:sz w:val="24"/>
          <w:szCs w:val="24"/>
        </w:rPr>
        <w:t>organisations</w:t>
      </w:r>
      <w:proofErr w:type="spellEnd"/>
      <w:r w:rsidRPr="00B756FF">
        <w:rPr>
          <w:rFonts w:ascii="Times New Roman" w:eastAsia="Times New Roman" w:hAnsi="Times New Roman" w:cs="Times New Roman"/>
          <w:sz w:val="24"/>
          <w:szCs w:val="24"/>
        </w:rPr>
        <w:t>.</w:t>
      </w:r>
    </w:p>
    <w:p w14:paraId="4DE18108" w14:textId="3CB3C7EA" w:rsidR="00365EB2" w:rsidRPr="00F70506" w:rsidRDefault="00365EB2" w:rsidP="00365EB2">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Operations and Budget</w:t>
      </w:r>
    </w:p>
    <w:p w14:paraId="5F1FECE4" w14:textId="7FDF1BCB" w:rsidR="00365EB2"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requires a team of experienced professionals and managers who will ensure the event is appropriately conducted. There is a need for many skills and resources to deliver the best services to our attendees during event planning. The first key element regarding event management is a dedicated team with enough IT, marketing, and logistics knowledge (Herold et al., 2020). A team of professionals will </w:t>
      </w:r>
      <w:proofErr w:type="gramStart"/>
      <w:r w:rsidRPr="00F70506">
        <w:rPr>
          <w:rFonts w:ascii="Times New Roman" w:eastAsia="Times New Roman" w:hAnsi="Times New Roman" w:cs="Times New Roman"/>
          <w:sz w:val="24"/>
          <w:szCs w:val="24"/>
        </w:rPr>
        <w:t>be in charge of</w:t>
      </w:r>
      <w:proofErr w:type="gramEnd"/>
      <w:r w:rsidRPr="00F70506">
        <w:rPr>
          <w:rFonts w:ascii="Times New Roman" w:eastAsia="Times New Roman" w:hAnsi="Times New Roman" w:cs="Times New Roman"/>
          <w:sz w:val="24"/>
          <w:szCs w:val="24"/>
        </w:rPr>
        <w:t xml:space="preserve"> contacting venues and arranging them, coordinating exhibitors and speakers, registering participants, and managing the smooth running of the event. Moreover, technicians and IT support personnel are </w:t>
      </w:r>
      <w:r w:rsidRPr="00F70506">
        <w:rPr>
          <w:rFonts w:ascii="Times New Roman" w:eastAsia="Times New Roman" w:hAnsi="Times New Roman" w:cs="Times New Roman"/>
          <w:sz w:val="24"/>
          <w:szCs w:val="24"/>
        </w:rPr>
        <w:lastRenderedPageBreak/>
        <w:t>essential for building and sustaining the technological infrastructure and developing VR simulations, AI-powered presentations, and IoT-connected rooms (del Campo et al., 2024). Furthermore, good communication and cooperation between members of a team and external contractors are top priorities to guarantee a smooth flow of all the event components.</w:t>
      </w:r>
    </w:p>
    <w:p w14:paraId="2DC3704D" w14:textId="77777777" w:rsidR="0010720C" w:rsidRPr="00F70506" w:rsidRDefault="0010720C" w:rsidP="0010720C">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As for resources, the event demands the stadium our city is proud of for its world-class facilities and cutting-edge technology, the San Jose Convention Center. This sector could only demonstrate the latest achievements in hospitality technology if there were access to state-of-the-art hardware and software. Besides, sufficient funds should be allocated to pay rent, buy equipment, run media campaigns, and pay staff wages. Finally, as a vital element, the stringent risk management strategy that could contain the event's collapse by devising a contingency plan for technical failures or other unpredictable happenstances is indispensable.</w:t>
      </w:r>
    </w:p>
    <w:p w14:paraId="4D83763F" w14:textId="1A023A1F"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budget plan predicts substantial revenue alongside well-planned expenses, making the event successful and sustainable. We anticipate raising a budget of $500,000 from our income-generating activities, which should amount to a revenue of $450,000, including $300,000 from ticket sales, $100,000 from sponsorships, and $50,000 from merchandising. These revenue sources deliberately focus on the event's audience and target market demand, aiming to obtain the highest income possible while offering quality to the attendees and the sponsors (</w:t>
      </w:r>
      <w:proofErr w:type="spellStart"/>
      <w:r w:rsidRPr="00F70506">
        <w:rPr>
          <w:rFonts w:ascii="Times New Roman" w:eastAsia="Times New Roman" w:hAnsi="Times New Roman" w:cs="Times New Roman"/>
          <w:sz w:val="24"/>
          <w:szCs w:val="24"/>
        </w:rPr>
        <w:t>Ouvrein</w:t>
      </w:r>
      <w:proofErr w:type="spellEnd"/>
      <w:r w:rsidRPr="00F70506">
        <w:rPr>
          <w:rFonts w:ascii="Times New Roman" w:eastAsia="Times New Roman" w:hAnsi="Times New Roman" w:cs="Times New Roman"/>
          <w:sz w:val="24"/>
          <w:szCs w:val="24"/>
        </w:rPr>
        <w:t xml:space="preserve"> et al., 2021). On the other hand, the expenditures division deals with the fund allocation across different items like the charging of venues, the provision of food and entertainment, the audiovisual equipment, and marketing or promoting the event, totaling $230,000.</w:t>
      </w:r>
    </w:p>
    <w:tbl>
      <w:tblPr>
        <w:tblStyle w:val="GridTable5Dark-Accent6"/>
        <w:tblW w:w="7440" w:type="dxa"/>
        <w:jc w:val="center"/>
        <w:tblLook w:val="04A0" w:firstRow="1" w:lastRow="0" w:firstColumn="1" w:lastColumn="0" w:noHBand="0" w:noVBand="1"/>
      </w:tblPr>
      <w:tblGrid>
        <w:gridCol w:w="2145"/>
        <w:gridCol w:w="2175"/>
        <w:gridCol w:w="3120"/>
      </w:tblGrid>
      <w:tr w:rsidR="00365EB2" w:rsidRPr="00B756FF" w14:paraId="397E9263" w14:textId="77777777" w:rsidTr="008370E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475C2CD9"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Income</w:t>
            </w:r>
          </w:p>
        </w:tc>
        <w:tc>
          <w:tcPr>
            <w:tcW w:w="2175" w:type="dxa"/>
            <w:hideMark/>
          </w:tcPr>
          <w:p w14:paraId="36315221" w14:textId="77777777" w:rsidR="00365EB2" w:rsidRPr="00F70506" w:rsidRDefault="00365EB2" w:rsidP="008370E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Ticket Sales</w:t>
            </w:r>
          </w:p>
        </w:tc>
        <w:tc>
          <w:tcPr>
            <w:tcW w:w="3120" w:type="dxa"/>
            <w:hideMark/>
          </w:tcPr>
          <w:p w14:paraId="1D2898E7" w14:textId="77777777" w:rsidR="00365EB2" w:rsidRPr="00F70506" w:rsidRDefault="00365EB2" w:rsidP="008370E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$300,000</w:t>
            </w:r>
          </w:p>
        </w:tc>
      </w:tr>
      <w:tr w:rsidR="00365EB2" w:rsidRPr="00B756FF" w14:paraId="6C6F116F"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47C2A9D8"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11FAA10F"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Sponsorships</w:t>
            </w:r>
          </w:p>
        </w:tc>
        <w:tc>
          <w:tcPr>
            <w:tcW w:w="3120" w:type="dxa"/>
            <w:hideMark/>
          </w:tcPr>
          <w:p w14:paraId="57016AE7"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$100,000</w:t>
            </w:r>
          </w:p>
        </w:tc>
      </w:tr>
      <w:tr w:rsidR="008370EF" w:rsidRPr="00B756FF" w14:paraId="21C4D056"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7BFCB047"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lastRenderedPageBreak/>
              <w:t> </w:t>
            </w:r>
          </w:p>
        </w:tc>
        <w:tc>
          <w:tcPr>
            <w:tcW w:w="2175" w:type="dxa"/>
            <w:hideMark/>
          </w:tcPr>
          <w:p w14:paraId="280395CC"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Merchandising</w:t>
            </w:r>
          </w:p>
        </w:tc>
        <w:tc>
          <w:tcPr>
            <w:tcW w:w="3120" w:type="dxa"/>
            <w:hideMark/>
          </w:tcPr>
          <w:p w14:paraId="2C966C48"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$50,000</w:t>
            </w:r>
          </w:p>
        </w:tc>
      </w:tr>
      <w:tr w:rsidR="00365EB2" w:rsidRPr="00B756FF" w14:paraId="663EF2C2"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16794657"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Total Income</w:t>
            </w:r>
          </w:p>
        </w:tc>
        <w:tc>
          <w:tcPr>
            <w:tcW w:w="2175" w:type="dxa"/>
            <w:hideMark/>
          </w:tcPr>
          <w:p w14:paraId="458C3BF1"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2FE45934"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$450,000</w:t>
            </w:r>
          </w:p>
        </w:tc>
      </w:tr>
      <w:tr w:rsidR="008370EF" w:rsidRPr="00B756FF" w14:paraId="24AA300D"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17F3F8A3"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Expenditure</w:t>
            </w:r>
          </w:p>
        </w:tc>
        <w:tc>
          <w:tcPr>
            <w:tcW w:w="2175" w:type="dxa"/>
            <w:hideMark/>
          </w:tcPr>
          <w:p w14:paraId="059637DF"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Venue Rental</w:t>
            </w:r>
          </w:p>
        </w:tc>
        <w:tc>
          <w:tcPr>
            <w:tcW w:w="3120" w:type="dxa"/>
            <w:hideMark/>
          </w:tcPr>
          <w:p w14:paraId="6EEA1165"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$150,000</w:t>
            </w:r>
          </w:p>
        </w:tc>
      </w:tr>
      <w:tr w:rsidR="00365EB2" w:rsidRPr="00B756FF" w14:paraId="0237C03E"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30022CFA"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5E844CE2"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Catering and Hospitality</w:t>
            </w:r>
          </w:p>
        </w:tc>
        <w:tc>
          <w:tcPr>
            <w:tcW w:w="3120" w:type="dxa"/>
            <w:hideMark/>
          </w:tcPr>
          <w:p w14:paraId="148660AE"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$50,000</w:t>
            </w:r>
          </w:p>
        </w:tc>
      </w:tr>
      <w:tr w:rsidR="008370EF" w:rsidRPr="00B756FF" w14:paraId="59858D82"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2FD6B383"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5AB169C7"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Audiovisual Equipment</w:t>
            </w:r>
          </w:p>
        </w:tc>
        <w:tc>
          <w:tcPr>
            <w:tcW w:w="3120" w:type="dxa"/>
            <w:hideMark/>
          </w:tcPr>
          <w:p w14:paraId="6333E92F"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$20,000</w:t>
            </w:r>
          </w:p>
        </w:tc>
      </w:tr>
      <w:tr w:rsidR="00365EB2" w:rsidRPr="00B756FF" w14:paraId="51424E52"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7392A178"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5B49725A"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Marketing and Promotion</w:t>
            </w:r>
          </w:p>
        </w:tc>
        <w:tc>
          <w:tcPr>
            <w:tcW w:w="3120" w:type="dxa"/>
            <w:hideMark/>
          </w:tcPr>
          <w:p w14:paraId="2BB4C6FB"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$10,000</w:t>
            </w:r>
          </w:p>
        </w:tc>
      </w:tr>
      <w:tr w:rsidR="008370EF" w:rsidRPr="00B756FF" w14:paraId="09950989"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77C37009"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Total Expenditure</w:t>
            </w:r>
          </w:p>
        </w:tc>
        <w:tc>
          <w:tcPr>
            <w:tcW w:w="2175" w:type="dxa"/>
            <w:hideMark/>
          </w:tcPr>
          <w:p w14:paraId="1FADF7B7"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7004F76D"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$230,000</w:t>
            </w:r>
          </w:p>
        </w:tc>
      </w:tr>
      <w:tr w:rsidR="00365EB2" w:rsidRPr="00B756FF" w14:paraId="289086AD"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359B86D7"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Net Income</w:t>
            </w:r>
          </w:p>
        </w:tc>
        <w:tc>
          <w:tcPr>
            <w:tcW w:w="2175" w:type="dxa"/>
            <w:hideMark/>
          </w:tcPr>
          <w:p w14:paraId="2A90B72E"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0CD027B8"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$220,000</w:t>
            </w:r>
          </w:p>
        </w:tc>
      </w:tr>
    </w:tbl>
    <w:p w14:paraId="4B8B639A" w14:textId="39CBB6B3"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expenditures account for venue rental, catering, audiovisual equipment, and marketing efforts. Venue prices could be $150,000, a massive part of the decor budget. However, the latter covers the standard room setup and lack of unique technology. The catering and hospitality expense of $50,000 </w:t>
      </w:r>
      <w:proofErr w:type="spellStart"/>
      <w:r w:rsidRPr="00F70506">
        <w:rPr>
          <w:rFonts w:ascii="Times New Roman" w:eastAsia="Times New Roman" w:hAnsi="Times New Roman" w:cs="Times New Roman"/>
          <w:sz w:val="24"/>
          <w:szCs w:val="24"/>
        </w:rPr>
        <w:t>prioritises</w:t>
      </w:r>
      <w:proofErr w:type="spellEnd"/>
      <w:r w:rsidRPr="00F70506">
        <w:rPr>
          <w:rFonts w:ascii="Times New Roman" w:eastAsia="Times New Roman" w:hAnsi="Times New Roman" w:cs="Times New Roman"/>
          <w:sz w:val="24"/>
          <w:szCs w:val="24"/>
        </w:rPr>
        <w:t xml:space="preserve"> the food quality with which the event attendees will be catered. Also, the $20,000 for an audiovisual device ensures the uninterrupted execution of presentations, demonstrations, and interactive performances. These two expenses are covered by the fact that $10,000 is allocated towards marketing and promoting the event to gain maximum possible coverage using digital and offline mediums.</w:t>
      </w:r>
    </w:p>
    <w:tbl>
      <w:tblPr>
        <w:tblStyle w:val="GridTable5Dark-Accent5"/>
        <w:tblW w:w="7440" w:type="dxa"/>
        <w:jc w:val="center"/>
        <w:tblLook w:val="04A0" w:firstRow="1" w:lastRow="0" w:firstColumn="1" w:lastColumn="0" w:noHBand="0" w:noVBand="1"/>
      </w:tblPr>
      <w:tblGrid>
        <w:gridCol w:w="2145"/>
        <w:gridCol w:w="2175"/>
        <w:gridCol w:w="3120"/>
      </w:tblGrid>
      <w:tr w:rsidR="00365EB2" w:rsidRPr="00F70506" w14:paraId="6FE19240" w14:textId="77777777" w:rsidTr="008370E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3D78F319"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Costs and funding sources</w:t>
            </w:r>
          </w:p>
        </w:tc>
        <w:tc>
          <w:tcPr>
            <w:tcW w:w="2175" w:type="dxa"/>
            <w:hideMark/>
          </w:tcPr>
          <w:p w14:paraId="6412CBFD" w14:textId="77777777" w:rsidR="00365EB2" w:rsidRPr="00F70506" w:rsidRDefault="00365EB2" w:rsidP="008370E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402894CF" w14:textId="77777777" w:rsidR="00365EB2" w:rsidRPr="00F70506" w:rsidRDefault="00365EB2" w:rsidP="008370E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r>
      <w:tr w:rsidR="00365EB2" w:rsidRPr="00F70506" w14:paraId="2633D0FD"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3BB4A546"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Costs</w:t>
            </w:r>
          </w:p>
        </w:tc>
        <w:tc>
          <w:tcPr>
            <w:tcW w:w="2175" w:type="dxa"/>
            <w:hideMark/>
          </w:tcPr>
          <w:p w14:paraId="1C354A5F"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Venue Rental</w:t>
            </w:r>
          </w:p>
        </w:tc>
        <w:tc>
          <w:tcPr>
            <w:tcW w:w="3120" w:type="dxa"/>
            <w:hideMark/>
          </w:tcPr>
          <w:p w14:paraId="4372CD1E"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$150,000</w:t>
            </w:r>
          </w:p>
        </w:tc>
      </w:tr>
      <w:tr w:rsidR="00365EB2" w:rsidRPr="00F70506" w14:paraId="35DD2B76"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2CE552A0"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lastRenderedPageBreak/>
              <w:t> </w:t>
            </w:r>
          </w:p>
        </w:tc>
        <w:tc>
          <w:tcPr>
            <w:tcW w:w="2175" w:type="dxa"/>
            <w:hideMark/>
          </w:tcPr>
          <w:p w14:paraId="749FA05C"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Catering and Hospitality</w:t>
            </w:r>
          </w:p>
        </w:tc>
        <w:tc>
          <w:tcPr>
            <w:tcW w:w="3120" w:type="dxa"/>
            <w:hideMark/>
          </w:tcPr>
          <w:p w14:paraId="2AD7DA44"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$50,000</w:t>
            </w:r>
          </w:p>
        </w:tc>
      </w:tr>
      <w:tr w:rsidR="00365EB2" w:rsidRPr="00F70506" w14:paraId="14EEE48D"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00D90FA9"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223A65F1"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Audiovisual Equipment</w:t>
            </w:r>
          </w:p>
        </w:tc>
        <w:tc>
          <w:tcPr>
            <w:tcW w:w="3120" w:type="dxa"/>
            <w:hideMark/>
          </w:tcPr>
          <w:p w14:paraId="35659416"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$20,000</w:t>
            </w:r>
          </w:p>
        </w:tc>
      </w:tr>
      <w:tr w:rsidR="00365EB2" w:rsidRPr="00F70506" w14:paraId="62F0C12D"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2BC2BB35"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6894ACC1"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Marketing and Promotion</w:t>
            </w:r>
          </w:p>
        </w:tc>
        <w:tc>
          <w:tcPr>
            <w:tcW w:w="3120" w:type="dxa"/>
            <w:hideMark/>
          </w:tcPr>
          <w:p w14:paraId="2AB4536A"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$10,000</w:t>
            </w:r>
          </w:p>
        </w:tc>
      </w:tr>
      <w:tr w:rsidR="00365EB2" w:rsidRPr="00F70506" w14:paraId="73971918"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492FD9FA"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Total Costs</w:t>
            </w:r>
          </w:p>
        </w:tc>
        <w:tc>
          <w:tcPr>
            <w:tcW w:w="2175" w:type="dxa"/>
            <w:hideMark/>
          </w:tcPr>
          <w:p w14:paraId="4BCA249C"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24EB57E1"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$230,000</w:t>
            </w:r>
          </w:p>
        </w:tc>
      </w:tr>
      <w:tr w:rsidR="00365EB2" w:rsidRPr="00F70506" w14:paraId="2F61575F"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06AA9D11"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Funding Sources</w:t>
            </w:r>
          </w:p>
        </w:tc>
        <w:tc>
          <w:tcPr>
            <w:tcW w:w="2175" w:type="dxa"/>
            <w:hideMark/>
          </w:tcPr>
          <w:p w14:paraId="5A5845A7"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Ticket Sales</w:t>
            </w:r>
          </w:p>
        </w:tc>
        <w:tc>
          <w:tcPr>
            <w:tcW w:w="3120" w:type="dxa"/>
            <w:hideMark/>
          </w:tcPr>
          <w:p w14:paraId="07750584"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$300,000</w:t>
            </w:r>
          </w:p>
        </w:tc>
      </w:tr>
      <w:tr w:rsidR="00365EB2" w:rsidRPr="00F70506" w14:paraId="50FECA86"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446196C0"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6EE12946"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Sponsorships (Platinum, Gold, and Silver)</w:t>
            </w:r>
          </w:p>
        </w:tc>
        <w:tc>
          <w:tcPr>
            <w:tcW w:w="3120" w:type="dxa"/>
            <w:hideMark/>
          </w:tcPr>
          <w:p w14:paraId="4EF9675A"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$100,000</w:t>
            </w:r>
          </w:p>
        </w:tc>
      </w:tr>
      <w:tr w:rsidR="00365EB2" w:rsidRPr="00F70506" w14:paraId="293362D4"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59AC66EC"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45F54952"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Merchandising</w:t>
            </w:r>
          </w:p>
        </w:tc>
        <w:tc>
          <w:tcPr>
            <w:tcW w:w="3120" w:type="dxa"/>
            <w:hideMark/>
          </w:tcPr>
          <w:p w14:paraId="6E0AA39B"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$50,000</w:t>
            </w:r>
          </w:p>
        </w:tc>
      </w:tr>
      <w:tr w:rsidR="00365EB2" w:rsidRPr="00F70506" w14:paraId="20071B9B"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336319B0"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Total Funding</w:t>
            </w:r>
          </w:p>
        </w:tc>
        <w:tc>
          <w:tcPr>
            <w:tcW w:w="2175" w:type="dxa"/>
            <w:hideMark/>
          </w:tcPr>
          <w:p w14:paraId="7BDD3107"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6FAECD4E"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$450,000</w:t>
            </w:r>
          </w:p>
        </w:tc>
      </w:tr>
    </w:tbl>
    <w:p w14:paraId="4BBABCEF" w14:textId="3CBB29E3"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expects to have funds coming from several sources or streams, including the sales of tickets, sponsorships, merchandising, and online camps. It is anticipated that about $300,000 will be the event sales, and the ticket price will be $500. As such, many professionals from different sectors involved in IT and hospitality would be interested because they would be able to explore the intersection. Aside from discretionary sponsorships to attend, platinum, gold, and silver opportunities are anticipated to contribute $100,000 by </w:t>
      </w:r>
      <w:proofErr w:type="spellStart"/>
      <w:r w:rsidRPr="00F70506">
        <w:rPr>
          <w:rFonts w:ascii="Times New Roman" w:eastAsia="Times New Roman" w:hAnsi="Times New Roman" w:cs="Times New Roman"/>
          <w:sz w:val="24"/>
          <w:szCs w:val="24"/>
        </w:rPr>
        <w:t>capitalising</w:t>
      </w:r>
      <w:proofErr w:type="spellEnd"/>
      <w:r w:rsidRPr="00F70506">
        <w:rPr>
          <w:rFonts w:ascii="Times New Roman" w:eastAsia="Times New Roman" w:hAnsi="Times New Roman" w:cs="Times New Roman"/>
          <w:sz w:val="24"/>
          <w:szCs w:val="24"/>
        </w:rPr>
        <w:t xml:space="preserve"> on the event's uniquely </w:t>
      </w:r>
      <w:proofErr w:type="spellStart"/>
      <w:r w:rsidRPr="00F70506">
        <w:rPr>
          <w:rFonts w:ascii="Times New Roman" w:eastAsia="Times New Roman" w:hAnsi="Times New Roman" w:cs="Times New Roman"/>
          <w:sz w:val="24"/>
          <w:szCs w:val="24"/>
        </w:rPr>
        <w:t>favourable</w:t>
      </w:r>
      <w:proofErr w:type="spellEnd"/>
      <w:r w:rsidRPr="00F70506">
        <w:rPr>
          <w:rFonts w:ascii="Times New Roman" w:eastAsia="Times New Roman" w:hAnsi="Times New Roman" w:cs="Times New Roman"/>
          <w:sz w:val="24"/>
          <w:szCs w:val="24"/>
        </w:rPr>
        <w:t xml:space="preserve"> position to attract big brands seeking greater exposure within their industry. Additionally, the merchandise elements are estimated to make around $50,000 from the sales of electronic tech gadgets and apparel with a fashionable </w:t>
      </w:r>
      <w:r w:rsidRPr="00F70506">
        <w:rPr>
          <w:rFonts w:ascii="Times New Roman" w:eastAsia="Times New Roman" w:hAnsi="Times New Roman" w:cs="Times New Roman"/>
          <w:sz w:val="24"/>
          <w:szCs w:val="24"/>
        </w:rPr>
        <w:lastRenderedPageBreak/>
        <w:t>appeal of the latest technology, which will target the enthusiasm of our attendees for cutting-edge technology.</w:t>
      </w:r>
    </w:p>
    <w:tbl>
      <w:tblPr>
        <w:tblStyle w:val="GridTable5Dark-Accent5"/>
        <w:tblW w:w="7440" w:type="dxa"/>
        <w:jc w:val="center"/>
        <w:tblLook w:val="04A0" w:firstRow="1" w:lastRow="0" w:firstColumn="1" w:lastColumn="0" w:noHBand="0" w:noVBand="1"/>
      </w:tblPr>
      <w:tblGrid>
        <w:gridCol w:w="2145"/>
        <w:gridCol w:w="2175"/>
        <w:gridCol w:w="3120"/>
      </w:tblGrid>
      <w:tr w:rsidR="00365EB2" w:rsidRPr="00F70506" w14:paraId="789EFC88" w14:textId="77777777" w:rsidTr="008370E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55EEFC6F"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Income Generation</w:t>
            </w:r>
          </w:p>
        </w:tc>
        <w:tc>
          <w:tcPr>
            <w:tcW w:w="2175" w:type="dxa"/>
            <w:hideMark/>
          </w:tcPr>
          <w:p w14:paraId="4C56FF79" w14:textId="77777777" w:rsidR="00365EB2" w:rsidRPr="00F70506" w:rsidRDefault="00365EB2" w:rsidP="008370E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409393EF" w14:textId="77777777" w:rsidR="00365EB2" w:rsidRPr="00F70506" w:rsidRDefault="00365EB2" w:rsidP="008370EF">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r>
      <w:tr w:rsidR="008370EF" w:rsidRPr="00B756FF" w14:paraId="475FE26E"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064ADCE7"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Income Streams</w:t>
            </w:r>
          </w:p>
        </w:tc>
        <w:tc>
          <w:tcPr>
            <w:tcW w:w="2175" w:type="dxa"/>
            <w:hideMark/>
          </w:tcPr>
          <w:p w14:paraId="01094830"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Ticket Sales</w:t>
            </w:r>
          </w:p>
        </w:tc>
        <w:tc>
          <w:tcPr>
            <w:tcW w:w="3120" w:type="dxa"/>
            <w:hideMark/>
          </w:tcPr>
          <w:p w14:paraId="5C230ABD"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$300,000</w:t>
            </w:r>
          </w:p>
        </w:tc>
      </w:tr>
      <w:tr w:rsidR="00365EB2" w:rsidRPr="00F70506" w14:paraId="5D5D1C5F"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447E7F3C"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43E40281"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Sponsorships</w:t>
            </w:r>
          </w:p>
        </w:tc>
        <w:tc>
          <w:tcPr>
            <w:tcW w:w="3120" w:type="dxa"/>
            <w:hideMark/>
          </w:tcPr>
          <w:p w14:paraId="1D40E34F"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$100,000</w:t>
            </w:r>
          </w:p>
        </w:tc>
      </w:tr>
      <w:tr w:rsidR="008370EF" w:rsidRPr="00B756FF" w14:paraId="1EECC275" w14:textId="77777777" w:rsidTr="008370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58165E13"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2175" w:type="dxa"/>
            <w:hideMark/>
          </w:tcPr>
          <w:p w14:paraId="6D23D884"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Merchandising</w:t>
            </w:r>
          </w:p>
        </w:tc>
        <w:tc>
          <w:tcPr>
            <w:tcW w:w="3120" w:type="dxa"/>
            <w:hideMark/>
          </w:tcPr>
          <w:p w14:paraId="13362316" w14:textId="77777777" w:rsidR="00365EB2" w:rsidRPr="00F70506" w:rsidRDefault="00365EB2" w:rsidP="008370EF">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$50,000</w:t>
            </w:r>
          </w:p>
        </w:tc>
      </w:tr>
      <w:tr w:rsidR="00365EB2" w:rsidRPr="00F70506" w14:paraId="0C890994" w14:textId="77777777" w:rsidTr="008370EF">
        <w:trPr>
          <w:jc w:val="center"/>
        </w:trPr>
        <w:tc>
          <w:tcPr>
            <w:cnfStyle w:val="001000000000" w:firstRow="0" w:lastRow="0" w:firstColumn="1" w:lastColumn="0" w:oddVBand="0" w:evenVBand="0" w:oddHBand="0" w:evenHBand="0" w:firstRowFirstColumn="0" w:firstRowLastColumn="0" w:lastRowFirstColumn="0" w:lastRowLastColumn="0"/>
            <w:tcW w:w="2145" w:type="dxa"/>
            <w:hideMark/>
          </w:tcPr>
          <w:p w14:paraId="7BECD692" w14:textId="77777777" w:rsidR="00365EB2" w:rsidRPr="00F70506" w:rsidRDefault="00365EB2" w:rsidP="008370EF">
            <w:pPr>
              <w:spacing w:line="480" w:lineRule="auto"/>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Total Income</w:t>
            </w:r>
          </w:p>
        </w:tc>
        <w:tc>
          <w:tcPr>
            <w:tcW w:w="2175" w:type="dxa"/>
            <w:hideMark/>
          </w:tcPr>
          <w:p w14:paraId="47F09799"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w:t>
            </w:r>
          </w:p>
        </w:tc>
        <w:tc>
          <w:tcPr>
            <w:tcW w:w="3120" w:type="dxa"/>
            <w:hideMark/>
          </w:tcPr>
          <w:p w14:paraId="73F4AC75" w14:textId="77777777" w:rsidR="00365EB2" w:rsidRPr="00F70506" w:rsidRDefault="00365EB2" w:rsidP="008370EF">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$450,000</w:t>
            </w:r>
          </w:p>
        </w:tc>
      </w:tr>
    </w:tbl>
    <w:p w14:paraId="61CEC2E1" w14:textId="0C59AE7A" w:rsidR="00365EB2" w:rsidRPr="00F70506" w:rsidRDefault="00365EB2" w:rsidP="008370EF">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Industry Trends, Issues, and Impacts</w:t>
      </w:r>
    </w:p>
    <w:p w14:paraId="54171851"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events and venues business presents several marked-out trends that influence the global gathering environment. One crucial aspect is the growing use of technology intended to make an attendee's experience better, assist in the management of the event, and ensure the participation of those in different places (Mair and Smith, 2022). For event </w:t>
      </w:r>
      <w:proofErr w:type="spellStart"/>
      <w:r w:rsidRPr="00F70506">
        <w:rPr>
          <w:rFonts w:ascii="Times New Roman" w:eastAsia="Times New Roman" w:hAnsi="Times New Roman" w:cs="Times New Roman"/>
          <w:sz w:val="24"/>
          <w:szCs w:val="24"/>
        </w:rPr>
        <w:t>organisers</w:t>
      </w:r>
      <w:proofErr w:type="spellEnd"/>
      <w:r w:rsidRPr="00F70506">
        <w:rPr>
          <w:rFonts w:ascii="Times New Roman" w:eastAsia="Times New Roman" w:hAnsi="Times New Roman" w:cs="Times New Roman"/>
          <w:sz w:val="24"/>
          <w:szCs w:val="24"/>
        </w:rPr>
        <w:t xml:space="preserve">, hybrid events accept many digital tools to make platforms more dynamic and interactive for audiences not in the venue. One more practice reflects the growing focus on sustainability and environmentally friendly practices in event management and undertakings. As environmental issues have taken </w:t>
      </w:r>
      <w:proofErr w:type="spellStart"/>
      <w:r w:rsidRPr="00F70506">
        <w:rPr>
          <w:rFonts w:ascii="Times New Roman" w:eastAsia="Times New Roman" w:hAnsi="Times New Roman" w:cs="Times New Roman"/>
          <w:sz w:val="24"/>
          <w:szCs w:val="24"/>
        </w:rPr>
        <w:t>centre</w:t>
      </w:r>
      <w:proofErr w:type="spellEnd"/>
      <w:r w:rsidRPr="00F70506">
        <w:rPr>
          <w:rFonts w:ascii="Times New Roman" w:eastAsia="Times New Roman" w:hAnsi="Times New Roman" w:cs="Times New Roman"/>
          <w:sz w:val="24"/>
          <w:szCs w:val="24"/>
        </w:rPr>
        <w:t xml:space="preserve"> stage, event </w:t>
      </w:r>
      <w:proofErr w:type="spellStart"/>
      <w:r w:rsidRPr="00F70506">
        <w:rPr>
          <w:rFonts w:ascii="Times New Roman" w:eastAsia="Times New Roman" w:hAnsi="Times New Roman" w:cs="Times New Roman"/>
          <w:sz w:val="24"/>
          <w:szCs w:val="24"/>
        </w:rPr>
        <w:t>organisers</w:t>
      </w:r>
      <w:proofErr w:type="spellEnd"/>
      <w:r w:rsidRPr="00F70506">
        <w:rPr>
          <w:rFonts w:ascii="Times New Roman" w:eastAsia="Times New Roman" w:hAnsi="Times New Roman" w:cs="Times New Roman"/>
          <w:sz w:val="24"/>
          <w:szCs w:val="24"/>
        </w:rPr>
        <w:t xml:space="preserve"> incorporate green initiatives like waste reduction, </w:t>
      </w:r>
      <w:proofErr w:type="spellStart"/>
      <w:r w:rsidRPr="00F70506">
        <w:rPr>
          <w:rFonts w:ascii="Times New Roman" w:eastAsia="Times New Roman" w:hAnsi="Times New Roman" w:cs="Times New Roman"/>
          <w:sz w:val="24"/>
          <w:szCs w:val="24"/>
        </w:rPr>
        <w:t>minimising</w:t>
      </w:r>
      <w:proofErr w:type="spellEnd"/>
      <w:r w:rsidRPr="00F70506">
        <w:rPr>
          <w:rFonts w:ascii="Times New Roman" w:eastAsia="Times New Roman" w:hAnsi="Times New Roman" w:cs="Times New Roman"/>
          <w:sz w:val="24"/>
          <w:szCs w:val="24"/>
        </w:rPr>
        <w:t xml:space="preserve"> carbon footprints, and selecting sustainable event venues and suppliers that ultimately contribute to business and market trends.</w:t>
      </w:r>
    </w:p>
    <w:p w14:paraId="150CB6D7"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Though it has made great strides technologically and environmentally, the conference and events industry </w:t>
      </w:r>
      <w:proofErr w:type="gramStart"/>
      <w:r w:rsidRPr="00F70506">
        <w:rPr>
          <w:rFonts w:ascii="Times New Roman" w:eastAsia="Times New Roman" w:hAnsi="Times New Roman" w:cs="Times New Roman"/>
          <w:sz w:val="24"/>
          <w:szCs w:val="24"/>
        </w:rPr>
        <w:t>faces</w:t>
      </w:r>
      <w:proofErr w:type="gramEnd"/>
      <w:r w:rsidRPr="00F70506">
        <w:rPr>
          <w:rFonts w:ascii="Times New Roman" w:eastAsia="Times New Roman" w:hAnsi="Times New Roman" w:cs="Times New Roman"/>
          <w:sz w:val="24"/>
          <w:szCs w:val="24"/>
        </w:rPr>
        <w:t xml:space="preserve"> several challenges affecting processes and the events' objectives. For instance, external factors can be very unpredictable, such as economic fluctuation, political instability, or health crises, which can cause events to go wrong at some point (</w:t>
      </w:r>
      <w:proofErr w:type="spellStart"/>
      <w:r w:rsidRPr="00F70506">
        <w:rPr>
          <w:rFonts w:ascii="Times New Roman" w:eastAsia="Times New Roman" w:hAnsi="Times New Roman" w:cs="Times New Roman"/>
          <w:sz w:val="24"/>
          <w:szCs w:val="24"/>
        </w:rPr>
        <w:t>Darvishmotevali</w:t>
      </w:r>
      <w:proofErr w:type="spellEnd"/>
      <w:r w:rsidRPr="00F70506">
        <w:rPr>
          <w:rFonts w:ascii="Times New Roman" w:eastAsia="Times New Roman" w:hAnsi="Times New Roman" w:cs="Times New Roman"/>
          <w:sz w:val="24"/>
          <w:szCs w:val="24"/>
        </w:rPr>
        <w:t xml:space="preserve"> </w:t>
      </w:r>
      <w:r w:rsidRPr="00F70506">
        <w:rPr>
          <w:rFonts w:ascii="Times New Roman" w:eastAsia="Times New Roman" w:hAnsi="Times New Roman" w:cs="Times New Roman"/>
          <w:sz w:val="24"/>
          <w:szCs w:val="24"/>
        </w:rPr>
        <w:lastRenderedPageBreak/>
        <w:t xml:space="preserve">et al., 2020). However, the other problem is the increase in the price of event production and management, which is caused by, for example, venue costs, suppliers' fees, and the purchasing of technical equipment (Mair and Smith, 2022). However, making sure there is diversity, equity, and inclusion (DEI) in planning and execution may be a challenge as event </w:t>
      </w:r>
      <w:proofErr w:type="spellStart"/>
      <w:r w:rsidRPr="00F70506">
        <w:rPr>
          <w:rFonts w:ascii="Times New Roman" w:eastAsia="Times New Roman" w:hAnsi="Times New Roman" w:cs="Times New Roman"/>
          <w:sz w:val="24"/>
          <w:szCs w:val="24"/>
        </w:rPr>
        <w:t>organisers</w:t>
      </w:r>
      <w:proofErr w:type="spellEnd"/>
      <w:r w:rsidRPr="00F70506">
        <w:rPr>
          <w:rFonts w:ascii="Times New Roman" w:eastAsia="Times New Roman" w:hAnsi="Times New Roman" w:cs="Times New Roman"/>
          <w:sz w:val="24"/>
          <w:szCs w:val="24"/>
        </w:rPr>
        <w:t xml:space="preserve"> </w:t>
      </w:r>
      <w:proofErr w:type="spellStart"/>
      <w:r w:rsidRPr="00F70506">
        <w:rPr>
          <w:rFonts w:ascii="Times New Roman" w:eastAsia="Times New Roman" w:hAnsi="Times New Roman" w:cs="Times New Roman"/>
          <w:sz w:val="24"/>
          <w:szCs w:val="24"/>
        </w:rPr>
        <w:t>endeavour</w:t>
      </w:r>
      <w:proofErr w:type="spellEnd"/>
      <w:r w:rsidRPr="00F70506">
        <w:rPr>
          <w:rFonts w:ascii="Times New Roman" w:eastAsia="Times New Roman" w:hAnsi="Times New Roman" w:cs="Times New Roman"/>
          <w:sz w:val="24"/>
          <w:szCs w:val="24"/>
        </w:rPr>
        <w:t xml:space="preserve"> to create environments that embrace a diverse audience of attendants while at the same time paying attention to their preferences.</w:t>
      </w:r>
    </w:p>
    <w:p w14:paraId="23CF20A9" w14:textId="52C87BDA"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evolving trends and challenges in the meetings and events industry comprehensively impact those with a place in the events, such as </w:t>
      </w:r>
      <w:proofErr w:type="spellStart"/>
      <w:r w:rsidRPr="00F70506">
        <w:rPr>
          <w:rFonts w:ascii="Times New Roman" w:eastAsia="Times New Roman" w:hAnsi="Times New Roman" w:cs="Times New Roman"/>
          <w:sz w:val="24"/>
          <w:szCs w:val="24"/>
        </w:rPr>
        <w:t>organisers</w:t>
      </w:r>
      <w:proofErr w:type="spellEnd"/>
      <w:r w:rsidRPr="00F70506">
        <w:rPr>
          <w:rFonts w:ascii="Times New Roman" w:eastAsia="Times New Roman" w:hAnsi="Times New Roman" w:cs="Times New Roman"/>
          <w:sz w:val="24"/>
          <w:szCs w:val="24"/>
        </w:rPr>
        <w:t xml:space="preserve">, participants, and host destinations. Adapting technology-incorporated solutions increases accessibility and inclusiveness. Consequently, people worldwide with equal opportunities can be reached and engaged across borders. On the other hand, dependence on digital platforms results in cybersecurity risks and privacy concerns, and hence, robust data protection measures are required (Tyagi et al., 2020). Furthermore, </w:t>
      </w:r>
      <w:proofErr w:type="spellStart"/>
      <w:r w:rsidRPr="00F70506">
        <w:rPr>
          <w:rFonts w:ascii="Times New Roman" w:eastAsia="Times New Roman" w:hAnsi="Times New Roman" w:cs="Times New Roman"/>
          <w:sz w:val="24"/>
          <w:szCs w:val="24"/>
        </w:rPr>
        <w:t>emphasising</w:t>
      </w:r>
      <w:proofErr w:type="spellEnd"/>
      <w:r w:rsidRPr="00F70506">
        <w:rPr>
          <w:rFonts w:ascii="Times New Roman" w:eastAsia="Times New Roman" w:hAnsi="Times New Roman" w:cs="Times New Roman"/>
          <w:sz w:val="24"/>
          <w:szCs w:val="24"/>
        </w:rPr>
        <w:t xml:space="preserve"> sustainability issues and adopting environmentally safe practices reduce adverse environmental effects and make event brands more reputable and attractive for individuals and corporations.</w:t>
      </w:r>
    </w:p>
    <w:p w14:paraId="5C24C2F8" w14:textId="77777777" w:rsidR="00365EB2" w:rsidRPr="00B756FF" w:rsidRDefault="00365EB2" w:rsidP="00365EB2">
      <w:pPr>
        <w:spacing w:after="0" w:line="480" w:lineRule="auto"/>
        <w:rPr>
          <w:rFonts w:ascii="Times New Roman" w:eastAsia="Times New Roman" w:hAnsi="Times New Roman" w:cs="Times New Roman"/>
          <w:b/>
          <w:bCs/>
          <w:i/>
          <w:iCs/>
          <w:sz w:val="24"/>
          <w:szCs w:val="24"/>
        </w:rPr>
      </w:pPr>
      <w:r w:rsidRPr="00B756FF">
        <w:rPr>
          <w:rFonts w:ascii="Times New Roman" w:eastAsia="Times New Roman" w:hAnsi="Times New Roman" w:cs="Times New Roman"/>
          <w:b/>
          <w:bCs/>
          <w:i/>
          <w:iCs/>
          <w:sz w:val="24"/>
          <w:szCs w:val="24"/>
        </w:rPr>
        <w:t xml:space="preserve">SWOT </w:t>
      </w:r>
      <w:proofErr w:type="spellStart"/>
      <w:r w:rsidRPr="00B756FF">
        <w:rPr>
          <w:rFonts w:ascii="Times New Roman" w:eastAsia="Times New Roman" w:hAnsi="Times New Roman" w:cs="Times New Roman"/>
          <w:b/>
          <w:bCs/>
          <w:i/>
          <w:iCs/>
          <w:sz w:val="24"/>
          <w:szCs w:val="24"/>
        </w:rPr>
        <w:t>Analaysis</w:t>
      </w:r>
      <w:proofErr w:type="spellEnd"/>
    </w:p>
    <w:tbl>
      <w:tblPr>
        <w:tblStyle w:val="GridTable4-Accent5"/>
        <w:tblW w:w="7440" w:type="dxa"/>
        <w:jc w:val="center"/>
        <w:tblLook w:val="04A0" w:firstRow="1" w:lastRow="0" w:firstColumn="1" w:lastColumn="0" w:noHBand="0" w:noVBand="1"/>
      </w:tblPr>
      <w:tblGrid>
        <w:gridCol w:w="3615"/>
        <w:gridCol w:w="3825"/>
      </w:tblGrid>
      <w:tr w:rsidR="00365EB2" w:rsidRPr="00B756FF" w14:paraId="17D931FF" w14:textId="77777777" w:rsidTr="00663F0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09587A31"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Strengths</w:t>
            </w:r>
          </w:p>
        </w:tc>
        <w:tc>
          <w:tcPr>
            <w:tcW w:w="3825" w:type="dxa"/>
            <w:hideMark/>
          </w:tcPr>
          <w:p w14:paraId="225451F7" w14:textId="77777777" w:rsidR="00365EB2" w:rsidRPr="00B756FF" w:rsidRDefault="00365EB2" w:rsidP="00663F0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Weaknesses</w:t>
            </w:r>
          </w:p>
        </w:tc>
      </w:tr>
      <w:tr w:rsidR="00365EB2" w:rsidRPr="00B756FF" w14:paraId="243CFDF3"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025FBF22"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t>Strategic location in Silicon Valley</w:t>
            </w:r>
          </w:p>
        </w:tc>
        <w:tc>
          <w:tcPr>
            <w:tcW w:w="3825" w:type="dxa"/>
            <w:hideMark/>
          </w:tcPr>
          <w:p w14:paraId="2E34375F"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Reliance on technology may pose risks.</w:t>
            </w:r>
          </w:p>
        </w:tc>
      </w:tr>
      <w:tr w:rsidR="00365EB2" w:rsidRPr="00B756FF" w14:paraId="2E56BA47"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52E713DD"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t>State-of-the-art facilities at the venue</w:t>
            </w:r>
          </w:p>
        </w:tc>
        <w:tc>
          <w:tcPr>
            <w:tcW w:w="3825" w:type="dxa"/>
            <w:hideMark/>
          </w:tcPr>
          <w:p w14:paraId="05F1F528"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Limited budget for marketing and promotion</w:t>
            </w:r>
          </w:p>
        </w:tc>
      </w:tr>
      <w:tr w:rsidR="00365EB2" w:rsidRPr="00B756FF" w14:paraId="5C48AE4E"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5034F8DA"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t>Strong demand for tech solutions</w:t>
            </w:r>
          </w:p>
        </w:tc>
        <w:tc>
          <w:tcPr>
            <w:tcW w:w="3825" w:type="dxa"/>
            <w:hideMark/>
          </w:tcPr>
          <w:p w14:paraId="1B3BB2D7"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Potential for logistical challenges</w:t>
            </w:r>
          </w:p>
        </w:tc>
      </w:tr>
      <w:tr w:rsidR="00365EB2" w:rsidRPr="00B756FF" w14:paraId="5EA2F27F"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6B53DC1F"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lastRenderedPageBreak/>
              <w:t>Unique event concept blending tech and hospitality</w:t>
            </w:r>
          </w:p>
        </w:tc>
        <w:tc>
          <w:tcPr>
            <w:tcW w:w="3825" w:type="dxa"/>
            <w:hideMark/>
          </w:tcPr>
          <w:p w14:paraId="0B307FC9"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Dependence on sponsorships for revenue</w:t>
            </w:r>
          </w:p>
        </w:tc>
      </w:tr>
      <w:tr w:rsidR="00365EB2" w:rsidRPr="00B756FF" w14:paraId="46E7B6F8"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2C3DDFFC"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Opportunities</w:t>
            </w:r>
          </w:p>
        </w:tc>
        <w:tc>
          <w:tcPr>
            <w:tcW w:w="3825" w:type="dxa"/>
            <w:hideMark/>
          </w:tcPr>
          <w:p w14:paraId="5CC684F6"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b/>
                <w:bCs/>
                <w:sz w:val="24"/>
                <w:szCs w:val="24"/>
              </w:rPr>
              <w:t>Threats</w:t>
            </w:r>
          </w:p>
        </w:tc>
      </w:tr>
      <w:tr w:rsidR="00365EB2" w:rsidRPr="00B756FF" w14:paraId="54F12B78"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42632D9F"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t>Collaboration with tech giants</w:t>
            </w:r>
          </w:p>
        </w:tc>
        <w:tc>
          <w:tcPr>
            <w:tcW w:w="3825" w:type="dxa"/>
            <w:hideMark/>
          </w:tcPr>
          <w:p w14:paraId="71DA0B52"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Economic instability is impacting sponsorships.</w:t>
            </w:r>
          </w:p>
        </w:tc>
      </w:tr>
      <w:tr w:rsidR="00365EB2" w:rsidRPr="00B756FF" w14:paraId="6C17128F"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431D7CFA"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t xml:space="preserve">Global audience </w:t>
            </w:r>
            <w:proofErr w:type="gramStart"/>
            <w:r w:rsidRPr="00B756FF">
              <w:rPr>
                <w:rFonts w:ascii="Times New Roman" w:eastAsia="Times New Roman" w:hAnsi="Times New Roman" w:cs="Times New Roman"/>
                <w:b w:val="0"/>
                <w:bCs w:val="0"/>
                <w:sz w:val="24"/>
                <w:szCs w:val="24"/>
              </w:rPr>
              <w:t>reach</w:t>
            </w:r>
            <w:proofErr w:type="gramEnd"/>
            <w:r w:rsidRPr="00B756FF">
              <w:rPr>
                <w:rFonts w:ascii="Times New Roman" w:eastAsia="Times New Roman" w:hAnsi="Times New Roman" w:cs="Times New Roman"/>
                <w:b w:val="0"/>
                <w:bCs w:val="0"/>
                <w:sz w:val="24"/>
                <w:szCs w:val="24"/>
              </w:rPr>
              <w:t xml:space="preserve"> through virtual participation.</w:t>
            </w:r>
          </w:p>
        </w:tc>
        <w:tc>
          <w:tcPr>
            <w:tcW w:w="3825" w:type="dxa"/>
            <w:hideMark/>
          </w:tcPr>
          <w:p w14:paraId="5D504940"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Competition from similar industry events</w:t>
            </w:r>
          </w:p>
        </w:tc>
      </w:tr>
      <w:tr w:rsidR="00365EB2" w:rsidRPr="00B756FF" w14:paraId="3123CED8"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3615" w:type="dxa"/>
            <w:hideMark/>
          </w:tcPr>
          <w:p w14:paraId="4C2FF0E2" w14:textId="77777777" w:rsidR="00365EB2" w:rsidRPr="00B756FF" w:rsidRDefault="00365EB2" w:rsidP="00663F08">
            <w:pPr>
              <w:spacing w:line="480" w:lineRule="auto"/>
              <w:rPr>
                <w:rFonts w:ascii="Times New Roman" w:eastAsia="Times New Roman" w:hAnsi="Times New Roman" w:cs="Times New Roman"/>
                <w:b w:val="0"/>
                <w:bCs w:val="0"/>
                <w:sz w:val="24"/>
                <w:szCs w:val="24"/>
              </w:rPr>
            </w:pPr>
            <w:r w:rsidRPr="00B756FF">
              <w:rPr>
                <w:rFonts w:ascii="Times New Roman" w:eastAsia="Times New Roman" w:hAnsi="Times New Roman" w:cs="Times New Roman"/>
                <w:b w:val="0"/>
                <w:bCs w:val="0"/>
                <w:sz w:val="24"/>
                <w:szCs w:val="24"/>
              </w:rPr>
              <w:t>Partnerships with leading tech innovators</w:t>
            </w:r>
          </w:p>
        </w:tc>
        <w:tc>
          <w:tcPr>
            <w:tcW w:w="3825" w:type="dxa"/>
            <w:hideMark/>
          </w:tcPr>
          <w:p w14:paraId="6638EE88"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Technological disruptions affecting operations</w:t>
            </w:r>
          </w:p>
        </w:tc>
      </w:tr>
    </w:tbl>
    <w:p w14:paraId="45C2FC7A" w14:textId="77777777" w:rsidR="00365EB2" w:rsidRPr="00B756FF" w:rsidRDefault="00365EB2" w:rsidP="00365EB2">
      <w:pPr>
        <w:spacing w:after="0" w:line="480" w:lineRule="auto"/>
        <w:rPr>
          <w:rFonts w:ascii="Times New Roman" w:eastAsia="Times New Roman" w:hAnsi="Times New Roman" w:cs="Times New Roman"/>
          <w:sz w:val="24"/>
          <w:szCs w:val="24"/>
        </w:rPr>
      </w:pPr>
    </w:p>
    <w:p w14:paraId="645C9D26" w14:textId="77777777" w:rsidR="00365EB2" w:rsidRPr="00B756FF" w:rsidRDefault="00365EB2" w:rsidP="00365EB2">
      <w:pPr>
        <w:spacing w:after="0" w:line="480" w:lineRule="auto"/>
        <w:rPr>
          <w:rFonts w:ascii="Times New Roman" w:eastAsia="Times New Roman" w:hAnsi="Times New Roman" w:cs="Times New Roman"/>
          <w:b/>
          <w:bCs/>
          <w:i/>
          <w:iCs/>
          <w:sz w:val="24"/>
          <w:szCs w:val="24"/>
        </w:rPr>
      </w:pPr>
      <w:r w:rsidRPr="00B756FF">
        <w:rPr>
          <w:rFonts w:ascii="Times New Roman" w:eastAsia="Times New Roman" w:hAnsi="Times New Roman" w:cs="Times New Roman"/>
          <w:b/>
          <w:bCs/>
          <w:i/>
          <w:iCs/>
          <w:sz w:val="24"/>
          <w:szCs w:val="24"/>
        </w:rPr>
        <w:t>PESTLE Analysis</w:t>
      </w:r>
    </w:p>
    <w:tbl>
      <w:tblPr>
        <w:tblStyle w:val="GridTable4-Accent6"/>
        <w:tblW w:w="8415" w:type="dxa"/>
        <w:jc w:val="center"/>
        <w:tblLook w:val="04A0" w:firstRow="1" w:lastRow="0" w:firstColumn="1" w:lastColumn="0" w:noHBand="0" w:noVBand="1"/>
      </w:tblPr>
      <w:tblGrid>
        <w:gridCol w:w="1964"/>
        <w:gridCol w:w="6451"/>
      </w:tblGrid>
      <w:tr w:rsidR="00365EB2" w:rsidRPr="00B756FF" w14:paraId="3F2C8C60" w14:textId="77777777" w:rsidTr="00663F0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5005A9EC"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Factor</w:t>
            </w:r>
          </w:p>
        </w:tc>
        <w:tc>
          <w:tcPr>
            <w:tcW w:w="6465" w:type="dxa"/>
            <w:hideMark/>
          </w:tcPr>
          <w:p w14:paraId="0454AAE3" w14:textId="77777777" w:rsidR="00365EB2" w:rsidRPr="00B756FF" w:rsidRDefault="00365EB2" w:rsidP="00663F08">
            <w:pPr>
              <w:spacing w:line="48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Impact on Events</w:t>
            </w:r>
          </w:p>
        </w:tc>
      </w:tr>
      <w:tr w:rsidR="00365EB2" w:rsidRPr="00B756FF" w14:paraId="4A47F730"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2B120469"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Political</w:t>
            </w:r>
          </w:p>
        </w:tc>
        <w:tc>
          <w:tcPr>
            <w:tcW w:w="6465" w:type="dxa"/>
            <w:hideMark/>
          </w:tcPr>
          <w:p w14:paraId="6D3FF932"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Government policies on travel and gatherings may affect event logistics and attendance.</w:t>
            </w:r>
          </w:p>
        </w:tc>
      </w:tr>
      <w:tr w:rsidR="00365EB2" w:rsidRPr="00B756FF" w14:paraId="02F13A90"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45E2C860"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Economic</w:t>
            </w:r>
          </w:p>
        </w:tc>
        <w:tc>
          <w:tcPr>
            <w:tcW w:w="6465" w:type="dxa"/>
            <w:hideMark/>
          </w:tcPr>
          <w:p w14:paraId="282DDFD8"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Economic conditions influence sponsorships and attendees' ability to invest in event participation.</w:t>
            </w:r>
          </w:p>
        </w:tc>
      </w:tr>
      <w:tr w:rsidR="00365EB2" w:rsidRPr="00B756FF" w14:paraId="505B111E"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7B6058A9"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Social</w:t>
            </w:r>
          </w:p>
        </w:tc>
        <w:tc>
          <w:tcPr>
            <w:tcW w:w="6465" w:type="dxa"/>
            <w:hideMark/>
          </w:tcPr>
          <w:p w14:paraId="3A364DFF"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Trends in tech adoption and sustainability practices shape attendee preferences and event themes.</w:t>
            </w:r>
          </w:p>
        </w:tc>
      </w:tr>
      <w:tr w:rsidR="00365EB2" w:rsidRPr="00B756FF" w14:paraId="5F51AFAA"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50AC91CD"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Technological</w:t>
            </w:r>
          </w:p>
        </w:tc>
        <w:tc>
          <w:tcPr>
            <w:tcW w:w="6465" w:type="dxa"/>
            <w:hideMark/>
          </w:tcPr>
          <w:p w14:paraId="07624084"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VR, AI, and IoT advancements drive event innovations and attendee experiences.</w:t>
            </w:r>
          </w:p>
        </w:tc>
      </w:tr>
      <w:tr w:rsidR="00365EB2" w:rsidRPr="00B756FF" w14:paraId="2B10A4EA" w14:textId="77777777" w:rsidTr="00663F0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5BCCF0F0"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Legal</w:t>
            </w:r>
          </w:p>
        </w:tc>
        <w:tc>
          <w:tcPr>
            <w:tcW w:w="6465" w:type="dxa"/>
            <w:hideMark/>
          </w:tcPr>
          <w:p w14:paraId="6043FB68" w14:textId="77777777" w:rsidR="00365EB2" w:rsidRPr="00B756FF" w:rsidRDefault="00365EB2" w:rsidP="00663F08">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Compliance with data protection laws and event regulations impacts planning and execution.</w:t>
            </w:r>
          </w:p>
        </w:tc>
      </w:tr>
      <w:tr w:rsidR="00365EB2" w:rsidRPr="00B756FF" w14:paraId="6F83DDBC" w14:textId="77777777" w:rsidTr="00663F08">
        <w:trPr>
          <w:jc w:val="center"/>
        </w:trPr>
        <w:tc>
          <w:tcPr>
            <w:cnfStyle w:val="001000000000" w:firstRow="0" w:lastRow="0" w:firstColumn="1" w:lastColumn="0" w:oddVBand="0" w:evenVBand="0" w:oddHBand="0" w:evenHBand="0" w:firstRowFirstColumn="0" w:firstRowLastColumn="0" w:lastRowFirstColumn="0" w:lastRowLastColumn="0"/>
            <w:tcW w:w="1965" w:type="dxa"/>
            <w:hideMark/>
          </w:tcPr>
          <w:p w14:paraId="38938092" w14:textId="77777777" w:rsidR="00365EB2" w:rsidRPr="00B756FF" w:rsidRDefault="00365EB2" w:rsidP="00663F08">
            <w:pPr>
              <w:spacing w:line="480" w:lineRule="auto"/>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lastRenderedPageBreak/>
              <w:t>Environmental</w:t>
            </w:r>
          </w:p>
        </w:tc>
        <w:tc>
          <w:tcPr>
            <w:tcW w:w="6465" w:type="dxa"/>
            <w:hideMark/>
          </w:tcPr>
          <w:p w14:paraId="0DB83988" w14:textId="77777777" w:rsidR="00365EB2" w:rsidRPr="00B756FF" w:rsidRDefault="00365EB2" w:rsidP="00663F08">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t>Emphasis on sustainability practices influences venue selection and event operations.</w:t>
            </w:r>
          </w:p>
        </w:tc>
      </w:tr>
    </w:tbl>
    <w:p w14:paraId="30DE7281"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p>
    <w:p w14:paraId="60DB866B" w14:textId="77777777" w:rsidR="00365EB2" w:rsidRPr="00F70506" w:rsidRDefault="00365EB2" w:rsidP="00365EB2">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Cultural and situational considerations</w:t>
      </w:r>
    </w:p>
    <w:p w14:paraId="60C0A29E"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is a forum scheduled to take place internationally, where top professionals from the hospitality and technology industries will flock in from across the globe. </w:t>
      </w:r>
      <w:proofErr w:type="gramStart"/>
      <w:r w:rsidRPr="00F70506">
        <w:rPr>
          <w:rFonts w:ascii="Times New Roman" w:eastAsia="Times New Roman" w:hAnsi="Times New Roman" w:cs="Times New Roman"/>
          <w:sz w:val="24"/>
          <w:szCs w:val="24"/>
        </w:rPr>
        <w:t>In light of</w:t>
      </w:r>
      <w:proofErr w:type="gramEnd"/>
      <w:r w:rsidRPr="00F70506">
        <w:rPr>
          <w:rFonts w:ascii="Times New Roman" w:eastAsia="Times New Roman" w:hAnsi="Times New Roman" w:cs="Times New Roman"/>
          <w:sz w:val="24"/>
          <w:szCs w:val="24"/>
        </w:rPr>
        <w:t xml:space="preserve"> this, the </w:t>
      </w:r>
      <w:proofErr w:type="spellStart"/>
      <w:r w:rsidRPr="00F70506">
        <w:rPr>
          <w:rFonts w:ascii="Times New Roman" w:eastAsia="Times New Roman" w:hAnsi="Times New Roman" w:cs="Times New Roman"/>
          <w:sz w:val="24"/>
          <w:szCs w:val="24"/>
        </w:rPr>
        <w:t>organisation</w:t>
      </w:r>
      <w:proofErr w:type="spellEnd"/>
      <w:r w:rsidRPr="00F70506">
        <w:rPr>
          <w:rFonts w:ascii="Times New Roman" w:eastAsia="Times New Roman" w:hAnsi="Times New Roman" w:cs="Times New Roman"/>
          <w:sz w:val="24"/>
          <w:szCs w:val="24"/>
        </w:rPr>
        <w:t xml:space="preserve"> must consider the cultural and contextual factors that may influence the event. </w:t>
      </w:r>
      <w:proofErr w:type="gramStart"/>
      <w:r w:rsidRPr="00F70506">
        <w:rPr>
          <w:rFonts w:ascii="Times New Roman" w:eastAsia="Times New Roman" w:hAnsi="Times New Roman" w:cs="Times New Roman"/>
          <w:sz w:val="24"/>
          <w:szCs w:val="24"/>
        </w:rPr>
        <w:t>First of all</w:t>
      </w:r>
      <w:proofErr w:type="gramEnd"/>
      <w:r w:rsidRPr="00F70506">
        <w:rPr>
          <w:rFonts w:ascii="Times New Roman" w:eastAsia="Times New Roman" w:hAnsi="Times New Roman" w:cs="Times New Roman"/>
          <w:sz w:val="24"/>
          <w:szCs w:val="24"/>
        </w:rPr>
        <w:t>, the event will be held in Silicon Valley, known as the base of tech, and therefore, the attendees will be diverse in personality and expectations with different backgrounds and cultures (Ford, 2020). It is necessary to identify and deal with the issues linked to developing a conditional and welcoming area below that meets the necessities of all attendees, whether they are of the same culture or have a particular need.</w:t>
      </w:r>
    </w:p>
    <w:p w14:paraId="592B68E1"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This event will be technology-</w:t>
      </w:r>
      <w:proofErr w:type="spellStart"/>
      <w:r w:rsidRPr="00F70506">
        <w:rPr>
          <w:rFonts w:ascii="Times New Roman" w:eastAsia="Times New Roman" w:hAnsi="Times New Roman" w:cs="Times New Roman"/>
          <w:sz w:val="24"/>
          <w:szCs w:val="24"/>
        </w:rPr>
        <w:t>centred</w:t>
      </w:r>
      <w:proofErr w:type="spellEnd"/>
      <w:r w:rsidRPr="00F70506">
        <w:rPr>
          <w:rFonts w:ascii="Times New Roman" w:eastAsia="Times New Roman" w:hAnsi="Times New Roman" w:cs="Times New Roman"/>
          <w:sz w:val="24"/>
          <w:szCs w:val="24"/>
        </w:rPr>
        <w:t xml:space="preserve">, and the latest gadgets and innovations in hospitality will be unveiled, along with corresponding interpretations that differ from the cultural backgrounds of the visitors. For example, this could imply that one group might be more open to adopting new technologies, but the other culture could be more averse to change. The </w:t>
      </w:r>
      <w:proofErr w:type="spellStart"/>
      <w:r w:rsidRPr="00F70506">
        <w:rPr>
          <w:rFonts w:ascii="Times New Roman" w:eastAsia="Times New Roman" w:hAnsi="Times New Roman" w:cs="Times New Roman"/>
          <w:sz w:val="24"/>
          <w:szCs w:val="24"/>
        </w:rPr>
        <w:t>organisers</w:t>
      </w:r>
      <w:proofErr w:type="spellEnd"/>
      <w:r w:rsidRPr="00F70506">
        <w:rPr>
          <w:rFonts w:ascii="Times New Roman" w:eastAsia="Times New Roman" w:hAnsi="Times New Roman" w:cs="Times New Roman"/>
          <w:sz w:val="24"/>
          <w:szCs w:val="24"/>
        </w:rPr>
        <w:t xml:space="preserve"> should find the most suitable way to showcase the recent innovations that will fit all the cultures and social backgrounds of the attendees, as well as software and hardware limitations. As a result, this considers the complex cultural and situational factors, which, if attended to well, ensure that the event is an incredible success that </w:t>
      </w:r>
      <w:proofErr w:type="spellStart"/>
      <w:r w:rsidRPr="00F70506">
        <w:rPr>
          <w:rFonts w:ascii="Times New Roman" w:eastAsia="Times New Roman" w:hAnsi="Times New Roman" w:cs="Times New Roman"/>
          <w:sz w:val="24"/>
          <w:szCs w:val="24"/>
        </w:rPr>
        <w:t>favours</w:t>
      </w:r>
      <w:proofErr w:type="spellEnd"/>
      <w:r w:rsidRPr="00F70506">
        <w:rPr>
          <w:rFonts w:ascii="Times New Roman" w:eastAsia="Times New Roman" w:hAnsi="Times New Roman" w:cs="Times New Roman"/>
          <w:sz w:val="24"/>
          <w:szCs w:val="24"/>
        </w:rPr>
        <w:t xml:space="preserve"> all involved.</w:t>
      </w:r>
    </w:p>
    <w:p w14:paraId="716365A3" w14:textId="77777777" w:rsidR="00365EB2" w:rsidRPr="00F70506" w:rsidRDefault="00365EB2" w:rsidP="008370EF">
      <w:pPr>
        <w:spacing w:after="0" w:line="480" w:lineRule="auto"/>
        <w:jc w:val="center"/>
        <w:rPr>
          <w:rFonts w:ascii="Times New Roman" w:eastAsia="Times New Roman" w:hAnsi="Times New Roman" w:cs="Times New Roman"/>
          <w:sz w:val="24"/>
          <w:szCs w:val="24"/>
        </w:rPr>
      </w:pPr>
      <w:r w:rsidRPr="00F70506">
        <w:rPr>
          <w:rFonts w:ascii="Times New Roman" w:eastAsia="Times New Roman" w:hAnsi="Times New Roman" w:cs="Times New Roman"/>
          <w:b/>
          <w:bCs/>
          <w:sz w:val="24"/>
          <w:szCs w:val="24"/>
        </w:rPr>
        <w:t>Conclusion and Recommendation</w:t>
      </w:r>
    </w:p>
    <w:p w14:paraId="0D3F1F9F" w14:textId="77777777" w:rsidR="00365EB2" w:rsidRPr="00F70506" w:rsidRDefault="00365EB2" w:rsidP="00365EB2">
      <w:pPr>
        <w:spacing w:after="0" w:line="480" w:lineRule="auto"/>
        <w:ind w:firstLine="720"/>
        <w:rPr>
          <w:rFonts w:ascii="Times New Roman" w:eastAsia="Times New Roman" w:hAnsi="Times New Roman" w:cs="Times New Roman"/>
          <w:sz w:val="24"/>
          <w:szCs w:val="24"/>
        </w:rPr>
      </w:pPr>
      <w:r w:rsidRPr="00F70506">
        <w:rPr>
          <w:rFonts w:ascii="Times New Roman" w:eastAsia="Times New Roman" w:hAnsi="Times New Roman" w:cs="Times New Roman"/>
          <w:sz w:val="24"/>
          <w:szCs w:val="24"/>
        </w:rPr>
        <w:t xml:space="preserve">The </w:t>
      </w:r>
      <w:proofErr w:type="spellStart"/>
      <w:r w:rsidRPr="00F70506">
        <w:rPr>
          <w:rFonts w:ascii="Times New Roman" w:eastAsia="Times New Roman" w:hAnsi="Times New Roman" w:cs="Times New Roman"/>
          <w:sz w:val="24"/>
          <w:szCs w:val="24"/>
        </w:rPr>
        <w:t>FutureTech</w:t>
      </w:r>
      <w:proofErr w:type="spellEnd"/>
      <w:r w:rsidRPr="00F70506">
        <w:rPr>
          <w:rFonts w:ascii="Times New Roman" w:eastAsia="Times New Roman" w:hAnsi="Times New Roman" w:cs="Times New Roman"/>
          <w:sz w:val="24"/>
          <w:szCs w:val="24"/>
        </w:rPr>
        <w:t xml:space="preserve"> Hospitality Expo 2024 effectively captures the duality of simplicity and innovation when integrating technology and hospitality to provide a solution where industry </w:t>
      </w:r>
      <w:r w:rsidRPr="00F70506">
        <w:rPr>
          <w:rFonts w:ascii="Times New Roman" w:eastAsia="Times New Roman" w:hAnsi="Times New Roman" w:cs="Times New Roman"/>
          <w:sz w:val="24"/>
          <w:szCs w:val="24"/>
        </w:rPr>
        <w:lastRenderedPageBreak/>
        <w:t>stakeholders can gather in pursuit of new solutions. The detailed consideration of the event cycle and the application of Maslow's hierarchy of needs reveal the value of a planned and thought-through event idea, thus creating a satisfying and rich experience for the attendees. Thus, by meeting physiological and safety, social, esteem, and self-actualization needs, the expo is guaranteed to be a versatile event that will create value for the target audience. With the proposed fiscal plan, the choice of Silicon Valley as the expo's venue, an attractive financial source, and a range of engaging activities, the expo is set to become a focal event that will transform the hospitality and technology industries.</w:t>
      </w:r>
    </w:p>
    <w:p w14:paraId="49ACBE8C" w14:textId="2000FC76" w:rsidR="00365EB2" w:rsidRPr="00B756FF" w:rsidRDefault="00365EB2" w:rsidP="00365EB2">
      <w:pPr>
        <w:spacing w:after="0" w:line="480" w:lineRule="auto"/>
        <w:ind w:firstLine="720"/>
        <w:rPr>
          <w:rFonts w:ascii="Times New Roman" w:hAnsi="Times New Roman" w:cs="Times New Roman"/>
          <w:sz w:val="24"/>
          <w:szCs w:val="24"/>
        </w:rPr>
      </w:pPr>
      <w:r w:rsidRPr="00F70506">
        <w:rPr>
          <w:rFonts w:ascii="Times New Roman" w:eastAsia="Times New Roman" w:hAnsi="Times New Roman" w:cs="Times New Roman"/>
          <w:sz w:val="24"/>
          <w:szCs w:val="24"/>
        </w:rPr>
        <w:t>Increasing marketing campaigns can be achieved by increasing marketing budgets that guarantee the event's access to a broader population, resulting in activated online and offline visitors. Second, properly integrating the most effective cybersecurity features as a precaution against various exposures is imperative for the participants' confidentiality and safety. Moreover, partnerships with other tech companies and the hospitality industry's leading representatives may help develop sponsors and add value to the event. Adopting a flexible, hybrid event model will capture in-person attendees, while the same event will attract virtual attendees, enhancing the event's inclusiveness.</w:t>
      </w:r>
    </w:p>
    <w:p w14:paraId="08A54CD4" w14:textId="75CE839E" w:rsidR="00C977AD" w:rsidRPr="00B756FF" w:rsidRDefault="00C977AD" w:rsidP="004336A1">
      <w:pPr>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br w:type="page"/>
      </w:r>
    </w:p>
    <w:p w14:paraId="7F442A13" w14:textId="48810967" w:rsidR="00C977AD" w:rsidRPr="00B756FF" w:rsidRDefault="00C977AD" w:rsidP="00C977AD">
      <w:pPr>
        <w:spacing w:after="0" w:line="480" w:lineRule="auto"/>
        <w:jc w:val="center"/>
        <w:rPr>
          <w:rFonts w:ascii="Times New Roman" w:eastAsia="Times New Roman" w:hAnsi="Times New Roman" w:cs="Times New Roman"/>
          <w:sz w:val="24"/>
          <w:szCs w:val="24"/>
        </w:rPr>
      </w:pPr>
      <w:r w:rsidRPr="00B756FF">
        <w:rPr>
          <w:rFonts w:ascii="Times New Roman" w:eastAsia="Times New Roman" w:hAnsi="Times New Roman" w:cs="Times New Roman"/>
          <w:sz w:val="24"/>
          <w:szCs w:val="24"/>
        </w:rPr>
        <w:lastRenderedPageBreak/>
        <w:t>References</w:t>
      </w:r>
    </w:p>
    <w:p w14:paraId="73F666C8" w14:textId="77777777" w:rsidR="00B756FF" w:rsidRPr="00B756FF" w:rsidRDefault="00B756FF" w:rsidP="00C977AD">
      <w:pPr>
        <w:spacing w:after="0" w:line="480" w:lineRule="auto"/>
        <w:ind w:left="720" w:hanging="720"/>
        <w:rPr>
          <w:rFonts w:ascii="Times New Roman" w:hAnsi="Times New Roman" w:cs="Times New Roman"/>
          <w:sz w:val="24"/>
          <w:szCs w:val="24"/>
        </w:rPr>
      </w:pPr>
      <w:bookmarkStart w:id="0" w:name="_Hlk165490310"/>
      <w:r w:rsidRPr="00B756FF">
        <w:rPr>
          <w:rFonts w:ascii="Times New Roman" w:hAnsi="Times New Roman" w:cs="Times New Roman"/>
          <w:sz w:val="24"/>
          <w:szCs w:val="24"/>
        </w:rPr>
        <w:t>Calvaresi</w:t>
      </w:r>
      <w:bookmarkEnd w:id="0"/>
      <w:r w:rsidRPr="00B756FF">
        <w:rPr>
          <w:rFonts w:ascii="Times New Roman" w:hAnsi="Times New Roman" w:cs="Times New Roman"/>
          <w:sz w:val="24"/>
          <w:szCs w:val="24"/>
        </w:rPr>
        <w:t xml:space="preserve">, D., Leis, M., </w:t>
      </w:r>
      <w:proofErr w:type="spellStart"/>
      <w:r w:rsidRPr="00B756FF">
        <w:rPr>
          <w:rFonts w:ascii="Times New Roman" w:hAnsi="Times New Roman" w:cs="Times New Roman"/>
          <w:sz w:val="24"/>
          <w:szCs w:val="24"/>
        </w:rPr>
        <w:t>Dubovitskaya</w:t>
      </w:r>
      <w:proofErr w:type="spellEnd"/>
      <w:r w:rsidRPr="00B756FF">
        <w:rPr>
          <w:rFonts w:ascii="Times New Roman" w:hAnsi="Times New Roman" w:cs="Times New Roman"/>
          <w:sz w:val="24"/>
          <w:szCs w:val="24"/>
        </w:rPr>
        <w:t xml:space="preserve">, A., </w:t>
      </w:r>
      <w:proofErr w:type="spellStart"/>
      <w:r w:rsidRPr="00B756FF">
        <w:rPr>
          <w:rFonts w:ascii="Times New Roman" w:hAnsi="Times New Roman" w:cs="Times New Roman"/>
          <w:sz w:val="24"/>
          <w:szCs w:val="24"/>
        </w:rPr>
        <w:t>Schegg</w:t>
      </w:r>
      <w:proofErr w:type="spellEnd"/>
      <w:r w:rsidRPr="00B756FF">
        <w:rPr>
          <w:rFonts w:ascii="Times New Roman" w:hAnsi="Times New Roman" w:cs="Times New Roman"/>
          <w:sz w:val="24"/>
          <w:szCs w:val="24"/>
        </w:rPr>
        <w:t>, R. and Schumacher, M., 2019. Trust in tourism via blockchain technology: results from a systematic review. In </w:t>
      </w:r>
      <w:r w:rsidRPr="00B756FF">
        <w:rPr>
          <w:rFonts w:ascii="Times New Roman" w:hAnsi="Times New Roman" w:cs="Times New Roman"/>
          <w:i/>
          <w:iCs/>
          <w:sz w:val="24"/>
          <w:szCs w:val="24"/>
        </w:rPr>
        <w:t>Information and Communication Technologies in Tourism 2019: Proceedings of the International Conference in Nicosia, Cyprus, January 30–February 1, 2019</w:t>
      </w:r>
      <w:r w:rsidRPr="00B756FF">
        <w:rPr>
          <w:rFonts w:ascii="Times New Roman" w:hAnsi="Times New Roman" w:cs="Times New Roman"/>
          <w:sz w:val="24"/>
          <w:szCs w:val="24"/>
        </w:rPr>
        <w:t xml:space="preserve"> (pp. 304-317). Springer International Publishing. </w:t>
      </w:r>
      <w:hyperlink r:id="rId10" w:history="1">
        <w:r w:rsidRPr="00B756FF">
          <w:rPr>
            <w:rStyle w:val="Hyperlink"/>
            <w:rFonts w:ascii="Times New Roman" w:hAnsi="Times New Roman" w:cs="Times New Roman"/>
            <w:sz w:val="24"/>
            <w:szCs w:val="24"/>
          </w:rPr>
          <w:t>https://link.springer.com/chapter/10.1007/978-3-030-05940-8_24</w:t>
        </w:r>
      </w:hyperlink>
      <w:r w:rsidRPr="00B756FF">
        <w:rPr>
          <w:rFonts w:ascii="Times New Roman" w:hAnsi="Times New Roman" w:cs="Times New Roman"/>
          <w:sz w:val="24"/>
          <w:szCs w:val="24"/>
        </w:rPr>
        <w:t xml:space="preserve"> </w:t>
      </w:r>
    </w:p>
    <w:p w14:paraId="69D9BD9E" w14:textId="44C34C99" w:rsidR="00B756FF" w:rsidRPr="00B756FF" w:rsidRDefault="00B756FF" w:rsidP="00C977AD">
      <w:pPr>
        <w:spacing w:after="0" w:line="480" w:lineRule="auto"/>
        <w:ind w:left="720" w:hanging="720"/>
        <w:rPr>
          <w:rFonts w:ascii="Times New Roman" w:hAnsi="Times New Roman" w:cs="Times New Roman"/>
          <w:sz w:val="24"/>
          <w:szCs w:val="24"/>
        </w:rPr>
      </w:pPr>
      <w:bookmarkStart w:id="1" w:name="_Hlk165490867"/>
      <w:proofErr w:type="spellStart"/>
      <w:r w:rsidRPr="00B756FF">
        <w:rPr>
          <w:rFonts w:ascii="Times New Roman" w:hAnsi="Times New Roman" w:cs="Times New Roman"/>
          <w:sz w:val="24"/>
          <w:szCs w:val="24"/>
        </w:rPr>
        <w:t>Darvishmotevali</w:t>
      </w:r>
      <w:bookmarkEnd w:id="1"/>
      <w:proofErr w:type="spellEnd"/>
      <w:r w:rsidRPr="00B756FF">
        <w:rPr>
          <w:rFonts w:ascii="Times New Roman" w:hAnsi="Times New Roman" w:cs="Times New Roman"/>
          <w:sz w:val="24"/>
          <w:szCs w:val="24"/>
        </w:rPr>
        <w:t xml:space="preserve">, M., Altinay, L. and </w:t>
      </w:r>
      <w:proofErr w:type="spellStart"/>
      <w:r w:rsidRPr="00B756FF">
        <w:rPr>
          <w:rFonts w:ascii="Times New Roman" w:hAnsi="Times New Roman" w:cs="Times New Roman"/>
          <w:sz w:val="24"/>
          <w:szCs w:val="24"/>
        </w:rPr>
        <w:t>Köseoglu</w:t>
      </w:r>
      <w:proofErr w:type="spellEnd"/>
      <w:r w:rsidRPr="00B756FF">
        <w:rPr>
          <w:rFonts w:ascii="Times New Roman" w:hAnsi="Times New Roman" w:cs="Times New Roman"/>
          <w:sz w:val="24"/>
          <w:szCs w:val="24"/>
        </w:rPr>
        <w:t>, M.A., 2020. The link between environmental uncertainty, organizational agility, and organizational creativity in the hotel industry. </w:t>
      </w:r>
      <w:r w:rsidRPr="00B756FF">
        <w:rPr>
          <w:rFonts w:ascii="Times New Roman" w:hAnsi="Times New Roman" w:cs="Times New Roman"/>
          <w:i/>
          <w:iCs/>
          <w:sz w:val="24"/>
          <w:szCs w:val="24"/>
        </w:rPr>
        <w:t>International journal of hospitality management</w:t>
      </w:r>
      <w:r w:rsidRPr="00B756FF">
        <w:rPr>
          <w:rFonts w:ascii="Times New Roman" w:hAnsi="Times New Roman" w:cs="Times New Roman"/>
          <w:sz w:val="24"/>
          <w:szCs w:val="24"/>
        </w:rPr>
        <w:t>, </w:t>
      </w:r>
      <w:r w:rsidRPr="00B756FF">
        <w:rPr>
          <w:rFonts w:ascii="Times New Roman" w:hAnsi="Times New Roman" w:cs="Times New Roman"/>
          <w:i/>
          <w:iCs/>
          <w:sz w:val="24"/>
          <w:szCs w:val="24"/>
        </w:rPr>
        <w:t>87</w:t>
      </w:r>
      <w:r w:rsidRPr="00B756FF">
        <w:rPr>
          <w:rFonts w:ascii="Times New Roman" w:hAnsi="Times New Roman" w:cs="Times New Roman"/>
          <w:sz w:val="24"/>
          <w:szCs w:val="24"/>
        </w:rPr>
        <w:t xml:space="preserve">, p.102499. </w:t>
      </w:r>
      <w:hyperlink r:id="rId11" w:history="1">
        <w:r w:rsidRPr="00B756FF">
          <w:rPr>
            <w:rStyle w:val="Hyperlink"/>
            <w:rFonts w:ascii="Times New Roman" w:hAnsi="Times New Roman" w:cs="Times New Roman"/>
            <w:sz w:val="24"/>
            <w:szCs w:val="24"/>
          </w:rPr>
          <w:t>https://www.sciencedirect.com/science/article/pii/S0278431920300517</w:t>
        </w:r>
      </w:hyperlink>
      <w:r w:rsidRPr="00B756FF">
        <w:rPr>
          <w:rFonts w:ascii="Times New Roman" w:hAnsi="Times New Roman" w:cs="Times New Roman"/>
          <w:sz w:val="24"/>
          <w:szCs w:val="24"/>
        </w:rPr>
        <w:t xml:space="preserve"> </w:t>
      </w:r>
    </w:p>
    <w:p w14:paraId="614C3482" w14:textId="7A761D90" w:rsidR="00B756FF" w:rsidRPr="00B756FF" w:rsidRDefault="00B756FF" w:rsidP="00C977AD">
      <w:pPr>
        <w:spacing w:after="0" w:line="480" w:lineRule="auto"/>
        <w:ind w:left="720" w:hanging="720"/>
        <w:rPr>
          <w:rFonts w:ascii="Times New Roman" w:hAnsi="Times New Roman" w:cs="Times New Roman"/>
          <w:sz w:val="24"/>
          <w:szCs w:val="24"/>
        </w:rPr>
      </w:pPr>
      <w:bookmarkStart w:id="2" w:name="_Hlk165489690"/>
      <w:r w:rsidRPr="00B756FF">
        <w:rPr>
          <w:rFonts w:ascii="Times New Roman" w:hAnsi="Times New Roman" w:cs="Times New Roman"/>
          <w:sz w:val="24"/>
          <w:szCs w:val="24"/>
        </w:rPr>
        <w:t>del Campo</w:t>
      </w:r>
      <w:bookmarkEnd w:id="2"/>
      <w:r w:rsidRPr="00B756FF">
        <w:rPr>
          <w:rFonts w:ascii="Times New Roman" w:hAnsi="Times New Roman" w:cs="Times New Roman"/>
          <w:sz w:val="24"/>
          <w:szCs w:val="24"/>
        </w:rPr>
        <w:t xml:space="preserve">, G., Saavedra, E., </w:t>
      </w:r>
      <w:proofErr w:type="spellStart"/>
      <w:r w:rsidRPr="00B756FF">
        <w:rPr>
          <w:rFonts w:ascii="Times New Roman" w:hAnsi="Times New Roman" w:cs="Times New Roman"/>
          <w:sz w:val="24"/>
          <w:szCs w:val="24"/>
        </w:rPr>
        <w:t>Piovano</w:t>
      </w:r>
      <w:proofErr w:type="spellEnd"/>
      <w:r w:rsidRPr="00B756FF">
        <w:rPr>
          <w:rFonts w:ascii="Times New Roman" w:hAnsi="Times New Roman" w:cs="Times New Roman"/>
          <w:sz w:val="24"/>
          <w:szCs w:val="24"/>
        </w:rPr>
        <w:t>, L., Luque, F. and Santamaria, A., 2024. Virtual Reality and Internet of Things Based Digital Twin for Smart City Cross-Domain Interoperability. </w:t>
      </w:r>
      <w:r w:rsidRPr="00B756FF">
        <w:rPr>
          <w:rFonts w:ascii="Times New Roman" w:hAnsi="Times New Roman" w:cs="Times New Roman"/>
          <w:i/>
          <w:iCs/>
          <w:sz w:val="24"/>
          <w:szCs w:val="24"/>
        </w:rPr>
        <w:t>Applied Sciences</w:t>
      </w:r>
      <w:r w:rsidRPr="00B756FF">
        <w:rPr>
          <w:rFonts w:ascii="Times New Roman" w:hAnsi="Times New Roman" w:cs="Times New Roman"/>
          <w:sz w:val="24"/>
          <w:szCs w:val="24"/>
        </w:rPr>
        <w:t>, </w:t>
      </w:r>
      <w:r w:rsidRPr="00B756FF">
        <w:rPr>
          <w:rFonts w:ascii="Times New Roman" w:hAnsi="Times New Roman" w:cs="Times New Roman"/>
          <w:i/>
          <w:iCs/>
          <w:sz w:val="24"/>
          <w:szCs w:val="24"/>
        </w:rPr>
        <w:t>14</w:t>
      </w:r>
      <w:r w:rsidRPr="00B756FF">
        <w:rPr>
          <w:rFonts w:ascii="Times New Roman" w:hAnsi="Times New Roman" w:cs="Times New Roman"/>
          <w:sz w:val="24"/>
          <w:szCs w:val="24"/>
        </w:rPr>
        <w:t xml:space="preserve">(7), p.2747. </w:t>
      </w:r>
      <w:hyperlink r:id="rId12" w:history="1">
        <w:r w:rsidRPr="00B756FF">
          <w:rPr>
            <w:rStyle w:val="Hyperlink"/>
            <w:rFonts w:ascii="Times New Roman" w:hAnsi="Times New Roman" w:cs="Times New Roman"/>
            <w:sz w:val="24"/>
            <w:szCs w:val="24"/>
          </w:rPr>
          <w:t>https://www.mdpi.com/2076-3417/14/7/2747</w:t>
        </w:r>
      </w:hyperlink>
      <w:r w:rsidRPr="00B756FF">
        <w:rPr>
          <w:rFonts w:ascii="Times New Roman" w:hAnsi="Times New Roman" w:cs="Times New Roman"/>
          <w:sz w:val="24"/>
          <w:szCs w:val="24"/>
        </w:rPr>
        <w:t xml:space="preserve"> </w:t>
      </w:r>
    </w:p>
    <w:p w14:paraId="43873E76" w14:textId="70C6472A" w:rsidR="00B756FF" w:rsidRPr="00B756FF" w:rsidRDefault="00B756FF" w:rsidP="00C977AD">
      <w:pPr>
        <w:spacing w:after="0" w:line="480" w:lineRule="auto"/>
        <w:ind w:left="720" w:hanging="720"/>
        <w:rPr>
          <w:rFonts w:ascii="Times New Roman" w:hAnsi="Times New Roman" w:cs="Times New Roman"/>
          <w:sz w:val="24"/>
          <w:szCs w:val="24"/>
        </w:rPr>
      </w:pPr>
      <w:bookmarkStart w:id="3" w:name="_Hlk165490133"/>
      <w:r w:rsidRPr="00B756FF">
        <w:rPr>
          <w:rFonts w:ascii="Times New Roman" w:hAnsi="Times New Roman" w:cs="Times New Roman"/>
          <w:sz w:val="24"/>
          <w:szCs w:val="24"/>
        </w:rPr>
        <w:t xml:space="preserve">Ford, A., 2020. </w:t>
      </w:r>
      <w:bookmarkEnd w:id="3"/>
      <w:r w:rsidRPr="00B756FF">
        <w:rPr>
          <w:rFonts w:ascii="Times New Roman" w:hAnsi="Times New Roman" w:cs="Times New Roman"/>
          <w:sz w:val="24"/>
          <w:szCs w:val="24"/>
        </w:rPr>
        <w:t xml:space="preserve">Birthing from within: Nature, technology, and self-making in </w:t>
      </w:r>
      <w:proofErr w:type="gramStart"/>
      <w:r w:rsidRPr="00B756FF">
        <w:rPr>
          <w:rFonts w:ascii="Times New Roman" w:hAnsi="Times New Roman" w:cs="Times New Roman"/>
          <w:sz w:val="24"/>
          <w:szCs w:val="24"/>
        </w:rPr>
        <w:t>silicon valley</w:t>
      </w:r>
      <w:proofErr w:type="gramEnd"/>
      <w:r w:rsidRPr="00B756FF">
        <w:rPr>
          <w:rFonts w:ascii="Times New Roman" w:hAnsi="Times New Roman" w:cs="Times New Roman"/>
          <w:sz w:val="24"/>
          <w:szCs w:val="24"/>
        </w:rPr>
        <w:t xml:space="preserve"> childbearing. </w:t>
      </w:r>
      <w:r w:rsidRPr="00B756FF">
        <w:rPr>
          <w:rFonts w:ascii="Times New Roman" w:hAnsi="Times New Roman" w:cs="Times New Roman"/>
          <w:i/>
          <w:iCs/>
          <w:sz w:val="24"/>
          <w:szCs w:val="24"/>
        </w:rPr>
        <w:t>Cultural Anthropology</w:t>
      </w:r>
      <w:r w:rsidRPr="00B756FF">
        <w:rPr>
          <w:rFonts w:ascii="Times New Roman" w:hAnsi="Times New Roman" w:cs="Times New Roman"/>
          <w:sz w:val="24"/>
          <w:szCs w:val="24"/>
        </w:rPr>
        <w:t>, </w:t>
      </w:r>
      <w:r w:rsidRPr="00B756FF">
        <w:rPr>
          <w:rFonts w:ascii="Times New Roman" w:hAnsi="Times New Roman" w:cs="Times New Roman"/>
          <w:i/>
          <w:iCs/>
          <w:sz w:val="24"/>
          <w:szCs w:val="24"/>
        </w:rPr>
        <w:t>35</w:t>
      </w:r>
      <w:r w:rsidRPr="00B756FF">
        <w:rPr>
          <w:rFonts w:ascii="Times New Roman" w:hAnsi="Times New Roman" w:cs="Times New Roman"/>
          <w:sz w:val="24"/>
          <w:szCs w:val="24"/>
        </w:rPr>
        <w:t xml:space="preserve">(4), pp.602-630. </w:t>
      </w:r>
      <w:hyperlink r:id="rId13" w:history="1">
        <w:r w:rsidRPr="00B756FF">
          <w:rPr>
            <w:rStyle w:val="Hyperlink"/>
            <w:rFonts w:ascii="Times New Roman" w:hAnsi="Times New Roman" w:cs="Times New Roman"/>
            <w:sz w:val="24"/>
            <w:szCs w:val="24"/>
          </w:rPr>
          <w:t>https://journal.culanth.org/index.php/ca/article/view/4146</w:t>
        </w:r>
      </w:hyperlink>
      <w:r w:rsidRPr="00B756FF">
        <w:rPr>
          <w:rFonts w:ascii="Times New Roman" w:hAnsi="Times New Roman" w:cs="Times New Roman"/>
          <w:sz w:val="24"/>
          <w:szCs w:val="24"/>
        </w:rPr>
        <w:t xml:space="preserve"> </w:t>
      </w:r>
    </w:p>
    <w:p w14:paraId="36740989" w14:textId="77777777" w:rsidR="00B756FF" w:rsidRPr="00B756FF" w:rsidRDefault="00B756FF" w:rsidP="00C977AD">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Han, S.H., Lee, J., Edvardsson, B. and Verma, R., 2021. Mobile technology adoption among hotels: Managerial issues and opportunities. </w:t>
      </w:r>
      <w:r w:rsidRPr="00B756FF">
        <w:rPr>
          <w:rFonts w:ascii="Times New Roman" w:hAnsi="Times New Roman" w:cs="Times New Roman"/>
          <w:i/>
          <w:iCs/>
          <w:sz w:val="24"/>
          <w:szCs w:val="24"/>
        </w:rPr>
        <w:t>Tourism Management Perspectives</w:t>
      </w:r>
      <w:r w:rsidRPr="00B756FF">
        <w:rPr>
          <w:rFonts w:ascii="Times New Roman" w:hAnsi="Times New Roman" w:cs="Times New Roman"/>
          <w:sz w:val="24"/>
          <w:szCs w:val="24"/>
        </w:rPr>
        <w:t>, </w:t>
      </w:r>
      <w:r w:rsidRPr="00B756FF">
        <w:rPr>
          <w:rFonts w:ascii="Times New Roman" w:hAnsi="Times New Roman" w:cs="Times New Roman"/>
          <w:i/>
          <w:iCs/>
          <w:sz w:val="24"/>
          <w:szCs w:val="24"/>
        </w:rPr>
        <w:t>38</w:t>
      </w:r>
      <w:r w:rsidRPr="00B756FF">
        <w:rPr>
          <w:rFonts w:ascii="Times New Roman" w:hAnsi="Times New Roman" w:cs="Times New Roman"/>
          <w:sz w:val="24"/>
          <w:szCs w:val="24"/>
        </w:rPr>
        <w:t xml:space="preserve">, p.100811. </w:t>
      </w:r>
      <w:hyperlink r:id="rId14" w:history="1">
        <w:r w:rsidRPr="00B756FF">
          <w:rPr>
            <w:rStyle w:val="Hyperlink"/>
            <w:rFonts w:ascii="Times New Roman" w:hAnsi="Times New Roman" w:cs="Times New Roman"/>
            <w:sz w:val="24"/>
            <w:szCs w:val="24"/>
          </w:rPr>
          <w:t>https://www.sciencedirect.com/science/article/pii/S2211973621000246</w:t>
        </w:r>
      </w:hyperlink>
      <w:r w:rsidRPr="00B756FF">
        <w:rPr>
          <w:rFonts w:ascii="Times New Roman" w:hAnsi="Times New Roman" w:cs="Times New Roman"/>
          <w:sz w:val="24"/>
          <w:szCs w:val="24"/>
        </w:rPr>
        <w:t xml:space="preserve"> </w:t>
      </w:r>
    </w:p>
    <w:p w14:paraId="1C9EB05A" w14:textId="77777777" w:rsidR="00B756FF" w:rsidRPr="00B756FF" w:rsidRDefault="00B756FF" w:rsidP="00C977AD">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Heath, D. and Babu, R., 2022. Foundations and affordances of workplace assistive technology: The case of mobile and enabling IT for workers with visual impairments. </w:t>
      </w:r>
      <w:r w:rsidRPr="00B756FF">
        <w:rPr>
          <w:rFonts w:ascii="Times New Roman" w:hAnsi="Times New Roman" w:cs="Times New Roman"/>
          <w:i/>
          <w:iCs/>
          <w:sz w:val="24"/>
          <w:szCs w:val="24"/>
        </w:rPr>
        <w:t xml:space="preserve">Assistive </w:t>
      </w:r>
      <w:r w:rsidRPr="00B756FF">
        <w:rPr>
          <w:rFonts w:ascii="Times New Roman" w:hAnsi="Times New Roman" w:cs="Times New Roman"/>
          <w:i/>
          <w:iCs/>
          <w:sz w:val="24"/>
          <w:szCs w:val="24"/>
        </w:rPr>
        <w:lastRenderedPageBreak/>
        <w:t>Technology</w:t>
      </w:r>
      <w:r w:rsidRPr="00B756FF">
        <w:rPr>
          <w:rFonts w:ascii="Times New Roman" w:hAnsi="Times New Roman" w:cs="Times New Roman"/>
          <w:sz w:val="24"/>
          <w:szCs w:val="24"/>
        </w:rPr>
        <w:t>, </w:t>
      </w:r>
      <w:r w:rsidRPr="00B756FF">
        <w:rPr>
          <w:rFonts w:ascii="Times New Roman" w:hAnsi="Times New Roman" w:cs="Times New Roman"/>
          <w:i/>
          <w:iCs/>
          <w:sz w:val="24"/>
          <w:szCs w:val="24"/>
        </w:rPr>
        <w:t>34</w:t>
      </w:r>
      <w:r w:rsidRPr="00B756FF">
        <w:rPr>
          <w:rFonts w:ascii="Times New Roman" w:hAnsi="Times New Roman" w:cs="Times New Roman"/>
          <w:sz w:val="24"/>
          <w:szCs w:val="24"/>
        </w:rPr>
        <w:t xml:space="preserve">(3), pp.300-307. </w:t>
      </w:r>
      <w:hyperlink r:id="rId15" w:history="1">
        <w:r w:rsidRPr="00B756FF">
          <w:rPr>
            <w:rStyle w:val="Hyperlink"/>
            <w:rFonts w:ascii="Times New Roman" w:hAnsi="Times New Roman" w:cs="Times New Roman"/>
            <w:sz w:val="24"/>
            <w:szCs w:val="24"/>
          </w:rPr>
          <w:t>https://www.tandfonline.com/doi/abs/10.1080/10400435.2020.1812764</w:t>
        </w:r>
      </w:hyperlink>
      <w:r w:rsidRPr="00B756FF">
        <w:rPr>
          <w:rFonts w:ascii="Times New Roman" w:hAnsi="Times New Roman" w:cs="Times New Roman"/>
          <w:sz w:val="24"/>
          <w:szCs w:val="24"/>
        </w:rPr>
        <w:t xml:space="preserve"> </w:t>
      </w:r>
    </w:p>
    <w:p w14:paraId="0EE02F89" w14:textId="0EF88FF2" w:rsidR="00B756FF" w:rsidRPr="00B756FF" w:rsidRDefault="00B756FF" w:rsidP="00C977AD">
      <w:pPr>
        <w:spacing w:after="0" w:line="480" w:lineRule="auto"/>
        <w:ind w:left="720" w:hanging="720"/>
        <w:rPr>
          <w:rFonts w:ascii="Times New Roman" w:hAnsi="Times New Roman" w:cs="Times New Roman"/>
          <w:sz w:val="24"/>
          <w:szCs w:val="24"/>
        </w:rPr>
      </w:pPr>
      <w:bookmarkStart w:id="4" w:name="_Hlk165489543"/>
      <w:r w:rsidRPr="00B756FF">
        <w:rPr>
          <w:rFonts w:ascii="Times New Roman" w:hAnsi="Times New Roman" w:cs="Times New Roman"/>
          <w:sz w:val="24"/>
          <w:szCs w:val="24"/>
        </w:rPr>
        <w:t>Herold</w:t>
      </w:r>
      <w:bookmarkEnd w:id="4"/>
      <w:r w:rsidRPr="00B756FF">
        <w:rPr>
          <w:rFonts w:ascii="Times New Roman" w:hAnsi="Times New Roman" w:cs="Times New Roman"/>
          <w:sz w:val="24"/>
          <w:szCs w:val="24"/>
        </w:rPr>
        <w:t xml:space="preserve">, D.M., Breitbarth, T., </w:t>
      </w:r>
      <w:proofErr w:type="spellStart"/>
      <w:r w:rsidRPr="00B756FF">
        <w:rPr>
          <w:rFonts w:ascii="Times New Roman" w:hAnsi="Times New Roman" w:cs="Times New Roman"/>
          <w:sz w:val="24"/>
          <w:szCs w:val="24"/>
        </w:rPr>
        <w:t>Schulenkorf</w:t>
      </w:r>
      <w:proofErr w:type="spellEnd"/>
      <w:r w:rsidRPr="00B756FF">
        <w:rPr>
          <w:rFonts w:ascii="Times New Roman" w:hAnsi="Times New Roman" w:cs="Times New Roman"/>
          <w:sz w:val="24"/>
          <w:szCs w:val="24"/>
        </w:rPr>
        <w:t>, N. and Kummer, S., 2020. Sport logistics research: reviewing and line marking of a new field. </w:t>
      </w:r>
      <w:r w:rsidRPr="00B756FF">
        <w:rPr>
          <w:rFonts w:ascii="Times New Roman" w:hAnsi="Times New Roman" w:cs="Times New Roman"/>
          <w:i/>
          <w:iCs/>
          <w:sz w:val="24"/>
          <w:szCs w:val="24"/>
        </w:rPr>
        <w:t>The International Journal of Logistics Management</w:t>
      </w:r>
      <w:r w:rsidRPr="00B756FF">
        <w:rPr>
          <w:rFonts w:ascii="Times New Roman" w:hAnsi="Times New Roman" w:cs="Times New Roman"/>
          <w:sz w:val="24"/>
          <w:szCs w:val="24"/>
        </w:rPr>
        <w:t>, </w:t>
      </w:r>
      <w:r w:rsidRPr="00B756FF">
        <w:rPr>
          <w:rFonts w:ascii="Times New Roman" w:hAnsi="Times New Roman" w:cs="Times New Roman"/>
          <w:i/>
          <w:iCs/>
          <w:sz w:val="24"/>
          <w:szCs w:val="24"/>
        </w:rPr>
        <w:t>31</w:t>
      </w:r>
      <w:r w:rsidRPr="00B756FF">
        <w:rPr>
          <w:rFonts w:ascii="Times New Roman" w:hAnsi="Times New Roman" w:cs="Times New Roman"/>
          <w:sz w:val="24"/>
          <w:szCs w:val="24"/>
        </w:rPr>
        <w:t xml:space="preserve">(2), pp.357-379. </w:t>
      </w:r>
      <w:hyperlink r:id="rId16" w:history="1">
        <w:r w:rsidRPr="00B756FF">
          <w:rPr>
            <w:rStyle w:val="Hyperlink"/>
            <w:rFonts w:ascii="Times New Roman" w:hAnsi="Times New Roman" w:cs="Times New Roman"/>
            <w:sz w:val="24"/>
            <w:szCs w:val="24"/>
          </w:rPr>
          <w:t>https://www.emerald.com/insight/content/doi/10.1108/IJLM-02-2019-0066/full/html?casa_token=5jEhPXGVDvwAAAAA:CqpHIhB4YoGXHXImwl7aYpmTzEh8DDDviBnAyRwUGrOBsMgOZ3HQTpqa5i7p6qV7emT82Gev_RlLINQ8fT5CCxfqimswHmbT-qNT2nmRXr_9ljPvW4DfMg</w:t>
        </w:r>
      </w:hyperlink>
      <w:r w:rsidRPr="00B756FF">
        <w:rPr>
          <w:rFonts w:ascii="Times New Roman" w:hAnsi="Times New Roman" w:cs="Times New Roman"/>
          <w:sz w:val="24"/>
          <w:szCs w:val="24"/>
        </w:rPr>
        <w:t xml:space="preserve"> </w:t>
      </w:r>
    </w:p>
    <w:p w14:paraId="498C4F25" w14:textId="000031E8" w:rsidR="00B756FF" w:rsidRPr="00B756FF" w:rsidRDefault="00B756FF" w:rsidP="00C977AD">
      <w:pPr>
        <w:spacing w:after="0" w:line="480" w:lineRule="auto"/>
        <w:ind w:left="720" w:hanging="720"/>
        <w:rPr>
          <w:rFonts w:ascii="Times New Roman" w:hAnsi="Times New Roman" w:cs="Times New Roman"/>
          <w:sz w:val="24"/>
          <w:szCs w:val="24"/>
        </w:rPr>
      </w:pPr>
      <w:bookmarkStart w:id="5" w:name="_Hlk165490360"/>
      <w:r w:rsidRPr="00B756FF">
        <w:rPr>
          <w:rFonts w:ascii="Times New Roman" w:hAnsi="Times New Roman" w:cs="Times New Roman"/>
          <w:sz w:val="24"/>
          <w:szCs w:val="24"/>
        </w:rPr>
        <w:t xml:space="preserve">Laine, T.H. and Lee, W., 2023. </w:t>
      </w:r>
      <w:bookmarkEnd w:id="5"/>
      <w:r w:rsidRPr="00B756FF">
        <w:rPr>
          <w:rFonts w:ascii="Times New Roman" w:hAnsi="Times New Roman" w:cs="Times New Roman"/>
          <w:sz w:val="24"/>
          <w:szCs w:val="24"/>
        </w:rPr>
        <w:t>Collaborative Virtual Reality in Higher Education: Students' Perceptions on Presence, Challenges, Affordances, and Potential. </w:t>
      </w:r>
      <w:r w:rsidRPr="00B756FF">
        <w:rPr>
          <w:rFonts w:ascii="Times New Roman" w:hAnsi="Times New Roman" w:cs="Times New Roman"/>
          <w:i/>
          <w:iCs/>
          <w:sz w:val="24"/>
          <w:szCs w:val="24"/>
        </w:rPr>
        <w:t>IEEE Transactions on Learning Technologies</w:t>
      </w:r>
      <w:r w:rsidRPr="00B756FF">
        <w:rPr>
          <w:rFonts w:ascii="Times New Roman" w:hAnsi="Times New Roman" w:cs="Times New Roman"/>
          <w:sz w:val="24"/>
          <w:szCs w:val="24"/>
        </w:rPr>
        <w:t xml:space="preserve">. </w:t>
      </w:r>
      <w:hyperlink r:id="rId17" w:history="1">
        <w:r w:rsidRPr="00B756FF">
          <w:rPr>
            <w:rStyle w:val="Hyperlink"/>
            <w:rFonts w:ascii="Times New Roman" w:hAnsi="Times New Roman" w:cs="Times New Roman"/>
            <w:sz w:val="24"/>
            <w:szCs w:val="24"/>
          </w:rPr>
          <w:t>https://ieeexplore.ieee.org/abstract/document/10265193/</w:t>
        </w:r>
      </w:hyperlink>
      <w:r w:rsidRPr="00B756FF">
        <w:rPr>
          <w:rFonts w:ascii="Times New Roman" w:hAnsi="Times New Roman" w:cs="Times New Roman"/>
          <w:sz w:val="24"/>
          <w:szCs w:val="24"/>
        </w:rPr>
        <w:t xml:space="preserve"> </w:t>
      </w:r>
    </w:p>
    <w:p w14:paraId="26C51702" w14:textId="380E3645" w:rsidR="00B756FF" w:rsidRPr="00B756FF" w:rsidRDefault="00B756FF" w:rsidP="00C977AD">
      <w:pPr>
        <w:spacing w:after="0" w:line="480" w:lineRule="auto"/>
        <w:ind w:left="720" w:hanging="720"/>
        <w:rPr>
          <w:rFonts w:ascii="Times New Roman" w:hAnsi="Times New Roman" w:cs="Times New Roman"/>
          <w:sz w:val="24"/>
          <w:szCs w:val="24"/>
        </w:rPr>
      </w:pPr>
      <w:bookmarkStart w:id="6" w:name="_Hlk165489477"/>
      <w:r w:rsidRPr="00B756FF">
        <w:rPr>
          <w:rFonts w:ascii="Times New Roman" w:hAnsi="Times New Roman" w:cs="Times New Roman"/>
          <w:sz w:val="24"/>
          <w:szCs w:val="24"/>
        </w:rPr>
        <w:t xml:space="preserve">Loureiro, S.M.C., 2022. </w:t>
      </w:r>
      <w:bookmarkEnd w:id="6"/>
      <w:r w:rsidRPr="00B756FF">
        <w:rPr>
          <w:rFonts w:ascii="Times New Roman" w:hAnsi="Times New Roman" w:cs="Times New Roman"/>
          <w:sz w:val="24"/>
          <w:szCs w:val="24"/>
        </w:rPr>
        <w:t>Technology and Luxury in Tourism and Hospitality. In </w:t>
      </w:r>
      <w:r w:rsidRPr="00B756FF">
        <w:rPr>
          <w:rFonts w:ascii="Times New Roman" w:hAnsi="Times New Roman" w:cs="Times New Roman"/>
          <w:i/>
          <w:iCs/>
          <w:sz w:val="24"/>
          <w:szCs w:val="24"/>
        </w:rPr>
        <w:t>The Emerald Handbook of Luxury Management for Hospitality and Tourism</w:t>
      </w:r>
      <w:r w:rsidRPr="00B756FF">
        <w:rPr>
          <w:rFonts w:ascii="Times New Roman" w:hAnsi="Times New Roman" w:cs="Times New Roman"/>
          <w:sz w:val="24"/>
          <w:szCs w:val="24"/>
        </w:rPr>
        <w:t xml:space="preserve"> (pp. 273-284). Emerald Publishing Limited. </w:t>
      </w:r>
      <w:hyperlink r:id="rId18" w:history="1">
        <w:r w:rsidRPr="00B756FF">
          <w:rPr>
            <w:rStyle w:val="Hyperlink"/>
            <w:rFonts w:ascii="Times New Roman" w:hAnsi="Times New Roman" w:cs="Times New Roman"/>
            <w:sz w:val="24"/>
            <w:szCs w:val="24"/>
          </w:rPr>
          <w:t>https://www.emerald.com/insight/content/doi/10.1108/978-1-83982-900-020211013/full/html</w:t>
        </w:r>
      </w:hyperlink>
      <w:r w:rsidRPr="00B756FF">
        <w:rPr>
          <w:rFonts w:ascii="Times New Roman" w:hAnsi="Times New Roman" w:cs="Times New Roman"/>
          <w:sz w:val="24"/>
          <w:szCs w:val="24"/>
        </w:rPr>
        <w:t xml:space="preserve"> </w:t>
      </w:r>
    </w:p>
    <w:p w14:paraId="72107606" w14:textId="77777777" w:rsidR="00B756FF" w:rsidRPr="00B756FF" w:rsidRDefault="00B756FF" w:rsidP="00C977AD">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Mair, J. and Smith, A., 2022. Events and sustainability: why making events more sustainable is not enough. In </w:t>
      </w:r>
      <w:r w:rsidRPr="00B756FF">
        <w:rPr>
          <w:rFonts w:ascii="Times New Roman" w:hAnsi="Times New Roman" w:cs="Times New Roman"/>
          <w:i/>
          <w:iCs/>
          <w:sz w:val="24"/>
          <w:szCs w:val="24"/>
        </w:rPr>
        <w:t>Events and sustainability</w:t>
      </w:r>
      <w:r w:rsidRPr="00B756FF">
        <w:rPr>
          <w:rFonts w:ascii="Times New Roman" w:hAnsi="Times New Roman" w:cs="Times New Roman"/>
          <w:sz w:val="24"/>
          <w:szCs w:val="24"/>
        </w:rPr>
        <w:t xml:space="preserve"> (pp. 1-17). Routledge. </w:t>
      </w:r>
      <w:hyperlink r:id="rId19" w:history="1">
        <w:r w:rsidRPr="00B756FF">
          <w:rPr>
            <w:rStyle w:val="Hyperlink"/>
            <w:rFonts w:ascii="Times New Roman" w:hAnsi="Times New Roman" w:cs="Times New Roman"/>
            <w:sz w:val="24"/>
            <w:szCs w:val="24"/>
          </w:rPr>
          <w:t>https://www.taylorfrancis.com/chapters/oa-edit/10.4324/9781003314295-1/events-sustainability-making-events-sustainable-enough-judith-mair-andrew-smith</w:t>
        </w:r>
      </w:hyperlink>
      <w:r w:rsidRPr="00B756FF">
        <w:rPr>
          <w:rFonts w:ascii="Times New Roman" w:hAnsi="Times New Roman" w:cs="Times New Roman"/>
          <w:sz w:val="24"/>
          <w:szCs w:val="24"/>
        </w:rPr>
        <w:t xml:space="preserve"> </w:t>
      </w:r>
    </w:p>
    <w:p w14:paraId="7C8CBD43" w14:textId="49AA5E0D" w:rsidR="00B756FF" w:rsidRPr="00B756FF" w:rsidRDefault="00B756FF" w:rsidP="00C977AD">
      <w:pPr>
        <w:spacing w:after="0" w:line="480" w:lineRule="auto"/>
        <w:ind w:left="720" w:hanging="720"/>
        <w:rPr>
          <w:rFonts w:ascii="Times New Roman" w:hAnsi="Times New Roman" w:cs="Times New Roman"/>
          <w:sz w:val="24"/>
          <w:szCs w:val="24"/>
        </w:rPr>
      </w:pPr>
      <w:bookmarkStart w:id="7" w:name="_Hlk165490422"/>
      <w:proofErr w:type="spellStart"/>
      <w:r w:rsidRPr="00B756FF">
        <w:rPr>
          <w:rFonts w:ascii="Times New Roman" w:hAnsi="Times New Roman" w:cs="Times New Roman"/>
          <w:sz w:val="24"/>
          <w:szCs w:val="24"/>
        </w:rPr>
        <w:t>Neuhofer</w:t>
      </w:r>
      <w:bookmarkEnd w:id="7"/>
      <w:proofErr w:type="spellEnd"/>
      <w:r w:rsidRPr="00B756FF">
        <w:rPr>
          <w:rFonts w:ascii="Times New Roman" w:hAnsi="Times New Roman" w:cs="Times New Roman"/>
          <w:sz w:val="24"/>
          <w:szCs w:val="24"/>
        </w:rPr>
        <w:t>, B., Magnus, B. and Celuch, K., 2021. The impact of artificial intelligence on event experiences: a scenario technique approach. </w:t>
      </w:r>
      <w:r w:rsidRPr="00B756FF">
        <w:rPr>
          <w:rFonts w:ascii="Times New Roman" w:hAnsi="Times New Roman" w:cs="Times New Roman"/>
          <w:i/>
          <w:iCs/>
          <w:sz w:val="24"/>
          <w:szCs w:val="24"/>
        </w:rPr>
        <w:t>Electronic Markets</w:t>
      </w:r>
      <w:r w:rsidRPr="00B756FF">
        <w:rPr>
          <w:rFonts w:ascii="Times New Roman" w:hAnsi="Times New Roman" w:cs="Times New Roman"/>
          <w:sz w:val="24"/>
          <w:szCs w:val="24"/>
        </w:rPr>
        <w:t>, </w:t>
      </w:r>
      <w:r w:rsidRPr="00B756FF">
        <w:rPr>
          <w:rFonts w:ascii="Times New Roman" w:hAnsi="Times New Roman" w:cs="Times New Roman"/>
          <w:i/>
          <w:iCs/>
          <w:sz w:val="24"/>
          <w:szCs w:val="24"/>
        </w:rPr>
        <w:t>31</w:t>
      </w:r>
      <w:r w:rsidRPr="00B756FF">
        <w:rPr>
          <w:rFonts w:ascii="Times New Roman" w:hAnsi="Times New Roman" w:cs="Times New Roman"/>
          <w:sz w:val="24"/>
          <w:szCs w:val="24"/>
        </w:rPr>
        <w:t xml:space="preserve">(3), pp.601-617. </w:t>
      </w:r>
      <w:hyperlink r:id="rId20" w:history="1">
        <w:r w:rsidRPr="00B756FF">
          <w:rPr>
            <w:rStyle w:val="Hyperlink"/>
            <w:rFonts w:ascii="Times New Roman" w:hAnsi="Times New Roman" w:cs="Times New Roman"/>
            <w:sz w:val="24"/>
            <w:szCs w:val="24"/>
          </w:rPr>
          <w:t>https://link.springer.com/article/10.1007/s12525-020-00433-4</w:t>
        </w:r>
      </w:hyperlink>
      <w:r w:rsidRPr="00B756FF">
        <w:rPr>
          <w:rFonts w:ascii="Times New Roman" w:hAnsi="Times New Roman" w:cs="Times New Roman"/>
          <w:sz w:val="24"/>
          <w:szCs w:val="24"/>
        </w:rPr>
        <w:t xml:space="preserve"> </w:t>
      </w:r>
    </w:p>
    <w:p w14:paraId="3E45A18F" w14:textId="6235E360" w:rsidR="00B756FF" w:rsidRPr="00B756FF" w:rsidRDefault="00B756FF" w:rsidP="00C977AD">
      <w:pPr>
        <w:spacing w:after="0" w:line="480" w:lineRule="auto"/>
        <w:ind w:left="720" w:hanging="720"/>
        <w:rPr>
          <w:rFonts w:ascii="Times New Roman" w:hAnsi="Times New Roman" w:cs="Times New Roman"/>
          <w:sz w:val="24"/>
          <w:szCs w:val="24"/>
        </w:rPr>
      </w:pPr>
      <w:bookmarkStart w:id="8" w:name="_Hlk165490748"/>
      <w:proofErr w:type="spellStart"/>
      <w:r w:rsidRPr="00B756FF">
        <w:rPr>
          <w:rFonts w:ascii="Times New Roman" w:hAnsi="Times New Roman" w:cs="Times New Roman"/>
          <w:sz w:val="24"/>
          <w:szCs w:val="24"/>
        </w:rPr>
        <w:lastRenderedPageBreak/>
        <w:t>Ouvrein</w:t>
      </w:r>
      <w:bookmarkEnd w:id="8"/>
      <w:proofErr w:type="spellEnd"/>
      <w:r w:rsidRPr="00B756FF">
        <w:rPr>
          <w:rFonts w:ascii="Times New Roman" w:hAnsi="Times New Roman" w:cs="Times New Roman"/>
          <w:sz w:val="24"/>
          <w:szCs w:val="24"/>
        </w:rPr>
        <w:t xml:space="preserve">, G., Pabian, S., Giles, D., </w:t>
      </w:r>
      <w:proofErr w:type="spellStart"/>
      <w:r w:rsidRPr="00B756FF">
        <w:rPr>
          <w:rFonts w:ascii="Times New Roman" w:hAnsi="Times New Roman" w:cs="Times New Roman"/>
          <w:sz w:val="24"/>
          <w:szCs w:val="24"/>
        </w:rPr>
        <w:t>Hudders</w:t>
      </w:r>
      <w:proofErr w:type="spellEnd"/>
      <w:r w:rsidRPr="00B756FF">
        <w:rPr>
          <w:rFonts w:ascii="Times New Roman" w:hAnsi="Times New Roman" w:cs="Times New Roman"/>
          <w:sz w:val="24"/>
          <w:szCs w:val="24"/>
        </w:rPr>
        <w:t>, L. and De Backer, C., 2021. The web of influencers. A marketing-audience classification of (potential) social media influencers. </w:t>
      </w:r>
      <w:r w:rsidRPr="00B756FF">
        <w:rPr>
          <w:rFonts w:ascii="Times New Roman" w:hAnsi="Times New Roman" w:cs="Times New Roman"/>
          <w:i/>
          <w:iCs/>
          <w:sz w:val="24"/>
          <w:szCs w:val="24"/>
        </w:rPr>
        <w:t>Journal of Marketing Management</w:t>
      </w:r>
      <w:r w:rsidRPr="00B756FF">
        <w:rPr>
          <w:rFonts w:ascii="Times New Roman" w:hAnsi="Times New Roman" w:cs="Times New Roman"/>
          <w:sz w:val="24"/>
          <w:szCs w:val="24"/>
        </w:rPr>
        <w:t>, </w:t>
      </w:r>
      <w:r w:rsidRPr="00B756FF">
        <w:rPr>
          <w:rFonts w:ascii="Times New Roman" w:hAnsi="Times New Roman" w:cs="Times New Roman"/>
          <w:i/>
          <w:iCs/>
          <w:sz w:val="24"/>
          <w:szCs w:val="24"/>
        </w:rPr>
        <w:t>37</w:t>
      </w:r>
      <w:r w:rsidRPr="00B756FF">
        <w:rPr>
          <w:rFonts w:ascii="Times New Roman" w:hAnsi="Times New Roman" w:cs="Times New Roman"/>
          <w:sz w:val="24"/>
          <w:szCs w:val="24"/>
        </w:rPr>
        <w:t xml:space="preserve">(13-14), pp.1313-1342. </w:t>
      </w:r>
      <w:hyperlink r:id="rId21" w:history="1">
        <w:r w:rsidRPr="00B756FF">
          <w:rPr>
            <w:rStyle w:val="Hyperlink"/>
            <w:rFonts w:ascii="Times New Roman" w:hAnsi="Times New Roman" w:cs="Times New Roman"/>
            <w:sz w:val="24"/>
            <w:szCs w:val="24"/>
          </w:rPr>
          <w:t>https://www.tandfonline.com/doi/abs/10.1080/0267257X.2021.1912142</w:t>
        </w:r>
      </w:hyperlink>
      <w:r w:rsidRPr="00B756FF">
        <w:rPr>
          <w:rFonts w:ascii="Times New Roman" w:hAnsi="Times New Roman" w:cs="Times New Roman"/>
          <w:sz w:val="24"/>
          <w:szCs w:val="24"/>
        </w:rPr>
        <w:t xml:space="preserve"> </w:t>
      </w:r>
    </w:p>
    <w:p w14:paraId="1053CC49" w14:textId="77777777" w:rsidR="00B756FF" w:rsidRPr="00B756FF" w:rsidRDefault="00B756FF" w:rsidP="00C977AD">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 xml:space="preserve">Pagán, E.A., </w:t>
      </w:r>
      <w:proofErr w:type="spellStart"/>
      <w:r w:rsidRPr="00B756FF">
        <w:rPr>
          <w:rFonts w:ascii="Times New Roman" w:hAnsi="Times New Roman" w:cs="Times New Roman"/>
          <w:sz w:val="24"/>
          <w:szCs w:val="24"/>
        </w:rPr>
        <w:t>Salvatella</w:t>
      </w:r>
      <w:proofErr w:type="spellEnd"/>
      <w:r w:rsidRPr="00B756FF">
        <w:rPr>
          <w:rFonts w:ascii="Times New Roman" w:hAnsi="Times New Roman" w:cs="Times New Roman"/>
          <w:sz w:val="24"/>
          <w:szCs w:val="24"/>
        </w:rPr>
        <w:t xml:space="preserve">, M.D.M.G., </w:t>
      </w:r>
      <w:proofErr w:type="spellStart"/>
      <w:r w:rsidRPr="00B756FF">
        <w:rPr>
          <w:rFonts w:ascii="Times New Roman" w:hAnsi="Times New Roman" w:cs="Times New Roman"/>
          <w:sz w:val="24"/>
          <w:szCs w:val="24"/>
        </w:rPr>
        <w:t>Pitarch</w:t>
      </w:r>
      <w:proofErr w:type="spellEnd"/>
      <w:r w:rsidRPr="00B756FF">
        <w:rPr>
          <w:rFonts w:ascii="Times New Roman" w:hAnsi="Times New Roman" w:cs="Times New Roman"/>
          <w:sz w:val="24"/>
          <w:szCs w:val="24"/>
        </w:rPr>
        <w:t xml:space="preserve">, M.D., Muñoz, A.L., Toledo, M.D.M.M., Ruiz, J.M., Vitella, M., Lo Cicero, G., Rottensteiner, F., Clermont, D. and </w:t>
      </w:r>
      <w:proofErr w:type="spellStart"/>
      <w:r w:rsidRPr="00B756FF">
        <w:rPr>
          <w:rFonts w:ascii="Times New Roman" w:hAnsi="Times New Roman" w:cs="Times New Roman"/>
          <w:sz w:val="24"/>
          <w:szCs w:val="24"/>
        </w:rPr>
        <w:t>Dorozynski</w:t>
      </w:r>
      <w:proofErr w:type="spellEnd"/>
      <w:r w:rsidRPr="00B756FF">
        <w:rPr>
          <w:rFonts w:ascii="Times New Roman" w:hAnsi="Times New Roman" w:cs="Times New Roman"/>
          <w:sz w:val="24"/>
          <w:szCs w:val="24"/>
        </w:rPr>
        <w:t xml:space="preserve">, M., 2020. From silk to digital technologies: A gateway to new opportunities for creative industries, traditional </w:t>
      </w:r>
      <w:proofErr w:type="gramStart"/>
      <w:r w:rsidRPr="00B756FF">
        <w:rPr>
          <w:rFonts w:ascii="Times New Roman" w:hAnsi="Times New Roman" w:cs="Times New Roman"/>
          <w:sz w:val="24"/>
          <w:szCs w:val="24"/>
        </w:rPr>
        <w:t>crafts</w:t>
      </w:r>
      <w:proofErr w:type="gramEnd"/>
      <w:r w:rsidRPr="00B756FF">
        <w:rPr>
          <w:rFonts w:ascii="Times New Roman" w:hAnsi="Times New Roman" w:cs="Times New Roman"/>
          <w:sz w:val="24"/>
          <w:szCs w:val="24"/>
        </w:rPr>
        <w:t xml:space="preserve"> and designers. The SILKNOW case. </w:t>
      </w:r>
      <w:r w:rsidRPr="00B756FF">
        <w:rPr>
          <w:rFonts w:ascii="Times New Roman" w:hAnsi="Times New Roman" w:cs="Times New Roman"/>
          <w:i/>
          <w:iCs/>
          <w:sz w:val="24"/>
          <w:szCs w:val="24"/>
        </w:rPr>
        <w:t>Sustainability</w:t>
      </w:r>
      <w:r w:rsidRPr="00B756FF">
        <w:rPr>
          <w:rFonts w:ascii="Times New Roman" w:hAnsi="Times New Roman" w:cs="Times New Roman"/>
          <w:sz w:val="24"/>
          <w:szCs w:val="24"/>
        </w:rPr>
        <w:t>, </w:t>
      </w:r>
      <w:r w:rsidRPr="00B756FF">
        <w:rPr>
          <w:rFonts w:ascii="Times New Roman" w:hAnsi="Times New Roman" w:cs="Times New Roman"/>
          <w:i/>
          <w:iCs/>
          <w:sz w:val="24"/>
          <w:szCs w:val="24"/>
        </w:rPr>
        <w:t>12</w:t>
      </w:r>
      <w:r w:rsidRPr="00B756FF">
        <w:rPr>
          <w:rFonts w:ascii="Times New Roman" w:hAnsi="Times New Roman" w:cs="Times New Roman"/>
          <w:sz w:val="24"/>
          <w:szCs w:val="24"/>
        </w:rPr>
        <w:t xml:space="preserve">(19), p.8279. </w:t>
      </w:r>
      <w:hyperlink r:id="rId22" w:history="1">
        <w:r w:rsidRPr="00B756FF">
          <w:rPr>
            <w:rStyle w:val="Hyperlink"/>
            <w:rFonts w:ascii="Times New Roman" w:hAnsi="Times New Roman" w:cs="Times New Roman"/>
            <w:sz w:val="24"/>
            <w:szCs w:val="24"/>
          </w:rPr>
          <w:t>https://www.mdpi.com/2071-1050/12/19/8279</w:t>
        </w:r>
      </w:hyperlink>
      <w:r w:rsidRPr="00B756FF">
        <w:rPr>
          <w:rFonts w:ascii="Times New Roman" w:hAnsi="Times New Roman" w:cs="Times New Roman"/>
          <w:sz w:val="24"/>
          <w:szCs w:val="24"/>
        </w:rPr>
        <w:t xml:space="preserve"> </w:t>
      </w:r>
    </w:p>
    <w:p w14:paraId="79D0BE1E" w14:textId="77777777" w:rsidR="00B756FF" w:rsidRPr="00B756FF" w:rsidRDefault="00B756FF" w:rsidP="007F7D6F">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Rojas, M., Méndez, A. and Watkins-Fassler, K., 2023. The hierarchy of needs empirical examination of Maslow’s theory and lessons for development. </w:t>
      </w:r>
      <w:r w:rsidRPr="00B756FF">
        <w:rPr>
          <w:rFonts w:ascii="Times New Roman" w:hAnsi="Times New Roman" w:cs="Times New Roman"/>
          <w:i/>
          <w:iCs/>
          <w:sz w:val="24"/>
          <w:szCs w:val="24"/>
        </w:rPr>
        <w:t>World Development</w:t>
      </w:r>
      <w:r w:rsidRPr="00B756FF">
        <w:rPr>
          <w:rFonts w:ascii="Times New Roman" w:hAnsi="Times New Roman" w:cs="Times New Roman"/>
          <w:sz w:val="24"/>
          <w:szCs w:val="24"/>
        </w:rPr>
        <w:t>, </w:t>
      </w:r>
      <w:r w:rsidRPr="00B756FF">
        <w:rPr>
          <w:rFonts w:ascii="Times New Roman" w:hAnsi="Times New Roman" w:cs="Times New Roman"/>
          <w:i/>
          <w:iCs/>
          <w:sz w:val="24"/>
          <w:szCs w:val="24"/>
        </w:rPr>
        <w:t>165</w:t>
      </w:r>
      <w:r w:rsidRPr="00B756FF">
        <w:rPr>
          <w:rFonts w:ascii="Times New Roman" w:hAnsi="Times New Roman" w:cs="Times New Roman"/>
          <w:sz w:val="24"/>
          <w:szCs w:val="24"/>
        </w:rPr>
        <w:t xml:space="preserve">, p.106185. </w:t>
      </w:r>
      <w:hyperlink r:id="rId23" w:history="1">
        <w:r w:rsidRPr="00B756FF">
          <w:rPr>
            <w:rStyle w:val="Hyperlink"/>
            <w:rFonts w:ascii="Times New Roman" w:hAnsi="Times New Roman" w:cs="Times New Roman"/>
            <w:sz w:val="24"/>
            <w:szCs w:val="24"/>
          </w:rPr>
          <w:t>https://www.sciencedirect.com/science/article/pii/S0305750X23000037</w:t>
        </w:r>
      </w:hyperlink>
      <w:r w:rsidRPr="00B756FF">
        <w:rPr>
          <w:rFonts w:ascii="Times New Roman" w:hAnsi="Times New Roman" w:cs="Times New Roman"/>
          <w:sz w:val="24"/>
          <w:szCs w:val="24"/>
        </w:rPr>
        <w:t xml:space="preserve"> </w:t>
      </w:r>
    </w:p>
    <w:p w14:paraId="581A8E8A" w14:textId="77777777" w:rsidR="00B756FF" w:rsidRPr="00B756FF" w:rsidRDefault="00B756FF" w:rsidP="00C977AD">
      <w:pPr>
        <w:spacing w:after="0" w:line="480" w:lineRule="auto"/>
        <w:ind w:left="720" w:hanging="720"/>
        <w:rPr>
          <w:rFonts w:ascii="Times New Roman" w:hAnsi="Times New Roman" w:cs="Times New Roman"/>
          <w:sz w:val="24"/>
          <w:szCs w:val="24"/>
        </w:rPr>
      </w:pPr>
      <w:proofErr w:type="spellStart"/>
      <w:r w:rsidRPr="00B756FF">
        <w:rPr>
          <w:rFonts w:ascii="Times New Roman" w:hAnsi="Times New Roman" w:cs="Times New Roman"/>
          <w:sz w:val="24"/>
          <w:szCs w:val="24"/>
        </w:rPr>
        <w:t>Sakdiyakorn</w:t>
      </w:r>
      <w:proofErr w:type="spellEnd"/>
      <w:r w:rsidRPr="00B756FF">
        <w:rPr>
          <w:rFonts w:ascii="Times New Roman" w:hAnsi="Times New Roman" w:cs="Times New Roman"/>
          <w:sz w:val="24"/>
          <w:szCs w:val="24"/>
        </w:rPr>
        <w:t xml:space="preserve">, M., </w:t>
      </w:r>
      <w:proofErr w:type="spellStart"/>
      <w:r w:rsidRPr="00B756FF">
        <w:rPr>
          <w:rFonts w:ascii="Times New Roman" w:hAnsi="Times New Roman" w:cs="Times New Roman"/>
          <w:sz w:val="24"/>
          <w:szCs w:val="24"/>
        </w:rPr>
        <w:t>Golubovskaya</w:t>
      </w:r>
      <w:proofErr w:type="spellEnd"/>
      <w:r w:rsidRPr="00B756FF">
        <w:rPr>
          <w:rFonts w:ascii="Times New Roman" w:hAnsi="Times New Roman" w:cs="Times New Roman"/>
          <w:sz w:val="24"/>
          <w:szCs w:val="24"/>
        </w:rPr>
        <w:t xml:space="preserve">, M. and </w:t>
      </w:r>
      <w:proofErr w:type="spellStart"/>
      <w:r w:rsidRPr="00B756FF">
        <w:rPr>
          <w:rFonts w:ascii="Times New Roman" w:hAnsi="Times New Roman" w:cs="Times New Roman"/>
          <w:sz w:val="24"/>
          <w:szCs w:val="24"/>
        </w:rPr>
        <w:t>Solnet</w:t>
      </w:r>
      <w:proofErr w:type="spellEnd"/>
      <w:r w:rsidRPr="00B756FF">
        <w:rPr>
          <w:rFonts w:ascii="Times New Roman" w:hAnsi="Times New Roman" w:cs="Times New Roman"/>
          <w:sz w:val="24"/>
          <w:szCs w:val="24"/>
        </w:rPr>
        <w:t>, D., 2021. Understanding Generation Z through collective consciousness: Impacts for hospitality work and employment. </w:t>
      </w:r>
      <w:r w:rsidRPr="00B756FF">
        <w:rPr>
          <w:rFonts w:ascii="Times New Roman" w:hAnsi="Times New Roman" w:cs="Times New Roman"/>
          <w:i/>
          <w:iCs/>
          <w:sz w:val="24"/>
          <w:szCs w:val="24"/>
        </w:rPr>
        <w:t>International Journal of Hospitality Management</w:t>
      </w:r>
      <w:r w:rsidRPr="00B756FF">
        <w:rPr>
          <w:rFonts w:ascii="Times New Roman" w:hAnsi="Times New Roman" w:cs="Times New Roman"/>
          <w:sz w:val="24"/>
          <w:szCs w:val="24"/>
        </w:rPr>
        <w:t>, </w:t>
      </w:r>
      <w:r w:rsidRPr="00B756FF">
        <w:rPr>
          <w:rFonts w:ascii="Times New Roman" w:hAnsi="Times New Roman" w:cs="Times New Roman"/>
          <w:i/>
          <w:iCs/>
          <w:sz w:val="24"/>
          <w:szCs w:val="24"/>
        </w:rPr>
        <w:t>94</w:t>
      </w:r>
      <w:r w:rsidRPr="00B756FF">
        <w:rPr>
          <w:rFonts w:ascii="Times New Roman" w:hAnsi="Times New Roman" w:cs="Times New Roman"/>
          <w:sz w:val="24"/>
          <w:szCs w:val="24"/>
        </w:rPr>
        <w:t xml:space="preserve">, p.102822. </w:t>
      </w:r>
      <w:hyperlink r:id="rId24" w:history="1">
        <w:r w:rsidRPr="00B756FF">
          <w:rPr>
            <w:rStyle w:val="Hyperlink"/>
            <w:rFonts w:ascii="Times New Roman" w:hAnsi="Times New Roman" w:cs="Times New Roman"/>
            <w:sz w:val="24"/>
            <w:szCs w:val="24"/>
          </w:rPr>
          <w:t>https://www.sciencedirect.com/science/article/pii/S0278431920303741</w:t>
        </w:r>
      </w:hyperlink>
      <w:r w:rsidRPr="00B756FF">
        <w:rPr>
          <w:rFonts w:ascii="Times New Roman" w:hAnsi="Times New Roman" w:cs="Times New Roman"/>
          <w:sz w:val="24"/>
          <w:szCs w:val="24"/>
        </w:rPr>
        <w:t xml:space="preserve"> </w:t>
      </w:r>
    </w:p>
    <w:p w14:paraId="0DDB37E7" w14:textId="77777777" w:rsidR="00B756FF" w:rsidRPr="00B756FF" w:rsidRDefault="00B756FF" w:rsidP="00C977AD">
      <w:pPr>
        <w:spacing w:after="0" w:line="480" w:lineRule="auto"/>
        <w:ind w:left="720" w:hanging="720"/>
        <w:rPr>
          <w:rFonts w:ascii="Times New Roman" w:hAnsi="Times New Roman" w:cs="Times New Roman"/>
          <w:sz w:val="24"/>
          <w:szCs w:val="24"/>
        </w:rPr>
      </w:pPr>
      <w:proofErr w:type="spellStart"/>
      <w:r w:rsidRPr="00B756FF">
        <w:rPr>
          <w:rFonts w:ascii="Times New Roman" w:hAnsi="Times New Roman" w:cs="Times New Roman"/>
          <w:sz w:val="24"/>
          <w:szCs w:val="24"/>
        </w:rPr>
        <w:t>Talantis</w:t>
      </w:r>
      <w:proofErr w:type="spellEnd"/>
      <w:r w:rsidRPr="00B756FF">
        <w:rPr>
          <w:rFonts w:ascii="Times New Roman" w:hAnsi="Times New Roman" w:cs="Times New Roman"/>
          <w:sz w:val="24"/>
          <w:szCs w:val="24"/>
        </w:rPr>
        <w:t>, S., Shin, Y.H. and Severt, K., 2020. Conference mobile application: Participant acceptance and the correlation with overall event satisfaction utilizing the technology acceptance model (TAM). In </w:t>
      </w:r>
      <w:r w:rsidRPr="00B756FF">
        <w:rPr>
          <w:rFonts w:ascii="Times New Roman" w:hAnsi="Times New Roman" w:cs="Times New Roman"/>
          <w:i/>
          <w:iCs/>
          <w:sz w:val="24"/>
          <w:szCs w:val="24"/>
        </w:rPr>
        <w:t>Journal of Convention &amp; Event Tourism</w:t>
      </w:r>
      <w:r w:rsidRPr="00B756FF">
        <w:rPr>
          <w:rFonts w:ascii="Times New Roman" w:hAnsi="Times New Roman" w:cs="Times New Roman"/>
          <w:sz w:val="24"/>
          <w:szCs w:val="24"/>
        </w:rPr>
        <w:t xml:space="preserve"> (Vol. 21, No. 2, pp. 100-122). Routledge. </w:t>
      </w:r>
      <w:hyperlink r:id="rId25" w:history="1">
        <w:r w:rsidRPr="00B756FF">
          <w:rPr>
            <w:rStyle w:val="Hyperlink"/>
            <w:rFonts w:ascii="Times New Roman" w:hAnsi="Times New Roman" w:cs="Times New Roman"/>
            <w:sz w:val="24"/>
            <w:szCs w:val="24"/>
          </w:rPr>
          <w:t>https://www.tandfonline.com/doi/abs/10.1080/15470148.2020.1719949</w:t>
        </w:r>
      </w:hyperlink>
      <w:r w:rsidRPr="00B756FF">
        <w:rPr>
          <w:rFonts w:ascii="Times New Roman" w:hAnsi="Times New Roman" w:cs="Times New Roman"/>
          <w:sz w:val="24"/>
          <w:szCs w:val="24"/>
        </w:rPr>
        <w:t xml:space="preserve"> </w:t>
      </w:r>
    </w:p>
    <w:p w14:paraId="2DFC3E62" w14:textId="77777777" w:rsidR="00B756FF" w:rsidRPr="00B756FF" w:rsidRDefault="00B756FF" w:rsidP="00C977AD">
      <w:pPr>
        <w:spacing w:after="0" w:line="480" w:lineRule="auto"/>
        <w:ind w:left="720" w:hanging="720"/>
        <w:rPr>
          <w:rFonts w:ascii="Times New Roman" w:hAnsi="Times New Roman" w:cs="Times New Roman"/>
          <w:sz w:val="24"/>
          <w:szCs w:val="24"/>
        </w:rPr>
      </w:pPr>
      <w:proofErr w:type="spellStart"/>
      <w:r w:rsidRPr="00B756FF">
        <w:rPr>
          <w:rFonts w:ascii="Times New Roman" w:hAnsi="Times New Roman" w:cs="Times New Roman"/>
          <w:sz w:val="24"/>
          <w:szCs w:val="24"/>
        </w:rPr>
        <w:t>Tavitiyaman</w:t>
      </w:r>
      <w:proofErr w:type="spellEnd"/>
      <w:r w:rsidRPr="00B756FF">
        <w:rPr>
          <w:rFonts w:ascii="Times New Roman" w:hAnsi="Times New Roman" w:cs="Times New Roman"/>
          <w:sz w:val="24"/>
          <w:szCs w:val="24"/>
        </w:rPr>
        <w:t xml:space="preserve">, P., Zhang, </w:t>
      </w:r>
      <w:proofErr w:type="gramStart"/>
      <w:r w:rsidRPr="00B756FF">
        <w:rPr>
          <w:rFonts w:ascii="Times New Roman" w:hAnsi="Times New Roman" w:cs="Times New Roman"/>
          <w:sz w:val="24"/>
          <w:szCs w:val="24"/>
        </w:rPr>
        <w:t>X.</w:t>
      </w:r>
      <w:proofErr w:type="gramEnd"/>
      <w:r w:rsidRPr="00B756FF">
        <w:rPr>
          <w:rFonts w:ascii="Times New Roman" w:hAnsi="Times New Roman" w:cs="Times New Roman"/>
          <w:sz w:val="24"/>
          <w:szCs w:val="24"/>
        </w:rPr>
        <w:t xml:space="preserve"> and Tsang, W.Y., 2022. How tourists perceive the usefulness of technology adoption in hotels: Interaction effect of </w:t>
      </w:r>
      <w:proofErr w:type="gramStart"/>
      <w:r w:rsidRPr="00B756FF">
        <w:rPr>
          <w:rFonts w:ascii="Times New Roman" w:hAnsi="Times New Roman" w:cs="Times New Roman"/>
          <w:sz w:val="24"/>
          <w:szCs w:val="24"/>
        </w:rPr>
        <w:t>past experience</w:t>
      </w:r>
      <w:proofErr w:type="gramEnd"/>
      <w:r w:rsidRPr="00B756FF">
        <w:rPr>
          <w:rFonts w:ascii="Times New Roman" w:hAnsi="Times New Roman" w:cs="Times New Roman"/>
          <w:sz w:val="24"/>
          <w:szCs w:val="24"/>
        </w:rPr>
        <w:t xml:space="preserve"> and education </w:t>
      </w:r>
      <w:r w:rsidRPr="00B756FF">
        <w:rPr>
          <w:rFonts w:ascii="Times New Roman" w:hAnsi="Times New Roman" w:cs="Times New Roman"/>
          <w:sz w:val="24"/>
          <w:szCs w:val="24"/>
        </w:rPr>
        <w:lastRenderedPageBreak/>
        <w:t>level. </w:t>
      </w:r>
      <w:r w:rsidRPr="00B756FF">
        <w:rPr>
          <w:rFonts w:ascii="Times New Roman" w:hAnsi="Times New Roman" w:cs="Times New Roman"/>
          <w:i/>
          <w:iCs/>
          <w:sz w:val="24"/>
          <w:szCs w:val="24"/>
        </w:rPr>
        <w:t>Journal of China Tourism Research</w:t>
      </w:r>
      <w:r w:rsidRPr="00B756FF">
        <w:rPr>
          <w:rFonts w:ascii="Times New Roman" w:hAnsi="Times New Roman" w:cs="Times New Roman"/>
          <w:sz w:val="24"/>
          <w:szCs w:val="24"/>
        </w:rPr>
        <w:t>, </w:t>
      </w:r>
      <w:r w:rsidRPr="00B756FF">
        <w:rPr>
          <w:rFonts w:ascii="Times New Roman" w:hAnsi="Times New Roman" w:cs="Times New Roman"/>
          <w:i/>
          <w:iCs/>
          <w:sz w:val="24"/>
          <w:szCs w:val="24"/>
        </w:rPr>
        <w:t>18</w:t>
      </w:r>
      <w:r w:rsidRPr="00B756FF">
        <w:rPr>
          <w:rFonts w:ascii="Times New Roman" w:hAnsi="Times New Roman" w:cs="Times New Roman"/>
          <w:sz w:val="24"/>
          <w:szCs w:val="24"/>
        </w:rPr>
        <w:t xml:space="preserve">(1), pp.64-87. </w:t>
      </w:r>
      <w:hyperlink r:id="rId26" w:history="1">
        <w:r w:rsidRPr="00B756FF">
          <w:rPr>
            <w:rStyle w:val="Hyperlink"/>
            <w:rFonts w:ascii="Times New Roman" w:hAnsi="Times New Roman" w:cs="Times New Roman"/>
            <w:sz w:val="24"/>
            <w:szCs w:val="24"/>
          </w:rPr>
          <w:t>https://www.tandfonline.com/doi/abs/10.1080/19388160.2020.1801546</w:t>
        </w:r>
      </w:hyperlink>
      <w:r w:rsidRPr="00B756FF">
        <w:rPr>
          <w:rFonts w:ascii="Times New Roman" w:hAnsi="Times New Roman" w:cs="Times New Roman"/>
          <w:sz w:val="24"/>
          <w:szCs w:val="24"/>
        </w:rPr>
        <w:t xml:space="preserve"> </w:t>
      </w:r>
    </w:p>
    <w:p w14:paraId="40F2088C" w14:textId="77777777" w:rsidR="00B756FF" w:rsidRPr="00B756FF" w:rsidRDefault="00B756FF" w:rsidP="007F7D6F">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Thomas, K. and Stephens, S., 2022. Understanding the Management Theory in Event Management: A Conceptual Framework. </w:t>
      </w:r>
      <w:r w:rsidRPr="00B756FF">
        <w:rPr>
          <w:rFonts w:ascii="Times New Roman" w:hAnsi="Times New Roman" w:cs="Times New Roman"/>
          <w:i/>
          <w:iCs/>
          <w:sz w:val="24"/>
          <w:szCs w:val="24"/>
        </w:rPr>
        <w:t>Available at SSRN 4051469</w:t>
      </w:r>
      <w:r w:rsidRPr="00B756FF">
        <w:rPr>
          <w:rFonts w:ascii="Times New Roman" w:hAnsi="Times New Roman" w:cs="Times New Roman"/>
          <w:sz w:val="24"/>
          <w:szCs w:val="24"/>
        </w:rPr>
        <w:t xml:space="preserve">. </w:t>
      </w:r>
      <w:hyperlink r:id="rId27" w:history="1">
        <w:r w:rsidRPr="00B756FF">
          <w:rPr>
            <w:rStyle w:val="Hyperlink"/>
            <w:rFonts w:ascii="Times New Roman" w:hAnsi="Times New Roman" w:cs="Times New Roman"/>
            <w:sz w:val="24"/>
            <w:szCs w:val="24"/>
          </w:rPr>
          <w:t>https://papers.ssrn.com/sol3/papers.cfm?abstract_id=4051469</w:t>
        </w:r>
      </w:hyperlink>
      <w:r w:rsidRPr="00B756FF">
        <w:rPr>
          <w:rFonts w:ascii="Times New Roman" w:hAnsi="Times New Roman" w:cs="Times New Roman"/>
          <w:sz w:val="24"/>
          <w:szCs w:val="24"/>
        </w:rPr>
        <w:t xml:space="preserve"> </w:t>
      </w:r>
    </w:p>
    <w:p w14:paraId="203EBF9F" w14:textId="0F8172BD" w:rsidR="00B756FF" w:rsidRPr="00B756FF" w:rsidRDefault="00B756FF" w:rsidP="00C977AD">
      <w:pPr>
        <w:spacing w:after="0" w:line="480" w:lineRule="auto"/>
        <w:ind w:left="720" w:hanging="720"/>
        <w:rPr>
          <w:rFonts w:ascii="Times New Roman" w:hAnsi="Times New Roman" w:cs="Times New Roman"/>
          <w:sz w:val="24"/>
          <w:szCs w:val="24"/>
        </w:rPr>
      </w:pPr>
      <w:bookmarkStart w:id="9" w:name="_Hlk165490027"/>
      <w:r w:rsidRPr="00B756FF">
        <w:rPr>
          <w:rFonts w:ascii="Times New Roman" w:hAnsi="Times New Roman" w:cs="Times New Roman"/>
          <w:sz w:val="24"/>
          <w:szCs w:val="24"/>
        </w:rPr>
        <w:t>Tyagi</w:t>
      </w:r>
      <w:bookmarkEnd w:id="9"/>
      <w:r w:rsidRPr="00B756FF">
        <w:rPr>
          <w:rFonts w:ascii="Times New Roman" w:hAnsi="Times New Roman" w:cs="Times New Roman"/>
          <w:sz w:val="24"/>
          <w:szCs w:val="24"/>
        </w:rPr>
        <w:t xml:space="preserve">, A.K., Nair, M.M., </w:t>
      </w:r>
      <w:proofErr w:type="spellStart"/>
      <w:r w:rsidRPr="00B756FF">
        <w:rPr>
          <w:rFonts w:ascii="Times New Roman" w:hAnsi="Times New Roman" w:cs="Times New Roman"/>
          <w:sz w:val="24"/>
          <w:szCs w:val="24"/>
        </w:rPr>
        <w:t>Niladhuri</w:t>
      </w:r>
      <w:proofErr w:type="spellEnd"/>
      <w:r w:rsidRPr="00B756FF">
        <w:rPr>
          <w:rFonts w:ascii="Times New Roman" w:hAnsi="Times New Roman" w:cs="Times New Roman"/>
          <w:sz w:val="24"/>
          <w:szCs w:val="24"/>
        </w:rPr>
        <w:t>, S. and Abraham, A., 2020. Security, privacy research issues in various computing platforms: A survey and the road ahead. </w:t>
      </w:r>
      <w:r w:rsidRPr="00B756FF">
        <w:rPr>
          <w:rFonts w:ascii="Times New Roman" w:hAnsi="Times New Roman" w:cs="Times New Roman"/>
          <w:i/>
          <w:iCs/>
          <w:sz w:val="24"/>
          <w:szCs w:val="24"/>
        </w:rPr>
        <w:t>Journal of Information Assurance &amp; Security</w:t>
      </w:r>
      <w:r w:rsidRPr="00B756FF">
        <w:rPr>
          <w:rFonts w:ascii="Times New Roman" w:hAnsi="Times New Roman" w:cs="Times New Roman"/>
          <w:sz w:val="24"/>
          <w:szCs w:val="24"/>
        </w:rPr>
        <w:t>, </w:t>
      </w:r>
      <w:r w:rsidRPr="00B756FF">
        <w:rPr>
          <w:rFonts w:ascii="Times New Roman" w:hAnsi="Times New Roman" w:cs="Times New Roman"/>
          <w:i/>
          <w:iCs/>
          <w:sz w:val="24"/>
          <w:szCs w:val="24"/>
        </w:rPr>
        <w:t>15</w:t>
      </w:r>
      <w:r w:rsidRPr="00B756FF">
        <w:rPr>
          <w:rFonts w:ascii="Times New Roman" w:hAnsi="Times New Roman" w:cs="Times New Roman"/>
          <w:sz w:val="24"/>
          <w:szCs w:val="24"/>
        </w:rPr>
        <w:t xml:space="preserve">(1). </w:t>
      </w:r>
      <w:hyperlink r:id="rId28" w:history="1">
        <w:r w:rsidRPr="00B756FF">
          <w:rPr>
            <w:rStyle w:val="Hyperlink"/>
            <w:rFonts w:ascii="Times New Roman" w:hAnsi="Times New Roman" w:cs="Times New Roman"/>
            <w:sz w:val="24"/>
            <w:szCs w:val="24"/>
          </w:rPr>
          <w:t>https://ak-tyagi.com/static/pdf/6.pdf</w:t>
        </w:r>
      </w:hyperlink>
      <w:r w:rsidRPr="00B756FF">
        <w:rPr>
          <w:rFonts w:ascii="Times New Roman" w:hAnsi="Times New Roman" w:cs="Times New Roman"/>
          <w:sz w:val="24"/>
          <w:szCs w:val="24"/>
        </w:rPr>
        <w:t xml:space="preserve"> </w:t>
      </w:r>
    </w:p>
    <w:p w14:paraId="224A0BA8" w14:textId="77777777" w:rsidR="00B756FF" w:rsidRPr="00B756FF" w:rsidRDefault="00B756FF" w:rsidP="007F7D6F">
      <w:pPr>
        <w:spacing w:after="0" w:line="480" w:lineRule="auto"/>
        <w:ind w:left="720" w:hanging="720"/>
        <w:rPr>
          <w:rFonts w:ascii="Times New Roman" w:hAnsi="Times New Roman" w:cs="Times New Roman"/>
          <w:sz w:val="24"/>
          <w:szCs w:val="24"/>
        </w:rPr>
      </w:pPr>
      <w:r w:rsidRPr="00B756FF">
        <w:rPr>
          <w:rFonts w:ascii="Times New Roman" w:hAnsi="Times New Roman" w:cs="Times New Roman"/>
          <w:sz w:val="24"/>
          <w:szCs w:val="24"/>
        </w:rPr>
        <w:t xml:space="preserve">Yang, J., Han, Y., Wang, Y., Jiang, B., </w:t>
      </w:r>
      <w:proofErr w:type="spellStart"/>
      <w:r w:rsidRPr="00B756FF">
        <w:rPr>
          <w:rFonts w:ascii="Times New Roman" w:hAnsi="Times New Roman" w:cs="Times New Roman"/>
          <w:sz w:val="24"/>
          <w:szCs w:val="24"/>
        </w:rPr>
        <w:t>Lv</w:t>
      </w:r>
      <w:proofErr w:type="spellEnd"/>
      <w:r w:rsidRPr="00B756FF">
        <w:rPr>
          <w:rFonts w:ascii="Times New Roman" w:hAnsi="Times New Roman" w:cs="Times New Roman"/>
          <w:sz w:val="24"/>
          <w:szCs w:val="24"/>
        </w:rPr>
        <w:t>, Z. and Song, H., 2020. Optimization of real-time traffic network assignment based on IoT data using DBN and clustering model in smart city. </w:t>
      </w:r>
      <w:r w:rsidRPr="00B756FF">
        <w:rPr>
          <w:rFonts w:ascii="Times New Roman" w:hAnsi="Times New Roman" w:cs="Times New Roman"/>
          <w:i/>
          <w:iCs/>
          <w:sz w:val="24"/>
          <w:szCs w:val="24"/>
        </w:rPr>
        <w:t>Future Generation Computer Systems</w:t>
      </w:r>
      <w:r w:rsidRPr="00B756FF">
        <w:rPr>
          <w:rFonts w:ascii="Times New Roman" w:hAnsi="Times New Roman" w:cs="Times New Roman"/>
          <w:sz w:val="24"/>
          <w:szCs w:val="24"/>
        </w:rPr>
        <w:t>, </w:t>
      </w:r>
      <w:r w:rsidRPr="00B756FF">
        <w:rPr>
          <w:rFonts w:ascii="Times New Roman" w:hAnsi="Times New Roman" w:cs="Times New Roman"/>
          <w:i/>
          <w:iCs/>
          <w:sz w:val="24"/>
          <w:szCs w:val="24"/>
        </w:rPr>
        <w:t>108</w:t>
      </w:r>
      <w:r w:rsidRPr="00B756FF">
        <w:rPr>
          <w:rFonts w:ascii="Times New Roman" w:hAnsi="Times New Roman" w:cs="Times New Roman"/>
          <w:sz w:val="24"/>
          <w:szCs w:val="24"/>
        </w:rPr>
        <w:t xml:space="preserve">, pp.976-986. </w:t>
      </w:r>
      <w:hyperlink r:id="rId29" w:history="1">
        <w:r w:rsidRPr="00B756FF">
          <w:rPr>
            <w:rStyle w:val="Hyperlink"/>
            <w:rFonts w:ascii="Times New Roman" w:hAnsi="Times New Roman" w:cs="Times New Roman"/>
            <w:sz w:val="24"/>
            <w:szCs w:val="24"/>
          </w:rPr>
          <w:t>https://www.sciencedirect.com/science/article/pii/S0167739X17310609</w:t>
        </w:r>
      </w:hyperlink>
      <w:r w:rsidRPr="00B756FF">
        <w:rPr>
          <w:rFonts w:ascii="Times New Roman" w:hAnsi="Times New Roman" w:cs="Times New Roman"/>
          <w:sz w:val="24"/>
          <w:szCs w:val="24"/>
        </w:rPr>
        <w:t xml:space="preserve"> </w:t>
      </w:r>
    </w:p>
    <w:sectPr w:rsidR="00B756FF" w:rsidRPr="00B756FF">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1B6AE2" w14:textId="77777777" w:rsidR="00F41167" w:rsidRDefault="00F41167" w:rsidP="007F7D6F">
      <w:pPr>
        <w:spacing w:after="0" w:line="240" w:lineRule="auto"/>
      </w:pPr>
      <w:r>
        <w:separator/>
      </w:r>
    </w:p>
  </w:endnote>
  <w:endnote w:type="continuationSeparator" w:id="0">
    <w:p w14:paraId="6CCA22DB" w14:textId="77777777" w:rsidR="00F41167" w:rsidRDefault="00F41167" w:rsidP="007F7D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Regular">
    <w:altName w:val="Times New Roman"/>
    <w:charset w:val="00"/>
    <w:family w:val="auto"/>
    <w:pitch w:val="default"/>
    <w:sig w:usb0="E0000AFF" w:usb1="00007843" w:usb2="00000001" w:usb3="00000000" w:csb0="400001BF" w:csb1="DFF7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0EB09C" w14:textId="77777777" w:rsidR="00F41167" w:rsidRDefault="00F41167" w:rsidP="007F7D6F">
      <w:pPr>
        <w:spacing w:after="0" w:line="240" w:lineRule="auto"/>
      </w:pPr>
      <w:r>
        <w:separator/>
      </w:r>
    </w:p>
  </w:footnote>
  <w:footnote w:type="continuationSeparator" w:id="0">
    <w:p w14:paraId="3769093C" w14:textId="77777777" w:rsidR="00F41167" w:rsidRDefault="00F41167" w:rsidP="007F7D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1382746"/>
      <w:docPartObj>
        <w:docPartGallery w:val="Page Numbers (Top of Page)"/>
        <w:docPartUnique/>
      </w:docPartObj>
    </w:sdtPr>
    <w:sdtEndPr>
      <w:rPr>
        <w:rFonts w:ascii="Times New Roman" w:hAnsi="Times New Roman" w:cs="Times New Roman"/>
        <w:noProof/>
        <w:sz w:val="24"/>
        <w:szCs w:val="24"/>
      </w:rPr>
    </w:sdtEndPr>
    <w:sdtContent>
      <w:p w14:paraId="4A9A2051" w14:textId="2433FB27" w:rsidR="007F7D6F" w:rsidRPr="007F7D6F" w:rsidRDefault="007F7D6F" w:rsidP="008A7A2A">
        <w:pPr>
          <w:pStyle w:val="Header"/>
          <w:spacing w:line="360" w:lineRule="auto"/>
          <w:jc w:val="right"/>
          <w:rPr>
            <w:rFonts w:ascii="Times New Roman" w:hAnsi="Times New Roman" w:cs="Times New Roman"/>
            <w:sz w:val="24"/>
            <w:szCs w:val="24"/>
          </w:rPr>
        </w:pPr>
        <w:proofErr w:type="spellStart"/>
        <w:r w:rsidRPr="007F7D6F">
          <w:rPr>
            <w:rFonts w:ascii="Times New Roman" w:hAnsi="Times New Roman" w:cs="Times New Roman"/>
            <w:sz w:val="24"/>
            <w:szCs w:val="24"/>
          </w:rPr>
          <w:t>FutureTech</w:t>
        </w:r>
        <w:proofErr w:type="spellEnd"/>
        <w:r w:rsidRPr="007F7D6F">
          <w:rPr>
            <w:rFonts w:ascii="Times New Roman" w:hAnsi="Times New Roman" w:cs="Times New Roman"/>
            <w:sz w:val="24"/>
            <w:szCs w:val="24"/>
          </w:rPr>
          <w:t xml:space="preserve"> Hospitality Expo 2024 </w:t>
        </w:r>
        <w:r w:rsidRPr="007F7D6F">
          <w:rPr>
            <w:rFonts w:ascii="Times New Roman" w:hAnsi="Times New Roman" w:cs="Times New Roman"/>
            <w:sz w:val="24"/>
            <w:szCs w:val="24"/>
          </w:rPr>
          <w:fldChar w:fldCharType="begin"/>
        </w:r>
        <w:r w:rsidRPr="007F7D6F">
          <w:rPr>
            <w:rFonts w:ascii="Times New Roman" w:hAnsi="Times New Roman" w:cs="Times New Roman"/>
            <w:sz w:val="24"/>
            <w:szCs w:val="24"/>
          </w:rPr>
          <w:instrText xml:space="preserve"> PAGE   \* MERGEFORMAT </w:instrText>
        </w:r>
        <w:r w:rsidRPr="007F7D6F">
          <w:rPr>
            <w:rFonts w:ascii="Times New Roman" w:hAnsi="Times New Roman" w:cs="Times New Roman"/>
            <w:sz w:val="24"/>
            <w:szCs w:val="24"/>
          </w:rPr>
          <w:fldChar w:fldCharType="separate"/>
        </w:r>
        <w:r w:rsidR="004C0299">
          <w:rPr>
            <w:rFonts w:ascii="Times New Roman" w:hAnsi="Times New Roman" w:cs="Times New Roman"/>
            <w:noProof/>
            <w:sz w:val="24"/>
            <w:szCs w:val="24"/>
          </w:rPr>
          <w:t>6</w:t>
        </w:r>
        <w:r w:rsidRPr="007F7D6F">
          <w:rPr>
            <w:rFonts w:ascii="Times New Roman" w:hAnsi="Times New Roman" w:cs="Times New Roman"/>
            <w:noProof/>
            <w:sz w:val="24"/>
            <w:szCs w:val="24"/>
          </w:rPr>
          <w:fldChar w:fldCharType="end"/>
        </w:r>
      </w:p>
    </w:sdtContent>
  </w:sdt>
  <w:p w14:paraId="383B0EAA" w14:textId="77777777" w:rsidR="007F7D6F" w:rsidRDefault="007F7D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E3E69"/>
    <w:multiLevelType w:val="hybridMultilevel"/>
    <w:tmpl w:val="05BC6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4E020A"/>
    <w:multiLevelType w:val="multilevel"/>
    <w:tmpl w:val="C3D8D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012694"/>
    <w:multiLevelType w:val="hybridMultilevel"/>
    <w:tmpl w:val="42D669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DD1DAE"/>
    <w:multiLevelType w:val="hybridMultilevel"/>
    <w:tmpl w:val="A3FC97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2735497">
    <w:abstractNumId w:val="0"/>
  </w:num>
  <w:num w:numId="2" w16cid:durableId="1530989014">
    <w:abstractNumId w:val="1"/>
  </w:num>
  <w:num w:numId="3" w16cid:durableId="1600526614">
    <w:abstractNumId w:val="2"/>
  </w:num>
  <w:num w:numId="4" w16cid:durableId="3269025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bC0NDI1NzEyNzEwsDRU0lEKTi0uzszPAykwtKgFAEQ5dCMtAAAA"/>
  </w:docVars>
  <w:rsids>
    <w:rsidRoot w:val="001971AD"/>
    <w:rsid w:val="000113F5"/>
    <w:rsid w:val="00014073"/>
    <w:rsid w:val="00014F00"/>
    <w:rsid w:val="00020E68"/>
    <w:rsid w:val="00055D4E"/>
    <w:rsid w:val="000615DE"/>
    <w:rsid w:val="00070347"/>
    <w:rsid w:val="0007122A"/>
    <w:rsid w:val="000A6B4D"/>
    <w:rsid w:val="000C2F71"/>
    <w:rsid w:val="000D3D9D"/>
    <w:rsid w:val="000E099B"/>
    <w:rsid w:val="000F2648"/>
    <w:rsid w:val="0010720C"/>
    <w:rsid w:val="001131F0"/>
    <w:rsid w:val="00131F16"/>
    <w:rsid w:val="00133A83"/>
    <w:rsid w:val="00151AE1"/>
    <w:rsid w:val="001522B4"/>
    <w:rsid w:val="001639FB"/>
    <w:rsid w:val="00182776"/>
    <w:rsid w:val="00190320"/>
    <w:rsid w:val="00190EA8"/>
    <w:rsid w:val="001942C2"/>
    <w:rsid w:val="001971AD"/>
    <w:rsid w:val="001A1F3A"/>
    <w:rsid w:val="001A4280"/>
    <w:rsid w:val="001A7908"/>
    <w:rsid w:val="001D2434"/>
    <w:rsid w:val="001E1710"/>
    <w:rsid w:val="001F7BA0"/>
    <w:rsid w:val="00211782"/>
    <w:rsid w:val="0021493A"/>
    <w:rsid w:val="00221314"/>
    <w:rsid w:val="0022390A"/>
    <w:rsid w:val="00254BC9"/>
    <w:rsid w:val="00254C5D"/>
    <w:rsid w:val="00265110"/>
    <w:rsid w:val="0026536F"/>
    <w:rsid w:val="00270B38"/>
    <w:rsid w:val="00271080"/>
    <w:rsid w:val="00271DFC"/>
    <w:rsid w:val="00286E40"/>
    <w:rsid w:val="002A020E"/>
    <w:rsid w:val="002A1F8E"/>
    <w:rsid w:val="002A75C3"/>
    <w:rsid w:val="002C5E60"/>
    <w:rsid w:val="002D1737"/>
    <w:rsid w:val="002D30A9"/>
    <w:rsid w:val="002D3737"/>
    <w:rsid w:val="002E0815"/>
    <w:rsid w:val="002F3871"/>
    <w:rsid w:val="002F4A07"/>
    <w:rsid w:val="00301EEA"/>
    <w:rsid w:val="00322FC6"/>
    <w:rsid w:val="0032631B"/>
    <w:rsid w:val="0033050D"/>
    <w:rsid w:val="0034010F"/>
    <w:rsid w:val="00360597"/>
    <w:rsid w:val="00364C44"/>
    <w:rsid w:val="00365EB2"/>
    <w:rsid w:val="00375670"/>
    <w:rsid w:val="00384335"/>
    <w:rsid w:val="00387ED0"/>
    <w:rsid w:val="00395AFD"/>
    <w:rsid w:val="003B16BC"/>
    <w:rsid w:val="003B2B90"/>
    <w:rsid w:val="003B3B15"/>
    <w:rsid w:val="003B4A04"/>
    <w:rsid w:val="003B5212"/>
    <w:rsid w:val="003B61DD"/>
    <w:rsid w:val="003C6E71"/>
    <w:rsid w:val="003D794C"/>
    <w:rsid w:val="003E1DC5"/>
    <w:rsid w:val="003E3535"/>
    <w:rsid w:val="003E5B1B"/>
    <w:rsid w:val="003F121B"/>
    <w:rsid w:val="003F2950"/>
    <w:rsid w:val="003F6F78"/>
    <w:rsid w:val="004014F4"/>
    <w:rsid w:val="00412691"/>
    <w:rsid w:val="0041484A"/>
    <w:rsid w:val="004233A4"/>
    <w:rsid w:val="00425D41"/>
    <w:rsid w:val="00426425"/>
    <w:rsid w:val="00431418"/>
    <w:rsid w:val="00431529"/>
    <w:rsid w:val="0043353F"/>
    <w:rsid w:val="004336A1"/>
    <w:rsid w:val="00434322"/>
    <w:rsid w:val="00440870"/>
    <w:rsid w:val="00453783"/>
    <w:rsid w:val="00453CC7"/>
    <w:rsid w:val="004562A6"/>
    <w:rsid w:val="00480691"/>
    <w:rsid w:val="00490E9B"/>
    <w:rsid w:val="00491414"/>
    <w:rsid w:val="00492D66"/>
    <w:rsid w:val="004A147E"/>
    <w:rsid w:val="004A3DC2"/>
    <w:rsid w:val="004C0299"/>
    <w:rsid w:val="004C1DB1"/>
    <w:rsid w:val="004C4BA4"/>
    <w:rsid w:val="004D09CA"/>
    <w:rsid w:val="004D6461"/>
    <w:rsid w:val="004E2E09"/>
    <w:rsid w:val="004F1410"/>
    <w:rsid w:val="00506961"/>
    <w:rsid w:val="0051666A"/>
    <w:rsid w:val="00517A03"/>
    <w:rsid w:val="0052053A"/>
    <w:rsid w:val="00521DDE"/>
    <w:rsid w:val="005632FF"/>
    <w:rsid w:val="00570A36"/>
    <w:rsid w:val="00571092"/>
    <w:rsid w:val="00576A25"/>
    <w:rsid w:val="00580A80"/>
    <w:rsid w:val="00593616"/>
    <w:rsid w:val="00597C83"/>
    <w:rsid w:val="005A0DED"/>
    <w:rsid w:val="005B42AA"/>
    <w:rsid w:val="005C3D81"/>
    <w:rsid w:val="005C4510"/>
    <w:rsid w:val="005D6F55"/>
    <w:rsid w:val="005F1ECA"/>
    <w:rsid w:val="005F77BD"/>
    <w:rsid w:val="005F7F3B"/>
    <w:rsid w:val="00613F71"/>
    <w:rsid w:val="00621702"/>
    <w:rsid w:val="0062181F"/>
    <w:rsid w:val="00653B2E"/>
    <w:rsid w:val="00656D7A"/>
    <w:rsid w:val="00656E3E"/>
    <w:rsid w:val="00661CD7"/>
    <w:rsid w:val="006647A1"/>
    <w:rsid w:val="00672AB0"/>
    <w:rsid w:val="006738B2"/>
    <w:rsid w:val="0067679E"/>
    <w:rsid w:val="00694DF4"/>
    <w:rsid w:val="006A2E15"/>
    <w:rsid w:val="006A6B13"/>
    <w:rsid w:val="006B660C"/>
    <w:rsid w:val="006C2FAE"/>
    <w:rsid w:val="006C41FC"/>
    <w:rsid w:val="006C49E0"/>
    <w:rsid w:val="006D5CD2"/>
    <w:rsid w:val="006D77FD"/>
    <w:rsid w:val="006F093D"/>
    <w:rsid w:val="006F0CC8"/>
    <w:rsid w:val="006F1EDA"/>
    <w:rsid w:val="00715E63"/>
    <w:rsid w:val="00731F06"/>
    <w:rsid w:val="00743331"/>
    <w:rsid w:val="00756444"/>
    <w:rsid w:val="0075665E"/>
    <w:rsid w:val="0075711E"/>
    <w:rsid w:val="00771101"/>
    <w:rsid w:val="00782A1E"/>
    <w:rsid w:val="00791ACF"/>
    <w:rsid w:val="00793D9E"/>
    <w:rsid w:val="007A4E67"/>
    <w:rsid w:val="007A6683"/>
    <w:rsid w:val="007D500A"/>
    <w:rsid w:val="007D6BEE"/>
    <w:rsid w:val="007F4DA2"/>
    <w:rsid w:val="007F7D6F"/>
    <w:rsid w:val="008370EF"/>
    <w:rsid w:val="008376B9"/>
    <w:rsid w:val="00840527"/>
    <w:rsid w:val="00847D92"/>
    <w:rsid w:val="00855F48"/>
    <w:rsid w:val="00863D05"/>
    <w:rsid w:val="00864D52"/>
    <w:rsid w:val="00870C67"/>
    <w:rsid w:val="00880F5D"/>
    <w:rsid w:val="008A4F3D"/>
    <w:rsid w:val="008A7A2A"/>
    <w:rsid w:val="008C1037"/>
    <w:rsid w:val="008C7448"/>
    <w:rsid w:val="008D2F9F"/>
    <w:rsid w:val="008D5E73"/>
    <w:rsid w:val="008D5F46"/>
    <w:rsid w:val="008E447A"/>
    <w:rsid w:val="008E638E"/>
    <w:rsid w:val="008E6F0B"/>
    <w:rsid w:val="008F2B5C"/>
    <w:rsid w:val="008F5C81"/>
    <w:rsid w:val="008F745C"/>
    <w:rsid w:val="00907E6B"/>
    <w:rsid w:val="00920ED5"/>
    <w:rsid w:val="00921F3C"/>
    <w:rsid w:val="00925A42"/>
    <w:rsid w:val="00934977"/>
    <w:rsid w:val="0093761F"/>
    <w:rsid w:val="0095037E"/>
    <w:rsid w:val="00953288"/>
    <w:rsid w:val="0095698B"/>
    <w:rsid w:val="00970EAE"/>
    <w:rsid w:val="00991B7C"/>
    <w:rsid w:val="009E00AB"/>
    <w:rsid w:val="009F153D"/>
    <w:rsid w:val="009F4EC0"/>
    <w:rsid w:val="009F5301"/>
    <w:rsid w:val="009F5B5F"/>
    <w:rsid w:val="00A00246"/>
    <w:rsid w:val="00A0150A"/>
    <w:rsid w:val="00A02012"/>
    <w:rsid w:val="00A07286"/>
    <w:rsid w:val="00A1308D"/>
    <w:rsid w:val="00A33791"/>
    <w:rsid w:val="00A33944"/>
    <w:rsid w:val="00A33995"/>
    <w:rsid w:val="00A40EA7"/>
    <w:rsid w:val="00A45A36"/>
    <w:rsid w:val="00A510B8"/>
    <w:rsid w:val="00A51B38"/>
    <w:rsid w:val="00A5250F"/>
    <w:rsid w:val="00A65108"/>
    <w:rsid w:val="00A7135E"/>
    <w:rsid w:val="00A80EC2"/>
    <w:rsid w:val="00AA4626"/>
    <w:rsid w:val="00AB51A1"/>
    <w:rsid w:val="00AC21D4"/>
    <w:rsid w:val="00AD499D"/>
    <w:rsid w:val="00AF422E"/>
    <w:rsid w:val="00AF4E72"/>
    <w:rsid w:val="00B01277"/>
    <w:rsid w:val="00B132A4"/>
    <w:rsid w:val="00B25CBB"/>
    <w:rsid w:val="00B25E9A"/>
    <w:rsid w:val="00B473EE"/>
    <w:rsid w:val="00B53B85"/>
    <w:rsid w:val="00B67172"/>
    <w:rsid w:val="00B70C1B"/>
    <w:rsid w:val="00B750FC"/>
    <w:rsid w:val="00B756FF"/>
    <w:rsid w:val="00B8145E"/>
    <w:rsid w:val="00B81CAA"/>
    <w:rsid w:val="00B91AEF"/>
    <w:rsid w:val="00B92A3E"/>
    <w:rsid w:val="00BA0A7A"/>
    <w:rsid w:val="00BA4D09"/>
    <w:rsid w:val="00BA766D"/>
    <w:rsid w:val="00BD3E92"/>
    <w:rsid w:val="00BD5B55"/>
    <w:rsid w:val="00BF1026"/>
    <w:rsid w:val="00BF122B"/>
    <w:rsid w:val="00C07C22"/>
    <w:rsid w:val="00C104D5"/>
    <w:rsid w:val="00C237D6"/>
    <w:rsid w:val="00C3675F"/>
    <w:rsid w:val="00C372DF"/>
    <w:rsid w:val="00C44B9A"/>
    <w:rsid w:val="00C50739"/>
    <w:rsid w:val="00C670B7"/>
    <w:rsid w:val="00C742DB"/>
    <w:rsid w:val="00C77165"/>
    <w:rsid w:val="00C90BCD"/>
    <w:rsid w:val="00C977AD"/>
    <w:rsid w:val="00CB58DA"/>
    <w:rsid w:val="00CC34F6"/>
    <w:rsid w:val="00CD01B5"/>
    <w:rsid w:val="00CD08BE"/>
    <w:rsid w:val="00CD2693"/>
    <w:rsid w:val="00CD4F8D"/>
    <w:rsid w:val="00CF0841"/>
    <w:rsid w:val="00CF4415"/>
    <w:rsid w:val="00D013B7"/>
    <w:rsid w:val="00D0766C"/>
    <w:rsid w:val="00D25E5E"/>
    <w:rsid w:val="00D2665C"/>
    <w:rsid w:val="00D34B6E"/>
    <w:rsid w:val="00D4064C"/>
    <w:rsid w:val="00D53A4A"/>
    <w:rsid w:val="00D57ED9"/>
    <w:rsid w:val="00D72053"/>
    <w:rsid w:val="00D776E6"/>
    <w:rsid w:val="00D82DF7"/>
    <w:rsid w:val="00D90A37"/>
    <w:rsid w:val="00D92278"/>
    <w:rsid w:val="00DA101F"/>
    <w:rsid w:val="00DB4386"/>
    <w:rsid w:val="00DB43E1"/>
    <w:rsid w:val="00DB49F6"/>
    <w:rsid w:val="00DC0E04"/>
    <w:rsid w:val="00DC12EC"/>
    <w:rsid w:val="00DD0BED"/>
    <w:rsid w:val="00DD3730"/>
    <w:rsid w:val="00DE2292"/>
    <w:rsid w:val="00DF3718"/>
    <w:rsid w:val="00DF7A44"/>
    <w:rsid w:val="00E03B92"/>
    <w:rsid w:val="00E07050"/>
    <w:rsid w:val="00E0730F"/>
    <w:rsid w:val="00E16F58"/>
    <w:rsid w:val="00E175B8"/>
    <w:rsid w:val="00E46745"/>
    <w:rsid w:val="00E64841"/>
    <w:rsid w:val="00E6522C"/>
    <w:rsid w:val="00E74C4E"/>
    <w:rsid w:val="00E75638"/>
    <w:rsid w:val="00E7633B"/>
    <w:rsid w:val="00E86722"/>
    <w:rsid w:val="00E873F9"/>
    <w:rsid w:val="00E87A09"/>
    <w:rsid w:val="00EA2325"/>
    <w:rsid w:val="00EA45E3"/>
    <w:rsid w:val="00EB152C"/>
    <w:rsid w:val="00EB3432"/>
    <w:rsid w:val="00EB64D4"/>
    <w:rsid w:val="00EC241F"/>
    <w:rsid w:val="00EC3B22"/>
    <w:rsid w:val="00ED3916"/>
    <w:rsid w:val="00EE575A"/>
    <w:rsid w:val="00EF370B"/>
    <w:rsid w:val="00EF6572"/>
    <w:rsid w:val="00EF7C8C"/>
    <w:rsid w:val="00F047DD"/>
    <w:rsid w:val="00F15A89"/>
    <w:rsid w:val="00F15C4A"/>
    <w:rsid w:val="00F27800"/>
    <w:rsid w:val="00F33146"/>
    <w:rsid w:val="00F34249"/>
    <w:rsid w:val="00F35E87"/>
    <w:rsid w:val="00F41167"/>
    <w:rsid w:val="00F53A0E"/>
    <w:rsid w:val="00F57145"/>
    <w:rsid w:val="00F8080D"/>
    <w:rsid w:val="00F96BC3"/>
    <w:rsid w:val="00FA3E10"/>
    <w:rsid w:val="00FA6BEC"/>
    <w:rsid w:val="00FB066D"/>
    <w:rsid w:val="00FB37AD"/>
    <w:rsid w:val="00FC30B0"/>
    <w:rsid w:val="00FD2C54"/>
    <w:rsid w:val="00FE08C0"/>
    <w:rsid w:val="00FF18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2187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2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1FC"/>
    <w:pPr>
      <w:ind w:left="720"/>
      <w:contextualSpacing/>
    </w:pPr>
  </w:style>
  <w:style w:type="paragraph" w:styleId="NormalWeb">
    <w:name w:val="Normal (Web)"/>
    <w:basedOn w:val="Normal"/>
    <w:uiPriority w:val="99"/>
    <w:semiHidden/>
    <w:unhideWhenUsed/>
    <w:rsid w:val="00E6484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64841"/>
    <w:rPr>
      <w:b/>
      <w:bCs/>
    </w:rPr>
  </w:style>
  <w:style w:type="character" w:styleId="Emphasis">
    <w:name w:val="Emphasis"/>
    <w:basedOn w:val="DefaultParagraphFont"/>
    <w:uiPriority w:val="20"/>
    <w:qFormat/>
    <w:rsid w:val="00E64841"/>
    <w:rPr>
      <w:i/>
      <w:iCs/>
    </w:rPr>
  </w:style>
  <w:style w:type="table" w:styleId="TableGrid">
    <w:name w:val="Table Grid"/>
    <w:basedOn w:val="TableNormal"/>
    <w:uiPriority w:val="39"/>
    <w:rsid w:val="00E648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B8145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B8145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C977AD"/>
    <w:rPr>
      <w:color w:val="0563C1" w:themeColor="hyperlink"/>
      <w:u w:val="single"/>
    </w:rPr>
  </w:style>
  <w:style w:type="paragraph" w:styleId="Header">
    <w:name w:val="header"/>
    <w:basedOn w:val="Normal"/>
    <w:link w:val="HeaderChar"/>
    <w:uiPriority w:val="99"/>
    <w:unhideWhenUsed/>
    <w:rsid w:val="007F7D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7D6F"/>
  </w:style>
  <w:style w:type="paragraph" w:styleId="Footer">
    <w:name w:val="footer"/>
    <w:basedOn w:val="Normal"/>
    <w:link w:val="FooterChar"/>
    <w:uiPriority w:val="99"/>
    <w:unhideWhenUsed/>
    <w:rsid w:val="007F7D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7D6F"/>
  </w:style>
  <w:style w:type="paragraph" w:styleId="Caption">
    <w:name w:val="caption"/>
    <w:basedOn w:val="Normal"/>
    <w:next w:val="Normal"/>
    <w:uiPriority w:val="35"/>
    <w:unhideWhenUsed/>
    <w:qFormat/>
    <w:rsid w:val="00426425"/>
    <w:pPr>
      <w:spacing w:after="200" w:line="240" w:lineRule="auto"/>
    </w:pPr>
    <w:rPr>
      <w:i/>
      <w:iCs/>
      <w:color w:val="44546A" w:themeColor="text2"/>
      <w:sz w:val="18"/>
      <w:szCs w:val="18"/>
    </w:rPr>
  </w:style>
  <w:style w:type="table" w:styleId="GridTable5Dark-Accent5">
    <w:name w:val="Grid Table 5 Dark Accent 5"/>
    <w:basedOn w:val="TableNormal"/>
    <w:uiPriority w:val="50"/>
    <w:rsid w:val="00365E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365E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UnresolvedMention1">
    <w:name w:val="Unresolved Mention1"/>
    <w:basedOn w:val="DefaultParagraphFont"/>
    <w:uiPriority w:val="99"/>
    <w:semiHidden/>
    <w:unhideWhenUsed/>
    <w:rsid w:val="007D6B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85920">
      <w:bodyDiv w:val="1"/>
      <w:marLeft w:val="0"/>
      <w:marRight w:val="0"/>
      <w:marTop w:val="0"/>
      <w:marBottom w:val="0"/>
      <w:divBdr>
        <w:top w:val="none" w:sz="0" w:space="0" w:color="auto"/>
        <w:left w:val="none" w:sz="0" w:space="0" w:color="auto"/>
        <w:bottom w:val="none" w:sz="0" w:space="0" w:color="auto"/>
        <w:right w:val="none" w:sz="0" w:space="0" w:color="auto"/>
      </w:divBdr>
    </w:div>
    <w:div w:id="284849005">
      <w:bodyDiv w:val="1"/>
      <w:marLeft w:val="0"/>
      <w:marRight w:val="0"/>
      <w:marTop w:val="0"/>
      <w:marBottom w:val="0"/>
      <w:divBdr>
        <w:top w:val="none" w:sz="0" w:space="0" w:color="auto"/>
        <w:left w:val="none" w:sz="0" w:space="0" w:color="auto"/>
        <w:bottom w:val="none" w:sz="0" w:space="0" w:color="auto"/>
        <w:right w:val="none" w:sz="0" w:space="0" w:color="auto"/>
      </w:divBdr>
    </w:div>
    <w:div w:id="641228446">
      <w:bodyDiv w:val="1"/>
      <w:marLeft w:val="0"/>
      <w:marRight w:val="0"/>
      <w:marTop w:val="0"/>
      <w:marBottom w:val="0"/>
      <w:divBdr>
        <w:top w:val="none" w:sz="0" w:space="0" w:color="auto"/>
        <w:left w:val="none" w:sz="0" w:space="0" w:color="auto"/>
        <w:bottom w:val="none" w:sz="0" w:space="0" w:color="auto"/>
        <w:right w:val="none" w:sz="0" w:space="0" w:color="auto"/>
      </w:divBdr>
    </w:div>
    <w:div w:id="841899703">
      <w:bodyDiv w:val="1"/>
      <w:marLeft w:val="0"/>
      <w:marRight w:val="0"/>
      <w:marTop w:val="0"/>
      <w:marBottom w:val="0"/>
      <w:divBdr>
        <w:top w:val="none" w:sz="0" w:space="0" w:color="auto"/>
        <w:left w:val="none" w:sz="0" w:space="0" w:color="auto"/>
        <w:bottom w:val="none" w:sz="0" w:space="0" w:color="auto"/>
        <w:right w:val="none" w:sz="0" w:space="0" w:color="auto"/>
      </w:divBdr>
    </w:div>
    <w:div w:id="870916976">
      <w:bodyDiv w:val="1"/>
      <w:marLeft w:val="0"/>
      <w:marRight w:val="0"/>
      <w:marTop w:val="0"/>
      <w:marBottom w:val="0"/>
      <w:divBdr>
        <w:top w:val="none" w:sz="0" w:space="0" w:color="auto"/>
        <w:left w:val="none" w:sz="0" w:space="0" w:color="auto"/>
        <w:bottom w:val="none" w:sz="0" w:space="0" w:color="auto"/>
        <w:right w:val="none" w:sz="0" w:space="0" w:color="auto"/>
      </w:divBdr>
    </w:div>
    <w:div w:id="1053383253">
      <w:bodyDiv w:val="1"/>
      <w:marLeft w:val="0"/>
      <w:marRight w:val="0"/>
      <w:marTop w:val="0"/>
      <w:marBottom w:val="0"/>
      <w:divBdr>
        <w:top w:val="none" w:sz="0" w:space="0" w:color="auto"/>
        <w:left w:val="none" w:sz="0" w:space="0" w:color="auto"/>
        <w:bottom w:val="none" w:sz="0" w:space="0" w:color="auto"/>
        <w:right w:val="none" w:sz="0" w:space="0" w:color="auto"/>
      </w:divBdr>
    </w:div>
    <w:div w:id="182813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culanth.org/index.php/ca/article/view/4146" TargetMode="External"/><Relationship Id="rId18" Type="http://schemas.openxmlformats.org/officeDocument/2006/relationships/hyperlink" Target="https://www.emerald.com/insight/content/doi/10.1108/978-1-83982-900-020211013/full/html" TargetMode="External"/><Relationship Id="rId26" Type="http://schemas.openxmlformats.org/officeDocument/2006/relationships/hyperlink" Target="https://www.tandfonline.com/doi/abs/10.1080/19388160.2020.1801546" TargetMode="External"/><Relationship Id="rId3" Type="http://schemas.openxmlformats.org/officeDocument/2006/relationships/styles" Target="styles.xml"/><Relationship Id="rId21" Type="http://schemas.openxmlformats.org/officeDocument/2006/relationships/hyperlink" Target="https://www.tandfonline.com/doi/abs/10.1080/0267257X.2021.1912142" TargetMode="External"/><Relationship Id="rId7" Type="http://schemas.openxmlformats.org/officeDocument/2006/relationships/endnotes" Target="endnotes.xml"/><Relationship Id="rId12" Type="http://schemas.openxmlformats.org/officeDocument/2006/relationships/hyperlink" Target="https://www.mdpi.com/2076-3417/14/7/2747" TargetMode="External"/><Relationship Id="rId17" Type="http://schemas.openxmlformats.org/officeDocument/2006/relationships/hyperlink" Target="https://ieeexplore.ieee.org/abstract/document/10265193/" TargetMode="External"/><Relationship Id="rId25" Type="http://schemas.openxmlformats.org/officeDocument/2006/relationships/hyperlink" Target="https://www.tandfonline.com/doi/abs/10.1080/15470148.2020.1719949" TargetMode="External"/><Relationship Id="rId2" Type="http://schemas.openxmlformats.org/officeDocument/2006/relationships/numbering" Target="numbering.xml"/><Relationship Id="rId16" Type="http://schemas.openxmlformats.org/officeDocument/2006/relationships/hyperlink" Target="https://www.emerald.com/insight/content/doi/10.1108/IJLM-02-2019-0066/full/html?casa_token=5jEhPXGVDvwAAAAA:CqpHIhB4YoGXHXImwl7aYpmTzEh8DDDviBnAyRwUGrOBsMgOZ3HQTpqa5i7p6qV7emT82Gev_RlLINQ8fT5CCxfqimswHmbT-qNT2nmRXr_9ljPvW4DfMg" TargetMode="External"/><Relationship Id="rId20" Type="http://schemas.openxmlformats.org/officeDocument/2006/relationships/hyperlink" Target="https://link.springer.com/article/10.1007/s12525-020-00433-4" TargetMode="External"/><Relationship Id="rId29" Type="http://schemas.openxmlformats.org/officeDocument/2006/relationships/hyperlink" Target="https://www.sciencedirect.com/science/article/pii/S0167739X173106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78431920300517" TargetMode="External"/><Relationship Id="rId24" Type="http://schemas.openxmlformats.org/officeDocument/2006/relationships/hyperlink" Target="https://www.sciencedirect.com/science/article/pii/S027843192030374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abs/10.1080/10400435.2020.1812764" TargetMode="External"/><Relationship Id="rId23" Type="http://schemas.openxmlformats.org/officeDocument/2006/relationships/hyperlink" Target="https://www.sciencedirect.com/science/article/pii/S0305750X23000037" TargetMode="External"/><Relationship Id="rId28" Type="http://schemas.openxmlformats.org/officeDocument/2006/relationships/hyperlink" Target="https://ak-tyagi.com/static/pdf/6.pdf" TargetMode="External"/><Relationship Id="rId10" Type="http://schemas.openxmlformats.org/officeDocument/2006/relationships/hyperlink" Target="https://link.springer.com/chapter/10.1007/978-3-030-05940-8_24" TargetMode="External"/><Relationship Id="rId19" Type="http://schemas.openxmlformats.org/officeDocument/2006/relationships/hyperlink" Target="https://www.taylorfrancis.com/chapters/oa-edit/10.4324/9781003314295-1/events-sustainability-making-events-sustainable-enough-judith-mair-andrew-smith"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211973621000246" TargetMode="External"/><Relationship Id="rId22" Type="http://schemas.openxmlformats.org/officeDocument/2006/relationships/hyperlink" Target="https://www.mdpi.com/2071-1050/12/19/8279" TargetMode="External"/><Relationship Id="rId27" Type="http://schemas.openxmlformats.org/officeDocument/2006/relationships/hyperlink" Target="https://papers.ssrn.com/sol3/papers.cfm?abstract_id=4051469"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FB33C-E43C-4200-AE62-FCD8F362B8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4668</Words>
  <Characters>26609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2024-05-30T21:05:00Z</dcterms:created>
  <dcterms:modified xsi:type="dcterms:W3CDTF">2024-05-30T21:05:00Z</dcterms:modified>
</cp:coreProperties>
</file>