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0589" w:rsidRPr="00CA24AA" w:rsidRDefault="00730589" w:rsidP="00730589">
      <w:pPr>
        <w:ind w:left="4320" w:hanging="2880"/>
        <w:rPr>
          <w:rFonts w:ascii="Arial" w:hAnsi="Arial" w:cs="Arial"/>
          <w:b/>
          <w:bCs/>
          <w:color w:val="000000" w:themeColor="text1"/>
        </w:rPr>
      </w:pPr>
      <w:r w:rsidRPr="00CA24AA">
        <w:rPr>
          <w:rFonts w:ascii="Arial" w:hAnsi="Arial" w:cs="Arial"/>
          <w:b/>
          <w:noProof/>
          <w:color w:val="000000" w:themeColor="text1"/>
        </w:rPr>
        <w:drawing>
          <wp:inline distT="0" distB="0" distL="0" distR="0" wp14:anchorId="289D86A2" wp14:editId="3E42CD1E">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730589" w:rsidRPr="00CA24AA" w:rsidRDefault="00730589" w:rsidP="00730589">
      <w:pPr>
        <w:ind w:left="4320" w:hanging="2880"/>
        <w:rPr>
          <w:rFonts w:ascii="Arial" w:hAnsi="Arial" w:cs="Arial"/>
          <w:b/>
          <w:bCs/>
          <w:color w:val="000000" w:themeColor="text1"/>
        </w:rPr>
      </w:pPr>
    </w:p>
    <w:p w:rsidR="00730589" w:rsidRPr="00D312FF" w:rsidRDefault="00730589" w:rsidP="00730589">
      <w:pPr>
        <w:ind w:left="4320" w:hanging="2880"/>
        <w:rPr>
          <w:rFonts w:ascii="Arial" w:hAnsi="Arial" w:cs="Arial"/>
          <w:b/>
          <w:sz w:val="30"/>
          <w:szCs w:val="34"/>
        </w:rPr>
      </w:pPr>
      <w:r w:rsidRPr="00D312FF">
        <w:rPr>
          <w:rFonts w:ascii="Arial" w:hAnsi="Arial" w:cs="Arial"/>
          <w:b/>
          <w:bCs/>
          <w:color w:val="000000" w:themeColor="text1"/>
          <w:sz w:val="30"/>
          <w:szCs w:val="34"/>
        </w:rPr>
        <w:t xml:space="preserve">Assignment Title: </w:t>
      </w:r>
      <w:r w:rsidRPr="00D312FF">
        <w:rPr>
          <w:rFonts w:ascii="Arial" w:hAnsi="Arial" w:cs="Arial"/>
          <w:b/>
          <w:bCs/>
          <w:color w:val="000000" w:themeColor="text1"/>
          <w:sz w:val="30"/>
          <w:szCs w:val="34"/>
        </w:rPr>
        <w:tab/>
      </w:r>
      <w:r>
        <w:rPr>
          <w:rFonts w:ascii="Arial" w:hAnsi="Arial" w:cs="Arial"/>
          <w:b/>
          <w:bCs/>
          <w:color w:val="000000" w:themeColor="text1"/>
          <w:sz w:val="30"/>
          <w:szCs w:val="34"/>
        </w:rPr>
        <w:tab/>
      </w:r>
      <w:r w:rsidRPr="00D312FF">
        <w:rPr>
          <w:rFonts w:ascii="Arial" w:hAnsi="Arial" w:cs="Arial"/>
          <w:b/>
          <w:sz w:val="30"/>
          <w:szCs w:val="34"/>
        </w:rPr>
        <w:t>List of References</w:t>
      </w:r>
    </w:p>
    <w:p w:rsidR="00730589" w:rsidRPr="00D312FF" w:rsidRDefault="00730589" w:rsidP="00730589">
      <w:pPr>
        <w:ind w:left="4320" w:hanging="2880"/>
        <w:rPr>
          <w:rFonts w:ascii="Arial" w:hAnsi="Arial" w:cs="Arial"/>
          <w:color w:val="000000" w:themeColor="text1"/>
          <w:sz w:val="30"/>
          <w:szCs w:val="34"/>
        </w:rPr>
      </w:pPr>
      <w:r w:rsidRPr="00D312FF">
        <w:rPr>
          <w:rFonts w:ascii="Arial" w:hAnsi="Arial" w:cs="Arial"/>
          <w:b/>
          <w:bCs/>
          <w:color w:val="000000" w:themeColor="text1"/>
          <w:sz w:val="30"/>
          <w:szCs w:val="34"/>
        </w:rPr>
        <w:t xml:space="preserve">Module Name: </w:t>
      </w:r>
      <w:r w:rsidRPr="00D312FF">
        <w:rPr>
          <w:rFonts w:ascii="Arial" w:hAnsi="Arial" w:cs="Arial"/>
          <w:b/>
          <w:bCs/>
          <w:color w:val="000000" w:themeColor="text1"/>
          <w:sz w:val="30"/>
          <w:szCs w:val="34"/>
        </w:rPr>
        <w:tab/>
      </w:r>
      <w:r>
        <w:rPr>
          <w:rFonts w:ascii="Arial" w:hAnsi="Arial" w:cs="Arial"/>
          <w:b/>
          <w:bCs/>
          <w:color w:val="000000" w:themeColor="text1"/>
          <w:sz w:val="30"/>
          <w:szCs w:val="34"/>
        </w:rPr>
        <w:tab/>
      </w:r>
      <w:r w:rsidRPr="00D312FF">
        <w:rPr>
          <w:rFonts w:ascii="Arial" w:hAnsi="Arial" w:cs="Arial"/>
          <w:b/>
          <w:bCs/>
          <w:sz w:val="30"/>
          <w:szCs w:val="34"/>
        </w:rPr>
        <w:t>Digital Technologies</w:t>
      </w:r>
    </w:p>
    <w:p w:rsidR="00730589" w:rsidRPr="00D312FF" w:rsidRDefault="00730589" w:rsidP="00730589">
      <w:pPr>
        <w:ind w:left="1440"/>
        <w:rPr>
          <w:rFonts w:ascii="Arial" w:hAnsi="Arial" w:cs="Arial"/>
          <w:color w:val="000000" w:themeColor="text1"/>
          <w:sz w:val="30"/>
          <w:szCs w:val="34"/>
        </w:rPr>
      </w:pPr>
      <w:r w:rsidRPr="00D312FF">
        <w:rPr>
          <w:rFonts w:ascii="Arial" w:hAnsi="Arial" w:cs="Arial"/>
          <w:b/>
          <w:bCs/>
          <w:color w:val="000000" w:themeColor="text1"/>
          <w:sz w:val="30"/>
          <w:szCs w:val="34"/>
        </w:rPr>
        <w:t>Module Code:</w:t>
      </w:r>
      <w:r w:rsidRPr="00D312FF">
        <w:rPr>
          <w:rFonts w:ascii="Arial" w:hAnsi="Arial" w:cs="Arial"/>
          <w:b/>
          <w:bCs/>
          <w:color w:val="000000" w:themeColor="text1"/>
          <w:sz w:val="30"/>
          <w:szCs w:val="34"/>
        </w:rPr>
        <w:tab/>
      </w:r>
      <w:r w:rsidRPr="00D312FF">
        <w:rPr>
          <w:rFonts w:ascii="Arial" w:hAnsi="Arial" w:cs="Arial"/>
          <w:b/>
          <w:bCs/>
          <w:color w:val="000000" w:themeColor="text1"/>
          <w:sz w:val="30"/>
          <w:szCs w:val="34"/>
        </w:rPr>
        <w:tab/>
      </w:r>
      <w:r>
        <w:rPr>
          <w:rFonts w:ascii="Arial" w:hAnsi="Arial" w:cs="Arial"/>
          <w:b/>
          <w:bCs/>
          <w:color w:val="000000" w:themeColor="text1"/>
          <w:sz w:val="30"/>
          <w:szCs w:val="34"/>
        </w:rPr>
        <w:tab/>
      </w:r>
      <w:r w:rsidRPr="00D312FF">
        <w:rPr>
          <w:rFonts w:ascii="Arial" w:hAnsi="Arial" w:cs="Arial"/>
          <w:b/>
          <w:bCs/>
          <w:color w:val="000000" w:themeColor="text1"/>
          <w:sz w:val="30"/>
          <w:szCs w:val="34"/>
        </w:rPr>
        <w:t>ACCA4030</w:t>
      </w:r>
    </w:p>
    <w:p w:rsidR="00730589" w:rsidRPr="00D312FF" w:rsidRDefault="00730589" w:rsidP="00730589">
      <w:pPr>
        <w:ind w:left="5040" w:hanging="3600"/>
        <w:rPr>
          <w:rFonts w:ascii="Arial" w:hAnsi="Arial" w:cs="Arial"/>
          <w:color w:val="000000" w:themeColor="text1"/>
          <w:sz w:val="30"/>
          <w:szCs w:val="34"/>
        </w:rPr>
      </w:pPr>
      <w:r w:rsidRPr="00D312FF">
        <w:rPr>
          <w:rFonts w:ascii="Arial" w:hAnsi="Arial" w:cs="Arial"/>
          <w:b/>
          <w:bCs/>
          <w:color w:val="000000" w:themeColor="text1"/>
          <w:sz w:val="30"/>
          <w:szCs w:val="34"/>
        </w:rPr>
        <w:t>Program of Study:</w:t>
      </w:r>
      <w:r>
        <w:rPr>
          <w:rFonts w:ascii="Arial" w:hAnsi="Arial" w:cs="Arial"/>
          <w:b/>
          <w:bCs/>
          <w:color w:val="000000" w:themeColor="text1"/>
          <w:sz w:val="30"/>
          <w:szCs w:val="34"/>
        </w:rPr>
        <w:tab/>
      </w:r>
      <w:r w:rsidRPr="00D312FF">
        <w:rPr>
          <w:rFonts w:ascii="Arial" w:hAnsi="Arial" w:cs="Arial"/>
          <w:b/>
          <w:bCs/>
          <w:color w:val="000000" w:themeColor="text1"/>
          <w:sz w:val="30"/>
          <w:szCs w:val="34"/>
        </w:rPr>
        <w:t>Cert HE Construction, Digital, Computing &amp; Engineering</w:t>
      </w:r>
    </w:p>
    <w:p w:rsidR="00730589" w:rsidRPr="00D312FF" w:rsidRDefault="00730589" w:rsidP="00730589">
      <w:pPr>
        <w:ind w:left="1440"/>
        <w:rPr>
          <w:rFonts w:ascii="Arial" w:hAnsi="Arial" w:cs="Arial"/>
          <w:color w:val="000000" w:themeColor="text1"/>
          <w:sz w:val="30"/>
          <w:szCs w:val="34"/>
        </w:rPr>
      </w:pPr>
      <w:r>
        <w:rPr>
          <w:rFonts w:ascii="Arial" w:hAnsi="Arial" w:cs="Arial"/>
          <w:b/>
          <w:bCs/>
          <w:color w:val="000000" w:themeColor="text1"/>
          <w:sz w:val="30"/>
          <w:szCs w:val="34"/>
        </w:rPr>
        <w:t xml:space="preserve">Student Name: </w:t>
      </w:r>
      <w:r>
        <w:rPr>
          <w:rFonts w:ascii="Arial" w:hAnsi="Arial" w:cs="Arial"/>
          <w:b/>
          <w:bCs/>
          <w:color w:val="000000" w:themeColor="text1"/>
          <w:sz w:val="30"/>
          <w:szCs w:val="34"/>
        </w:rPr>
        <w:tab/>
      </w:r>
      <w:r>
        <w:rPr>
          <w:rFonts w:ascii="Arial" w:hAnsi="Arial" w:cs="Arial"/>
          <w:b/>
          <w:bCs/>
          <w:color w:val="000000" w:themeColor="text1"/>
          <w:sz w:val="30"/>
          <w:szCs w:val="34"/>
        </w:rPr>
        <w:tab/>
        <w:t xml:space="preserve">Andrea </w:t>
      </w:r>
      <w:proofErr w:type="spellStart"/>
      <w:r>
        <w:rPr>
          <w:rFonts w:ascii="Arial" w:hAnsi="Arial" w:cs="Arial"/>
          <w:b/>
          <w:bCs/>
          <w:color w:val="000000" w:themeColor="text1"/>
          <w:sz w:val="30"/>
          <w:szCs w:val="34"/>
        </w:rPr>
        <w:t>Vargova</w:t>
      </w:r>
      <w:proofErr w:type="spellEnd"/>
    </w:p>
    <w:p w:rsidR="00730589" w:rsidRPr="00D312FF" w:rsidRDefault="00730589" w:rsidP="00730589">
      <w:pPr>
        <w:ind w:left="1440"/>
        <w:rPr>
          <w:rFonts w:ascii="Arial" w:hAnsi="Arial" w:cs="Arial"/>
          <w:color w:val="000000" w:themeColor="text1"/>
          <w:sz w:val="30"/>
          <w:szCs w:val="34"/>
        </w:rPr>
      </w:pPr>
      <w:r w:rsidRPr="00D312FF">
        <w:rPr>
          <w:rFonts w:ascii="Arial" w:hAnsi="Arial" w:cs="Arial"/>
          <w:b/>
          <w:bCs/>
          <w:color w:val="000000" w:themeColor="text1"/>
          <w:sz w:val="30"/>
          <w:szCs w:val="34"/>
        </w:rPr>
        <w:t xml:space="preserve">Student ID #: </w:t>
      </w:r>
      <w:r w:rsidRPr="00D312FF">
        <w:rPr>
          <w:rFonts w:ascii="Arial" w:hAnsi="Arial" w:cs="Arial"/>
          <w:b/>
          <w:bCs/>
          <w:color w:val="000000" w:themeColor="text1"/>
          <w:sz w:val="30"/>
          <w:szCs w:val="34"/>
        </w:rPr>
        <w:tab/>
      </w:r>
      <w:r w:rsidRPr="00D312FF">
        <w:rPr>
          <w:rFonts w:ascii="Arial" w:hAnsi="Arial" w:cs="Arial"/>
          <w:b/>
          <w:bCs/>
          <w:color w:val="000000" w:themeColor="text1"/>
          <w:sz w:val="30"/>
          <w:szCs w:val="34"/>
        </w:rPr>
        <w:tab/>
      </w:r>
      <w:r>
        <w:rPr>
          <w:rFonts w:ascii="Arial" w:hAnsi="Arial" w:cs="Arial"/>
          <w:b/>
          <w:bCs/>
          <w:color w:val="000000" w:themeColor="text1"/>
          <w:sz w:val="30"/>
          <w:szCs w:val="34"/>
        </w:rPr>
        <w:tab/>
        <w:t>2127239</w:t>
      </w:r>
    </w:p>
    <w:p w:rsidR="00730589" w:rsidRPr="00D312FF" w:rsidRDefault="00730589" w:rsidP="00730589">
      <w:pPr>
        <w:ind w:left="4320" w:hanging="2880"/>
        <w:rPr>
          <w:rFonts w:ascii="Arial" w:hAnsi="Arial" w:cs="Arial"/>
          <w:b/>
          <w:bCs/>
          <w:color w:val="000000" w:themeColor="text1"/>
          <w:sz w:val="30"/>
          <w:szCs w:val="34"/>
        </w:rPr>
      </w:pPr>
      <w:r w:rsidRPr="00D312FF">
        <w:rPr>
          <w:rFonts w:ascii="Arial" w:hAnsi="Arial" w:cs="Arial"/>
          <w:b/>
          <w:bCs/>
          <w:color w:val="000000" w:themeColor="text1"/>
          <w:sz w:val="30"/>
          <w:szCs w:val="34"/>
        </w:rPr>
        <w:t xml:space="preserve">Lecturer Name: </w:t>
      </w:r>
      <w:r w:rsidRPr="00D312FF">
        <w:rPr>
          <w:rFonts w:ascii="Arial" w:hAnsi="Arial" w:cs="Arial"/>
          <w:b/>
          <w:bCs/>
          <w:color w:val="000000" w:themeColor="text1"/>
          <w:sz w:val="30"/>
          <w:szCs w:val="34"/>
        </w:rPr>
        <w:tab/>
      </w:r>
      <w:r w:rsidRPr="00D312FF">
        <w:rPr>
          <w:rFonts w:ascii="Arial" w:hAnsi="Arial" w:cs="Arial"/>
          <w:b/>
          <w:bCs/>
          <w:color w:val="000000" w:themeColor="text1"/>
          <w:sz w:val="30"/>
          <w:szCs w:val="34"/>
        </w:rPr>
        <w:tab/>
      </w:r>
      <w:proofErr w:type="spellStart"/>
      <w:r w:rsidRPr="00D312FF">
        <w:rPr>
          <w:rFonts w:ascii="Arial" w:hAnsi="Arial" w:cs="Arial"/>
          <w:b/>
          <w:bCs/>
          <w:color w:val="000000" w:themeColor="text1"/>
          <w:sz w:val="30"/>
          <w:szCs w:val="34"/>
        </w:rPr>
        <w:t>Ms.</w:t>
      </w:r>
      <w:proofErr w:type="spellEnd"/>
      <w:r w:rsidRPr="00D312FF">
        <w:rPr>
          <w:rFonts w:ascii="Arial" w:hAnsi="Arial" w:cs="Arial"/>
          <w:b/>
          <w:bCs/>
          <w:color w:val="000000" w:themeColor="text1"/>
          <w:sz w:val="30"/>
          <w:szCs w:val="34"/>
        </w:rPr>
        <w:t xml:space="preserve"> </w:t>
      </w:r>
      <w:proofErr w:type="spellStart"/>
      <w:r w:rsidRPr="00D312FF">
        <w:rPr>
          <w:rFonts w:ascii="Arial" w:hAnsi="Arial" w:cs="Arial"/>
          <w:b/>
          <w:bCs/>
          <w:color w:val="000000" w:themeColor="text1"/>
          <w:sz w:val="30"/>
          <w:szCs w:val="34"/>
        </w:rPr>
        <w:t>Munyaradzi</w:t>
      </w:r>
      <w:proofErr w:type="spellEnd"/>
      <w:r w:rsidRPr="00D312FF">
        <w:rPr>
          <w:rFonts w:ascii="Arial" w:hAnsi="Arial" w:cs="Arial"/>
          <w:b/>
          <w:bCs/>
          <w:color w:val="000000" w:themeColor="text1"/>
          <w:sz w:val="30"/>
          <w:szCs w:val="34"/>
        </w:rPr>
        <w:t xml:space="preserve"> N </w:t>
      </w:r>
      <w:proofErr w:type="spellStart"/>
      <w:r w:rsidRPr="00D312FF">
        <w:rPr>
          <w:rFonts w:ascii="Arial" w:hAnsi="Arial" w:cs="Arial"/>
          <w:b/>
          <w:bCs/>
          <w:color w:val="000000" w:themeColor="text1"/>
          <w:sz w:val="30"/>
          <w:szCs w:val="34"/>
        </w:rPr>
        <w:t>Murira</w:t>
      </w:r>
      <w:proofErr w:type="spellEnd"/>
    </w:p>
    <w:p w:rsidR="00730589" w:rsidRPr="00D312FF" w:rsidRDefault="00730589" w:rsidP="00730589">
      <w:pPr>
        <w:pStyle w:val="Heading3"/>
        <w:jc w:val="center"/>
        <w:rPr>
          <w:sz w:val="18"/>
        </w:rPr>
      </w:pPr>
    </w:p>
    <w:p w:rsidR="00730589" w:rsidRDefault="00730589">
      <w:pPr>
        <w:spacing w:line="259" w:lineRule="auto"/>
        <w:jc w:val="left"/>
        <w:rPr>
          <w:rFonts w:eastAsiaTheme="majorEastAsia" w:cstheme="majorBidi"/>
          <w:b/>
          <w:sz w:val="40"/>
          <w:szCs w:val="32"/>
        </w:rPr>
      </w:pPr>
      <w:r>
        <w:br w:type="page"/>
      </w:r>
    </w:p>
    <w:p w:rsidR="00C2708A" w:rsidRPr="00C2708A" w:rsidRDefault="00C2708A" w:rsidP="00C2708A">
      <w:pPr>
        <w:pStyle w:val="Heading1"/>
      </w:pPr>
      <w:r w:rsidRPr="00C2708A">
        <w:lastRenderedPageBreak/>
        <w:t>Summaries of Sources of Poster:</w:t>
      </w:r>
    </w:p>
    <w:p w:rsidR="00E458A6" w:rsidRDefault="00E458A6">
      <w:pPr>
        <w:rPr>
          <w:rFonts w:ascii="Segoe UI" w:hAnsi="Segoe UI" w:cs="Segoe UI"/>
          <w:color w:val="0F0F0F"/>
        </w:rPr>
      </w:pPr>
      <w:r>
        <w:rPr>
          <w:rFonts w:ascii="Segoe UI" w:hAnsi="Segoe UI" w:cs="Segoe UI"/>
          <w:color w:val="0F0F0F"/>
        </w:rPr>
        <w:t xml:space="preserve">In response to the profound impact of automation, robotics, and artificial intelligence on the global workforce, the author builds upon </w:t>
      </w:r>
      <w:proofErr w:type="spellStart"/>
      <w:r>
        <w:rPr>
          <w:rFonts w:ascii="Segoe UI" w:hAnsi="Segoe UI" w:cs="Segoe UI"/>
          <w:color w:val="0F0F0F"/>
        </w:rPr>
        <w:t>Hirschi's</w:t>
      </w:r>
      <w:proofErr w:type="spellEnd"/>
      <w:r>
        <w:rPr>
          <w:rFonts w:ascii="Segoe UI" w:hAnsi="Segoe UI" w:cs="Segoe UI"/>
          <w:color w:val="0F0F0F"/>
        </w:rPr>
        <w:t xml:space="preserve"> insights to explore the challenges faced by workers. Emphasizing the urgency of the situation, the discussion delves into the current and future obstacles to employment. The proposed steps for career development professionals involve advocating for displaced workers, engaging in transformative dialogues with educational institutions, and expanding </w:t>
      </w:r>
      <w:proofErr w:type="spellStart"/>
      <w:r>
        <w:rPr>
          <w:rFonts w:ascii="Segoe UI" w:hAnsi="Segoe UI" w:cs="Segoe UI"/>
          <w:color w:val="0F0F0F"/>
        </w:rPr>
        <w:t>counseling</w:t>
      </w:r>
      <w:proofErr w:type="spellEnd"/>
      <w:r>
        <w:rPr>
          <w:rFonts w:ascii="Segoe UI" w:hAnsi="Segoe UI" w:cs="Segoe UI"/>
          <w:color w:val="0F0F0F"/>
        </w:rPr>
        <w:t xml:space="preserve"> interventions. The goal is to equip clients for a future job market characterized by instability. This comprehensive approach aims to address the evolving landscape of work and prepare individuals for the uncertainties brought about by rapid technological advancements </w:t>
      </w:r>
      <w:r w:rsidR="007D4206" w:rsidRPr="009B51CC">
        <w:rPr>
          <w:rFonts w:ascii="Segoe UI" w:hAnsi="Segoe UI" w:cs="Segoe UI"/>
          <w:noProof/>
          <w:color w:val="0F0F0F"/>
        </w:rPr>
        <w:t>(Lent, 2018)</w:t>
      </w:r>
    </w:p>
    <w:p w:rsidR="00E458A6" w:rsidRDefault="00E458A6" w:rsidP="00E458A6"/>
    <w:p w:rsidR="00E458A6" w:rsidRDefault="00E458A6" w:rsidP="00E458A6">
      <w:r>
        <w:t xml:space="preserve">The 2011 report from the National Endowment for Science Technology and the Arts (NESTA) underscores higher education's pivotal role in the creative digital economy, highlighting the synergy between artistic and STEM skills. However, a knowledge gap exists in comprehending the diverse career paths, economic rewards, and job patterns of creative arts and design (CAD) versus digital technology (DT) graduates. The article contends that a comprehensive understanding of digital technology's role in the creative economy necessitates insights into its interaction with creative skills, both within and beyond creative industries. Bridging this gap is crucial for a nuanced comprehension of digital technologies in the creative landscape </w:t>
      </w:r>
      <w:r w:rsidR="007D4206" w:rsidRPr="009B51CC">
        <w:rPr>
          <w:noProof/>
        </w:rPr>
        <w:t>(Comunian, 2017)</w:t>
      </w:r>
    </w:p>
    <w:p w:rsidR="00E458A6" w:rsidRDefault="00E458A6" w:rsidP="00E458A6"/>
    <w:p w:rsidR="00E458A6" w:rsidRDefault="00E458A6" w:rsidP="00E458A6">
      <w:r w:rsidRPr="00E458A6">
        <w:t xml:space="preserve">This chapter explores the impact of digital technologies on career development, emphasizing their transformative role in shaping career contexts and support opportunities. It delves into the varying perspectives on how these technologies interact with society, categorizing them as tools, societal shapers, or social practices. The analysis introduces six metaphors—library, media channel, surveillance camera, marketplace, meeting place, and arena—to comprehend digital technologies' significance for individuals. For career development professionals, the chapter </w:t>
      </w:r>
      <w:r w:rsidRPr="00E458A6">
        <w:lastRenderedPageBreak/>
        <w:t xml:space="preserve">discusses using these technologies for information provision, automated interactions, or communication. The conclusion highlights three pedagogic stances (instrumental, </w:t>
      </w:r>
      <w:proofErr w:type="spellStart"/>
      <w:r w:rsidRPr="00730589">
        <w:t>connectivist</w:t>
      </w:r>
      <w:proofErr w:type="spellEnd"/>
      <w:r w:rsidRPr="00E458A6">
        <w:t>, or critical) guiding professionals in integrating diverse technologies to address the challenges and opportunities individuals face in building their careers</w:t>
      </w:r>
      <w:r w:rsidR="00C2708A">
        <w:t xml:space="preserve"> </w:t>
      </w:r>
      <w:r w:rsidR="007D4206" w:rsidRPr="009B51CC">
        <w:rPr>
          <w:noProof/>
        </w:rPr>
        <w:t>(Staunton, 2020)</w:t>
      </w:r>
      <w:r w:rsidRPr="00E458A6">
        <w:t>.</w:t>
      </w:r>
    </w:p>
    <w:p w:rsidR="00E458A6" w:rsidRDefault="00E458A6" w:rsidP="00E458A6"/>
    <w:p w:rsidR="00C2708A" w:rsidRDefault="00C2708A" w:rsidP="00E458A6">
      <w:r w:rsidRPr="00C2708A">
        <w:t>The UK is committed to harnessing technology for improved educational services, including career guidance. Over 50% of learners aged 14 and above rely on the internet for learning, with 22% utilizing distance learning. Current UK policy underscores the integration of technology in career guidance, with expectations of increased access and reduced costs. However, evidence on the benefits of internet-based guidance is lacking. The growing use of technology by youth poses new challenges for career guidance professionals. A research study explores the skills needed for internet-based guidance and young people's preferences for technology use in career education. Findings suggest internet-based services can effectively deliver career guidance, but accessibility issues must shape future developments. This paper discusses research insights, highlighting challenges and the desired role of technology in career guidance</w:t>
      </w:r>
      <w:r>
        <w:t xml:space="preserve"> </w:t>
      </w:r>
      <w:r w:rsidR="007D4206" w:rsidRPr="009B51CC">
        <w:rPr>
          <w:noProof/>
        </w:rPr>
        <w:t>(Barnes, 2011)</w:t>
      </w:r>
      <w:r w:rsidRPr="00C2708A">
        <w:t>.</w:t>
      </w:r>
    </w:p>
    <w:p w:rsidR="009B51CC" w:rsidRDefault="009B51CC" w:rsidP="00E458A6"/>
    <w:p w:rsidR="009B51CC" w:rsidRDefault="007D4206" w:rsidP="00460586">
      <w:r w:rsidRPr="007D4206">
        <w:t>The main organisational and technological developments in the Information and Communication Technology (I</w:t>
      </w:r>
      <w:r>
        <w:t>CT) field are examined in this paper</w:t>
      </w:r>
      <w:r w:rsidRPr="007D4206">
        <w:t xml:space="preserve">, which also highlights possible difficulties for trade unions and employees throughout the world. Concentrating on the meeting point of information technology and telecommunications, it explores the ramifications of crowdsourcing, cloud computing, and big data trends. Based on current trends in value chain reorganisation, the research links these advances. The research assesses prospects via the lens of ICT working environments and value chains, drawing on a wealth of desk research from European and global sources, sector studies, and projections from organisations such as the European Union and OECD. As well as providing insights into potential study topics, it outlines new difficulties facing unions and workers. </w:t>
      </w:r>
      <w:r w:rsidRPr="003E16DB">
        <w:rPr>
          <w:noProof/>
        </w:rPr>
        <w:t>(Holtgrewe, 2014)</w:t>
      </w:r>
      <w:r w:rsidR="003E16DB" w:rsidRPr="003E16DB">
        <w:t>.</w:t>
      </w:r>
    </w:p>
    <w:p w:rsidR="00C2708A" w:rsidRDefault="00C2708A" w:rsidP="00C2708A">
      <w:r>
        <w:br w:type="page"/>
      </w:r>
      <w:bookmarkStart w:id="0" w:name="_GoBack"/>
      <w:bookmarkEnd w:id="0"/>
    </w:p>
    <w:sdt>
      <w:sdtPr>
        <w:rPr>
          <w:rFonts w:eastAsiaTheme="minorHAnsi" w:cstheme="minorBidi"/>
          <w:b w:val="0"/>
          <w:sz w:val="24"/>
          <w:szCs w:val="22"/>
        </w:rPr>
        <w:id w:val="-1888256038"/>
        <w:docPartObj>
          <w:docPartGallery w:val="Bibliographies"/>
          <w:docPartUnique/>
        </w:docPartObj>
      </w:sdtPr>
      <w:sdtEndPr/>
      <w:sdtContent>
        <w:p w:rsidR="00C2708A" w:rsidRDefault="00C2708A">
          <w:pPr>
            <w:pStyle w:val="Heading1"/>
          </w:pPr>
          <w:r>
            <w:t>References</w:t>
          </w:r>
        </w:p>
        <w:p w:rsidR="009B51CC" w:rsidRDefault="00730589" w:rsidP="009B51CC">
          <w:pPr>
            <w:pStyle w:val="Bibliography"/>
            <w:rPr>
              <w:noProof/>
              <w:szCs w:val="24"/>
            </w:rPr>
          </w:pPr>
          <w:r>
            <w:rPr>
              <w:noProof/>
            </w:rPr>
            <w:t>Barnes, S.</w:t>
          </w:r>
          <w:r w:rsidR="009B51CC">
            <w:rPr>
              <w:noProof/>
            </w:rPr>
            <w:t xml:space="preserve"> </w:t>
          </w:r>
          <w:r>
            <w:rPr>
              <w:noProof/>
            </w:rPr>
            <w:t>(</w:t>
          </w:r>
          <w:r w:rsidR="009B51CC">
            <w:rPr>
              <w:noProof/>
            </w:rPr>
            <w:t>2011</w:t>
          </w:r>
          <w:r>
            <w:rPr>
              <w:noProof/>
            </w:rPr>
            <w:t>)</w:t>
          </w:r>
          <w:r w:rsidR="009B51CC">
            <w:rPr>
              <w:noProof/>
            </w:rPr>
            <w:t xml:space="preserve">. </w:t>
          </w:r>
          <w:r w:rsidR="009B51CC">
            <w:rPr>
              <w:i/>
              <w:iCs/>
              <w:noProof/>
            </w:rPr>
            <w:t xml:space="preserve">THE POTENTIAL ROLE OF TECHNOLOGY IN CAREERS EDUCATION IN THE UK. </w:t>
          </w:r>
          <w:r w:rsidR="009B51CC">
            <w:rPr>
              <w:noProof/>
            </w:rPr>
            <w:t>Barcelona, s.n.</w:t>
          </w:r>
        </w:p>
        <w:p w:rsidR="009B51CC" w:rsidRDefault="00730589" w:rsidP="009B51CC">
          <w:pPr>
            <w:pStyle w:val="Bibliography"/>
            <w:rPr>
              <w:noProof/>
            </w:rPr>
          </w:pPr>
          <w:r>
            <w:rPr>
              <w:noProof/>
            </w:rPr>
            <w:t>Comunian, R.</w:t>
          </w:r>
          <w:r w:rsidR="009B51CC">
            <w:rPr>
              <w:noProof/>
            </w:rPr>
            <w:t xml:space="preserve"> </w:t>
          </w:r>
          <w:r>
            <w:rPr>
              <w:noProof/>
            </w:rPr>
            <w:t>(</w:t>
          </w:r>
          <w:r w:rsidR="009B51CC">
            <w:rPr>
              <w:noProof/>
            </w:rPr>
            <w:t>2017</w:t>
          </w:r>
          <w:r>
            <w:rPr>
              <w:noProof/>
            </w:rPr>
            <w:t>)</w:t>
          </w:r>
          <w:r w:rsidR="009B51CC">
            <w:rPr>
              <w:noProof/>
            </w:rPr>
            <w:t xml:space="preserve">. Digital technology and creative arts career patterns in the UK creative economy. In: </w:t>
          </w:r>
          <w:r w:rsidR="009B51CC">
            <w:rPr>
              <w:i/>
              <w:iCs/>
              <w:noProof/>
            </w:rPr>
            <w:t xml:space="preserve">Creative graduate pathways within and beyond the creative industries. </w:t>
          </w:r>
          <w:r w:rsidR="009B51CC">
            <w:rPr>
              <w:noProof/>
            </w:rPr>
            <w:t>s.l.:Routledge, p. 17.</w:t>
          </w:r>
        </w:p>
        <w:p w:rsidR="009B51CC" w:rsidRDefault="00730589" w:rsidP="009B51CC">
          <w:pPr>
            <w:pStyle w:val="Bibliography"/>
            <w:rPr>
              <w:noProof/>
            </w:rPr>
          </w:pPr>
          <w:r>
            <w:rPr>
              <w:noProof/>
            </w:rPr>
            <w:t>Holtgrewe, U.</w:t>
          </w:r>
          <w:r w:rsidR="009B51CC">
            <w:rPr>
              <w:noProof/>
            </w:rPr>
            <w:t xml:space="preserve"> </w:t>
          </w:r>
          <w:r>
            <w:rPr>
              <w:noProof/>
            </w:rPr>
            <w:t>(</w:t>
          </w:r>
          <w:r w:rsidR="009B51CC">
            <w:rPr>
              <w:noProof/>
            </w:rPr>
            <w:t>2014</w:t>
          </w:r>
          <w:r>
            <w:rPr>
              <w:noProof/>
            </w:rPr>
            <w:t>)</w:t>
          </w:r>
          <w:r w:rsidR="009B51CC">
            <w:rPr>
              <w:noProof/>
            </w:rPr>
            <w:t xml:space="preserve">. New new technologies: the future and the present of work in information and communication technology. </w:t>
          </w:r>
          <w:r w:rsidR="009B51CC">
            <w:rPr>
              <w:i/>
              <w:iCs/>
              <w:noProof/>
            </w:rPr>
            <w:t xml:space="preserve">New technologies, work and Employement, </w:t>
          </w:r>
          <w:r w:rsidR="009B51CC">
            <w:rPr>
              <w:noProof/>
            </w:rPr>
            <w:t>19(1), pp. 9-24.</w:t>
          </w:r>
        </w:p>
        <w:p w:rsidR="009B51CC" w:rsidRDefault="00730589" w:rsidP="009B51CC">
          <w:pPr>
            <w:pStyle w:val="Bibliography"/>
            <w:rPr>
              <w:noProof/>
            </w:rPr>
          </w:pPr>
          <w:r>
            <w:rPr>
              <w:noProof/>
            </w:rPr>
            <w:t>Lent, R. W.</w:t>
          </w:r>
          <w:r w:rsidR="009B51CC">
            <w:rPr>
              <w:noProof/>
            </w:rPr>
            <w:t xml:space="preserve"> </w:t>
          </w:r>
          <w:r>
            <w:rPr>
              <w:noProof/>
            </w:rPr>
            <w:t>(</w:t>
          </w:r>
          <w:r w:rsidR="009B51CC">
            <w:rPr>
              <w:noProof/>
            </w:rPr>
            <w:t>2018</w:t>
          </w:r>
          <w:r>
            <w:rPr>
              <w:noProof/>
            </w:rPr>
            <w:t>)</w:t>
          </w:r>
          <w:r w:rsidR="009B51CC">
            <w:rPr>
              <w:noProof/>
            </w:rPr>
            <w:t xml:space="preserve">. Career Development in the Digital Age. </w:t>
          </w:r>
          <w:r w:rsidR="009B51CC">
            <w:rPr>
              <w:i/>
              <w:iCs/>
              <w:noProof/>
            </w:rPr>
            <w:t xml:space="preserve">Future of Work in the Digital World: Preparing for Instability and Opportunity, </w:t>
          </w:r>
          <w:r w:rsidR="009B51CC">
            <w:rPr>
              <w:noProof/>
            </w:rPr>
            <w:t>1(1).</w:t>
          </w:r>
        </w:p>
        <w:p w:rsidR="009B51CC" w:rsidRDefault="00730589" w:rsidP="009B51CC">
          <w:pPr>
            <w:pStyle w:val="Bibliography"/>
            <w:rPr>
              <w:noProof/>
            </w:rPr>
          </w:pPr>
          <w:r>
            <w:rPr>
              <w:noProof/>
            </w:rPr>
            <w:t>Staunton, T. H. &amp;. T.</w:t>
          </w:r>
          <w:r w:rsidR="009B51CC">
            <w:rPr>
              <w:noProof/>
            </w:rPr>
            <w:t xml:space="preserve"> </w:t>
          </w:r>
          <w:r>
            <w:rPr>
              <w:noProof/>
            </w:rPr>
            <w:t>(</w:t>
          </w:r>
          <w:r w:rsidR="009B51CC">
            <w:rPr>
              <w:noProof/>
            </w:rPr>
            <w:t>2020</w:t>
          </w:r>
          <w:r>
            <w:rPr>
              <w:noProof/>
            </w:rPr>
            <w:t>)</w:t>
          </w:r>
          <w:r w:rsidR="009B51CC">
            <w:rPr>
              <w:noProof/>
            </w:rPr>
            <w:t xml:space="preserve">. The Role of Digital Technology in Career Development. In: </w:t>
          </w:r>
          <w:r w:rsidR="009B51CC">
            <w:rPr>
              <w:i/>
              <w:iCs/>
              <w:noProof/>
            </w:rPr>
            <w:t xml:space="preserve">Career Development. </w:t>
          </w:r>
          <w:r w:rsidR="009B51CC">
            <w:rPr>
              <w:noProof/>
            </w:rPr>
            <w:t>Oxford : Oxford University Press, p. 14.</w:t>
          </w:r>
        </w:p>
        <w:p w:rsidR="00C2708A" w:rsidRDefault="007D4206" w:rsidP="009B51CC"/>
      </w:sdtContent>
    </w:sdt>
    <w:p w:rsidR="00E458A6" w:rsidRDefault="00E458A6" w:rsidP="00E458A6"/>
    <w:sectPr w:rsidR="00E458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58A6"/>
    <w:rsid w:val="0001602A"/>
    <w:rsid w:val="000C1E0B"/>
    <w:rsid w:val="00202740"/>
    <w:rsid w:val="002C3F57"/>
    <w:rsid w:val="003806AA"/>
    <w:rsid w:val="003E16DB"/>
    <w:rsid w:val="00460586"/>
    <w:rsid w:val="00730589"/>
    <w:rsid w:val="00740131"/>
    <w:rsid w:val="007D4206"/>
    <w:rsid w:val="00817A7B"/>
    <w:rsid w:val="00984602"/>
    <w:rsid w:val="009B51CC"/>
    <w:rsid w:val="00B64F29"/>
    <w:rsid w:val="00C2708A"/>
    <w:rsid w:val="00E458A6"/>
    <w:rsid w:val="00E94F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DA09F8-0227-4042-A64E-A0302A4A1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7A7B"/>
    <w:pPr>
      <w:spacing w:line="360" w:lineRule="auto"/>
      <w:jc w:val="both"/>
    </w:pPr>
    <w:rPr>
      <w:sz w:val="24"/>
      <w:lang w:val="en-GB"/>
    </w:rPr>
  </w:style>
  <w:style w:type="paragraph" w:styleId="Heading1">
    <w:name w:val="heading 1"/>
    <w:basedOn w:val="Normal"/>
    <w:next w:val="Normal"/>
    <w:link w:val="Heading1Char"/>
    <w:autoRedefine/>
    <w:uiPriority w:val="9"/>
    <w:qFormat/>
    <w:rsid w:val="00C2708A"/>
    <w:pPr>
      <w:keepNext/>
      <w:keepLines/>
      <w:spacing w:before="240" w:after="0"/>
      <w:jc w:val="center"/>
      <w:outlineLvl w:val="0"/>
    </w:pPr>
    <w:rPr>
      <w:rFonts w:eastAsiaTheme="majorEastAsia" w:cstheme="majorBidi"/>
      <w:b/>
      <w:sz w:val="40"/>
      <w:szCs w:val="32"/>
    </w:rPr>
  </w:style>
  <w:style w:type="paragraph" w:styleId="Heading2">
    <w:name w:val="heading 2"/>
    <w:basedOn w:val="Normal"/>
    <w:next w:val="Normal"/>
    <w:link w:val="Heading2Char"/>
    <w:autoRedefine/>
    <w:uiPriority w:val="9"/>
    <w:unhideWhenUsed/>
    <w:qFormat/>
    <w:rsid w:val="00B64F29"/>
    <w:pPr>
      <w:keepNext/>
      <w:keepLines/>
      <w:spacing w:before="40" w:after="0"/>
      <w:outlineLvl w:val="1"/>
    </w:pPr>
    <w:rPr>
      <w:rFonts w:eastAsiaTheme="majorEastAsia" w:cs="Segoe UI"/>
      <w:b/>
      <w:color w:val="000000" w:themeColor="text1"/>
      <w:sz w:val="28"/>
      <w:szCs w:val="26"/>
      <w:bdr w:val="single" w:sz="2" w:space="0" w:color="D9D9E3" w:frame="1"/>
    </w:rPr>
  </w:style>
  <w:style w:type="paragraph" w:styleId="Heading3">
    <w:name w:val="heading 3"/>
    <w:basedOn w:val="Normal"/>
    <w:next w:val="Normal"/>
    <w:link w:val="Heading3Char"/>
    <w:autoRedefine/>
    <w:uiPriority w:val="9"/>
    <w:semiHidden/>
    <w:unhideWhenUsed/>
    <w:qFormat/>
    <w:rsid w:val="003806AA"/>
    <w:pPr>
      <w:keepNext/>
      <w:keepLines/>
      <w:spacing w:before="280" w:after="24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08A"/>
    <w:rPr>
      <w:rFonts w:eastAsiaTheme="majorEastAsia" w:cstheme="majorBidi"/>
      <w:b/>
      <w:sz w:val="40"/>
      <w:szCs w:val="32"/>
    </w:rPr>
  </w:style>
  <w:style w:type="character" w:customStyle="1" w:styleId="Heading2Char">
    <w:name w:val="Heading 2 Char"/>
    <w:basedOn w:val="DefaultParagraphFont"/>
    <w:link w:val="Heading2"/>
    <w:uiPriority w:val="9"/>
    <w:rsid w:val="00B64F29"/>
    <w:rPr>
      <w:rFonts w:eastAsiaTheme="majorEastAsia" w:cs="Segoe UI"/>
      <w:b/>
      <w:color w:val="000000" w:themeColor="text1"/>
      <w:sz w:val="28"/>
      <w:szCs w:val="26"/>
      <w:bdr w:val="single" w:sz="2" w:space="0" w:color="D9D9E3" w:frame="1"/>
    </w:rPr>
  </w:style>
  <w:style w:type="character" w:customStyle="1" w:styleId="Heading3Char">
    <w:name w:val="Heading 3 Char"/>
    <w:basedOn w:val="DefaultParagraphFont"/>
    <w:link w:val="Heading3"/>
    <w:uiPriority w:val="9"/>
    <w:semiHidden/>
    <w:rsid w:val="003806AA"/>
    <w:rPr>
      <w:rFonts w:eastAsiaTheme="majorEastAsia" w:cstheme="majorBidi"/>
      <w:b/>
      <w:sz w:val="26"/>
      <w:szCs w:val="24"/>
    </w:rPr>
  </w:style>
  <w:style w:type="paragraph" w:styleId="Bibliography">
    <w:name w:val="Bibliography"/>
    <w:basedOn w:val="Normal"/>
    <w:next w:val="Normal"/>
    <w:uiPriority w:val="37"/>
    <w:unhideWhenUsed/>
    <w:rsid w:val="00C27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714882">
      <w:bodyDiv w:val="1"/>
      <w:marLeft w:val="0"/>
      <w:marRight w:val="0"/>
      <w:marTop w:val="0"/>
      <w:marBottom w:val="0"/>
      <w:divBdr>
        <w:top w:val="none" w:sz="0" w:space="0" w:color="auto"/>
        <w:left w:val="none" w:sz="0" w:space="0" w:color="auto"/>
        <w:bottom w:val="none" w:sz="0" w:space="0" w:color="auto"/>
        <w:right w:val="none" w:sz="0" w:space="0" w:color="auto"/>
      </w:divBdr>
    </w:div>
    <w:div w:id="1442145714">
      <w:bodyDiv w:val="1"/>
      <w:marLeft w:val="0"/>
      <w:marRight w:val="0"/>
      <w:marTop w:val="0"/>
      <w:marBottom w:val="0"/>
      <w:divBdr>
        <w:top w:val="none" w:sz="0" w:space="0" w:color="auto"/>
        <w:left w:val="none" w:sz="0" w:space="0" w:color="auto"/>
        <w:bottom w:val="none" w:sz="0" w:space="0" w:color="auto"/>
        <w:right w:val="none" w:sz="0" w:space="0" w:color="auto"/>
      </w:divBdr>
    </w:div>
    <w:div w:id="1506898826">
      <w:bodyDiv w:val="1"/>
      <w:marLeft w:val="0"/>
      <w:marRight w:val="0"/>
      <w:marTop w:val="0"/>
      <w:marBottom w:val="0"/>
      <w:divBdr>
        <w:top w:val="none" w:sz="0" w:space="0" w:color="auto"/>
        <w:left w:val="none" w:sz="0" w:space="0" w:color="auto"/>
        <w:bottom w:val="none" w:sz="0" w:space="0" w:color="auto"/>
        <w:right w:val="none" w:sz="0" w:space="0" w:color="auto"/>
      </w:divBdr>
    </w:div>
    <w:div w:id="1533566372">
      <w:bodyDiv w:val="1"/>
      <w:marLeft w:val="0"/>
      <w:marRight w:val="0"/>
      <w:marTop w:val="0"/>
      <w:marBottom w:val="0"/>
      <w:divBdr>
        <w:top w:val="none" w:sz="0" w:space="0" w:color="auto"/>
        <w:left w:val="none" w:sz="0" w:space="0" w:color="auto"/>
        <w:bottom w:val="none" w:sz="0" w:space="0" w:color="auto"/>
        <w:right w:val="none" w:sz="0" w:space="0" w:color="auto"/>
      </w:divBdr>
    </w:div>
    <w:div w:id="1538466707">
      <w:bodyDiv w:val="1"/>
      <w:marLeft w:val="0"/>
      <w:marRight w:val="0"/>
      <w:marTop w:val="0"/>
      <w:marBottom w:val="0"/>
      <w:divBdr>
        <w:top w:val="none" w:sz="0" w:space="0" w:color="auto"/>
        <w:left w:val="none" w:sz="0" w:space="0" w:color="auto"/>
        <w:bottom w:val="none" w:sz="0" w:space="0" w:color="auto"/>
        <w:right w:val="none" w:sz="0" w:space="0" w:color="auto"/>
      </w:divBdr>
    </w:div>
    <w:div w:id="1549686587">
      <w:bodyDiv w:val="1"/>
      <w:marLeft w:val="0"/>
      <w:marRight w:val="0"/>
      <w:marTop w:val="0"/>
      <w:marBottom w:val="0"/>
      <w:divBdr>
        <w:top w:val="none" w:sz="0" w:space="0" w:color="auto"/>
        <w:left w:val="none" w:sz="0" w:space="0" w:color="auto"/>
        <w:bottom w:val="none" w:sz="0" w:space="0" w:color="auto"/>
        <w:right w:val="none" w:sz="0" w:space="0" w:color="auto"/>
      </w:divBdr>
    </w:div>
    <w:div w:id="1596665974">
      <w:bodyDiv w:val="1"/>
      <w:marLeft w:val="0"/>
      <w:marRight w:val="0"/>
      <w:marTop w:val="0"/>
      <w:marBottom w:val="0"/>
      <w:divBdr>
        <w:top w:val="none" w:sz="0" w:space="0" w:color="auto"/>
        <w:left w:val="none" w:sz="0" w:space="0" w:color="auto"/>
        <w:bottom w:val="none" w:sz="0" w:space="0" w:color="auto"/>
        <w:right w:val="none" w:sz="0" w:space="0" w:color="auto"/>
      </w:divBdr>
    </w:div>
    <w:div w:id="1767338053">
      <w:bodyDiv w:val="1"/>
      <w:marLeft w:val="0"/>
      <w:marRight w:val="0"/>
      <w:marTop w:val="0"/>
      <w:marBottom w:val="0"/>
      <w:divBdr>
        <w:top w:val="none" w:sz="0" w:space="0" w:color="auto"/>
        <w:left w:val="none" w:sz="0" w:space="0" w:color="auto"/>
        <w:bottom w:val="none" w:sz="0" w:space="0" w:color="auto"/>
        <w:right w:val="none" w:sz="0" w:space="0" w:color="auto"/>
      </w:divBdr>
    </w:div>
    <w:div w:id="1802654374">
      <w:bodyDiv w:val="1"/>
      <w:marLeft w:val="0"/>
      <w:marRight w:val="0"/>
      <w:marTop w:val="0"/>
      <w:marBottom w:val="0"/>
      <w:divBdr>
        <w:top w:val="none" w:sz="0" w:space="0" w:color="auto"/>
        <w:left w:val="none" w:sz="0" w:space="0" w:color="auto"/>
        <w:bottom w:val="none" w:sz="0" w:space="0" w:color="auto"/>
        <w:right w:val="none" w:sz="0" w:space="0" w:color="auto"/>
      </w:divBdr>
    </w:div>
    <w:div w:id="1999454965">
      <w:bodyDiv w:val="1"/>
      <w:marLeft w:val="0"/>
      <w:marRight w:val="0"/>
      <w:marTop w:val="0"/>
      <w:marBottom w:val="0"/>
      <w:divBdr>
        <w:top w:val="none" w:sz="0" w:space="0" w:color="auto"/>
        <w:left w:val="none" w:sz="0" w:space="0" w:color="auto"/>
        <w:bottom w:val="none" w:sz="0" w:space="0" w:color="auto"/>
        <w:right w:val="none" w:sz="0" w:space="0" w:color="auto"/>
      </w:divBdr>
    </w:div>
    <w:div w:id="203623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Rob18</b:Tag>
    <b:SourceType>JournalArticle</b:SourceType>
    <b:Guid>{D2A1A2E1-194E-4E16-BE46-6BF3E99DF19B}</b:Guid>
    <b:Title>Career Development in the Digital Age</b:Title>
    <b:Year>2018</b:Year>
    <b:Author>
      <b:Author>
        <b:NameList>
          <b:Person>
            <b:Last>Lent</b:Last>
            <b:First>Robert</b:First>
            <b:Middle>W.</b:Middle>
          </b:Person>
        </b:NameList>
      </b:Author>
    </b:Author>
    <b:JournalName>Future of Work in the Digital World: Preparing for Instability and Opportunity</b:JournalName>
    <b:Volume>1</b:Volume>
    <b:Issue>1</b:Issue>
    <b:RefOrder>1</b:RefOrder>
  </b:Source>
  <b:Source>
    <b:Tag>Rob17</b:Tag>
    <b:SourceType>BookSection</b:SourceType>
    <b:Guid>{6ED5A4A7-E8EE-4F09-AA44-BF3464DECEBC}</b:Guid>
    <b:Title>Digital technology and creative arts career patterns in the UK creative economy</b:Title>
    <b:Year>2017</b:Year>
    <b:Pages>17</b:Pages>
    <b:Author>
      <b:Author>
        <b:NameList>
          <b:Person>
            <b:Last>Comunian</b:Last>
            <b:First>Roberta</b:First>
          </b:Person>
        </b:NameList>
      </b:Author>
    </b:Author>
    <b:BookTitle>Creative graduate pathways within and beyond the creative industries</b:BookTitle>
    <b:Publisher>Routledge</b:Publisher>
    <b:RefOrder>2</b:RefOrder>
  </b:Source>
  <b:Source>
    <b:Tag>Tri20</b:Tag>
    <b:SourceType>BookSection</b:SourceType>
    <b:Guid>{796B9D6F-28F6-4514-86D8-903302FB8600}</b:Guid>
    <b:Author>
      <b:Author>
        <b:NameList>
          <b:Person>
            <b:Last>Staunton</b:Last>
            <b:First>Tristram</b:First>
            <b:Middle>Hooley &amp; Tom</b:Middle>
          </b:Person>
        </b:NameList>
      </b:Author>
    </b:Author>
    <b:Title>The Role of Digital Technology in Career Development</b:Title>
    <b:BookTitle>Career Development</b:BookTitle>
    <b:Year>2020</b:Year>
    <b:Pages>14</b:Pages>
    <b:City>Oxford </b:City>
    <b:Publisher>Oxford University Press</b:Publisher>
    <b:RefOrder>3</b:RefOrder>
  </b:Source>
  <b:Source>
    <b:Tag>SBa11</b:Tag>
    <b:SourceType>ConferenceProceedings</b:SourceType>
    <b:Guid>{182F2D56-3EF7-4807-A4C4-C8F298AE13E4}</b:Guid>
    <b:Title>THE POTENTIAL ROLE OF TECHNOLOGY IN CAREERS EDUCATION IN THE UK</b:Title>
    <b:Year>2011</b:Year>
    <b:City>Barcelona</b:City>
    <b:Author>
      <b:Author>
        <b:NameList>
          <b:Person>
            <b:Last>Barnes</b:Last>
            <b:First>S.</b:First>
          </b:Person>
        </b:NameList>
      </b:Author>
    </b:Author>
    <b:RefOrder>4</b:RefOrder>
  </b:Source>
  <b:Source>
    <b:Tag>Urs14</b:Tag>
    <b:SourceType>JournalArticle</b:SourceType>
    <b:Guid>{1F10A64D-B1C0-4EE8-A0F5-5E81F338EEF9}</b:Guid>
    <b:Title>New new technologies: the future and the present of work in information and communication technology</b:Title>
    <b:Year>2014</b:Year>
    <b:Author>
      <b:Author>
        <b:NameList>
          <b:Person>
            <b:Last>Holtgrewe</b:Last>
            <b:First>Ursula</b:First>
          </b:Person>
        </b:NameList>
      </b:Author>
    </b:Author>
    <b:JournalName>New technologies, work and Employement</b:JournalName>
    <b:Pages>9-24</b:Pages>
    <b:Volume>19</b:Volume>
    <b:Issue>1</b:Issue>
    <b:RefOrder>5</b:RefOrder>
  </b:Source>
</b:Sources>
</file>

<file path=customXml/itemProps1.xml><?xml version="1.0" encoding="utf-8"?>
<ds:datastoreItem xmlns:ds="http://schemas.openxmlformats.org/officeDocument/2006/customXml" ds:itemID="{EF5E79DB-78DE-41D6-88D5-636C8014B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4</Pages>
  <Words>804</Words>
  <Characters>4588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Dell</cp:lastModifiedBy>
  <cp:revision>5</cp:revision>
  <dcterms:created xsi:type="dcterms:W3CDTF">2023-11-23T07:06:00Z</dcterms:created>
  <dcterms:modified xsi:type="dcterms:W3CDTF">2023-12-14T12:34:00Z</dcterms:modified>
</cp:coreProperties>
</file>