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D1BA1" w14:textId="76700638" w:rsidR="008652A9" w:rsidRDefault="00614777" w:rsidP="00C77C08">
      <w:pPr>
        <w:pStyle w:val="Normal1"/>
        <w:spacing w:line="360" w:lineRule="auto"/>
        <w:jc w:val="center"/>
        <w:rPr>
          <w:rFonts w:ascii="Times New Roman" w:eastAsia="Times New Roman" w:hAnsi="Times New Roman" w:cs="Times New Roman"/>
          <w:b/>
          <w:sz w:val="52"/>
          <w:szCs w:val="52"/>
          <w:highlight w:val="white"/>
        </w:rPr>
      </w:pPr>
      <w:r w:rsidRPr="00C77C08">
        <w:rPr>
          <w:rFonts w:ascii="Times New Roman" w:eastAsia="Times New Roman" w:hAnsi="Times New Roman" w:cs="Times New Roman"/>
          <w:b/>
          <w:sz w:val="52"/>
          <w:szCs w:val="52"/>
          <w:highlight w:val="white"/>
        </w:rPr>
        <w:t>International Financial Manage</w:t>
      </w:r>
      <w:r w:rsidR="00C77C08" w:rsidRPr="00C77C08">
        <w:rPr>
          <w:rFonts w:ascii="Times New Roman" w:eastAsia="Times New Roman" w:hAnsi="Times New Roman" w:cs="Times New Roman"/>
          <w:b/>
          <w:sz w:val="52"/>
          <w:szCs w:val="52"/>
          <w:highlight w:val="white"/>
        </w:rPr>
        <w:t>ment</w:t>
      </w:r>
    </w:p>
    <w:p w14:paraId="42AB7A32" w14:textId="77777777" w:rsidR="00C77C08" w:rsidRDefault="00C77C08" w:rsidP="00C77C08">
      <w:pPr>
        <w:pStyle w:val="Normal1"/>
        <w:spacing w:line="360" w:lineRule="auto"/>
        <w:jc w:val="center"/>
        <w:rPr>
          <w:rFonts w:ascii="Times New Roman" w:eastAsia="Times New Roman" w:hAnsi="Times New Roman" w:cs="Times New Roman"/>
          <w:b/>
          <w:sz w:val="52"/>
          <w:szCs w:val="52"/>
          <w:highlight w:val="white"/>
        </w:rPr>
      </w:pPr>
    </w:p>
    <w:p w14:paraId="4FEF5609" w14:textId="6B3DE9C0" w:rsidR="00C77C08" w:rsidRPr="00C77C08" w:rsidRDefault="00C77C08" w:rsidP="00C77C08">
      <w:pPr>
        <w:pStyle w:val="Normal1"/>
        <w:spacing w:line="360" w:lineRule="auto"/>
        <w:jc w:val="center"/>
        <w:rPr>
          <w:rFonts w:ascii="Times New Roman" w:eastAsia="Times New Roman" w:hAnsi="Times New Roman" w:cs="Times New Roman"/>
          <w:b/>
          <w:sz w:val="52"/>
          <w:szCs w:val="52"/>
          <w:highlight w:val="white"/>
        </w:rPr>
      </w:pPr>
      <w:r>
        <w:rPr>
          <w:rFonts w:ascii="Times New Roman" w:eastAsia="Times New Roman" w:hAnsi="Times New Roman" w:cs="Times New Roman"/>
          <w:b/>
          <w:sz w:val="52"/>
          <w:szCs w:val="52"/>
          <w:highlight w:val="white"/>
        </w:rPr>
        <w:t>Assessment 1</w:t>
      </w:r>
    </w:p>
    <w:p w14:paraId="3459820F" w14:textId="68DF45BA" w:rsidR="00C77C08" w:rsidRDefault="00C77C08" w:rsidP="00C77C08">
      <w:pPr>
        <w:pStyle w:val="Normal1"/>
        <w:spacing w:line="360" w:lineRule="auto"/>
        <w:jc w:val="center"/>
        <w:rPr>
          <w:rFonts w:ascii="Times New Roman" w:eastAsia="Times New Roman" w:hAnsi="Times New Roman" w:cs="Times New Roman"/>
          <w:b/>
          <w:sz w:val="32"/>
          <w:szCs w:val="32"/>
          <w:highlight w:val="white"/>
        </w:rPr>
      </w:pPr>
    </w:p>
    <w:p w14:paraId="5882D277" w14:textId="77777777" w:rsidR="00C77C08" w:rsidRPr="00C77C08" w:rsidRDefault="00C77C08" w:rsidP="00C77C08">
      <w:pPr>
        <w:pStyle w:val="Normal1"/>
        <w:spacing w:line="360" w:lineRule="auto"/>
        <w:jc w:val="center"/>
        <w:rPr>
          <w:rFonts w:ascii="Times New Roman" w:eastAsia="Times New Roman" w:hAnsi="Times New Roman" w:cs="Times New Roman"/>
          <w:b/>
          <w:sz w:val="32"/>
          <w:szCs w:val="32"/>
          <w:highlight w:val="white"/>
        </w:rPr>
      </w:pPr>
    </w:p>
    <w:p w14:paraId="4ED9CA40" w14:textId="77777777" w:rsidR="00C77C08" w:rsidRPr="00C77C08" w:rsidRDefault="00614777">
      <w:pPr>
        <w:pStyle w:val="Normal1"/>
        <w:spacing w:line="360" w:lineRule="auto"/>
        <w:jc w:val="center"/>
        <w:rPr>
          <w:rFonts w:ascii="Times New Roman" w:eastAsia="Times New Roman" w:hAnsi="Times New Roman" w:cs="Times New Roman"/>
          <w:b/>
          <w:sz w:val="48"/>
          <w:szCs w:val="48"/>
        </w:rPr>
      </w:pPr>
      <w:r w:rsidRPr="00C77C08">
        <w:rPr>
          <w:rFonts w:ascii="Times New Roman" w:eastAsia="Times New Roman" w:hAnsi="Times New Roman" w:cs="Times New Roman"/>
          <w:b/>
          <w:sz w:val="48"/>
          <w:szCs w:val="48"/>
        </w:rPr>
        <w:t>Student ID:</w:t>
      </w:r>
      <w:r w:rsidR="00C77C08" w:rsidRPr="00C77C08">
        <w:rPr>
          <w:rFonts w:ascii="Times New Roman" w:eastAsia="Times New Roman" w:hAnsi="Times New Roman" w:cs="Times New Roman"/>
          <w:b/>
          <w:sz w:val="48"/>
          <w:szCs w:val="48"/>
        </w:rPr>
        <w:t>2023559</w:t>
      </w:r>
    </w:p>
    <w:p w14:paraId="6CD14A12" w14:textId="77777777" w:rsidR="00C77C08" w:rsidRDefault="00C77C08">
      <w:pPr>
        <w:pStyle w:val="Normal1"/>
        <w:spacing w:line="360" w:lineRule="auto"/>
        <w:jc w:val="center"/>
        <w:rPr>
          <w:rFonts w:ascii="Times New Roman" w:eastAsia="Times New Roman" w:hAnsi="Times New Roman" w:cs="Times New Roman"/>
          <w:b/>
          <w:sz w:val="48"/>
          <w:szCs w:val="48"/>
        </w:rPr>
      </w:pPr>
      <w:r w:rsidRPr="00C77C08">
        <w:rPr>
          <w:rFonts w:ascii="Times New Roman" w:eastAsia="Times New Roman" w:hAnsi="Times New Roman" w:cs="Times New Roman"/>
          <w:b/>
          <w:sz w:val="48"/>
          <w:szCs w:val="48"/>
        </w:rPr>
        <w:t xml:space="preserve">Ionela Dan </w:t>
      </w:r>
    </w:p>
    <w:p w14:paraId="6A447C8D" w14:textId="77777777" w:rsidR="00C77C08" w:rsidRDefault="00C77C08">
      <w:pPr>
        <w:pStyle w:val="Normal1"/>
        <w:spacing w:line="360" w:lineRule="auto"/>
        <w:jc w:val="center"/>
        <w:rPr>
          <w:rFonts w:ascii="Times New Roman" w:eastAsia="Times New Roman" w:hAnsi="Times New Roman" w:cs="Times New Roman"/>
          <w:b/>
          <w:sz w:val="48"/>
          <w:szCs w:val="48"/>
        </w:rPr>
      </w:pPr>
    </w:p>
    <w:p w14:paraId="061D156D" w14:textId="77777777" w:rsidR="00C77C08" w:rsidRDefault="00C77C08">
      <w:pPr>
        <w:pStyle w:val="Normal1"/>
        <w:spacing w:line="360" w:lineRule="auto"/>
        <w:jc w:val="center"/>
        <w:rPr>
          <w:rFonts w:ascii="Times New Roman" w:eastAsia="Times New Roman" w:hAnsi="Times New Roman" w:cs="Times New Roman"/>
          <w:b/>
          <w:sz w:val="48"/>
          <w:szCs w:val="48"/>
        </w:rPr>
      </w:pPr>
    </w:p>
    <w:p w14:paraId="35148365" w14:textId="77777777" w:rsidR="00C77C08" w:rsidRDefault="00C77C08">
      <w:pPr>
        <w:pStyle w:val="Normal1"/>
        <w:spacing w:line="360" w:lineRule="auto"/>
        <w:jc w:val="center"/>
        <w:rPr>
          <w:rFonts w:ascii="Times New Roman" w:eastAsia="Times New Roman" w:hAnsi="Times New Roman" w:cs="Times New Roman"/>
          <w:b/>
          <w:sz w:val="48"/>
          <w:szCs w:val="48"/>
        </w:rPr>
      </w:pPr>
    </w:p>
    <w:p w14:paraId="26D9A45F" w14:textId="77777777" w:rsidR="00C77C08" w:rsidRDefault="00C77C08">
      <w:pPr>
        <w:pStyle w:val="Normal1"/>
        <w:spacing w:line="360" w:lineRule="auto"/>
        <w:jc w:val="center"/>
        <w:rPr>
          <w:rFonts w:ascii="Times New Roman" w:eastAsia="Times New Roman" w:hAnsi="Times New Roman" w:cs="Times New Roman"/>
          <w:b/>
          <w:sz w:val="48"/>
          <w:szCs w:val="48"/>
        </w:rPr>
      </w:pPr>
    </w:p>
    <w:p w14:paraId="1B89D671" w14:textId="430DC964" w:rsidR="008652A9" w:rsidRPr="00C77C08" w:rsidRDefault="00C77C08">
      <w:pPr>
        <w:pStyle w:val="Normal1"/>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PROFESSOR: Thomas </w:t>
      </w:r>
      <w:r w:rsidR="00614777" w:rsidRPr="00C77C08">
        <w:rPr>
          <w:sz w:val="48"/>
          <w:szCs w:val="48"/>
        </w:rPr>
        <w:br w:type="page"/>
      </w:r>
    </w:p>
    <w:p w14:paraId="11F4768F" w14:textId="77777777" w:rsidR="008652A9" w:rsidRPr="002B389E" w:rsidRDefault="00614777">
      <w:pPr>
        <w:pStyle w:val="Normal1"/>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lastRenderedPageBreak/>
        <w:t>Table of Contents</w:t>
      </w:r>
    </w:p>
    <w:sdt>
      <w:sdtPr>
        <w:id w:val="1076356079"/>
        <w:docPartObj>
          <w:docPartGallery w:val="Table of Contents"/>
          <w:docPartUnique/>
        </w:docPartObj>
      </w:sdtPr>
      <w:sdtContent>
        <w:p w14:paraId="6A7506B1" w14:textId="77777777" w:rsidR="008652A9" w:rsidRPr="002B389E" w:rsidRDefault="008652A9">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r w:rsidRPr="002B389E">
            <w:fldChar w:fldCharType="begin"/>
          </w:r>
          <w:r w:rsidR="00614777" w:rsidRPr="002B389E">
            <w:instrText xml:space="preserve"> TOC \h \u \z \t "Heading 1,1,Heading 2,2,Heading 3,3,Heading 4,4,Heading 5,5,Heading 6,6,"</w:instrText>
          </w:r>
          <w:r w:rsidRPr="002B389E">
            <w:fldChar w:fldCharType="separate"/>
          </w:r>
          <w:hyperlink w:anchor="_gjdgxs">
            <w:r w:rsidR="00614777" w:rsidRPr="002B389E">
              <w:rPr>
                <w:rFonts w:ascii="Times New Roman" w:eastAsia="Times New Roman" w:hAnsi="Times New Roman" w:cs="Times New Roman"/>
                <w:sz w:val="24"/>
                <w:szCs w:val="24"/>
              </w:rPr>
              <w:t>Introduction</w:t>
            </w:r>
            <w:r w:rsidR="00614777" w:rsidRPr="002B389E">
              <w:rPr>
                <w:rFonts w:ascii="Times New Roman" w:eastAsia="Times New Roman" w:hAnsi="Times New Roman" w:cs="Times New Roman"/>
                <w:sz w:val="24"/>
                <w:szCs w:val="24"/>
              </w:rPr>
              <w:tab/>
              <w:t>3</w:t>
            </w:r>
          </w:hyperlink>
        </w:p>
        <w:p w14:paraId="268E9DBA" w14:textId="77777777" w:rsidR="008652A9" w:rsidRPr="002B389E" w:rsidRDefault="00000000">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hyperlink w:anchor="_30j0zll">
            <w:r w:rsidR="00614777" w:rsidRPr="002B389E">
              <w:rPr>
                <w:rFonts w:ascii="Times New Roman" w:eastAsia="Times New Roman" w:hAnsi="Times New Roman" w:cs="Times New Roman"/>
                <w:sz w:val="24"/>
                <w:szCs w:val="24"/>
              </w:rPr>
              <w:t>Dividend distribution Policy of AstraZeneca</w:t>
            </w:r>
            <w:r w:rsidR="00614777" w:rsidRPr="002B389E">
              <w:rPr>
                <w:rFonts w:ascii="Times New Roman" w:eastAsia="Times New Roman" w:hAnsi="Times New Roman" w:cs="Times New Roman"/>
                <w:sz w:val="24"/>
                <w:szCs w:val="24"/>
              </w:rPr>
              <w:tab/>
              <w:t>3</w:t>
            </w:r>
          </w:hyperlink>
        </w:p>
        <w:p w14:paraId="4845B1DA" w14:textId="77777777" w:rsidR="008652A9" w:rsidRPr="002B389E" w:rsidRDefault="00000000">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hyperlink w:anchor="_1fob9te">
            <w:r w:rsidR="00614777" w:rsidRPr="002B389E">
              <w:rPr>
                <w:rFonts w:ascii="Times New Roman" w:eastAsia="Times New Roman" w:hAnsi="Times New Roman" w:cs="Times New Roman"/>
                <w:sz w:val="24"/>
                <w:szCs w:val="24"/>
              </w:rPr>
              <w:t>The efficient market hypothesis of AstraZeneca</w:t>
            </w:r>
            <w:r w:rsidR="00614777" w:rsidRPr="002B389E">
              <w:rPr>
                <w:rFonts w:ascii="Times New Roman" w:eastAsia="Times New Roman" w:hAnsi="Times New Roman" w:cs="Times New Roman"/>
                <w:sz w:val="24"/>
                <w:szCs w:val="24"/>
              </w:rPr>
              <w:tab/>
              <w:t>4</w:t>
            </w:r>
          </w:hyperlink>
        </w:p>
        <w:p w14:paraId="34C4C466" w14:textId="77777777" w:rsidR="008652A9" w:rsidRPr="002B389E" w:rsidRDefault="00000000">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hyperlink w:anchor="_3znysh7">
            <w:r w:rsidR="00614777" w:rsidRPr="002B389E">
              <w:rPr>
                <w:rFonts w:ascii="Times New Roman" w:eastAsia="Times New Roman" w:hAnsi="Times New Roman" w:cs="Times New Roman"/>
                <w:sz w:val="24"/>
                <w:szCs w:val="24"/>
              </w:rPr>
              <w:t>Methods of appraising projects in AstraZeneca</w:t>
            </w:r>
            <w:r w:rsidR="00614777" w:rsidRPr="002B389E">
              <w:rPr>
                <w:rFonts w:ascii="Times New Roman" w:eastAsia="Times New Roman" w:hAnsi="Times New Roman" w:cs="Times New Roman"/>
                <w:sz w:val="24"/>
                <w:szCs w:val="24"/>
              </w:rPr>
              <w:tab/>
              <w:t>5</w:t>
            </w:r>
          </w:hyperlink>
        </w:p>
        <w:p w14:paraId="7BAF4C7A" w14:textId="77777777" w:rsidR="008652A9" w:rsidRPr="002B389E" w:rsidRDefault="00000000">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hyperlink w:anchor="_2et92p0">
            <w:r w:rsidR="00614777" w:rsidRPr="002B389E">
              <w:rPr>
                <w:rFonts w:ascii="Times New Roman" w:eastAsia="Times New Roman" w:hAnsi="Times New Roman" w:cs="Times New Roman"/>
                <w:sz w:val="24"/>
                <w:szCs w:val="24"/>
              </w:rPr>
              <w:t>Conclusion</w:t>
            </w:r>
            <w:r w:rsidR="00614777" w:rsidRPr="002B389E">
              <w:rPr>
                <w:rFonts w:ascii="Times New Roman" w:eastAsia="Times New Roman" w:hAnsi="Times New Roman" w:cs="Times New Roman"/>
                <w:sz w:val="24"/>
                <w:szCs w:val="24"/>
              </w:rPr>
              <w:tab/>
              <w:t>6</w:t>
            </w:r>
          </w:hyperlink>
        </w:p>
        <w:p w14:paraId="0F15D2D8" w14:textId="77777777" w:rsidR="008652A9" w:rsidRPr="002B389E" w:rsidRDefault="00000000">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hyperlink w:anchor="_3dy6vkm">
            <w:r w:rsidR="00614777" w:rsidRPr="002B389E">
              <w:rPr>
                <w:rFonts w:ascii="Times New Roman" w:eastAsia="Times New Roman" w:hAnsi="Times New Roman" w:cs="Times New Roman"/>
                <w:sz w:val="24"/>
                <w:szCs w:val="24"/>
              </w:rPr>
              <w:t>Reference list</w:t>
            </w:r>
            <w:r w:rsidR="00614777" w:rsidRPr="002B389E">
              <w:rPr>
                <w:rFonts w:ascii="Times New Roman" w:eastAsia="Times New Roman" w:hAnsi="Times New Roman" w:cs="Times New Roman"/>
                <w:sz w:val="24"/>
                <w:szCs w:val="24"/>
              </w:rPr>
              <w:tab/>
              <w:t>7</w:t>
            </w:r>
          </w:hyperlink>
        </w:p>
        <w:p w14:paraId="534658F2" w14:textId="77777777" w:rsidR="008652A9" w:rsidRPr="002B389E" w:rsidRDefault="008652A9">
          <w:pPr>
            <w:pStyle w:val="Normal1"/>
            <w:spacing w:line="360" w:lineRule="auto"/>
            <w:jc w:val="both"/>
          </w:pPr>
          <w:r w:rsidRPr="002B389E">
            <w:fldChar w:fldCharType="end"/>
          </w:r>
        </w:p>
      </w:sdtContent>
    </w:sdt>
    <w:p w14:paraId="4CCF29C2" w14:textId="77777777" w:rsidR="008652A9" w:rsidRPr="002B389E" w:rsidRDefault="00614777">
      <w:pPr>
        <w:pStyle w:val="Normal1"/>
        <w:spacing w:line="360" w:lineRule="auto"/>
        <w:jc w:val="both"/>
        <w:rPr>
          <w:rFonts w:ascii="Times New Roman" w:eastAsia="Times New Roman" w:hAnsi="Times New Roman" w:cs="Times New Roman"/>
          <w:b/>
          <w:sz w:val="24"/>
          <w:szCs w:val="24"/>
        </w:rPr>
      </w:pPr>
      <w:r w:rsidRPr="002B389E">
        <w:br w:type="page"/>
      </w:r>
    </w:p>
    <w:p w14:paraId="4281DC41" w14:textId="77777777" w:rsidR="008652A9" w:rsidRPr="002B389E" w:rsidRDefault="00614777">
      <w:pPr>
        <w:pStyle w:val="Heading1"/>
        <w:rPr>
          <w:color w:val="auto"/>
        </w:rPr>
      </w:pPr>
      <w:bookmarkStart w:id="0" w:name="_gjdgxs" w:colFirst="0" w:colLast="0"/>
      <w:bookmarkEnd w:id="0"/>
      <w:r w:rsidRPr="002B389E">
        <w:rPr>
          <w:color w:val="auto"/>
        </w:rPr>
        <w:lastRenderedPageBreak/>
        <w:t>Introduction</w:t>
      </w:r>
    </w:p>
    <w:p w14:paraId="0AEB8F38"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International finance management is highly important for the business operating in international market for increasing profit-gaining capacity. Finance management helps the organisation to connect with international dealings like overseas customers, lenders, suppliers and many more things. Organizations using such management helps the organisation to broaden its dimension of the market. International finance management helps any multinational organisation to produce products in foreign markets and helps in making higher profits.</w:t>
      </w:r>
    </w:p>
    <w:p w14:paraId="09E21683"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 xml:space="preserve">In this report, the international financial management of the leading multinational corporation of the UK,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is going to be written down with the help of a few theories and factors. The dividend distribution policy, EMH and appraising method of the company are jotted down here.</w:t>
      </w:r>
    </w:p>
    <w:p w14:paraId="418657C9" w14:textId="77777777" w:rsidR="008652A9" w:rsidRPr="002B389E" w:rsidRDefault="00614777">
      <w:pPr>
        <w:pStyle w:val="Heading1"/>
        <w:rPr>
          <w:color w:val="auto"/>
        </w:rPr>
      </w:pPr>
      <w:bookmarkStart w:id="1" w:name="_30j0zll" w:colFirst="0" w:colLast="0"/>
      <w:bookmarkEnd w:id="1"/>
      <w:r w:rsidRPr="002B389E">
        <w:rPr>
          <w:color w:val="auto"/>
        </w:rPr>
        <w:t>Dividend distribution Policy of AstraZeneca</w:t>
      </w:r>
    </w:p>
    <w:p w14:paraId="59E29CB3"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The dividend distribution policy is such a policy which is adopted by the company for paying out the share of profit to the shareholders of the company. However, the dividend distribution policy is not relevant in business because this policy loosens the regulation for the stakeholders when they want to sell the shares of the company (</w:t>
      </w:r>
      <w:r w:rsidRPr="002B389E">
        <w:rPr>
          <w:rFonts w:ascii="Times New Roman" w:eastAsia="Times New Roman" w:hAnsi="Times New Roman" w:cs="Times New Roman"/>
          <w:sz w:val="24"/>
          <w:szCs w:val="24"/>
          <w:highlight w:val="white"/>
        </w:rPr>
        <w:t>Revalska, 2022)</w:t>
      </w:r>
      <w:r w:rsidRPr="002B389E">
        <w:rPr>
          <w:rFonts w:ascii="Times New Roman" w:eastAsia="Times New Roman" w:hAnsi="Times New Roman" w:cs="Times New Roman"/>
          <w:sz w:val="24"/>
          <w:szCs w:val="24"/>
        </w:rPr>
        <w:t>. This kind of attitude of stakeholders affects the stock price of the company. Despite having so many issues, the leading MNC</w:t>
      </w:r>
      <w:r w:rsidRPr="00C77C08">
        <w:rPr>
          <w:rFonts w:ascii="Times New Roman" w:eastAsia="Times New Roman" w:hAnsi="Times New Roman" w:cs="Times New Roman"/>
          <w:b/>
          <w:bCs/>
          <w:sz w:val="24"/>
          <w:szCs w:val="24"/>
        </w:rPr>
        <w:t xml:space="preserve"> AstraZeneca</w:t>
      </w:r>
      <w:r w:rsidRPr="002B389E">
        <w:rPr>
          <w:rFonts w:ascii="Times New Roman" w:eastAsia="Times New Roman" w:hAnsi="Times New Roman" w:cs="Times New Roman"/>
          <w:sz w:val="24"/>
          <w:szCs w:val="24"/>
        </w:rPr>
        <w:t xml:space="preserve"> has adopted the dividend distribution policy. The dividend policy of this company is quite progressive because the company tends to maintain or grow the dividend each year.</w:t>
      </w:r>
    </w:p>
    <w:p w14:paraId="65A26155"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With this dividend distribution policy,</w:t>
      </w:r>
      <w:r w:rsidRPr="00C77C08">
        <w:rPr>
          <w:rFonts w:ascii="Times New Roman" w:eastAsia="Times New Roman" w:hAnsi="Times New Roman" w:cs="Times New Roman"/>
          <w:b/>
          <w:bCs/>
          <w:sz w:val="24"/>
          <w:szCs w:val="24"/>
        </w:rPr>
        <w:t xml:space="preserve"> AstraZeneca</w:t>
      </w:r>
      <w:r w:rsidRPr="002B389E">
        <w:rPr>
          <w:rFonts w:ascii="Times New Roman" w:eastAsia="Times New Roman" w:hAnsi="Times New Roman" w:cs="Times New Roman"/>
          <w:sz w:val="24"/>
          <w:szCs w:val="24"/>
        </w:rPr>
        <w:t xml:space="preserve"> makes a clear balance among the business interests, the financial creditors of the business and the shareholders of the company.</w:t>
      </w:r>
    </w:p>
    <w:p w14:paraId="217CDFB5"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Announcement and payment of Dividend</w:t>
      </w:r>
    </w:p>
    <w:p w14:paraId="4E9EF6D3"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 xml:space="preserve">The company normally paid its dividend twice a year.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paid the greater portion of the dividend as its second interim. The first interim is paid in September of the year and the announcement of the first interim is held in the second quarter of a financial year (</w:t>
      </w:r>
      <w:r w:rsidRPr="002B389E">
        <w:rPr>
          <w:rFonts w:ascii="Times New Roman" w:eastAsia="Times New Roman" w:hAnsi="Times New Roman" w:cs="Times New Roman"/>
          <w:sz w:val="24"/>
          <w:szCs w:val="24"/>
          <w:highlight w:val="white"/>
        </w:rPr>
        <w:t>Yuyan, 2023)</w:t>
      </w:r>
      <w:r w:rsidRPr="002B389E">
        <w:rPr>
          <w:rFonts w:ascii="Times New Roman" w:eastAsia="Times New Roman" w:hAnsi="Times New Roman" w:cs="Times New Roman"/>
          <w:sz w:val="24"/>
          <w:szCs w:val="24"/>
        </w:rPr>
        <w:t>. The second interim is announced in the fourth quarter of a financial year and the payment is done in March because of the business result of the full year of the company. However, this kind of dividend distribution helps the company to hold reliability among the consumers and the stakeholders.</w:t>
      </w:r>
    </w:p>
    <w:p w14:paraId="436FCED9"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Regular Dividend Policy</w:t>
      </w:r>
    </w:p>
    <w:p w14:paraId="335F3EA3" w14:textId="417FEF0E"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lastRenderedPageBreak/>
        <w:t xml:space="preserve">The regular dividend policy is taken by the pharmaceutical giant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The company pays out dividends to its shareholders regularly every year. However, the regular dividend policy has an issue, while the company earns a huge profit or excess profit the company is not sharing excess dividends with its stakeholders (</w:t>
      </w:r>
      <w:r w:rsidRPr="002B389E">
        <w:rPr>
          <w:rFonts w:ascii="Times New Roman" w:eastAsia="Times New Roman" w:hAnsi="Times New Roman" w:cs="Times New Roman"/>
          <w:sz w:val="24"/>
          <w:szCs w:val="24"/>
          <w:highlight w:val="white"/>
        </w:rPr>
        <w:t>Kang and Kim, 2021)</w:t>
      </w:r>
      <w:r w:rsidRPr="002B389E">
        <w:rPr>
          <w:rFonts w:ascii="Times New Roman" w:eastAsia="Times New Roman" w:hAnsi="Times New Roman" w:cs="Times New Roman"/>
          <w:sz w:val="24"/>
          <w:szCs w:val="24"/>
        </w:rPr>
        <w:t xml:space="preserve">. On the other hand, when the company faces a great loss then the company has to pay its dividend to its shareholders despite facing the loss. </w:t>
      </w:r>
      <w:r w:rsidRPr="00C77C08">
        <w:rPr>
          <w:rFonts w:ascii="Times New Roman" w:eastAsia="Times New Roman" w:hAnsi="Times New Roman" w:cs="Times New Roman"/>
          <w:b/>
          <w:bCs/>
          <w:sz w:val="24"/>
          <w:szCs w:val="24"/>
        </w:rPr>
        <w:t>AstraZeneca's</w:t>
      </w:r>
      <w:r w:rsidRPr="002B389E">
        <w:rPr>
          <w:rFonts w:ascii="Times New Roman" w:eastAsia="Times New Roman" w:hAnsi="Times New Roman" w:cs="Times New Roman"/>
          <w:sz w:val="24"/>
          <w:szCs w:val="24"/>
        </w:rPr>
        <w:t xml:space="preserve"> dividend policy is both </w:t>
      </w:r>
      <w:r w:rsidR="00C77C08" w:rsidRPr="002B389E">
        <w:rPr>
          <w:rFonts w:ascii="Times New Roman" w:eastAsia="Times New Roman" w:hAnsi="Times New Roman" w:cs="Times New Roman"/>
          <w:sz w:val="24"/>
          <w:szCs w:val="24"/>
        </w:rPr>
        <w:t>regular</w:t>
      </w:r>
      <w:r w:rsidRPr="002B389E">
        <w:rPr>
          <w:rFonts w:ascii="Times New Roman" w:eastAsia="Times New Roman" w:hAnsi="Times New Roman" w:cs="Times New Roman"/>
          <w:sz w:val="24"/>
          <w:szCs w:val="24"/>
        </w:rPr>
        <w:t xml:space="preserve"> and progressive. The exchange rates of the dividends paid by the company are announced in USD, GBP, and SEK.</w:t>
      </w:r>
    </w:p>
    <w:p w14:paraId="67F2CAF4"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 xml:space="preserve">As per the latest report,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plc has announced the dividend of the second interim is $1.97 in February of this year (</w:t>
      </w:r>
      <w:r w:rsidRPr="002B389E">
        <w:rPr>
          <w:rFonts w:ascii="Times New Roman" w:eastAsia="Times New Roman" w:hAnsi="Times New Roman" w:cs="Times New Roman"/>
          <w:sz w:val="24"/>
          <w:szCs w:val="24"/>
          <w:highlight w:val="white"/>
        </w:rPr>
        <w:t>Alliance News,</w:t>
      </w:r>
      <w:r w:rsidRPr="002B389E">
        <w:rPr>
          <w:rFonts w:ascii="Times New Roman" w:eastAsia="Times New Roman" w:hAnsi="Times New Roman" w:cs="Times New Roman"/>
          <w:sz w:val="24"/>
          <w:szCs w:val="24"/>
        </w:rPr>
        <w:t xml:space="preserve"> 2023).</w:t>
      </w:r>
    </w:p>
    <w:p w14:paraId="6860E760" w14:textId="77777777" w:rsidR="008652A9" w:rsidRPr="002B389E" w:rsidRDefault="00614777">
      <w:pPr>
        <w:pStyle w:val="Heading1"/>
        <w:rPr>
          <w:color w:val="auto"/>
        </w:rPr>
      </w:pPr>
      <w:bookmarkStart w:id="2" w:name="_1fob9te" w:colFirst="0" w:colLast="0"/>
      <w:bookmarkEnd w:id="2"/>
      <w:r w:rsidRPr="002B389E">
        <w:rPr>
          <w:color w:val="auto"/>
        </w:rPr>
        <w:t>The efficient market hypothesis of AstraZeneca</w:t>
      </w:r>
    </w:p>
    <w:p w14:paraId="68994DED"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The efficient market hypothesis is the theory that states that the price of the business share of any company reflects all information. Moreover, the efficient market hypothesis also states that the consistent generation of the ability of investment strategy to beat the market is impossible. An efficient market hypothesis states that the stocks always trade on fair value exchanges (</w:t>
      </w:r>
      <w:r w:rsidRPr="002B389E">
        <w:rPr>
          <w:rFonts w:ascii="Times New Roman" w:eastAsia="Times New Roman" w:hAnsi="Times New Roman" w:cs="Times New Roman"/>
          <w:sz w:val="24"/>
          <w:szCs w:val="24"/>
          <w:highlight w:val="white"/>
        </w:rPr>
        <w:t>Fang, 2019)</w:t>
      </w:r>
      <w:r w:rsidRPr="002B389E">
        <w:rPr>
          <w:rFonts w:ascii="Times New Roman" w:eastAsia="Times New Roman" w:hAnsi="Times New Roman" w:cs="Times New Roman"/>
          <w:sz w:val="24"/>
          <w:szCs w:val="24"/>
        </w:rPr>
        <w:t>. Not only that, but this hypothesis also states that this hypothesis makes the sale or purchase of undervalued stocks inflates the price. However, the validity of the efficient Market Hypothesis has been questioned on both theoretical and empirical aspects because many business magnets are beating the market by targeting undervalued stocks.</w:t>
      </w:r>
    </w:p>
    <w:p w14:paraId="5C4F6732"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There are three variations of the efficient market hypothesis.</w:t>
      </w:r>
    </w:p>
    <w:p w14:paraId="6D36CACB"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Weak Form</w:t>
      </w:r>
    </w:p>
    <w:p w14:paraId="6A0EC195"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 xml:space="preserve">The weak form suggests that the stock price of a certain day reflects all the data of past prices. This form also indicates that there is no form of technical analysis which means, there is no method of analysing and predicting the stock movements concerning records. Technical analysis is a tool which can be effectively utilised by investors to make trading decisions. In this form of efficiency theory, it is suggested that, if the fundamental analysis is used then the undervalued and the overvalued stocks can be determined. The investors of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can research the company's previous financial statements and present financial statements to increase their average profit. However, the consideration of weak form for rejecting technical analysis to be accurate is not true. The company need to be focused </w:t>
      </w:r>
      <w:proofErr w:type="gramStart"/>
      <w:r w:rsidRPr="002B389E">
        <w:rPr>
          <w:rFonts w:ascii="Times New Roman" w:eastAsia="Times New Roman" w:hAnsi="Times New Roman" w:cs="Times New Roman"/>
          <w:sz w:val="24"/>
          <w:szCs w:val="24"/>
        </w:rPr>
        <w:t>in</w:t>
      </w:r>
      <w:proofErr w:type="gramEnd"/>
      <w:r w:rsidRPr="002B389E">
        <w:rPr>
          <w:rFonts w:ascii="Times New Roman" w:eastAsia="Times New Roman" w:hAnsi="Times New Roman" w:cs="Times New Roman"/>
          <w:sz w:val="24"/>
          <w:szCs w:val="24"/>
        </w:rPr>
        <w:t xml:space="preserve"> their technical approach for long-term for gaining maxium profit. </w:t>
      </w:r>
    </w:p>
    <w:p w14:paraId="53256A70"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Semi-Strong Form</w:t>
      </w:r>
    </w:p>
    <w:p w14:paraId="5D712772"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lastRenderedPageBreak/>
        <w:t xml:space="preserve">The semi-strong efficiency market hypothesis follows the belief since all the financial information of the company is public and the investors are making a calculator for the present price of the share of the company. So there is no utilisation of the technical and fundamental analysis of the company to get a higher rate of profit. The investors of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who subscribe themselves to this version of the hypothesis, only get help when there is internal information about the company which is not public (</w:t>
      </w:r>
      <w:r w:rsidRPr="002B389E">
        <w:rPr>
          <w:rFonts w:ascii="Times New Roman" w:eastAsia="Times New Roman" w:hAnsi="Times New Roman" w:cs="Times New Roman"/>
          <w:sz w:val="24"/>
          <w:szCs w:val="24"/>
          <w:highlight w:val="white"/>
        </w:rPr>
        <w:t>Varli, 2021)</w:t>
      </w:r>
      <w:r w:rsidRPr="002B389E">
        <w:rPr>
          <w:rFonts w:ascii="Times New Roman" w:eastAsia="Times New Roman" w:hAnsi="Times New Roman" w:cs="Times New Roman"/>
          <w:sz w:val="24"/>
          <w:szCs w:val="24"/>
        </w:rPr>
        <w:t xml:space="preserve">. This information helps the investors of the biomedical and pharmaceutical giant to get a high return on the investment. In this version of the hypothesis, the investors can't identify the undervalued stocks of the company. However, this form is unable in explaining various conditions which affects overall security prices related to material nonpublic information.  </w:t>
      </w:r>
    </w:p>
    <w:p w14:paraId="59033BAB"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Strong Form</w:t>
      </w:r>
    </w:p>
    <w:p w14:paraId="6C15079A"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 xml:space="preserve">The strong form of efficiency states that all information about the company and its financials matters in the market and is accountable for the price of the stock on a certain day (‌Shaturaev, 2022). Both the public and the private information are equally responsible for the price of the stock. Investors, who are believing in this theory, strongly believe that insider information does not even make any impact on the returns on the investment. However, the strong form efficiency is the component of the random walk theory. When the company </w:t>
      </w:r>
      <w:r w:rsidRPr="00C77C08">
        <w:rPr>
          <w:rFonts w:ascii="Times New Roman" w:eastAsia="Times New Roman" w:hAnsi="Times New Roman" w:cs="Times New Roman"/>
          <w:b/>
          <w:bCs/>
          <w:sz w:val="24"/>
          <w:szCs w:val="24"/>
        </w:rPr>
        <w:t xml:space="preserve">AstraZeneca </w:t>
      </w:r>
      <w:r w:rsidRPr="002B389E">
        <w:rPr>
          <w:rFonts w:ascii="Times New Roman" w:eastAsia="Times New Roman" w:hAnsi="Times New Roman" w:cs="Times New Roman"/>
          <w:sz w:val="24"/>
          <w:szCs w:val="24"/>
        </w:rPr>
        <w:t>believed to lose its customers and revenues then it produced a new product in the market. This kind of strong form efficiency helps to get back the position in the market.</w:t>
      </w:r>
    </w:p>
    <w:p w14:paraId="7DD1A224" w14:textId="77777777" w:rsidR="008652A9" w:rsidRPr="002B389E" w:rsidRDefault="00614777">
      <w:pPr>
        <w:pStyle w:val="Heading1"/>
        <w:rPr>
          <w:color w:val="auto"/>
        </w:rPr>
      </w:pPr>
      <w:bookmarkStart w:id="3" w:name="_3znysh7" w:colFirst="0" w:colLast="0"/>
      <w:bookmarkEnd w:id="3"/>
      <w:r w:rsidRPr="002B389E">
        <w:rPr>
          <w:color w:val="auto"/>
        </w:rPr>
        <w:t>Methods of appraising projects in AstraZeneca</w:t>
      </w:r>
    </w:p>
    <w:p w14:paraId="6E464160"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In</w:t>
      </w:r>
      <w:r w:rsidRPr="00C77C08">
        <w:rPr>
          <w:rFonts w:ascii="Times New Roman" w:eastAsia="Times New Roman" w:hAnsi="Times New Roman" w:cs="Times New Roman"/>
          <w:b/>
          <w:bCs/>
          <w:sz w:val="24"/>
          <w:szCs w:val="24"/>
        </w:rPr>
        <w:t xml:space="preserve"> AstraZeneca</w:t>
      </w:r>
      <w:r w:rsidRPr="002B389E">
        <w:rPr>
          <w:rFonts w:ascii="Times New Roman" w:eastAsia="Times New Roman" w:hAnsi="Times New Roman" w:cs="Times New Roman"/>
          <w:sz w:val="24"/>
          <w:szCs w:val="24"/>
        </w:rPr>
        <w:t>, the method of appraising the project is based on a few factors.</w:t>
      </w:r>
    </w:p>
    <w:p w14:paraId="1846FB49"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Economic Analysis</w:t>
      </w:r>
    </w:p>
    <w:p w14:paraId="7622D949"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 xml:space="preserve">The economic analysis of the company is based on the raw materials, the capacity of utilisation, the expected sales and the expected costs of the product. The business of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should always be fixed by the profit volumes of the company and the profit volume is determined by the sales, purchases of the products and expenses to make the products (</w:t>
      </w:r>
      <w:r w:rsidRPr="002B389E">
        <w:rPr>
          <w:rFonts w:ascii="Times New Roman" w:eastAsia="Times New Roman" w:hAnsi="Times New Roman" w:cs="Times New Roman"/>
          <w:sz w:val="24"/>
          <w:szCs w:val="24"/>
          <w:highlight w:val="white"/>
        </w:rPr>
        <w:t>McEwan et al., 2021)</w:t>
      </w:r>
      <w:r w:rsidRPr="002B389E">
        <w:rPr>
          <w:rFonts w:ascii="Times New Roman" w:eastAsia="Times New Roman" w:hAnsi="Times New Roman" w:cs="Times New Roman"/>
          <w:sz w:val="24"/>
          <w:szCs w:val="24"/>
        </w:rPr>
        <w:t>. The sales of the pharmaceutical products of the company are determined by the demand for the products in the market. Overall market size of this industry was 89.66 billion in 2021 with a growth rate of 9.6%. This is because among 7000 rare diseases only 5% has available treatments. Moreover, the location of the stores where the products of AstraZeneca are sold plays a vital role in the profit volume of the company.</w:t>
      </w:r>
    </w:p>
    <w:p w14:paraId="31F6C772"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Financial Analysis</w:t>
      </w:r>
    </w:p>
    <w:p w14:paraId="634E390D"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lastRenderedPageBreak/>
        <w:t xml:space="preserve">Financial analysis is another important prerequisite for the successful run of the business of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The project appraisal of this company should involve assessing the fixed capital of the company and the working capital to run the company. Fixed capital of the company is the fixed assets of the company which are machinery, tools, factories and many more things (</w:t>
      </w:r>
      <w:r w:rsidRPr="002B389E">
        <w:rPr>
          <w:rFonts w:ascii="Times New Roman" w:eastAsia="Times New Roman" w:hAnsi="Times New Roman" w:cs="Times New Roman"/>
          <w:sz w:val="24"/>
          <w:szCs w:val="24"/>
          <w:highlight w:val="white"/>
        </w:rPr>
        <w:t>Al Ghanem et al., 2021)</w:t>
      </w:r>
      <w:r w:rsidRPr="002B389E">
        <w:rPr>
          <w:rFonts w:ascii="Times New Roman" w:eastAsia="Times New Roman" w:hAnsi="Times New Roman" w:cs="Times New Roman"/>
          <w:sz w:val="24"/>
          <w:szCs w:val="24"/>
        </w:rPr>
        <w:t xml:space="preserve">. The tangible assets and the intangible assets should be included in the financial analysis. However, the financial analysis must not be inaccurate for achieving overall success. </w:t>
      </w:r>
      <w:r w:rsidR="00F232B8" w:rsidRPr="002B389E">
        <w:rPr>
          <w:rFonts w:ascii="Times New Roman" w:eastAsia="Times New Roman" w:hAnsi="Times New Roman" w:cs="Times New Roman"/>
          <w:sz w:val="24"/>
          <w:szCs w:val="24"/>
        </w:rPr>
        <w:t>T</w:t>
      </w:r>
      <w:r w:rsidRPr="002B389E">
        <w:rPr>
          <w:rFonts w:ascii="Times New Roman" w:eastAsia="Times New Roman" w:hAnsi="Times New Roman" w:cs="Times New Roman"/>
          <w:sz w:val="24"/>
          <w:szCs w:val="24"/>
        </w:rPr>
        <w:t xml:space="preserve">he opersting cost of </w:t>
      </w:r>
      <w:r w:rsidRPr="00C77C08">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was $21.45B, which was a decline than 2019. The further report of next year shows that the O&amp;M Cost of </w:t>
      </w:r>
      <w:r w:rsidRPr="00C77C08">
        <w:rPr>
          <w:rFonts w:ascii="Times New Roman" w:eastAsia="Times New Roman" w:hAnsi="Times New Roman" w:cs="Times New Roman"/>
          <w:b/>
          <w:bCs/>
          <w:sz w:val="24"/>
          <w:szCs w:val="24"/>
        </w:rPr>
        <w:t xml:space="preserve">AstraZeneca </w:t>
      </w:r>
      <w:r w:rsidRPr="002B389E">
        <w:rPr>
          <w:rFonts w:ascii="Times New Roman" w:eastAsia="Times New Roman" w:hAnsi="Times New Roman" w:cs="Times New Roman"/>
          <w:sz w:val="24"/>
          <w:szCs w:val="24"/>
        </w:rPr>
        <w:t>increased 69.48% and ended upto $36.361B. The recent O&amp;M cost of the company was $40.594B. On the other hand the annual revenue of the company is $</w:t>
      </w:r>
      <w:r w:rsidR="00F232B8" w:rsidRPr="002B389E">
        <w:rPr>
          <w:rFonts w:ascii="Times New Roman" w:eastAsia="Times New Roman" w:hAnsi="Times New Roman" w:cs="Times New Roman"/>
          <w:sz w:val="24"/>
          <w:szCs w:val="24"/>
        </w:rPr>
        <w:t>44.351B that</w:t>
      </w:r>
      <w:r w:rsidRPr="002B389E">
        <w:rPr>
          <w:rFonts w:ascii="Times New Roman" w:eastAsia="Times New Roman" w:hAnsi="Times New Roman" w:cs="Times New Roman"/>
          <w:sz w:val="24"/>
          <w:szCs w:val="24"/>
        </w:rPr>
        <w:t xml:space="preserve"> means 18.53% surge year over year. </w:t>
      </w:r>
    </w:p>
    <w:p w14:paraId="4AEFA35B"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Market Analysis</w:t>
      </w:r>
    </w:p>
    <w:p w14:paraId="665AA8A8" w14:textId="3CE89DF1"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 xml:space="preserve">Before launching any product in the </w:t>
      </w:r>
      <w:r w:rsidR="00D91055" w:rsidRPr="002B389E">
        <w:rPr>
          <w:rFonts w:ascii="Times New Roman" w:eastAsia="Times New Roman" w:hAnsi="Times New Roman" w:cs="Times New Roman"/>
          <w:sz w:val="24"/>
          <w:szCs w:val="24"/>
        </w:rPr>
        <w:t>market, the</w:t>
      </w:r>
      <w:r w:rsidRPr="002B389E">
        <w:rPr>
          <w:rFonts w:ascii="Times New Roman" w:eastAsia="Times New Roman" w:hAnsi="Times New Roman" w:cs="Times New Roman"/>
          <w:sz w:val="24"/>
          <w:szCs w:val="24"/>
        </w:rPr>
        <w:t xml:space="preserve"> company </w:t>
      </w:r>
      <w:r w:rsidRPr="00D91055">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must conduct a market analysis to understand the demand for the product in the market. The market analysis includes demand forecasting in the market. The demand forecasting of the products of the company can be determined by various methods like opinion polling method, and life cycle segment analysis. </w:t>
      </w:r>
      <w:r w:rsidRPr="00D91055">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is the biopharmaceutical company which produces the medicine of immunology, cardiology, </w:t>
      </w:r>
      <w:r w:rsidR="00D91055" w:rsidRPr="002B389E">
        <w:rPr>
          <w:rFonts w:ascii="Times New Roman" w:eastAsia="Times New Roman" w:hAnsi="Times New Roman" w:cs="Times New Roman"/>
          <w:sz w:val="24"/>
          <w:szCs w:val="24"/>
        </w:rPr>
        <w:t>oncology,</w:t>
      </w:r>
      <w:r w:rsidRPr="002B389E">
        <w:rPr>
          <w:rFonts w:ascii="Times New Roman" w:eastAsia="Times New Roman" w:hAnsi="Times New Roman" w:cs="Times New Roman"/>
          <w:sz w:val="24"/>
          <w:szCs w:val="24"/>
        </w:rPr>
        <w:t xml:space="preserve"> and many more rare diseases. So, the </w:t>
      </w:r>
      <w:r w:rsidR="00F232B8" w:rsidRPr="002B389E">
        <w:rPr>
          <w:rFonts w:ascii="Times New Roman" w:eastAsia="Times New Roman" w:hAnsi="Times New Roman" w:cs="Times New Roman"/>
          <w:sz w:val="24"/>
          <w:szCs w:val="24"/>
        </w:rPr>
        <w:t>products of the company have</w:t>
      </w:r>
      <w:r w:rsidRPr="002B389E">
        <w:rPr>
          <w:rFonts w:ascii="Times New Roman" w:eastAsia="Times New Roman" w:hAnsi="Times New Roman" w:cs="Times New Roman"/>
          <w:sz w:val="24"/>
          <w:szCs w:val="24"/>
        </w:rPr>
        <w:t xml:space="preserve"> enormous scope to enter into the pharmaceutical industry of any market. Innovative medicines and different kind of vaccines have market demand always. </w:t>
      </w:r>
      <w:r w:rsidRPr="00D91055">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fulfils </w:t>
      </w:r>
      <w:r w:rsidR="00F232B8" w:rsidRPr="002B389E">
        <w:rPr>
          <w:rFonts w:ascii="Times New Roman" w:eastAsia="Times New Roman" w:hAnsi="Times New Roman" w:cs="Times New Roman"/>
          <w:sz w:val="24"/>
          <w:szCs w:val="24"/>
        </w:rPr>
        <w:t>these demands</w:t>
      </w:r>
      <w:r w:rsidRPr="002B389E">
        <w:rPr>
          <w:rFonts w:ascii="Times New Roman" w:eastAsia="Times New Roman" w:hAnsi="Times New Roman" w:cs="Times New Roman"/>
          <w:sz w:val="24"/>
          <w:szCs w:val="24"/>
        </w:rPr>
        <w:t xml:space="preserve">. The policy of </w:t>
      </w:r>
      <w:r w:rsidR="00F232B8" w:rsidRPr="002B389E">
        <w:rPr>
          <w:rFonts w:ascii="Times New Roman" w:eastAsia="Times New Roman" w:hAnsi="Times New Roman" w:cs="Times New Roman"/>
          <w:sz w:val="24"/>
          <w:szCs w:val="24"/>
        </w:rPr>
        <w:t>government</w:t>
      </w:r>
      <w:r w:rsidRPr="002B389E">
        <w:rPr>
          <w:rFonts w:ascii="Times New Roman" w:eastAsia="Times New Roman" w:hAnsi="Times New Roman" w:cs="Times New Roman"/>
          <w:sz w:val="24"/>
          <w:szCs w:val="24"/>
        </w:rPr>
        <w:t xml:space="preserve"> gives the company to trade free hand in the market. </w:t>
      </w:r>
    </w:p>
    <w:p w14:paraId="3F0523A0"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Opinion Polling Method</w:t>
      </w:r>
    </w:p>
    <w:p w14:paraId="43348EDC"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This method is conducted by making a survey of the product in different stores. The company can make a sample survey of the product. Not only that, the survey can be made on the sales experience (Business Jargons, n.d.). The life cycle segmentation analysis of the product is made by maintaining five stages, introduction, growth, maturity, saturation, and decline.</w:t>
      </w:r>
    </w:p>
    <w:p w14:paraId="525970AD"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b/>
          <w:sz w:val="24"/>
          <w:szCs w:val="24"/>
        </w:rPr>
        <w:t>Technical Feasibility</w:t>
      </w:r>
    </w:p>
    <w:p w14:paraId="4C44861F"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 xml:space="preserve">Technical feasibility is the most important method in project appraisal. The feasibility of technology is important because it helps the company like </w:t>
      </w:r>
      <w:r w:rsidRPr="00D91055">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to evaluate the adequacy of land and site for establishing the projects. Not only that, the adequacy of raw materials irrespective of quality and quantity is assessed with technical feasibility. Along with this, the availability of water, power supply, transport, communication, and servicing facilities can be resolved by using technical feasibility (</w:t>
      </w:r>
      <w:proofErr w:type="spellStart"/>
      <w:r w:rsidRPr="002B389E">
        <w:rPr>
          <w:rFonts w:ascii="Times New Roman" w:eastAsia="Times New Roman" w:hAnsi="Times New Roman" w:cs="Times New Roman"/>
          <w:sz w:val="24"/>
          <w:szCs w:val="24"/>
          <w:highlight w:val="white"/>
        </w:rPr>
        <w:t>Srai</w:t>
      </w:r>
      <w:proofErr w:type="spellEnd"/>
      <w:r w:rsidRPr="002B389E">
        <w:rPr>
          <w:rFonts w:ascii="Times New Roman" w:eastAsia="Times New Roman" w:hAnsi="Times New Roman" w:cs="Times New Roman"/>
          <w:sz w:val="24"/>
          <w:szCs w:val="24"/>
          <w:highlight w:val="white"/>
        </w:rPr>
        <w:t xml:space="preserve"> et al., 2020)</w:t>
      </w:r>
      <w:r w:rsidRPr="002B389E">
        <w:rPr>
          <w:rFonts w:ascii="Times New Roman" w:eastAsia="Times New Roman" w:hAnsi="Times New Roman" w:cs="Times New Roman"/>
          <w:sz w:val="24"/>
          <w:szCs w:val="24"/>
        </w:rPr>
        <w:t xml:space="preserve">. Technology helps </w:t>
      </w:r>
      <w:r w:rsidRPr="002B389E">
        <w:rPr>
          <w:rFonts w:ascii="Times New Roman" w:eastAsia="Times New Roman" w:hAnsi="Times New Roman" w:cs="Times New Roman"/>
          <w:sz w:val="24"/>
          <w:szCs w:val="24"/>
        </w:rPr>
        <w:lastRenderedPageBreak/>
        <w:t xml:space="preserve">the company </w:t>
      </w:r>
      <w:r w:rsidRPr="00D91055">
        <w:rPr>
          <w:rFonts w:ascii="Times New Roman" w:eastAsia="Times New Roman" w:hAnsi="Times New Roman" w:cs="Times New Roman"/>
          <w:b/>
          <w:bCs/>
          <w:sz w:val="24"/>
          <w:szCs w:val="24"/>
        </w:rPr>
        <w:t>AstraZeneca</w:t>
      </w:r>
      <w:r w:rsidRPr="002B389E">
        <w:rPr>
          <w:rFonts w:ascii="Times New Roman" w:eastAsia="Times New Roman" w:hAnsi="Times New Roman" w:cs="Times New Roman"/>
          <w:sz w:val="24"/>
          <w:szCs w:val="24"/>
        </w:rPr>
        <w:t xml:space="preserve"> to submit its various reports to the governments to get a licence to start a new project.    </w:t>
      </w:r>
    </w:p>
    <w:p w14:paraId="7BDA34F7" w14:textId="77777777" w:rsidR="008652A9" w:rsidRPr="002B389E" w:rsidRDefault="00614777">
      <w:pPr>
        <w:pStyle w:val="Heading1"/>
        <w:rPr>
          <w:color w:val="auto"/>
        </w:rPr>
      </w:pPr>
      <w:bookmarkStart w:id="4" w:name="_2et92p0" w:colFirst="0" w:colLast="0"/>
      <w:bookmarkEnd w:id="4"/>
      <w:r w:rsidRPr="002B389E">
        <w:rPr>
          <w:color w:val="auto"/>
        </w:rPr>
        <w:t>Conclusion</w:t>
      </w:r>
    </w:p>
    <w:p w14:paraId="7D2EE289"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bookmarkStart w:id="5" w:name="_tyjcwt" w:colFirst="0" w:colLast="0"/>
      <w:bookmarkEnd w:id="5"/>
      <w:r w:rsidRPr="002B389E">
        <w:rPr>
          <w:rFonts w:ascii="Times New Roman" w:eastAsia="Times New Roman" w:hAnsi="Times New Roman" w:cs="Times New Roman"/>
          <w:sz w:val="24"/>
          <w:szCs w:val="24"/>
        </w:rPr>
        <w:t>From the above assessment, it is concluded that the dividend distribution policy is very important in the context of international financial management. The dividend distribution policy helps the company to flourish in the market. The payment of the dividend among the stakeholders in the proper ratio helps the company to maintain its sustainable growth. Along with this, this assessment shows what is the impact of the efficient market hypothesis on companies like</w:t>
      </w:r>
      <w:r w:rsidRPr="00D91055">
        <w:rPr>
          <w:rFonts w:ascii="Times New Roman" w:eastAsia="Times New Roman" w:hAnsi="Times New Roman" w:cs="Times New Roman"/>
          <w:b/>
          <w:bCs/>
          <w:sz w:val="24"/>
          <w:szCs w:val="24"/>
        </w:rPr>
        <w:t xml:space="preserve"> AstraZeneca</w:t>
      </w:r>
      <w:r w:rsidRPr="002B389E">
        <w:rPr>
          <w:rFonts w:ascii="Times New Roman" w:eastAsia="Times New Roman" w:hAnsi="Times New Roman" w:cs="Times New Roman"/>
          <w:sz w:val="24"/>
          <w:szCs w:val="24"/>
        </w:rPr>
        <w:t xml:space="preserve">. Moreover, from this assessment, it can be concluded that economic analysis, market analysis, and technical feasibility are important factors for the method of appraising projects. </w:t>
      </w:r>
    </w:p>
    <w:p w14:paraId="0AB596E3" w14:textId="77777777" w:rsidR="008652A9" w:rsidRPr="002B389E" w:rsidRDefault="008652A9">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736A3257" w14:textId="77777777" w:rsidR="008652A9" w:rsidRPr="002B389E" w:rsidRDefault="00614777">
      <w:pPr>
        <w:pStyle w:val="Normal1"/>
        <w:spacing w:line="360" w:lineRule="auto"/>
        <w:jc w:val="both"/>
        <w:rPr>
          <w:rFonts w:ascii="Times New Roman" w:eastAsia="Times New Roman" w:hAnsi="Times New Roman" w:cs="Times New Roman"/>
          <w:b/>
          <w:sz w:val="24"/>
          <w:szCs w:val="24"/>
        </w:rPr>
      </w:pPr>
      <w:r w:rsidRPr="002B389E">
        <w:br w:type="page"/>
      </w:r>
    </w:p>
    <w:p w14:paraId="4C1A366E" w14:textId="77777777" w:rsidR="008652A9" w:rsidRPr="002B389E" w:rsidRDefault="00614777">
      <w:pPr>
        <w:pStyle w:val="Heading1"/>
        <w:rPr>
          <w:color w:val="auto"/>
        </w:rPr>
      </w:pPr>
      <w:bookmarkStart w:id="6" w:name="_3dy6vkm" w:colFirst="0" w:colLast="0"/>
      <w:bookmarkEnd w:id="6"/>
      <w:r w:rsidRPr="002B389E">
        <w:rPr>
          <w:color w:val="auto"/>
        </w:rPr>
        <w:lastRenderedPageBreak/>
        <w:t>Reference list</w:t>
      </w:r>
    </w:p>
    <w:p w14:paraId="24A6F97F"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B389E">
        <w:rPr>
          <w:rFonts w:ascii="Times New Roman" w:eastAsia="Times New Roman" w:hAnsi="Times New Roman" w:cs="Times New Roman"/>
          <w:sz w:val="24"/>
          <w:szCs w:val="24"/>
          <w:highlight w:val="white"/>
        </w:rPr>
        <w:t>Al Ghanem, K., Al Qubaisi, N., Al Zaabi, H., Al Dhahmani, L., Al Naqbi, A., Al Dhanhani, H., Al Shamisi, F. and Nobanee, H., 2021. Financial Analysis of AstraZeneca. </w:t>
      </w:r>
      <w:r w:rsidRPr="002B389E">
        <w:rPr>
          <w:rFonts w:ascii="Times New Roman" w:eastAsia="Times New Roman" w:hAnsi="Times New Roman" w:cs="Times New Roman"/>
          <w:i/>
          <w:sz w:val="24"/>
          <w:szCs w:val="24"/>
          <w:highlight w:val="white"/>
        </w:rPr>
        <w:t>Available at SSRN 3895292</w:t>
      </w:r>
      <w:r w:rsidRPr="002B389E">
        <w:rPr>
          <w:rFonts w:ascii="Times New Roman" w:eastAsia="Times New Roman" w:hAnsi="Times New Roman" w:cs="Times New Roman"/>
          <w:sz w:val="24"/>
          <w:szCs w:val="24"/>
          <w:highlight w:val="white"/>
        </w:rPr>
        <w:t xml:space="preserve">. Available at: </w:t>
      </w:r>
      <w:hyperlink r:id="rId6">
        <w:r w:rsidRPr="002B389E">
          <w:rPr>
            <w:rFonts w:ascii="Times New Roman" w:eastAsia="Times New Roman" w:hAnsi="Times New Roman" w:cs="Times New Roman"/>
            <w:sz w:val="24"/>
            <w:szCs w:val="24"/>
            <w:highlight w:val="white"/>
            <w:u w:val="single"/>
          </w:rPr>
          <w:t>https://www.researchgate.net/profile/Haitham-Nobanee/publication/353526398_Financial_Analysis_of_AstraZeneca/links/6101a7661ca20f6f86e5ee50/Financial-Analysis-of-AstraZeneca.pdf</w:t>
        </w:r>
      </w:hyperlink>
    </w:p>
    <w:p w14:paraId="34BE4751"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highlight w:val="white"/>
        </w:rPr>
        <w:t>Alliance News,</w:t>
      </w:r>
      <w:r w:rsidRPr="002B389E">
        <w:rPr>
          <w:rFonts w:ascii="Times New Roman" w:eastAsia="Times New Roman" w:hAnsi="Times New Roman" w:cs="Times New Roman"/>
          <w:sz w:val="24"/>
          <w:szCs w:val="24"/>
        </w:rPr>
        <w:t xml:space="preserve"> (2023). </w:t>
      </w:r>
      <w:r w:rsidRPr="002B389E">
        <w:rPr>
          <w:rFonts w:ascii="Times New Roman" w:eastAsia="Times New Roman" w:hAnsi="Times New Roman" w:cs="Times New Roman"/>
          <w:i/>
          <w:sz w:val="24"/>
          <w:szCs w:val="24"/>
        </w:rPr>
        <w:t>TOP NEWS: AstraZeneca swings to profit as Alexion adds to 2022 revenue, 9 Feb 2023 08:42 | Shares Magazine</w:t>
      </w:r>
      <w:r w:rsidRPr="002B389E">
        <w:rPr>
          <w:rFonts w:ascii="Times New Roman" w:eastAsia="Times New Roman" w:hAnsi="Times New Roman" w:cs="Times New Roman"/>
          <w:sz w:val="24"/>
          <w:szCs w:val="24"/>
        </w:rPr>
        <w:t xml:space="preserve">. [online] Available at: </w:t>
      </w:r>
      <w:hyperlink r:id="rId7" w:anchor=":~:text=Astra%20announced%20a%20second%20interim">
        <w:r w:rsidRPr="002B389E">
          <w:rPr>
            <w:rFonts w:ascii="Times New Roman" w:eastAsia="Times New Roman" w:hAnsi="Times New Roman" w:cs="Times New Roman"/>
            <w:sz w:val="24"/>
            <w:szCs w:val="24"/>
            <w:u w:val="single"/>
          </w:rPr>
          <w:t>https://www.sharesmagazine.co.uk/news/market/1675932168018164600/top-news-astrazeneca-swings-to-profit-as-alexion-adds-to-2022-revenue#:~:text=Astra%20announced%20a%20second%20interim</w:t>
        </w:r>
      </w:hyperlink>
      <w:r w:rsidRPr="002B389E">
        <w:rPr>
          <w:rFonts w:ascii="Times New Roman" w:eastAsia="Times New Roman" w:hAnsi="Times New Roman" w:cs="Times New Roman"/>
          <w:sz w:val="24"/>
          <w:szCs w:val="24"/>
        </w:rPr>
        <w:t xml:space="preserve"> [Accessed 16 Mar. 2023].</w:t>
      </w:r>
    </w:p>
    <w:p w14:paraId="02C2C186"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rPr>
        <w:t>Business Jargons. (n.d.). </w:t>
      </w:r>
      <w:r w:rsidRPr="002B389E">
        <w:rPr>
          <w:rFonts w:ascii="Times New Roman" w:eastAsia="Times New Roman" w:hAnsi="Times New Roman" w:cs="Times New Roman"/>
          <w:i/>
          <w:sz w:val="24"/>
          <w:szCs w:val="24"/>
        </w:rPr>
        <w:t>What is Opinion Poll Method? definition and meaning</w:t>
      </w:r>
      <w:r w:rsidRPr="002B389E">
        <w:rPr>
          <w:rFonts w:ascii="Times New Roman" w:eastAsia="Times New Roman" w:hAnsi="Times New Roman" w:cs="Times New Roman"/>
          <w:sz w:val="24"/>
          <w:szCs w:val="24"/>
        </w:rPr>
        <w:t xml:space="preserve">. [online] Available at: </w:t>
      </w:r>
      <w:hyperlink r:id="rId8">
        <w:r w:rsidRPr="002B389E">
          <w:rPr>
            <w:rFonts w:ascii="Times New Roman" w:eastAsia="Times New Roman" w:hAnsi="Times New Roman" w:cs="Times New Roman"/>
            <w:sz w:val="24"/>
            <w:szCs w:val="24"/>
            <w:u w:val="single"/>
          </w:rPr>
          <w:t>https://businessjargons.com/opinion-poll-method.html</w:t>
        </w:r>
      </w:hyperlink>
      <w:r w:rsidRPr="002B389E">
        <w:rPr>
          <w:rFonts w:ascii="Times New Roman" w:eastAsia="Times New Roman" w:hAnsi="Times New Roman" w:cs="Times New Roman"/>
          <w:sz w:val="24"/>
          <w:szCs w:val="24"/>
        </w:rPr>
        <w:t>.</w:t>
      </w:r>
    </w:p>
    <w:p w14:paraId="0486F605"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B389E">
        <w:rPr>
          <w:rFonts w:ascii="Times New Roman" w:eastAsia="Times New Roman" w:hAnsi="Times New Roman" w:cs="Times New Roman"/>
          <w:sz w:val="24"/>
          <w:szCs w:val="24"/>
          <w:highlight w:val="white"/>
        </w:rPr>
        <w:t xml:space="preserve">Fang, D., 2019. Investigating the efficient markethypothesis using Fourier analysis. Available at: </w:t>
      </w:r>
      <w:hyperlink r:id="rId9">
        <w:r w:rsidRPr="002B389E">
          <w:rPr>
            <w:rFonts w:ascii="Times New Roman" w:eastAsia="Times New Roman" w:hAnsi="Times New Roman" w:cs="Times New Roman"/>
            <w:sz w:val="24"/>
            <w:szCs w:val="24"/>
            <w:highlight w:val="white"/>
            <w:u w:val="single"/>
          </w:rPr>
          <w:t>https://lup.lub.lu.se/luur/download?func=downloadFile&amp;recordOId=8974064&amp;fileOId=8974065</w:t>
        </w:r>
      </w:hyperlink>
    </w:p>
    <w:p w14:paraId="4898C41B"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B389E">
        <w:rPr>
          <w:rFonts w:ascii="Times New Roman" w:eastAsia="Times New Roman" w:hAnsi="Times New Roman" w:cs="Times New Roman"/>
          <w:sz w:val="24"/>
          <w:szCs w:val="24"/>
          <w:highlight w:val="white"/>
        </w:rPr>
        <w:t>Kang, E. and Kim, R., 2021. Product market competition, reputation, and dividend policy. </w:t>
      </w:r>
      <w:r w:rsidRPr="002B389E">
        <w:rPr>
          <w:rFonts w:ascii="Times New Roman" w:eastAsia="Times New Roman" w:hAnsi="Times New Roman" w:cs="Times New Roman"/>
          <w:i/>
          <w:sz w:val="24"/>
          <w:szCs w:val="24"/>
          <w:highlight w:val="white"/>
        </w:rPr>
        <w:t>Applied Economics</w:t>
      </w:r>
      <w:r w:rsidRPr="002B389E">
        <w:rPr>
          <w:rFonts w:ascii="Times New Roman" w:eastAsia="Times New Roman" w:hAnsi="Times New Roman" w:cs="Times New Roman"/>
          <w:sz w:val="24"/>
          <w:szCs w:val="24"/>
          <w:highlight w:val="white"/>
        </w:rPr>
        <w:t>, </w:t>
      </w:r>
      <w:r w:rsidRPr="002B389E">
        <w:rPr>
          <w:rFonts w:ascii="Times New Roman" w:eastAsia="Times New Roman" w:hAnsi="Times New Roman" w:cs="Times New Roman"/>
          <w:i/>
          <w:sz w:val="24"/>
          <w:szCs w:val="24"/>
          <w:highlight w:val="white"/>
        </w:rPr>
        <w:t>53</w:t>
      </w:r>
      <w:r w:rsidRPr="002B389E">
        <w:rPr>
          <w:rFonts w:ascii="Times New Roman" w:eastAsia="Times New Roman" w:hAnsi="Times New Roman" w:cs="Times New Roman"/>
          <w:sz w:val="24"/>
          <w:szCs w:val="24"/>
          <w:highlight w:val="white"/>
        </w:rPr>
        <w:t xml:space="preserve">(29), pp.3334-3346. Available at: </w:t>
      </w:r>
      <w:hyperlink r:id="rId10">
        <w:r w:rsidRPr="002B389E">
          <w:rPr>
            <w:rFonts w:ascii="Times New Roman" w:eastAsia="Times New Roman" w:hAnsi="Times New Roman" w:cs="Times New Roman"/>
            <w:sz w:val="24"/>
            <w:szCs w:val="24"/>
            <w:highlight w:val="white"/>
            <w:u w:val="single"/>
          </w:rPr>
          <w:t>https://scholarworks.calstate.edu/downloads/8w32rb863</w:t>
        </w:r>
      </w:hyperlink>
    </w:p>
    <w:p w14:paraId="27A829AD"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B389E">
        <w:rPr>
          <w:rFonts w:ascii="Times New Roman" w:eastAsia="Times New Roman" w:hAnsi="Times New Roman" w:cs="Times New Roman"/>
          <w:sz w:val="24"/>
          <w:szCs w:val="24"/>
          <w:highlight w:val="white"/>
        </w:rPr>
        <w:t>McEwan, P., Morgan, A.R., Boyce, R., Bergenheim, K., Gause‐Nilsson, I.A., Bhatt, D.L., Leiter, L.A., Johansson, P.A., Mosenzon, O., Cahn, A. and Wilding, J.P., 2021. The cost‐effectiveness of dapagliflozin in treating high‐risk patients with type 2 diabetes mellitus: An economic evaluation using data from the DECLARE‐TIMI 58 trial. </w:t>
      </w:r>
      <w:r w:rsidRPr="002B389E">
        <w:rPr>
          <w:rFonts w:ascii="Times New Roman" w:eastAsia="Times New Roman" w:hAnsi="Times New Roman" w:cs="Times New Roman"/>
          <w:i/>
          <w:sz w:val="24"/>
          <w:szCs w:val="24"/>
          <w:highlight w:val="white"/>
        </w:rPr>
        <w:t>Diabetes, Obesity and Metabolism</w:t>
      </w:r>
      <w:r w:rsidRPr="002B389E">
        <w:rPr>
          <w:rFonts w:ascii="Times New Roman" w:eastAsia="Times New Roman" w:hAnsi="Times New Roman" w:cs="Times New Roman"/>
          <w:sz w:val="24"/>
          <w:szCs w:val="24"/>
          <w:highlight w:val="white"/>
        </w:rPr>
        <w:t>, </w:t>
      </w:r>
      <w:r w:rsidRPr="002B389E">
        <w:rPr>
          <w:rFonts w:ascii="Times New Roman" w:eastAsia="Times New Roman" w:hAnsi="Times New Roman" w:cs="Times New Roman"/>
          <w:i/>
          <w:sz w:val="24"/>
          <w:szCs w:val="24"/>
          <w:highlight w:val="white"/>
        </w:rPr>
        <w:t>23</w:t>
      </w:r>
      <w:r w:rsidRPr="002B389E">
        <w:rPr>
          <w:rFonts w:ascii="Times New Roman" w:eastAsia="Times New Roman" w:hAnsi="Times New Roman" w:cs="Times New Roman"/>
          <w:sz w:val="24"/>
          <w:szCs w:val="24"/>
          <w:highlight w:val="white"/>
        </w:rPr>
        <w:t xml:space="preserve">(4), pp.1020-1029. Available at: </w:t>
      </w:r>
      <w:hyperlink r:id="rId11">
        <w:r w:rsidRPr="002B389E">
          <w:rPr>
            <w:rFonts w:ascii="Times New Roman" w:eastAsia="Times New Roman" w:hAnsi="Times New Roman" w:cs="Times New Roman"/>
            <w:sz w:val="24"/>
            <w:szCs w:val="24"/>
            <w:highlight w:val="white"/>
            <w:u w:val="single"/>
          </w:rPr>
          <w:t>https://dom-pubs.onlinelibrary.wiley.com/doi/pdf/10.1111/dom.14308</w:t>
        </w:r>
      </w:hyperlink>
    </w:p>
    <w:p w14:paraId="79538F49" w14:textId="438A4F11"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B389E">
        <w:rPr>
          <w:rFonts w:ascii="Times New Roman" w:eastAsia="Times New Roman" w:hAnsi="Times New Roman" w:cs="Times New Roman"/>
          <w:sz w:val="24"/>
          <w:szCs w:val="24"/>
          <w:highlight w:val="white"/>
        </w:rPr>
        <w:t>Revalska, P.S., 2022. </w:t>
      </w:r>
      <w:r w:rsidR="00D91055" w:rsidRPr="002B389E">
        <w:rPr>
          <w:rFonts w:ascii="Times New Roman" w:eastAsia="Times New Roman" w:hAnsi="Times New Roman" w:cs="Times New Roman"/>
          <w:i/>
          <w:sz w:val="24"/>
          <w:szCs w:val="24"/>
          <w:highlight w:val="white"/>
        </w:rPr>
        <w:t>AstraZeneca</w:t>
      </w:r>
      <w:r w:rsidRPr="002B389E">
        <w:rPr>
          <w:rFonts w:ascii="Times New Roman" w:eastAsia="Times New Roman" w:hAnsi="Times New Roman" w:cs="Times New Roman"/>
          <w:i/>
          <w:sz w:val="24"/>
          <w:szCs w:val="24"/>
          <w:highlight w:val="white"/>
        </w:rPr>
        <w:t xml:space="preserve"> going </w:t>
      </w:r>
      <w:r w:rsidR="00D91055" w:rsidRPr="002B389E">
        <w:rPr>
          <w:rFonts w:ascii="Times New Roman" w:eastAsia="Times New Roman" w:hAnsi="Times New Roman" w:cs="Times New Roman"/>
          <w:i/>
          <w:sz w:val="24"/>
          <w:szCs w:val="24"/>
          <w:highlight w:val="white"/>
        </w:rPr>
        <w:t>beyond reshaping</w:t>
      </w:r>
      <w:r w:rsidRPr="002B389E">
        <w:rPr>
          <w:rFonts w:ascii="Times New Roman" w:eastAsia="Times New Roman" w:hAnsi="Times New Roman" w:cs="Times New Roman"/>
          <w:i/>
          <w:sz w:val="24"/>
          <w:szCs w:val="24"/>
          <w:highlight w:val="white"/>
        </w:rPr>
        <w:t xml:space="preserve"> the blockbuster business model</w:t>
      </w:r>
      <w:r w:rsidRPr="002B389E">
        <w:rPr>
          <w:rFonts w:ascii="Times New Roman" w:eastAsia="Times New Roman" w:hAnsi="Times New Roman" w:cs="Times New Roman"/>
          <w:sz w:val="24"/>
          <w:szCs w:val="24"/>
          <w:highlight w:val="white"/>
        </w:rPr>
        <w:t xml:space="preserve"> (Doctoral dissertation). Available at: </w:t>
      </w:r>
      <w:hyperlink r:id="rId12">
        <w:r w:rsidRPr="002B389E">
          <w:rPr>
            <w:rFonts w:ascii="Times New Roman" w:eastAsia="Times New Roman" w:hAnsi="Times New Roman" w:cs="Times New Roman"/>
            <w:sz w:val="24"/>
            <w:szCs w:val="24"/>
            <w:highlight w:val="white"/>
            <w:u w:val="single"/>
          </w:rPr>
          <w:t>https://run.unl.pt/bitstream/10362/144641/1/2021-22_fall_44668_petya-revalska.pdf</w:t>
        </w:r>
      </w:hyperlink>
    </w:p>
    <w:p w14:paraId="15ACE1A0" w14:textId="77777777" w:rsidR="008652A9" w:rsidRPr="002B389E" w:rsidRDefault="0061477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sz w:val="24"/>
          <w:szCs w:val="24"/>
          <w:highlight w:val="white"/>
        </w:rPr>
      </w:pPr>
      <w:r w:rsidRPr="002B389E">
        <w:rPr>
          <w:rFonts w:ascii="Times New Roman" w:eastAsia="Times New Roman" w:hAnsi="Times New Roman" w:cs="Times New Roman"/>
          <w:sz w:val="24"/>
          <w:szCs w:val="24"/>
        </w:rPr>
        <w:t>‌</w:t>
      </w:r>
      <w:r w:rsidRPr="002B389E">
        <w:rPr>
          <w:rFonts w:ascii="Times New Roman" w:eastAsia="Times New Roman" w:hAnsi="Times New Roman" w:cs="Times New Roman"/>
          <w:sz w:val="24"/>
          <w:szCs w:val="24"/>
          <w:highlight w:val="white"/>
        </w:rPr>
        <w:t>Shaturaev, J., 2022. Bad Management Hypotheses Are Demolishing Management Practices. </w:t>
      </w:r>
      <w:r w:rsidRPr="002B389E">
        <w:rPr>
          <w:rFonts w:ascii="Times New Roman" w:eastAsia="Times New Roman" w:hAnsi="Times New Roman" w:cs="Times New Roman"/>
          <w:i/>
          <w:sz w:val="24"/>
          <w:szCs w:val="24"/>
          <w:highlight w:val="white"/>
        </w:rPr>
        <w:t>Архив научных исследований</w:t>
      </w:r>
      <w:r w:rsidRPr="002B389E">
        <w:rPr>
          <w:rFonts w:ascii="Times New Roman" w:eastAsia="Times New Roman" w:hAnsi="Times New Roman" w:cs="Times New Roman"/>
          <w:sz w:val="24"/>
          <w:szCs w:val="24"/>
          <w:highlight w:val="white"/>
        </w:rPr>
        <w:t>, </w:t>
      </w:r>
      <w:r w:rsidRPr="002B389E">
        <w:rPr>
          <w:rFonts w:ascii="Times New Roman" w:eastAsia="Times New Roman" w:hAnsi="Times New Roman" w:cs="Times New Roman"/>
          <w:i/>
          <w:sz w:val="24"/>
          <w:szCs w:val="24"/>
          <w:highlight w:val="white"/>
        </w:rPr>
        <w:t>2</w:t>
      </w:r>
      <w:r w:rsidRPr="002B389E">
        <w:rPr>
          <w:rFonts w:ascii="Times New Roman" w:eastAsia="Times New Roman" w:hAnsi="Times New Roman" w:cs="Times New Roman"/>
          <w:sz w:val="24"/>
          <w:szCs w:val="24"/>
          <w:highlight w:val="white"/>
        </w:rPr>
        <w:t xml:space="preserve">(1). Available at: </w:t>
      </w:r>
      <w:hyperlink r:id="rId13">
        <w:r w:rsidRPr="002B389E">
          <w:rPr>
            <w:rFonts w:ascii="Times New Roman" w:eastAsia="Times New Roman" w:hAnsi="Times New Roman" w:cs="Times New Roman"/>
            <w:sz w:val="24"/>
            <w:szCs w:val="24"/>
            <w:highlight w:val="white"/>
            <w:u w:val="single"/>
          </w:rPr>
          <w:t>https://www.researchgate.net/profile/Jakhongir-Shaturaev/publication/360235487_Bad_Management_Hypotheses_Are_Demolishing_Manag</w:t>
        </w:r>
        <w:r w:rsidRPr="002B389E">
          <w:rPr>
            <w:rFonts w:ascii="Times New Roman" w:eastAsia="Times New Roman" w:hAnsi="Times New Roman" w:cs="Times New Roman"/>
            <w:sz w:val="24"/>
            <w:szCs w:val="24"/>
            <w:highlight w:val="white"/>
            <w:u w:val="single"/>
          </w:rPr>
          <w:lastRenderedPageBreak/>
          <w:t>ement_Practices/links/626a439105d79a3968a7dc5c/Bad-Management-Hypotheses-Are-Demolishing-Management-Practices.pdf</w:t>
        </w:r>
      </w:hyperlink>
    </w:p>
    <w:p w14:paraId="24588594"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B389E">
        <w:rPr>
          <w:rFonts w:ascii="Times New Roman" w:eastAsia="Times New Roman" w:hAnsi="Times New Roman" w:cs="Times New Roman"/>
          <w:sz w:val="24"/>
          <w:szCs w:val="24"/>
          <w:highlight w:val="white"/>
        </w:rPr>
        <w:t>Srai, J.S., Settanni, E. and Aulakh, P.K., 2020. Evaluating the business case for continuous manufacturing of pharmaceuticals: a supply network perspective. In </w:t>
      </w:r>
      <w:r w:rsidRPr="002B389E">
        <w:rPr>
          <w:rFonts w:ascii="Times New Roman" w:eastAsia="Times New Roman" w:hAnsi="Times New Roman" w:cs="Times New Roman"/>
          <w:i/>
          <w:sz w:val="24"/>
          <w:szCs w:val="24"/>
          <w:highlight w:val="white"/>
        </w:rPr>
        <w:t>Continuous pharmaceutical processing</w:t>
      </w:r>
      <w:r w:rsidRPr="002B389E">
        <w:rPr>
          <w:rFonts w:ascii="Times New Roman" w:eastAsia="Times New Roman" w:hAnsi="Times New Roman" w:cs="Times New Roman"/>
          <w:sz w:val="24"/>
          <w:szCs w:val="24"/>
          <w:highlight w:val="white"/>
        </w:rPr>
        <w:t xml:space="preserve"> (pp. 477-512). Cham: Springer International Publishing. Available at: </w:t>
      </w:r>
      <w:hyperlink r:id="rId14">
        <w:r w:rsidRPr="002B389E">
          <w:rPr>
            <w:rFonts w:ascii="Times New Roman" w:eastAsia="Times New Roman" w:hAnsi="Times New Roman" w:cs="Times New Roman"/>
            <w:sz w:val="24"/>
            <w:szCs w:val="24"/>
            <w:highlight w:val="white"/>
            <w:u w:val="single"/>
          </w:rPr>
          <w:t>https://www.researchgate.net/profile/Ettore-Settanni/publication/342090771_Evaluating_the_Business_Case_for_Continuous_Manufacturing_of_Pharmaceuticals_A_Supply_Network_Perspective/links/5ee35f39299bf1faac4e87e9/Evaluating-the-Business-Case-for-Continuous-Manufacturing-of-Pharmaceuticals-A-Supply-Network-Perspective.pdf</w:t>
        </w:r>
      </w:hyperlink>
    </w:p>
    <w:p w14:paraId="7309390F"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B389E">
        <w:rPr>
          <w:rFonts w:ascii="Times New Roman" w:eastAsia="Times New Roman" w:hAnsi="Times New Roman" w:cs="Times New Roman"/>
          <w:sz w:val="24"/>
          <w:szCs w:val="24"/>
          <w:highlight w:val="white"/>
        </w:rPr>
        <w:t xml:space="preserve">Varli, R., 2021. The (in) efficiency of Financial Markets: Applying the Relative Strength Strategy on the Swedish Large cap Exchange. Available at: </w:t>
      </w:r>
      <w:hyperlink r:id="rId15">
        <w:r w:rsidRPr="002B389E">
          <w:rPr>
            <w:rFonts w:ascii="Times New Roman" w:eastAsia="Times New Roman" w:hAnsi="Times New Roman" w:cs="Times New Roman"/>
            <w:sz w:val="24"/>
            <w:szCs w:val="24"/>
            <w:highlight w:val="white"/>
            <w:u w:val="single"/>
          </w:rPr>
          <w:t>https://www.diva-portal.org/smash/get/diva2:1564128/FULLTEXT01.pdf</w:t>
        </w:r>
      </w:hyperlink>
    </w:p>
    <w:p w14:paraId="43DEDA6D" w14:textId="77777777" w:rsidR="008652A9" w:rsidRPr="002B389E" w:rsidRDefault="0061477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89E">
        <w:rPr>
          <w:rFonts w:ascii="Times New Roman" w:eastAsia="Times New Roman" w:hAnsi="Times New Roman" w:cs="Times New Roman"/>
          <w:sz w:val="24"/>
          <w:szCs w:val="24"/>
          <w:highlight w:val="white"/>
        </w:rPr>
        <w:t>Yuyan, G., 2023. A financial analysis report of three typical biopharmaceutical companies in UK. </w:t>
      </w:r>
      <w:r w:rsidRPr="002B389E">
        <w:rPr>
          <w:rFonts w:ascii="Times New Roman" w:eastAsia="Times New Roman" w:hAnsi="Times New Roman" w:cs="Times New Roman"/>
          <w:i/>
          <w:sz w:val="24"/>
          <w:szCs w:val="24"/>
          <w:highlight w:val="white"/>
        </w:rPr>
        <w:t>Academic Journal of Business &amp; Management</w:t>
      </w:r>
      <w:r w:rsidRPr="002B389E">
        <w:rPr>
          <w:rFonts w:ascii="Times New Roman" w:eastAsia="Times New Roman" w:hAnsi="Times New Roman" w:cs="Times New Roman"/>
          <w:sz w:val="24"/>
          <w:szCs w:val="24"/>
          <w:highlight w:val="white"/>
        </w:rPr>
        <w:t>, </w:t>
      </w:r>
      <w:r w:rsidRPr="002B389E">
        <w:rPr>
          <w:rFonts w:ascii="Times New Roman" w:eastAsia="Times New Roman" w:hAnsi="Times New Roman" w:cs="Times New Roman"/>
          <w:i/>
          <w:sz w:val="24"/>
          <w:szCs w:val="24"/>
          <w:highlight w:val="white"/>
        </w:rPr>
        <w:t>5</w:t>
      </w:r>
      <w:r w:rsidRPr="002B389E">
        <w:rPr>
          <w:rFonts w:ascii="Times New Roman" w:eastAsia="Times New Roman" w:hAnsi="Times New Roman" w:cs="Times New Roman"/>
          <w:sz w:val="24"/>
          <w:szCs w:val="24"/>
          <w:highlight w:val="white"/>
        </w:rPr>
        <w:t xml:space="preserve">(1), pp.165-170. Available at: </w:t>
      </w:r>
      <w:hyperlink r:id="rId16">
        <w:r w:rsidRPr="002B389E">
          <w:rPr>
            <w:rFonts w:ascii="Times New Roman" w:eastAsia="Times New Roman" w:hAnsi="Times New Roman" w:cs="Times New Roman"/>
            <w:sz w:val="24"/>
            <w:szCs w:val="24"/>
            <w:highlight w:val="white"/>
            <w:u w:val="single"/>
          </w:rPr>
          <w:t>https://francis-press.com/uploads/papers/PG29jlgGwJ0XnUjNyAgZiCAjNlMqwVet3gd0lsdu.pdf</w:t>
        </w:r>
      </w:hyperlink>
    </w:p>
    <w:p w14:paraId="576E69AD" w14:textId="77777777" w:rsidR="008652A9" w:rsidRPr="002B389E" w:rsidRDefault="008652A9">
      <w:pPr>
        <w:pStyle w:val="Normal1"/>
        <w:pBdr>
          <w:top w:val="nil"/>
          <w:left w:val="nil"/>
          <w:bottom w:val="nil"/>
          <w:right w:val="nil"/>
          <w:between w:val="nil"/>
        </w:pBdr>
        <w:spacing w:line="240" w:lineRule="auto"/>
        <w:rPr>
          <w:rFonts w:ascii="Calibri" w:eastAsia="Calibri" w:hAnsi="Calibri" w:cs="Calibri"/>
          <w:sz w:val="25"/>
          <w:szCs w:val="25"/>
        </w:rPr>
      </w:pPr>
    </w:p>
    <w:p w14:paraId="41D90922" w14:textId="77777777" w:rsidR="008652A9" w:rsidRPr="002B389E" w:rsidRDefault="00614777">
      <w:pPr>
        <w:pStyle w:val="Normal1"/>
        <w:pBdr>
          <w:top w:val="nil"/>
          <w:left w:val="nil"/>
          <w:bottom w:val="nil"/>
          <w:right w:val="nil"/>
          <w:between w:val="nil"/>
        </w:pBdr>
        <w:spacing w:line="240" w:lineRule="auto"/>
        <w:rPr>
          <w:rFonts w:ascii="Calibri" w:eastAsia="Calibri" w:hAnsi="Calibri" w:cs="Calibri"/>
          <w:sz w:val="27"/>
          <w:szCs w:val="27"/>
        </w:rPr>
      </w:pPr>
      <w:r w:rsidRPr="002B389E">
        <w:rPr>
          <w:rFonts w:ascii="Calibri" w:eastAsia="Calibri" w:hAnsi="Calibri" w:cs="Calibri"/>
          <w:sz w:val="27"/>
          <w:szCs w:val="27"/>
        </w:rPr>
        <w:t>‌</w:t>
      </w:r>
    </w:p>
    <w:p w14:paraId="3E403DC9" w14:textId="77777777" w:rsidR="008652A9" w:rsidRPr="002B389E" w:rsidRDefault="008652A9">
      <w:pPr>
        <w:pStyle w:val="Normal1"/>
        <w:pBdr>
          <w:top w:val="nil"/>
          <w:left w:val="nil"/>
          <w:bottom w:val="nil"/>
          <w:right w:val="nil"/>
          <w:between w:val="nil"/>
        </w:pBdr>
        <w:spacing w:line="240" w:lineRule="auto"/>
        <w:rPr>
          <w:sz w:val="18"/>
          <w:szCs w:val="18"/>
          <w:highlight w:val="white"/>
        </w:rPr>
      </w:pPr>
    </w:p>
    <w:p w14:paraId="418F1918" w14:textId="77777777" w:rsidR="008652A9" w:rsidRPr="002B389E" w:rsidRDefault="008652A9">
      <w:pPr>
        <w:pStyle w:val="Normal1"/>
        <w:pBdr>
          <w:top w:val="nil"/>
          <w:left w:val="nil"/>
          <w:bottom w:val="nil"/>
          <w:right w:val="nil"/>
          <w:between w:val="nil"/>
        </w:pBdr>
        <w:spacing w:line="240" w:lineRule="auto"/>
        <w:rPr>
          <w:rFonts w:ascii="Calibri" w:eastAsia="Calibri" w:hAnsi="Calibri" w:cs="Calibri"/>
          <w:sz w:val="27"/>
          <w:szCs w:val="27"/>
        </w:rPr>
      </w:pPr>
    </w:p>
    <w:p w14:paraId="29C275BA" w14:textId="77777777" w:rsidR="008652A9" w:rsidRPr="002B389E" w:rsidRDefault="008652A9">
      <w:pPr>
        <w:pStyle w:val="Normal1"/>
      </w:pPr>
    </w:p>
    <w:p w14:paraId="242B2967" w14:textId="77777777" w:rsidR="008652A9" w:rsidRPr="002B389E" w:rsidRDefault="008652A9">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sectPr w:rsidR="008652A9" w:rsidRPr="002B389E" w:rsidSect="008652A9">
      <w:headerReference w:type="even" r:id="rId17"/>
      <w:headerReference w:type="default" r:id="rId18"/>
      <w:footerReference w:type="even" r:id="rId19"/>
      <w:footerReference w:type="default" r:id="rId20"/>
      <w:headerReference w:type="first" r:id="rId21"/>
      <w:footerReference w:type="first" r:id="rId2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76F5C" w14:textId="77777777" w:rsidR="008E2507" w:rsidRDefault="008E2507" w:rsidP="008652A9">
      <w:pPr>
        <w:spacing w:line="240" w:lineRule="auto"/>
      </w:pPr>
      <w:r>
        <w:separator/>
      </w:r>
    </w:p>
  </w:endnote>
  <w:endnote w:type="continuationSeparator" w:id="0">
    <w:p w14:paraId="50A9F6A6" w14:textId="77777777" w:rsidR="008E2507" w:rsidRDefault="008E2507" w:rsidP="008652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00B36" w14:textId="77777777" w:rsidR="00EA79CA" w:rsidRDefault="00EA79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ACA14" w14:textId="77777777" w:rsidR="008652A9" w:rsidRDefault="00614777">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sidR="008652A9">
      <w:rPr>
        <w:b/>
        <w:color w:val="000000"/>
        <w:sz w:val="24"/>
        <w:szCs w:val="24"/>
      </w:rPr>
      <w:fldChar w:fldCharType="begin"/>
    </w:r>
    <w:r>
      <w:rPr>
        <w:b/>
        <w:color w:val="000000"/>
        <w:sz w:val="24"/>
        <w:szCs w:val="24"/>
      </w:rPr>
      <w:instrText>PAGE</w:instrText>
    </w:r>
    <w:r w:rsidR="008652A9">
      <w:rPr>
        <w:b/>
        <w:color w:val="000000"/>
        <w:sz w:val="24"/>
        <w:szCs w:val="24"/>
      </w:rPr>
      <w:fldChar w:fldCharType="separate"/>
    </w:r>
    <w:r w:rsidR="00F232B8">
      <w:rPr>
        <w:b/>
        <w:noProof/>
        <w:color w:val="000000"/>
        <w:sz w:val="24"/>
        <w:szCs w:val="24"/>
      </w:rPr>
      <w:t>6</w:t>
    </w:r>
    <w:r w:rsidR="008652A9">
      <w:rPr>
        <w:b/>
        <w:color w:val="000000"/>
        <w:sz w:val="24"/>
        <w:szCs w:val="24"/>
      </w:rPr>
      <w:fldChar w:fldCharType="end"/>
    </w:r>
    <w:r>
      <w:rPr>
        <w:color w:val="000000"/>
      </w:rPr>
      <w:t xml:space="preserve"> of </w:t>
    </w:r>
    <w:r w:rsidR="008652A9">
      <w:rPr>
        <w:b/>
        <w:color w:val="000000"/>
        <w:sz w:val="24"/>
        <w:szCs w:val="24"/>
      </w:rPr>
      <w:fldChar w:fldCharType="begin"/>
    </w:r>
    <w:r>
      <w:rPr>
        <w:b/>
        <w:color w:val="000000"/>
        <w:sz w:val="24"/>
        <w:szCs w:val="24"/>
      </w:rPr>
      <w:instrText>NUMPAGES</w:instrText>
    </w:r>
    <w:r w:rsidR="008652A9">
      <w:rPr>
        <w:b/>
        <w:color w:val="000000"/>
        <w:sz w:val="24"/>
        <w:szCs w:val="24"/>
      </w:rPr>
      <w:fldChar w:fldCharType="separate"/>
    </w:r>
    <w:r w:rsidR="00F232B8">
      <w:rPr>
        <w:b/>
        <w:noProof/>
        <w:color w:val="000000"/>
        <w:sz w:val="24"/>
        <w:szCs w:val="24"/>
      </w:rPr>
      <w:t>9</w:t>
    </w:r>
    <w:r w:rsidR="008652A9">
      <w:rPr>
        <w:b/>
        <w:color w:val="000000"/>
        <w:sz w:val="24"/>
        <w:szCs w:val="24"/>
      </w:rPr>
      <w:fldChar w:fldCharType="end"/>
    </w:r>
  </w:p>
  <w:p w14:paraId="03F73065" w14:textId="77777777" w:rsidR="008652A9" w:rsidRDefault="008652A9">
    <w:pPr>
      <w:pStyle w:val="Normal1"/>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42A21" w14:textId="77777777" w:rsidR="00EA79CA" w:rsidRDefault="00EA7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4974E" w14:textId="77777777" w:rsidR="008E2507" w:rsidRDefault="008E2507" w:rsidP="008652A9">
      <w:pPr>
        <w:spacing w:line="240" w:lineRule="auto"/>
      </w:pPr>
      <w:r>
        <w:separator/>
      </w:r>
    </w:p>
  </w:footnote>
  <w:footnote w:type="continuationSeparator" w:id="0">
    <w:p w14:paraId="10726135" w14:textId="77777777" w:rsidR="008E2507" w:rsidRDefault="008E2507" w:rsidP="008652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1EC21" w14:textId="77777777" w:rsidR="00EA79CA" w:rsidRDefault="00EA79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A9873" w14:textId="77777777" w:rsidR="00EA79CA" w:rsidRDefault="00EA79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0D1AD" w14:textId="77777777" w:rsidR="00EA79CA" w:rsidRDefault="00EA79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2A9"/>
    <w:rsid w:val="002B389E"/>
    <w:rsid w:val="00402DF5"/>
    <w:rsid w:val="00614777"/>
    <w:rsid w:val="007E1105"/>
    <w:rsid w:val="008652A9"/>
    <w:rsid w:val="008E2507"/>
    <w:rsid w:val="00C77C08"/>
    <w:rsid w:val="00D91055"/>
    <w:rsid w:val="00DA4463"/>
    <w:rsid w:val="00EA79CA"/>
    <w:rsid w:val="00F232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B1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652A9"/>
    <w:pPr>
      <w:keepNext/>
      <w:keepLines/>
      <w:pBdr>
        <w:top w:val="nil"/>
        <w:left w:val="nil"/>
        <w:bottom w:val="nil"/>
        <w:right w:val="nil"/>
        <w:between w:val="nil"/>
      </w:pBdr>
      <w:spacing w:before="400" w:after="12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1"/>
    <w:next w:val="Normal1"/>
    <w:rsid w:val="008652A9"/>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8652A9"/>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8652A9"/>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8652A9"/>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8652A9"/>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52A9"/>
  </w:style>
  <w:style w:type="paragraph" w:styleId="Title">
    <w:name w:val="Title"/>
    <w:basedOn w:val="Normal1"/>
    <w:next w:val="Normal1"/>
    <w:rsid w:val="008652A9"/>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8652A9"/>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rsid w:val="008652A9"/>
    <w:pPr>
      <w:spacing w:line="240" w:lineRule="auto"/>
    </w:pPr>
    <w:rPr>
      <w:sz w:val="20"/>
      <w:szCs w:val="20"/>
    </w:rPr>
  </w:style>
  <w:style w:type="character" w:customStyle="1" w:styleId="CommentTextChar">
    <w:name w:val="Comment Text Char"/>
    <w:basedOn w:val="DefaultParagraphFont"/>
    <w:link w:val="CommentText"/>
    <w:uiPriority w:val="99"/>
    <w:semiHidden/>
    <w:rsid w:val="008652A9"/>
    <w:rPr>
      <w:sz w:val="20"/>
      <w:szCs w:val="20"/>
    </w:rPr>
  </w:style>
  <w:style w:type="character" w:styleId="CommentReference">
    <w:name w:val="annotation reference"/>
    <w:basedOn w:val="DefaultParagraphFont"/>
    <w:uiPriority w:val="99"/>
    <w:semiHidden/>
    <w:unhideWhenUsed/>
    <w:rsid w:val="008652A9"/>
    <w:rPr>
      <w:sz w:val="16"/>
      <w:szCs w:val="16"/>
    </w:rPr>
  </w:style>
  <w:style w:type="paragraph" w:styleId="BalloonText">
    <w:name w:val="Balloon Text"/>
    <w:basedOn w:val="Normal"/>
    <w:link w:val="BalloonTextChar"/>
    <w:uiPriority w:val="99"/>
    <w:semiHidden/>
    <w:unhideWhenUsed/>
    <w:rsid w:val="00F232B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2B8"/>
    <w:rPr>
      <w:rFonts w:ascii="Tahoma" w:hAnsi="Tahoma" w:cs="Tahoma"/>
      <w:sz w:val="16"/>
      <w:szCs w:val="16"/>
    </w:rPr>
  </w:style>
  <w:style w:type="paragraph" w:styleId="Header">
    <w:name w:val="header"/>
    <w:basedOn w:val="Normal"/>
    <w:link w:val="HeaderChar"/>
    <w:uiPriority w:val="99"/>
    <w:unhideWhenUsed/>
    <w:rsid w:val="00EA79CA"/>
    <w:pPr>
      <w:tabs>
        <w:tab w:val="center" w:pos="4513"/>
        <w:tab w:val="right" w:pos="9026"/>
      </w:tabs>
      <w:spacing w:line="240" w:lineRule="auto"/>
    </w:pPr>
  </w:style>
  <w:style w:type="character" w:customStyle="1" w:styleId="HeaderChar">
    <w:name w:val="Header Char"/>
    <w:basedOn w:val="DefaultParagraphFont"/>
    <w:link w:val="Header"/>
    <w:uiPriority w:val="99"/>
    <w:rsid w:val="00EA79CA"/>
  </w:style>
  <w:style w:type="paragraph" w:styleId="Footer">
    <w:name w:val="footer"/>
    <w:basedOn w:val="Normal"/>
    <w:link w:val="FooterChar"/>
    <w:uiPriority w:val="99"/>
    <w:unhideWhenUsed/>
    <w:rsid w:val="00EA79CA"/>
    <w:pPr>
      <w:tabs>
        <w:tab w:val="center" w:pos="4513"/>
        <w:tab w:val="right" w:pos="9026"/>
      </w:tabs>
      <w:spacing w:line="240" w:lineRule="auto"/>
    </w:pPr>
  </w:style>
  <w:style w:type="character" w:customStyle="1" w:styleId="FooterChar">
    <w:name w:val="Footer Char"/>
    <w:basedOn w:val="DefaultParagraphFont"/>
    <w:link w:val="Footer"/>
    <w:uiPriority w:val="99"/>
    <w:rsid w:val="00EA7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usinessjargons.com/opinion-poll-method.html" TargetMode="External"/><Relationship Id="rId13" Type="http://schemas.openxmlformats.org/officeDocument/2006/relationships/hyperlink" Target="https://www.researchgate.net/profile/Jakhongir-Shaturaev/publication/360235487_Bad_Management_Hypotheses_Are_Demolishing_Management_Practices/links/626a439105d79a3968a7dc5c/Bad-Management-Hypotheses-Are-Demolishing-Management-Practices.pdf"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www.sharesmagazine.co.uk/news/market/1675932168018164600/top-news-astrazeneca-swings-to-profit-as-alexion-adds-to-2022-revenue" TargetMode="External"/><Relationship Id="rId12" Type="http://schemas.openxmlformats.org/officeDocument/2006/relationships/hyperlink" Target="https://run.unl.pt/bitstream/10362/144641/1/2021-22_fall_44668_petya-revalska.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francis-press.com/uploads/papers/PG29jlgGwJ0XnUjNyAgZiCAjNlMqwVet3gd0lsdu.pdf"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researchgate.net/profile/Haitham-Nobanee/publication/353526398_Financial_Analysis_of_AstraZeneca/links/6101a7661ca20f6f86e5ee50/Financial-Analysis-of-AstraZeneca.pdf" TargetMode="External"/><Relationship Id="rId11" Type="http://schemas.openxmlformats.org/officeDocument/2006/relationships/hyperlink" Target="https://dom-pubs.onlinelibrary.wiley.com/doi/pdf/10.1111/dom.14308"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diva-portal.org/smash/get/diva2:1564128/FULLTEXT01.pdf" TargetMode="External"/><Relationship Id="rId23" Type="http://schemas.openxmlformats.org/officeDocument/2006/relationships/fontTable" Target="fontTable.xml"/><Relationship Id="rId10" Type="http://schemas.openxmlformats.org/officeDocument/2006/relationships/hyperlink" Target="https://scholarworks.calstate.edu/downloads/8w32rb863"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lup.lub.lu.se/luur/download?func=downloadFile&amp;recordOId=8974064&amp;fileOId=8974065" TargetMode="External"/><Relationship Id="rId14" Type="http://schemas.openxmlformats.org/officeDocument/2006/relationships/hyperlink" Target="https://www.researchgate.net/profile/Ettore-Settanni/publication/342090771_Evaluating_the_Business_Case_for_Continuous_Manufacturing_of_Pharmaceuticals_A_Supply_Network_Perspective/links/5ee35f39299bf1faac4e87e9/Evaluating-the-Business-Case-for-Continuous-Manufacturing-of-Pharmaceuticals-A-Supply-Network-Perspective.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2023-04-28T15:19:00Z</dcterms:created>
  <dcterms:modified xsi:type="dcterms:W3CDTF">2023-04-28T15:19:00Z</dcterms:modified>
</cp:coreProperties>
</file>