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4B016" w14:textId="77777777" w:rsidR="00982FC7" w:rsidRPr="000D6D7F" w:rsidRDefault="00982FC7" w:rsidP="00982FC7">
      <w:pPr>
        <w:spacing w:line="360" w:lineRule="auto"/>
        <w:rPr>
          <w:rFonts w:ascii="Arial" w:hAnsi="Arial" w:cs="Arial"/>
          <w:sz w:val="24"/>
          <w:szCs w:val="24"/>
        </w:rPr>
      </w:pPr>
      <w:r w:rsidRPr="000D6D7F">
        <w:rPr>
          <w:rFonts w:ascii="Arial" w:hAnsi="Arial" w:cs="Arial"/>
          <w:noProof/>
          <w:sz w:val="24"/>
          <w:szCs w:val="24"/>
          <w:lang w:eastAsia="en-GB"/>
        </w:rPr>
        <w:drawing>
          <wp:anchor distT="0" distB="0" distL="114300" distR="114300" simplePos="0" relativeHeight="251659264" behindDoc="0" locked="0" layoutInCell="1" allowOverlap="1" wp14:anchorId="7EFFD684" wp14:editId="37D5833C">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0B6428DE" w14:textId="77777777" w:rsidR="00982FC7" w:rsidRPr="000D6D7F" w:rsidRDefault="00982FC7" w:rsidP="00982FC7">
      <w:pPr>
        <w:spacing w:line="360" w:lineRule="auto"/>
        <w:jc w:val="center"/>
        <w:rPr>
          <w:rFonts w:ascii="Arial" w:hAnsi="Arial" w:cs="Arial"/>
          <w:b/>
          <w:bCs/>
          <w:sz w:val="28"/>
          <w:szCs w:val="24"/>
        </w:rPr>
      </w:pPr>
      <w:r w:rsidRPr="000D6D7F">
        <w:rPr>
          <w:rFonts w:ascii="Arial" w:hAnsi="Arial" w:cs="Arial"/>
          <w:b/>
          <w:bCs/>
          <w:sz w:val="28"/>
          <w:szCs w:val="24"/>
        </w:rPr>
        <w:t>MSc Public Health and Social Care in Practice</w:t>
      </w:r>
    </w:p>
    <w:p w14:paraId="1C807D34" w14:textId="687B6438" w:rsidR="00982FC7" w:rsidRPr="000D6D7F" w:rsidRDefault="00982FC7" w:rsidP="00982FC7">
      <w:pPr>
        <w:spacing w:line="360" w:lineRule="auto"/>
        <w:jc w:val="center"/>
        <w:rPr>
          <w:rFonts w:ascii="Arial" w:hAnsi="Arial" w:cs="Arial"/>
          <w:b/>
          <w:bCs/>
          <w:sz w:val="28"/>
          <w:szCs w:val="24"/>
        </w:rPr>
      </w:pPr>
      <w:r w:rsidRPr="000D6D7F">
        <w:rPr>
          <w:rFonts w:ascii="Arial" w:hAnsi="Arial" w:cs="Arial"/>
          <w:b/>
          <w:bCs/>
          <w:sz w:val="28"/>
          <w:szCs w:val="24"/>
        </w:rPr>
        <w:t xml:space="preserve">Module: </w:t>
      </w:r>
      <w:r w:rsidR="00D10537" w:rsidRPr="000D6D7F">
        <w:rPr>
          <w:rFonts w:ascii="Arial" w:hAnsi="Arial" w:cs="Arial"/>
          <w:b/>
          <w:bCs/>
          <w:sz w:val="28"/>
          <w:szCs w:val="24"/>
        </w:rPr>
        <w:t>Social Epidemiology and Public Health Development</w:t>
      </w:r>
    </w:p>
    <w:p w14:paraId="08500258" w14:textId="48DB71DA" w:rsidR="00982FC7" w:rsidRPr="000D6D7F" w:rsidRDefault="00982FC7" w:rsidP="00982FC7">
      <w:pPr>
        <w:spacing w:line="360" w:lineRule="auto"/>
        <w:jc w:val="center"/>
        <w:rPr>
          <w:rFonts w:ascii="Arial" w:hAnsi="Arial" w:cs="Arial"/>
          <w:b/>
          <w:bCs/>
          <w:sz w:val="28"/>
          <w:szCs w:val="24"/>
        </w:rPr>
      </w:pPr>
      <w:r w:rsidRPr="000D6D7F">
        <w:rPr>
          <w:rFonts w:ascii="Arial" w:hAnsi="Arial" w:cs="Arial"/>
          <w:b/>
          <w:bCs/>
          <w:sz w:val="28"/>
          <w:szCs w:val="24"/>
        </w:rPr>
        <w:t xml:space="preserve">Module code: </w:t>
      </w:r>
      <w:r w:rsidR="00E47229" w:rsidRPr="000D6D7F">
        <w:rPr>
          <w:rFonts w:ascii="Arial" w:hAnsi="Arial" w:cs="Arial"/>
          <w:b/>
          <w:bCs/>
          <w:sz w:val="28"/>
          <w:szCs w:val="24"/>
        </w:rPr>
        <w:t>LCHS7000</w:t>
      </w:r>
    </w:p>
    <w:p w14:paraId="0076A444" w14:textId="5E1065D6" w:rsidR="00982FC7" w:rsidRPr="000D6D7F" w:rsidRDefault="00982FC7" w:rsidP="00982FC7">
      <w:pPr>
        <w:spacing w:line="360" w:lineRule="auto"/>
        <w:jc w:val="center"/>
        <w:rPr>
          <w:rFonts w:ascii="Arial" w:hAnsi="Arial" w:cs="Arial"/>
          <w:b/>
          <w:bCs/>
          <w:sz w:val="28"/>
          <w:szCs w:val="24"/>
        </w:rPr>
      </w:pPr>
      <w:r w:rsidRPr="000D6D7F">
        <w:rPr>
          <w:rFonts w:ascii="Arial" w:hAnsi="Arial" w:cs="Arial"/>
          <w:b/>
          <w:bCs/>
          <w:sz w:val="28"/>
          <w:szCs w:val="24"/>
        </w:rPr>
        <w:t xml:space="preserve">Assessment Title: </w:t>
      </w:r>
      <w:r w:rsidR="00F54A27" w:rsidRPr="000D6D7F">
        <w:rPr>
          <w:rFonts w:ascii="Arial" w:hAnsi="Arial" w:cs="Arial"/>
          <w:b/>
          <w:bCs/>
          <w:sz w:val="28"/>
          <w:szCs w:val="24"/>
        </w:rPr>
        <w:t>The Widening Gap: An Analysis of Age and Health Inequality in the UK Elderly Population</w:t>
      </w:r>
    </w:p>
    <w:p w14:paraId="62888451" w14:textId="77777777" w:rsidR="00982FC7" w:rsidRPr="000D6D7F" w:rsidRDefault="00982FC7" w:rsidP="00982FC7">
      <w:pPr>
        <w:spacing w:line="360" w:lineRule="auto"/>
        <w:jc w:val="center"/>
        <w:rPr>
          <w:rFonts w:ascii="Arial" w:hAnsi="Arial" w:cs="Arial"/>
          <w:b/>
          <w:bCs/>
          <w:sz w:val="28"/>
          <w:szCs w:val="24"/>
        </w:rPr>
      </w:pPr>
      <w:r w:rsidRPr="000D6D7F">
        <w:rPr>
          <w:rFonts w:ascii="Arial" w:hAnsi="Arial" w:cs="Arial"/>
          <w:b/>
          <w:bCs/>
          <w:sz w:val="28"/>
          <w:szCs w:val="24"/>
        </w:rPr>
        <w:t>Student Name:</w:t>
      </w:r>
      <w:r w:rsidRPr="000D6D7F">
        <w:rPr>
          <w:rFonts w:ascii="Arial" w:hAnsi="Arial" w:cs="Arial"/>
          <w:sz w:val="28"/>
          <w:szCs w:val="24"/>
        </w:rPr>
        <w:t xml:space="preserve"> </w:t>
      </w:r>
      <w:r w:rsidRPr="000D6D7F">
        <w:rPr>
          <w:rFonts w:ascii="Arial" w:hAnsi="Arial" w:cs="Arial"/>
          <w:b/>
          <w:bCs/>
          <w:sz w:val="28"/>
          <w:szCs w:val="24"/>
        </w:rPr>
        <w:t xml:space="preserve">Md. </w:t>
      </w:r>
      <w:proofErr w:type="spellStart"/>
      <w:r w:rsidRPr="000D6D7F">
        <w:rPr>
          <w:rFonts w:ascii="Arial" w:hAnsi="Arial" w:cs="Arial"/>
          <w:b/>
          <w:bCs/>
          <w:sz w:val="28"/>
          <w:szCs w:val="24"/>
        </w:rPr>
        <w:t>Mukhlesur</w:t>
      </w:r>
      <w:proofErr w:type="spellEnd"/>
      <w:r w:rsidRPr="000D6D7F">
        <w:rPr>
          <w:rFonts w:ascii="Arial" w:hAnsi="Arial" w:cs="Arial"/>
          <w:b/>
          <w:bCs/>
          <w:sz w:val="28"/>
          <w:szCs w:val="24"/>
        </w:rPr>
        <w:t xml:space="preserve"> Rahman </w:t>
      </w:r>
      <w:proofErr w:type="spellStart"/>
      <w:r w:rsidRPr="000D6D7F">
        <w:rPr>
          <w:rFonts w:ascii="Arial" w:hAnsi="Arial" w:cs="Arial"/>
          <w:b/>
          <w:bCs/>
          <w:sz w:val="28"/>
          <w:szCs w:val="24"/>
        </w:rPr>
        <w:t>Shepon</w:t>
      </w:r>
      <w:proofErr w:type="spellEnd"/>
    </w:p>
    <w:p w14:paraId="2A48F96F" w14:textId="77777777" w:rsidR="00982FC7" w:rsidRPr="000D6D7F" w:rsidRDefault="00982FC7" w:rsidP="00982FC7">
      <w:pPr>
        <w:spacing w:line="360" w:lineRule="auto"/>
        <w:jc w:val="center"/>
        <w:rPr>
          <w:rFonts w:ascii="Arial" w:hAnsi="Arial" w:cs="Arial"/>
          <w:b/>
          <w:bCs/>
          <w:sz w:val="28"/>
          <w:szCs w:val="24"/>
        </w:rPr>
      </w:pPr>
      <w:r w:rsidRPr="000D6D7F">
        <w:rPr>
          <w:rFonts w:ascii="Arial" w:hAnsi="Arial" w:cs="Arial"/>
          <w:b/>
          <w:bCs/>
          <w:sz w:val="28"/>
          <w:szCs w:val="24"/>
        </w:rPr>
        <w:t>Student Number:</w:t>
      </w:r>
      <w:r w:rsidRPr="000D6D7F">
        <w:rPr>
          <w:rFonts w:ascii="Arial" w:hAnsi="Arial" w:cs="Arial"/>
          <w:sz w:val="28"/>
          <w:szCs w:val="24"/>
        </w:rPr>
        <w:t xml:space="preserve"> </w:t>
      </w:r>
      <w:r w:rsidRPr="000D6D7F">
        <w:rPr>
          <w:rFonts w:ascii="Arial" w:hAnsi="Arial" w:cs="Arial"/>
          <w:b/>
          <w:bCs/>
          <w:sz w:val="28"/>
          <w:szCs w:val="24"/>
        </w:rPr>
        <w:t>2435264</w:t>
      </w:r>
    </w:p>
    <w:p w14:paraId="4C95ECBE" w14:textId="1C9002D0" w:rsidR="00982FC7" w:rsidRPr="000D6D7F" w:rsidRDefault="00982FC7" w:rsidP="00982FC7">
      <w:pPr>
        <w:spacing w:line="360" w:lineRule="auto"/>
        <w:jc w:val="center"/>
        <w:rPr>
          <w:rFonts w:ascii="Arial" w:hAnsi="Arial" w:cs="Arial"/>
          <w:b/>
          <w:bCs/>
          <w:sz w:val="28"/>
          <w:szCs w:val="24"/>
        </w:rPr>
      </w:pPr>
      <w:r w:rsidRPr="000D6D7F">
        <w:rPr>
          <w:rFonts w:ascii="Arial" w:hAnsi="Arial" w:cs="Arial"/>
          <w:b/>
          <w:bCs/>
          <w:sz w:val="28"/>
          <w:szCs w:val="24"/>
        </w:rPr>
        <w:t>Word Count:</w:t>
      </w:r>
      <w:r w:rsidR="000D3CC1" w:rsidRPr="000D6D7F">
        <w:rPr>
          <w:rFonts w:ascii="Arial" w:hAnsi="Arial" w:cs="Arial"/>
          <w:b/>
          <w:bCs/>
          <w:sz w:val="28"/>
          <w:szCs w:val="24"/>
        </w:rPr>
        <w:t xml:space="preserve"> 2</w:t>
      </w:r>
      <w:r w:rsidR="00016E2F">
        <w:rPr>
          <w:rFonts w:ascii="Arial" w:hAnsi="Arial" w:cs="Arial"/>
          <w:b/>
          <w:bCs/>
          <w:sz w:val="28"/>
          <w:szCs w:val="24"/>
        </w:rPr>
        <w:t>67</w:t>
      </w:r>
      <w:r w:rsidR="00EA5450">
        <w:rPr>
          <w:rFonts w:ascii="Arial" w:hAnsi="Arial" w:cs="Arial"/>
          <w:b/>
          <w:bCs/>
          <w:sz w:val="28"/>
          <w:szCs w:val="24"/>
        </w:rPr>
        <w:t>7</w:t>
      </w:r>
    </w:p>
    <w:p w14:paraId="180D7E80" w14:textId="05D83128" w:rsidR="00F51792" w:rsidRPr="000D6D7F" w:rsidRDefault="00F51792" w:rsidP="00982FC7">
      <w:pPr>
        <w:spacing w:line="360" w:lineRule="auto"/>
        <w:jc w:val="center"/>
        <w:rPr>
          <w:rFonts w:ascii="Arial" w:hAnsi="Arial" w:cs="Arial"/>
          <w:b/>
          <w:bCs/>
          <w:sz w:val="28"/>
          <w:szCs w:val="24"/>
        </w:rPr>
      </w:pPr>
      <w:r w:rsidRPr="000D6D7F">
        <w:rPr>
          <w:rFonts w:ascii="Arial" w:hAnsi="Arial" w:cs="Arial"/>
          <w:b/>
          <w:bCs/>
          <w:sz w:val="28"/>
          <w:szCs w:val="24"/>
        </w:rPr>
        <w:t xml:space="preserve">Lecturer: Dr </w:t>
      </w:r>
      <w:proofErr w:type="spellStart"/>
      <w:r w:rsidRPr="000D6D7F">
        <w:rPr>
          <w:rFonts w:ascii="Arial" w:hAnsi="Arial" w:cs="Arial"/>
          <w:b/>
          <w:bCs/>
          <w:sz w:val="28"/>
          <w:szCs w:val="24"/>
        </w:rPr>
        <w:t>Itse</w:t>
      </w:r>
      <w:proofErr w:type="spellEnd"/>
      <w:r w:rsidRPr="000D6D7F">
        <w:rPr>
          <w:rFonts w:ascii="Arial" w:hAnsi="Arial" w:cs="Arial"/>
          <w:b/>
          <w:bCs/>
          <w:sz w:val="28"/>
          <w:szCs w:val="24"/>
        </w:rPr>
        <w:t xml:space="preserve"> Olaoye</w:t>
      </w:r>
    </w:p>
    <w:p w14:paraId="2EA81190" w14:textId="5E44014D" w:rsidR="00982FC7" w:rsidRPr="000D6D7F" w:rsidRDefault="00982FC7" w:rsidP="00982FC7">
      <w:pPr>
        <w:spacing w:line="360" w:lineRule="auto"/>
        <w:jc w:val="center"/>
        <w:rPr>
          <w:rFonts w:ascii="Arial" w:hAnsi="Arial" w:cs="Arial"/>
          <w:b/>
          <w:bCs/>
          <w:sz w:val="28"/>
          <w:szCs w:val="24"/>
        </w:rPr>
      </w:pPr>
      <w:r w:rsidRPr="000D6D7F">
        <w:rPr>
          <w:rFonts w:ascii="Arial" w:hAnsi="Arial" w:cs="Arial"/>
          <w:b/>
          <w:bCs/>
          <w:sz w:val="28"/>
          <w:szCs w:val="24"/>
        </w:rPr>
        <w:t xml:space="preserve">Submission Deadline: </w:t>
      </w:r>
      <w:r w:rsidR="00033C4A" w:rsidRPr="000D6D7F">
        <w:rPr>
          <w:rFonts w:ascii="Arial" w:hAnsi="Arial" w:cs="Arial"/>
          <w:b/>
          <w:bCs/>
          <w:sz w:val="28"/>
          <w:szCs w:val="24"/>
        </w:rPr>
        <w:t>19</w:t>
      </w:r>
      <w:r w:rsidR="00033C4A" w:rsidRPr="000D6D7F">
        <w:rPr>
          <w:rFonts w:ascii="Arial" w:hAnsi="Arial" w:cs="Arial"/>
          <w:b/>
          <w:bCs/>
          <w:sz w:val="28"/>
          <w:szCs w:val="24"/>
          <w:vertAlign w:val="superscript"/>
        </w:rPr>
        <w:t>th</w:t>
      </w:r>
      <w:r w:rsidR="00033C4A" w:rsidRPr="000D6D7F">
        <w:rPr>
          <w:rFonts w:ascii="Arial" w:hAnsi="Arial" w:cs="Arial"/>
          <w:b/>
          <w:bCs/>
          <w:sz w:val="28"/>
          <w:szCs w:val="24"/>
        </w:rPr>
        <w:t xml:space="preserve"> December 2025</w:t>
      </w:r>
    </w:p>
    <w:p w14:paraId="00B6814E" w14:textId="77777777" w:rsidR="00982FC7" w:rsidRPr="000D6D7F" w:rsidRDefault="00982FC7" w:rsidP="00982FC7">
      <w:pPr>
        <w:spacing w:after="160" w:line="278" w:lineRule="auto"/>
        <w:rPr>
          <w:rFonts w:ascii="Arial" w:hAnsi="Arial" w:cs="Arial"/>
          <w:b/>
          <w:bCs/>
          <w:sz w:val="28"/>
          <w:szCs w:val="24"/>
        </w:rPr>
      </w:pPr>
      <w:r w:rsidRPr="000D6D7F">
        <w:rPr>
          <w:rFonts w:ascii="Arial" w:hAnsi="Arial" w:cs="Arial"/>
          <w:b/>
          <w:bCs/>
          <w:sz w:val="28"/>
          <w:szCs w:val="24"/>
        </w:rPr>
        <w:br w:type="page"/>
      </w:r>
    </w:p>
    <w:p w14:paraId="748B4574" w14:textId="77777777" w:rsidR="00982FC7" w:rsidRPr="000D6D7F" w:rsidRDefault="00982FC7" w:rsidP="00982FC7">
      <w:pPr>
        <w:pStyle w:val="Heading1"/>
        <w:jc w:val="center"/>
        <w:sectPr w:rsidR="00982FC7" w:rsidRPr="000D6D7F" w:rsidSect="0017672E">
          <w:footerReference w:type="first" r:id="rId9"/>
          <w:pgSz w:w="11906" w:h="16838"/>
          <w:pgMar w:top="1440" w:right="1440" w:bottom="1440" w:left="1440" w:header="720" w:footer="720" w:gutter="0"/>
          <w:pgBorders w:display="firstPage" w:offsetFrom="page">
            <w:top w:val="swirligig" w:sz="10" w:space="24" w:color="auto"/>
            <w:left w:val="swirligig" w:sz="10" w:space="24" w:color="auto"/>
            <w:bottom w:val="swirligig" w:sz="10" w:space="24" w:color="auto"/>
            <w:right w:val="swirligig" w:sz="10" w:space="24" w:color="auto"/>
          </w:pgBorders>
          <w:pgNumType w:fmt="lowerRoman" w:start="1"/>
          <w:cols w:space="720"/>
          <w:titlePg/>
          <w:docGrid w:linePitch="299"/>
        </w:sectPr>
      </w:pPr>
    </w:p>
    <w:sdt>
      <w:sdtPr>
        <w:rPr>
          <w:rFonts w:asciiTheme="minorHAnsi" w:eastAsiaTheme="minorHAnsi" w:hAnsiTheme="minorHAnsi" w:cs="Arial"/>
          <w:b/>
          <w:bCs w:val="0"/>
          <w:color w:val="auto"/>
          <w:sz w:val="24"/>
          <w:szCs w:val="24"/>
          <w:lang w:eastAsia="en-US"/>
        </w:rPr>
        <w:id w:val="-798766249"/>
        <w:docPartObj>
          <w:docPartGallery w:val="Table of Contents"/>
          <w:docPartUnique/>
        </w:docPartObj>
      </w:sdtPr>
      <w:sdtEndPr>
        <w:rPr>
          <w:rFonts w:ascii="Arial" w:hAnsi="Arial"/>
          <w:b w:val="0"/>
          <w:noProof/>
          <w:sz w:val="22"/>
          <w:szCs w:val="22"/>
        </w:rPr>
      </w:sdtEndPr>
      <w:sdtContent>
        <w:p w14:paraId="1DF47538" w14:textId="77777777" w:rsidR="00982FC7" w:rsidRPr="00D15FF4" w:rsidRDefault="00982FC7" w:rsidP="00982FC7">
          <w:pPr>
            <w:pStyle w:val="TOCHeading"/>
            <w:spacing w:line="360" w:lineRule="auto"/>
            <w:jc w:val="center"/>
            <w:rPr>
              <w:rFonts w:cs="Arial"/>
              <w:b/>
              <w:iCs/>
              <w:color w:val="auto"/>
              <w:sz w:val="32"/>
              <w:szCs w:val="32"/>
              <w:u w:val="single"/>
            </w:rPr>
          </w:pPr>
          <w:r w:rsidRPr="00D15FF4">
            <w:rPr>
              <w:rFonts w:cs="Arial"/>
              <w:iCs/>
              <w:color w:val="auto"/>
              <w:sz w:val="32"/>
              <w:szCs w:val="32"/>
              <w:u w:val="single"/>
            </w:rPr>
            <w:t>Table of Contents</w:t>
          </w:r>
        </w:p>
        <w:p w14:paraId="229C4F8B" w14:textId="2952409D" w:rsidR="00D15FF4" w:rsidRPr="00D15FF4" w:rsidRDefault="00982FC7">
          <w:pPr>
            <w:pStyle w:val="TOC1"/>
            <w:tabs>
              <w:tab w:val="right" w:leader="dot" w:pos="9016"/>
            </w:tabs>
            <w:rPr>
              <w:rFonts w:ascii="Arial" w:eastAsiaTheme="minorEastAsia" w:hAnsi="Arial" w:cs="Arial"/>
              <w:noProof/>
              <w:kern w:val="2"/>
              <w:sz w:val="24"/>
              <w:szCs w:val="24"/>
              <w:lang w:val="en-US"/>
              <w14:ligatures w14:val="standardContextual"/>
            </w:rPr>
          </w:pPr>
          <w:r w:rsidRPr="00D15FF4">
            <w:rPr>
              <w:rFonts w:ascii="Arial" w:hAnsi="Arial" w:cs="Arial"/>
              <w:b/>
              <w:bCs/>
              <w:noProof/>
            </w:rPr>
            <w:fldChar w:fldCharType="begin"/>
          </w:r>
          <w:r w:rsidRPr="00D15FF4">
            <w:rPr>
              <w:rFonts w:ascii="Arial" w:hAnsi="Arial" w:cs="Arial"/>
              <w:b/>
              <w:bCs/>
              <w:noProof/>
            </w:rPr>
            <w:instrText xml:space="preserve"> TOC \o "1-3" \h \z \u </w:instrText>
          </w:r>
          <w:r w:rsidRPr="00D15FF4">
            <w:rPr>
              <w:rFonts w:ascii="Arial" w:hAnsi="Arial" w:cs="Arial"/>
              <w:b/>
              <w:bCs/>
              <w:noProof/>
            </w:rPr>
            <w:fldChar w:fldCharType="separate"/>
          </w:r>
          <w:hyperlink w:anchor="_Toc216183938" w:history="1">
            <w:r w:rsidR="00D15FF4" w:rsidRPr="00D15FF4">
              <w:rPr>
                <w:rStyle w:val="Hyperlink"/>
                <w:rFonts w:ascii="Arial" w:hAnsi="Arial" w:cs="Arial"/>
                <w:noProof/>
              </w:rPr>
              <w:t>Part-1: Social Epidemiological Analysis</w:t>
            </w:r>
            <w:r w:rsidR="00D15FF4" w:rsidRPr="00D15FF4">
              <w:rPr>
                <w:rFonts w:ascii="Arial" w:hAnsi="Arial" w:cs="Arial"/>
                <w:noProof/>
                <w:webHidden/>
              </w:rPr>
              <w:tab/>
            </w:r>
            <w:r w:rsidR="00D15FF4" w:rsidRPr="00D15FF4">
              <w:rPr>
                <w:rFonts w:ascii="Arial" w:hAnsi="Arial" w:cs="Arial"/>
                <w:noProof/>
                <w:webHidden/>
              </w:rPr>
              <w:fldChar w:fldCharType="begin"/>
            </w:r>
            <w:r w:rsidR="00D15FF4" w:rsidRPr="00D15FF4">
              <w:rPr>
                <w:rFonts w:ascii="Arial" w:hAnsi="Arial" w:cs="Arial"/>
                <w:noProof/>
                <w:webHidden/>
              </w:rPr>
              <w:instrText xml:space="preserve"> PAGEREF _Toc216183938 \h </w:instrText>
            </w:r>
            <w:r w:rsidR="00D15FF4" w:rsidRPr="00D15FF4">
              <w:rPr>
                <w:rFonts w:ascii="Arial" w:hAnsi="Arial" w:cs="Arial"/>
                <w:noProof/>
                <w:webHidden/>
              </w:rPr>
            </w:r>
            <w:r w:rsidR="00D15FF4" w:rsidRPr="00D15FF4">
              <w:rPr>
                <w:rFonts w:ascii="Arial" w:hAnsi="Arial" w:cs="Arial"/>
                <w:noProof/>
                <w:webHidden/>
              </w:rPr>
              <w:fldChar w:fldCharType="separate"/>
            </w:r>
            <w:r w:rsidR="00D15FF4" w:rsidRPr="00D15FF4">
              <w:rPr>
                <w:rFonts w:ascii="Arial" w:hAnsi="Arial" w:cs="Arial"/>
                <w:noProof/>
                <w:webHidden/>
              </w:rPr>
              <w:t>1</w:t>
            </w:r>
            <w:r w:rsidR="00D15FF4" w:rsidRPr="00D15FF4">
              <w:rPr>
                <w:rFonts w:ascii="Arial" w:hAnsi="Arial" w:cs="Arial"/>
                <w:noProof/>
                <w:webHidden/>
              </w:rPr>
              <w:fldChar w:fldCharType="end"/>
            </w:r>
          </w:hyperlink>
        </w:p>
        <w:p w14:paraId="61A43D11" w14:textId="45B382FE" w:rsidR="00D15FF4" w:rsidRPr="00D15FF4" w:rsidRDefault="00D15FF4">
          <w:pPr>
            <w:pStyle w:val="TOC2"/>
            <w:tabs>
              <w:tab w:val="right" w:leader="dot" w:pos="9016"/>
            </w:tabs>
            <w:rPr>
              <w:rFonts w:ascii="Arial" w:eastAsiaTheme="minorEastAsia" w:hAnsi="Arial" w:cs="Arial"/>
              <w:noProof/>
              <w:kern w:val="2"/>
              <w:sz w:val="24"/>
              <w:szCs w:val="24"/>
              <w:lang w:val="en-US"/>
              <w14:ligatures w14:val="standardContextual"/>
            </w:rPr>
          </w:pPr>
          <w:hyperlink w:anchor="_Toc216183939" w:history="1">
            <w:r w:rsidRPr="00D15FF4">
              <w:rPr>
                <w:rStyle w:val="Hyperlink"/>
                <w:rFonts w:ascii="Arial" w:hAnsi="Arial" w:cs="Arial"/>
                <w:noProof/>
              </w:rPr>
              <w:t>1.1 Introduction: The Elderly Population as a Target Group</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_Toc216183939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1</w:t>
            </w:r>
            <w:r w:rsidRPr="00D15FF4">
              <w:rPr>
                <w:rFonts w:ascii="Arial" w:hAnsi="Arial" w:cs="Arial"/>
                <w:noProof/>
                <w:webHidden/>
              </w:rPr>
              <w:fldChar w:fldCharType="end"/>
            </w:r>
          </w:hyperlink>
        </w:p>
        <w:p w14:paraId="74C7B081" w14:textId="4776FDE4" w:rsidR="00D15FF4" w:rsidRPr="00D15FF4" w:rsidRDefault="00D15FF4">
          <w:pPr>
            <w:pStyle w:val="TOC2"/>
            <w:tabs>
              <w:tab w:val="right" w:leader="dot" w:pos="9016"/>
            </w:tabs>
            <w:rPr>
              <w:rFonts w:ascii="Arial" w:eastAsiaTheme="minorEastAsia" w:hAnsi="Arial" w:cs="Arial"/>
              <w:noProof/>
              <w:kern w:val="2"/>
              <w:sz w:val="24"/>
              <w:szCs w:val="24"/>
              <w:lang w:val="en-US"/>
              <w14:ligatures w14:val="standardContextual"/>
            </w:rPr>
          </w:pPr>
          <w:hyperlink w:anchor="_Toc216183940" w:history="1">
            <w:r w:rsidRPr="00D15FF4">
              <w:rPr>
                <w:rStyle w:val="Hyperlink"/>
                <w:rFonts w:ascii="Arial" w:hAnsi="Arial" w:cs="Arial"/>
                <w:noProof/>
              </w:rPr>
              <w:t>1.2 Contextual Background and Underlying Factors:</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_Toc216183940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2</w:t>
            </w:r>
            <w:r w:rsidRPr="00D15FF4">
              <w:rPr>
                <w:rFonts w:ascii="Arial" w:hAnsi="Arial" w:cs="Arial"/>
                <w:noProof/>
                <w:webHidden/>
              </w:rPr>
              <w:fldChar w:fldCharType="end"/>
            </w:r>
          </w:hyperlink>
        </w:p>
        <w:p w14:paraId="2BCB4451" w14:textId="2FCBD67D" w:rsidR="00D15FF4" w:rsidRPr="00D15FF4" w:rsidRDefault="00D15FF4">
          <w:pPr>
            <w:pStyle w:val="TOC3"/>
            <w:tabs>
              <w:tab w:val="left" w:pos="1200"/>
              <w:tab w:val="right" w:leader="dot" w:pos="9016"/>
            </w:tabs>
            <w:rPr>
              <w:rFonts w:ascii="Arial" w:eastAsiaTheme="minorEastAsia" w:hAnsi="Arial" w:cs="Arial"/>
              <w:noProof/>
              <w:kern w:val="2"/>
              <w:sz w:val="24"/>
              <w:szCs w:val="24"/>
              <w:lang w:val="en-US"/>
              <w14:ligatures w14:val="standardContextual"/>
            </w:rPr>
          </w:pPr>
          <w:hyperlink w:anchor="_Toc216183941" w:history="1">
            <w:r w:rsidRPr="00D15FF4">
              <w:rPr>
                <w:rStyle w:val="Hyperlink"/>
                <w:rFonts w:ascii="Arial" w:hAnsi="Arial" w:cs="Arial"/>
                <w:noProof/>
              </w:rPr>
              <w:t>1.2.1</w:t>
            </w:r>
            <w:r w:rsidRPr="00D15FF4">
              <w:rPr>
                <w:rFonts w:ascii="Arial" w:eastAsiaTheme="minorEastAsia" w:hAnsi="Arial" w:cs="Arial"/>
                <w:noProof/>
                <w:kern w:val="2"/>
                <w:sz w:val="24"/>
                <w:szCs w:val="24"/>
                <w:lang w:val="en-US"/>
                <w14:ligatures w14:val="standardContextual"/>
              </w:rPr>
              <w:tab/>
            </w:r>
            <w:r w:rsidRPr="00D15FF4">
              <w:rPr>
                <w:rStyle w:val="Hyperlink"/>
                <w:rFonts w:ascii="Arial" w:hAnsi="Arial" w:cs="Arial"/>
                <w:noProof/>
              </w:rPr>
              <w:t>Disease and Illness Rates</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_Toc216183941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2</w:t>
            </w:r>
            <w:r w:rsidRPr="00D15FF4">
              <w:rPr>
                <w:rFonts w:ascii="Arial" w:hAnsi="Arial" w:cs="Arial"/>
                <w:noProof/>
                <w:webHidden/>
              </w:rPr>
              <w:fldChar w:fldCharType="end"/>
            </w:r>
          </w:hyperlink>
        </w:p>
        <w:p w14:paraId="3008B038" w14:textId="546BA7C6" w:rsidR="00D15FF4" w:rsidRPr="00D15FF4" w:rsidRDefault="00D15FF4">
          <w:pPr>
            <w:pStyle w:val="TOC3"/>
            <w:tabs>
              <w:tab w:val="left" w:pos="1200"/>
              <w:tab w:val="right" w:leader="dot" w:pos="9016"/>
            </w:tabs>
            <w:rPr>
              <w:rFonts w:ascii="Arial" w:eastAsiaTheme="minorEastAsia" w:hAnsi="Arial" w:cs="Arial"/>
              <w:noProof/>
              <w:kern w:val="2"/>
              <w:sz w:val="24"/>
              <w:szCs w:val="24"/>
              <w:lang w:val="en-US"/>
              <w14:ligatures w14:val="standardContextual"/>
            </w:rPr>
          </w:pPr>
          <w:hyperlink w:anchor="_Toc216183942" w:history="1">
            <w:r w:rsidRPr="00D15FF4">
              <w:rPr>
                <w:rStyle w:val="Hyperlink"/>
                <w:rFonts w:ascii="Arial" w:hAnsi="Arial" w:cs="Arial"/>
                <w:noProof/>
              </w:rPr>
              <w:t>1.2.2</w:t>
            </w:r>
            <w:r w:rsidRPr="00D15FF4">
              <w:rPr>
                <w:rFonts w:ascii="Arial" w:eastAsiaTheme="minorEastAsia" w:hAnsi="Arial" w:cs="Arial"/>
                <w:noProof/>
                <w:kern w:val="2"/>
                <w:sz w:val="24"/>
                <w:szCs w:val="24"/>
                <w:lang w:val="en-US"/>
                <w14:ligatures w14:val="standardContextual"/>
              </w:rPr>
              <w:tab/>
            </w:r>
            <w:r w:rsidRPr="00D15FF4">
              <w:rPr>
                <w:rStyle w:val="Hyperlink"/>
                <w:rFonts w:ascii="Arial" w:hAnsi="Arial" w:cs="Arial"/>
                <w:noProof/>
              </w:rPr>
              <w:t>Social Problems that impact Health Inequality</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_Toc216183942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2</w:t>
            </w:r>
            <w:r w:rsidRPr="00D15FF4">
              <w:rPr>
                <w:rFonts w:ascii="Arial" w:hAnsi="Arial" w:cs="Arial"/>
                <w:noProof/>
                <w:webHidden/>
              </w:rPr>
              <w:fldChar w:fldCharType="end"/>
            </w:r>
          </w:hyperlink>
        </w:p>
        <w:p w14:paraId="585D112F" w14:textId="267098A0" w:rsidR="00D15FF4" w:rsidRPr="00D15FF4" w:rsidRDefault="00D15FF4">
          <w:pPr>
            <w:pStyle w:val="TOC2"/>
            <w:tabs>
              <w:tab w:val="right" w:leader="dot" w:pos="9016"/>
            </w:tabs>
            <w:rPr>
              <w:rFonts w:ascii="Arial" w:eastAsiaTheme="minorEastAsia" w:hAnsi="Arial" w:cs="Arial"/>
              <w:noProof/>
              <w:kern w:val="2"/>
              <w:sz w:val="24"/>
              <w:szCs w:val="24"/>
              <w:lang w:val="en-US"/>
              <w14:ligatures w14:val="standardContextual"/>
            </w:rPr>
          </w:pPr>
          <w:hyperlink w:anchor="_Toc216183943" w:history="1">
            <w:r w:rsidRPr="00D15FF4">
              <w:rPr>
                <w:rStyle w:val="Hyperlink"/>
                <w:rFonts w:ascii="Arial" w:hAnsi="Arial" w:cs="Arial"/>
                <w:noProof/>
              </w:rPr>
              <w:t>1.3 Explaining the Statistics and Potential Solutions:</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_Toc216183943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3</w:t>
            </w:r>
            <w:r w:rsidRPr="00D15FF4">
              <w:rPr>
                <w:rFonts w:ascii="Arial" w:hAnsi="Arial" w:cs="Arial"/>
                <w:noProof/>
                <w:webHidden/>
              </w:rPr>
              <w:fldChar w:fldCharType="end"/>
            </w:r>
          </w:hyperlink>
        </w:p>
        <w:p w14:paraId="056924CD" w14:textId="24A67E5D" w:rsidR="00D15FF4" w:rsidRPr="00D15FF4" w:rsidRDefault="00D15FF4">
          <w:pPr>
            <w:pStyle w:val="TOC2"/>
            <w:tabs>
              <w:tab w:val="right" w:leader="dot" w:pos="9016"/>
            </w:tabs>
            <w:rPr>
              <w:rFonts w:ascii="Arial" w:eastAsiaTheme="minorEastAsia" w:hAnsi="Arial" w:cs="Arial"/>
              <w:noProof/>
              <w:kern w:val="2"/>
              <w:sz w:val="24"/>
              <w:szCs w:val="24"/>
              <w:lang w:val="en-US"/>
              <w14:ligatures w14:val="standardContextual"/>
            </w:rPr>
          </w:pPr>
          <w:hyperlink w:anchor="_Toc216183944" w:history="1">
            <w:r w:rsidRPr="00D15FF4">
              <w:rPr>
                <w:rStyle w:val="Hyperlink"/>
                <w:rFonts w:ascii="Arial" w:hAnsi="Arial" w:cs="Arial"/>
                <w:noProof/>
              </w:rPr>
              <w:t>1.4 National Respones to Reduce Inequalities</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_Toc216183944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3</w:t>
            </w:r>
            <w:r w:rsidRPr="00D15FF4">
              <w:rPr>
                <w:rFonts w:ascii="Arial" w:hAnsi="Arial" w:cs="Arial"/>
                <w:noProof/>
                <w:webHidden/>
              </w:rPr>
              <w:fldChar w:fldCharType="end"/>
            </w:r>
          </w:hyperlink>
        </w:p>
        <w:p w14:paraId="2DB56F17" w14:textId="1D334FD0" w:rsidR="00D15FF4" w:rsidRPr="00D15FF4" w:rsidRDefault="00D15FF4">
          <w:pPr>
            <w:pStyle w:val="TOC2"/>
            <w:tabs>
              <w:tab w:val="right" w:leader="dot" w:pos="9016"/>
            </w:tabs>
            <w:rPr>
              <w:rFonts w:ascii="Arial" w:eastAsiaTheme="minorEastAsia" w:hAnsi="Arial" w:cs="Arial"/>
              <w:noProof/>
              <w:kern w:val="2"/>
              <w:sz w:val="24"/>
              <w:szCs w:val="24"/>
              <w:lang w:val="en-US"/>
              <w14:ligatures w14:val="standardContextual"/>
            </w:rPr>
          </w:pPr>
          <w:hyperlink w:anchor="_Toc216183945" w:history="1">
            <w:r w:rsidRPr="00D15FF4">
              <w:rPr>
                <w:rStyle w:val="Hyperlink"/>
                <w:rFonts w:ascii="Arial" w:hAnsi="Arial" w:cs="Arial"/>
                <w:noProof/>
              </w:rPr>
              <w:t>1.5: Organisations Supporting the Elderly: Age UK</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_Toc216183945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4</w:t>
            </w:r>
            <w:r w:rsidRPr="00D15FF4">
              <w:rPr>
                <w:rFonts w:ascii="Arial" w:hAnsi="Arial" w:cs="Arial"/>
                <w:noProof/>
                <w:webHidden/>
              </w:rPr>
              <w:fldChar w:fldCharType="end"/>
            </w:r>
          </w:hyperlink>
        </w:p>
        <w:p w14:paraId="24739C0D" w14:textId="40BC4CE0" w:rsidR="00D15FF4" w:rsidRPr="00D15FF4" w:rsidRDefault="00D15FF4">
          <w:pPr>
            <w:pStyle w:val="TOC2"/>
            <w:tabs>
              <w:tab w:val="right" w:leader="dot" w:pos="9016"/>
            </w:tabs>
            <w:rPr>
              <w:rFonts w:ascii="Arial" w:eastAsiaTheme="minorEastAsia" w:hAnsi="Arial" w:cs="Arial"/>
              <w:noProof/>
              <w:kern w:val="2"/>
              <w:sz w:val="24"/>
              <w:szCs w:val="24"/>
              <w:lang w:val="en-US"/>
              <w14:ligatures w14:val="standardContextual"/>
            </w:rPr>
          </w:pPr>
          <w:hyperlink w:anchor="_Toc216183946" w:history="1">
            <w:r w:rsidRPr="00D15FF4">
              <w:rPr>
                <w:rStyle w:val="Hyperlink"/>
                <w:rFonts w:ascii="Arial" w:hAnsi="Arial" w:cs="Arial"/>
                <w:noProof/>
              </w:rPr>
              <w:t>1.6: Conclusion</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_Toc216183946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4</w:t>
            </w:r>
            <w:r w:rsidRPr="00D15FF4">
              <w:rPr>
                <w:rFonts w:ascii="Arial" w:hAnsi="Arial" w:cs="Arial"/>
                <w:noProof/>
                <w:webHidden/>
              </w:rPr>
              <w:fldChar w:fldCharType="end"/>
            </w:r>
          </w:hyperlink>
        </w:p>
        <w:p w14:paraId="02365846" w14:textId="6D375E96" w:rsidR="00D15FF4" w:rsidRPr="00D15FF4" w:rsidRDefault="00D15FF4">
          <w:pPr>
            <w:pStyle w:val="TOC1"/>
            <w:tabs>
              <w:tab w:val="right" w:leader="dot" w:pos="9016"/>
            </w:tabs>
            <w:rPr>
              <w:rFonts w:ascii="Arial" w:eastAsiaTheme="minorEastAsia" w:hAnsi="Arial" w:cs="Arial"/>
              <w:noProof/>
              <w:kern w:val="2"/>
              <w:sz w:val="24"/>
              <w:szCs w:val="24"/>
              <w:lang w:val="en-US"/>
              <w14:ligatures w14:val="standardContextual"/>
            </w:rPr>
          </w:pPr>
          <w:hyperlink w:anchor="_Toc216183947" w:history="1">
            <w:r w:rsidRPr="00D15FF4">
              <w:rPr>
                <w:rStyle w:val="Hyperlink"/>
                <w:rFonts w:ascii="Arial" w:hAnsi="Arial" w:cs="Arial"/>
                <w:noProof/>
              </w:rPr>
              <w:t>Part 2: Epidemiological Analysis</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_Toc216183947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5</w:t>
            </w:r>
            <w:r w:rsidRPr="00D15FF4">
              <w:rPr>
                <w:rFonts w:ascii="Arial" w:hAnsi="Arial" w:cs="Arial"/>
                <w:noProof/>
                <w:webHidden/>
              </w:rPr>
              <w:fldChar w:fldCharType="end"/>
            </w:r>
          </w:hyperlink>
        </w:p>
        <w:p w14:paraId="79E515B8" w14:textId="7C2B53D2" w:rsidR="00D15FF4" w:rsidRPr="00D15FF4" w:rsidRDefault="00D15FF4">
          <w:pPr>
            <w:pStyle w:val="TOC2"/>
            <w:tabs>
              <w:tab w:val="right" w:leader="dot" w:pos="9016"/>
            </w:tabs>
            <w:rPr>
              <w:rFonts w:ascii="Arial" w:eastAsiaTheme="minorEastAsia" w:hAnsi="Arial" w:cs="Arial"/>
              <w:noProof/>
              <w:kern w:val="2"/>
              <w:sz w:val="24"/>
              <w:szCs w:val="24"/>
              <w:lang w:val="en-US"/>
              <w14:ligatures w14:val="standardContextual"/>
            </w:rPr>
          </w:pPr>
          <w:hyperlink w:anchor="_Toc216183948" w:history="1">
            <w:r w:rsidRPr="00D15FF4">
              <w:rPr>
                <w:rStyle w:val="Hyperlink"/>
                <w:rFonts w:ascii="Arial" w:hAnsi="Arial" w:cs="Arial"/>
                <w:noProof/>
              </w:rPr>
              <w:t>2.1: Introduction</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_Toc216183948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5</w:t>
            </w:r>
            <w:r w:rsidRPr="00D15FF4">
              <w:rPr>
                <w:rFonts w:ascii="Arial" w:hAnsi="Arial" w:cs="Arial"/>
                <w:noProof/>
                <w:webHidden/>
              </w:rPr>
              <w:fldChar w:fldCharType="end"/>
            </w:r>
          </w:hyperlink>
        </w:p>
        <w:p w14:paraId="647F3F10" w14:textId="7BD29FC9" w:rsidR="00D15FF4" w:rsidRPr="00D15FF4" w:rsidRDefault="00D15FF4">
          <w:pPr>
            <w:pStyle w:val="TOC2"/>
            <w:tabs>
              <w:tab w:val="right" w:leader="dot" w:pos="9016"/>
            </w:tabs>
            <w:rPr>
              <w:rFonts w:ascii="Arial" w:eastAsiaTheme="minorEastAsia" w:hAnsi="Arial" w:cs="Arial"/>
              <w:noProof/>
              <w:kern w:val="2"/>
              <w:sz w:val="24"/>
              <w:szCs w:val="24"/>
              <w:lang w:val="en-US"/>
              <w14:ligatures w14:val="standardContextual"/>
            </w:rPr>
          </w:pPr>
          <w:hyperlink w:anchor="_Toc216183949" w:history="1">
            <w:r w:rsidRPr="00D15FF4">
              <w:rPr>
                <w:rStyle w:val="Hyperlink"/>
                <w:rFonts w:ascii="Arial" w:hAnsi="Arial" w:cs="Arial"/>
                <w:noProof/>
              </w:rPr>
              <w:t>2.2 Main Body: Processes of Epidemiology and Public Health Strategies</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_Toc216183949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5</w:t>
            </w:r>
            <w:r w:rsidRPr="00D15FF4">
              <w:rPr>
                <w:rFonts w:ascii="Arial" w:hAnsi="Arial" w:cs="Arial"/>
                <w:noProof/>
                <w:webHidden/>
              </w:rPr>
              <w:fldChar w:fldCharType="end"/>
            </w:r>
          </w:hyperlink>
        </w:p>
        <w:p w14:paraId="00A3261A" w14:textId="373B6BFA" w:rsidR="00D15FF4" w:rsidRPr="00D15FF4" w:rsidRDefault="00D15FF4">
          <w:pPr>
            <w:pStyle w:val="TOC3"/>
            <w:tabs>
              <w:tab w:val="left" w:pos="1200"/>
              <w:tab w:val="right" w:leader="dot" w:pos="9016"/>
            </w:tabs>
            <w:rPr>
              <w:rFonts w:ascii="Arial" w:eastAsiaTheme="minorEastAsia" w:hAnsi="Arial" w:cs="Arial"/>
              <w:noProof/>
              <w:kern w:val="2"/>
              <w:sz w:val="24"/>
              <w:szCs w:val="24"/>
              <w:lang w:val="en-US"/>
              <w14:ligatures w14:val="standardContextual"/>
            </w:rPr>
          </w:pPr>
          <w:hyperlink w:anchor="_Toc216183950" w:history="1">
            <w:r w:rsidRPr="00D15FF4">
              <w:rPr>
                <w:rStyle w:val="Hyperlink"/>
                <w:rFonts w:ascii="Arial" w:hAnsi="Arial" w:cs="Arial"/>
                <w:noProof/>
              </w:rPr>
              <w:t>2.2.1</w:t>
            </w:r>
            <w:r w:rsidRPr="00D15FF4">
              <w:rPr>
                <w:rFonts w:ascii="Arial" w:eastAsiaTheme="minorEastAsia" w:hAnsi="Arial" w:cs="Arial"/>
                <w:noProof/>
                <w:kern w:val="2"/>
                <w:sz w:val="24"/>
                <w:szCs w:val="24"/>
                <w:lang w:val="en-US"/>
                <w14:ligatures w14:val="standardContextual"/>
              </w:rPr>
              <w:tab/>
            </w:r>
            <w:r w:rsidRPr="00D15FF4">
              <w:rPr>
                <w:rStyle w:val="Hyperlink"/>
                <w:rFonts w:ascii="Arial" w:hAnsi="Arial" w:cs="Arial"/>
                <w:noProof/>
              </w:rPr>
              <w:t>Public Health Measures: The 3 Ps</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_Toc216183950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5</w:t>
            </w:r>
            <w:r w:rsidRPr="00D15FF4">
              <w:rPr>
                <w:rFonts w:ascii="Arial" w:hAnsi="Arial" w:cs="Arial"/>
                <w:noProof/>
                <w:webHidden/>
              </w:rPr>
              <w:fldChar w:fldCharType="end"/>
            </w:r>
          </w:hyperlink>
        </w:p>
        <w:p w14:paraId="0DF96C65" w14:textId="0488DCDB" w:rsidR="00D15FF4" w:rsidRPr="00D15FF4" w:rsidRDefault="00D15FF4">
          <w:pPr>
            <w:pStyle w:val="TOC3"/>
            <w:tabs>
              <w:tab w:val="right" w:leader="dot" w:pos="9016"/>
            </w:tabs>
            <w:rPr>
              <w:rFonts w:ascii="Arial" w:eastAsiaTheme="minorEastAsia" w:hAnsi="Arial" w:cs="Arial"/>
              <w:noProof/>
              <w:kern w:val="2"/>
              <w:sz w:val="24"/>
              <w:szCs w:val="24"/>
              <w:lang w:val="en-US"/>
              <w14:ligatures w14:val="standardContextual"/>
            </w:rPr>
          </w:pPr>
          <w:hyperlink w:anchor="_Toc216183951" w:history="1">
            <w:r w:rsidRPr="00D15FF4">
              <w:rPr>
                <w:rStyle w:val="Hyperlink"/>
                <w:rFonts w:ascii="Arial" w:hAnsi="Arial" w:cs="Arial"/>
                <w:noProof/>
              </w:rPr>
              <w:t>2.2.2 Significant Determinants and Risk Factors:</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_Toc216183951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6</w:t>
            </w:r>
            <w:r w:rsidRPr="00D15FF4">
              <w:rPr>
                <w:rFonts w:ascii="Arial" w:hAnsi="Arial" w:cs="Arial"/>
                <w:noProof/>
                <w:webHidden/>
              </w:rPr>
              <w:fldChar w:fldCharType="end"/>
            </w:r>
          </w:hyperlink>
        </w:p>
        <w:p w14:paraId="34C013F8" w14:textId="7A027A44" w:rsidR="00D15FF4" w:rsidRPr="00D15FF4" w:rsidRDefault="00D15FF4">
          <w:pPr>
            <w:pStyle w:val="TOC3"/>
            <w:tabs>
              <w:tab w:val="left" w:pos="1200"/>
              <w:tab w:val="right" w:leader="dot" w:pos="9016"/>
            </w:tabs>
            <w:rPr>
              <w:rFonts w:ascii="Arial" w:eastAsiaTheme="minorEastAsia" w:hAnsi="Arial" w:cs="Arial"/>
              <w:noProof/>
              <w:kern w:val="2"/>
              <w:sz w:val="24"/>
              <w:szCs w:val="24"/>
              <w:lang w:val="en-US"/>
              <w14:ligatures w14:val="standardContextual"/>
            </w:rPr>
          </w:pPr>
          <w:hyperlink w:anchor="_Toc216183952" w:history="1">
            <w:r w:rsidRPr="00D15FF4">
              <w:rPr>
                <w:rStyle w:val="Hyperlink"/>
                <w:rFonts w:ascii="Arial" w:hAnsi="Arial" w:cs="Arial"/>
                <w:noProof/>
              </w:rPr>
              <w:t>2.2.2</w:t>
            </w:r>
            <w:r w:rsidRPr="00D15FF4">
              <w:rPr>
                <w:rFonts w:ascii="Arial" w:eastAsiaTheme="minorEastAsia" w:hAnsi="Arial" w:cs="Arial"/>
                <w:noProof/>
                <w:kern w:val="2"/>
                <w:sz w:val="24"/>
                <w:szCs w:val="24"/>
                <w:lang w:val="en-US"/>
                <w14:ligatures w14:val="standardContextual"/>
              </w:rPr>
              <w:tab/>
            </w:r>
            <w:r w:rsidRPr="00D15FF4">
              <w:rPr>
                <w:rStyle w:val="Hyperlink"/>
                <w:rFonts w:ascii="Arial" w:hAnsi="Arial" w:cs="Arial"/>
                <w:noProof/>
              </w:rPr>
              <w:t>Determining the Affected and At-Risk Populations:</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_Toc216183952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7</w:t>
            </w:r>
            <w:r w:rsidRPr="00D15FF4">
              <w:rPr>
                <w:rFonts w:ascii="Arial" w:hAnsi="Arial" w:cs="Arial"/>
                <w:noProof/>
                <w:webHidden/>
              </w:rPr>
              <w:fldChar w:fldCharType="end"/>
            </w:r>
          </w:hyperlink>
        </w:p>
        <w:p w14:paraId="47CAD5B1" w14:textId="094CD534" w:rsidR="00D15FF4" w:rsidRPr="00D15FF4" w:rsidRDefault="00D15FF4">
          <w:pPr>
            <w:pStyle w:val="TOC3"/>
            <w:tabs>
              <w:tab w:val="right" w:leader="dot" w:pos="9016"/>
            </w:tabs>
            <w:rPr>
              <w:rFonts w:ascii="Arial" w:eastAsiaTheme="minorEastAsia" w:hAnsi="Arial" w:cs="Arial"/>
              <w:noProof/>
              <w:kern w:val="2"/>
              <w:sz w:val="24"/>
              <w:szCs w:val="24"/>
              <w:lang w:val="en-US"/>
              <w14:ligatures w14:val="standardContextual"/>
            </w:rPr>
          </w:pPr>
          <w:hyperlink w:anchor="_Toc216183953" w:history="1">
            <w:r w:rsidRPr="00D15FF4">
              <w:rPr>
                <w:rStyle w:val="Hyperlink"/>
                <w:rFonts w:ascii="Arial" w:hAnsi="Arial" w:cs="Arial"/>
                <w:noProof/>
              </w:rPr>
              <w:t>2.2.4 Monitoring Surveillance Incidence:</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_Toc216183953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7</w:t>
            </w:r>
            <w:r w:rsidRPr="00D15FF4">
              <w:rPr>
                <w:rFonts w:ascii="Arial" w:hAnsi="Arial" w:cs="Arial"/>
                <w:noProof/>
                <w:webHidden/>
              </w:rPr>
              <w:fldChar w:fldCharType="end"/>
            </w:r>
          </w:hyperlink>
        </w:p>
        <w:p w14:paraId="4B74B929" w14:textId="7083EBE9" w:rsidR="00D15FF4" w:rsidRPr="00D15FF4" w:rsidRDefault="00D15FF4">
          <w:pPr>
            <w:pStyle w:val="TOC3"/>
            <w:tabs>
              <w:tab w:val="right" w:leader="dot" w:pos="9016"/>
            </w:tabs>
            <w:rPr>
              <w:rFonts w:ascii="Arial" w:eastAsiaTheme="minorEastAsia" w:hAnsi="Arial" w:cs="Arial"/>
              <w:noProof/>
              <w:kern w:val="2"/>
              <w:sz w:val="24"/>
              <w:szCs w:val="24"/>
              <w:lang w:val="en-US"/>
              <w14:ligatures w14:val="standardContextual"/>
            </w:rPr>
          </w:pPr>
          <w:hyperlink w:anchor="_Toc216183954" w:history="1">
            <w:r w:rsidRPr="00D15FF4">
              <w:rPr>
                <w:rStyle w:val="Hyperlink"/>
                <w:rFonts w:ascii="Arial" w:hAnsi="Arial" w:cs="Arial"/>
                <w:noProof/>
              </w:rPr>
              <w:t>2.2.5 Public Health Impact: Short- and long-term consequences.</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_Toc216183954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7</w:t>
            </w:r>
            <w:r w:rsidRPr="00D15FF4">
              <w:rPr>
                <w:rFonts w:ascii="Arial" w:hAnsi="Arial" w:cs="Arial"/>
                <w:noProof/>
                <w:webHidden/>
              </w:rPr>
              <w:fldChar w:fldCharType="end"/>
            </w:r>
          </w:hyperlink>
        </w:p>
        <w:p w14:paraId="57F0318F" w14:textId="2572E8E6" w:rsidR="00D15FF4" w:rsidRPr="00D15FF4" w:rsidRDefault="00D15FF4">
          <w:pPr>
            <w:pStyle w:val="TOC3"/>
            <w:tabs>
              <w:tab w:val="right" w:leader="dot" w:pos="9016"/>
            </w:tabs>
            <w:rPr>
              <w:rFonts w:ascii="Arial" w:eastAsiaTheme="minorEastAsia" w:hAnsi="Arial" w:cs="Arial"/>
              <w:noProof/>
              <w:kern w:val="2"/>
              <w:sz w:val="24"/>
              <w:szCs w:val="24"/>
              <w:lang w:val="en-US"/>
              <w14:ligatures w14:val="standardContextual"/>
            </w:rPr>
          </w:pPr>
          <w:hyperlink w:anchor="_Toc216183955" w:history="1">
            <w:r w:rsidRPr="00D15FF4">
              <w:rPr>
                <w:rStyle w:val="Hyperlink"/>
                <w:rFonts w:ascii="Arial" w:hAnsi="Arial" w:cs="Arial"/>
                <w:noProof/>
              </w:rPr>
              <w:t>2.2.6 Intervention Programme: The Newham T2DM Prevention and Management Hub</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_Toc216183955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7</w:t>
            </w:r>
            <w:r w:rsidRPr="00D15FF4">
              <w:rPr>
                <w:rFonts w:ascii="Arial" w:hAnsi="Arial" w:cs="Arial"/>
                <w:noProof/>
                <w:webHidden/>
              </w:rPr>
              <w:fldChar w:fldCharType="end"/>
            </w:r>
          </w:hyperlink>
        </w:p>
        <w:p w14:paraId="34AA28B8" w14:textId="540F3DAB" w:rsidR="00D15FF4" w:rsidRPr="00D15FF4" w:rsidRDefault="00D15FF4">
          <w:pPr>
            <w:pStyle w:val="TOC3"/>
            <w:tabs>
              <w:tab w:val="right" w:leader="dot" w:pos="9016"/>
            </w:tabs>
            <w:rPr>
              <w:rFonts w:ascii="Arial" w:eastAsiaTheme="minorEastAsia" w:hAnsi="Arial" w:cs="Arial"/>
              <w:noProof/>
              <w:kern w:val="2"/>
              <w:sz w:val="24"/>
              <w:szCs w:val="24"/>
              <w:lang w:val="en-US"/>
              <w14:ligatures w14:val="standardContextual"/>
            </w:rPr>
          </w:pPr>
          <w:hyperlink w:anchor="_Toc216183956" w:history="1">
            <w:r w:rsidRPr="00D15FF4">
              <w:rPr>
                <w:rStyle w:val="Hyperlink"/>
                <w:rFonts w:ascii="Arial" w:hAnsi="Arial" w:cs="Arial"/>
                <w:noProof/>
              </w:rPr>
              <w:t>2.2.7 Evaluation of the Programme</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_Toc216183956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8</w:t>
            </w:r>
            <w:r w:rsidRPr="00D15FF4">
              <w:rPr>
                <w:rFonts w:ascii="Arial" w:hAnsi="Arial" w:cs="Arial"/>
                <w:noProof/>
                <w:webHidden/>
              </w:rPr>
              <w:fldChar w:fldCharType="end"/>
            </w:r>
          </w:hyperlink>
        </w:p>
        <w:p w14:paraId="7EE8F8A7" w14:textId="7049F2BC" w:rsidR="00D15FF4" w:rsidRPr="00D15FF4" w:rsidRDefault="00D15FF4">
          <w:pPr>
            <w:pStyle w:val="TOC3"/>
            <w:tabs>
              <w:tab w:val="right" w:leader="dot" w:pos="9016"/>
            </w:tabs>
            <w:rPr>
              <w:rFonts w:ascii="Arial" w:eastAsiaTheme="minorEastAsia" w:hAnsi="Arial" w:cs="Arial"/>
              <w:noProof/>
              <w:kern w:val="2"/>
              <w:sz w:val="24"/>
              <w:szCs w:val="24"/>
              <w:lang w:val="en-US"/>
              <w14:ligatures w14:val="standardContextual"/>
            </w:rPr>
          </w:pPr>
          <w:hyperlink w:anchor="_Toc216183957" w:history="1">
            <w:r w:rsidRPr="00D15FF4">
              <w:rPr>
                <w:rStyle w:val="Hyperlink"/>
                <w:rFonts w:ascii="Arial" w:hAnsi="Arial" w:cs="Arial"/>
                <w:noProof/>
              </w:rPr>
              <w:t>2.2.8 Advantages and Disadvantages of the Epidemiological Approach:</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_Toc216183957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8</w:t>
            </w:r>
            <w:r w:rsidRPr="00D15FF4">
              <w:rPr>
                <w:rFonts w:ascii="Arial" w:hAnsi="Arial" w:cs="Arial"/>
                <w:noProof/>
                <w:webHidden/>
              </w:rPr>
              <w:fldChar w:fldCharType="end"/>
            </w:r>
          </w:hyperlink>
        </w:p>
        <w:p w14:paraId="4A980864" w14:textId="65981B58" w:rsidR="00D15FF4" w:rsidRPr="00D15FF4" w:rsidRDefault="00D15FF4">
          <w:pPr>
            <w:pStyle w:val="TOC2"/>
            <w:tabs>
              <w:tab w:val="right" w:leader="dot" w:pos="9016"/>
            </w:tabs>
            <w:rPr>
              <w:rFonts w:ascii="Arial" w:eastAsiaTheme="minorEastAsia" w:hAnsi="Arial" w:cs="Arial"/>
              <w:noProof/>
              <w:kern w:val="2"/>
              <w:sz w:val="24"/>
              <w:szCs w:val="24"/>
              <w:lang w:val="en-US"/>
              <w14:ligatures w14:val="standardContextual"/>
            </w:rPr>
          </w:pPr>
          <w:hyperlink w:anchor="_Toc216183958" w:history="1">
            <w:r w:rsidRPr="00D15FF4">
              <w:rPr>
                <w:rStyle w:val="Hyperlink"/>
                <w:rFonts w:ascii="Arial" w:hAnsi="Arial" w:cs="Arial"/>
                <w:noProof/>
              </w:rPr>
              <w:t>2.3 Conclusion:</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_Toc216183958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9</w:t>
            </w:r>
            <w:r w:rsidRPr="00D15FF4">
              <w:rPr>
                <w:rFonts w:ascii="Arial" w:hAnsi="Arial" w:cs="Arial"/>
                <w:noProof/>
                <w:webHidden/>
              </w:rPr>
              <w:fldChar w:fldCharType="end"/>
            </w:r>
          </w:hyperlink>
        </w:p>
        <w:p w14:paraId="4586C98E" w14:textId="0B63B48C" w:rsidR="00D15FF4" w:rsidRPr="00D15FF4" w:rsidRDefault="00D15FF4">
          <w:pPr>
            <w:pStyle w:val="TOC1"/>
            <w:tabs>
              <w:tab w:val="right" w:leader="dot" w:pos="9016"/>
            </w:tabs>
            <w:rPr>
              <w:rFonts w:ascii="Arial" w:eastAsiaTheme="minorEastAsia" w:hAnsi="Arial" w:cs="Arial"/>
              <w:noProof/>
              <w:kern w:val="2"/>
              <w:sz w:val="24"/>
              <w:szCs w:val="24"/>
              <w:lang w:val="en-US"/>
              <w14:ligatures w14:val="standardContextual"/>
            </w:rPr>
          </w:pPr>
          <w:hyperlink w:anchor="_Toc216183959" w:history="1">
            <w:r w:rsidRPr="00D15FF4">
              <w:rPr>
                <w:rStyle w:val="Hyperlink"/>
                <w:rFonts w:ascii="Arial" w:hAnsi="Arial" w:cs="Arial"/>
                <w:noProof/>
              </w:rPr>
              <w:t>Reference</w:t>
            </w:r>
            <w:r w:rsidRPr="00D15FF4">
              <w:rPr>
                <w:rFonts w:ascii="Arial" w:hAnsi="Arial" w:cs="Arial"/>
                <w:noProof/>
                <w:webHidden/>
              </w:rPr>
              <w:tab/>
            </w:r>
            <w:r w:rsidRPr="00D15FF4">
              <w:rPr>
                <w:rFonts w:ascii="Arial" w:hAnsi="Arial" w:cs="Arial"/>
                <w:noProof/>
                <w:webHidden/>
              </w:rPr>
              <w:fldChar w:fldCharType="begin"/>
            </w:r>
            <w:r w:rsidRPr="00D15FF4">
              <w:rPr>
                <w:rFonts w:ascii="Arial" w:hAnsi="Arial" w:cs="Arial"/>
                <w:noProof/>
                <w:webHidden/>
              </w:rPr>
              <w:instrText xml:space="preserve"> PAGEREF _Toc216183959 \h </w:instrText>
            </w:r>
            <w:r w:rsidRPr="00D15FF4">
              <w:rPr>
                <w:rFonts w:ascii="Arial" w:hAnsi="Arial" w:cs="Arial"/>
                <w:noProof/>
                <w:webHidden/>
              </w:rPr>
            </w:r>
            <w:r w:rsidRPr="00D15FF4">
              <w:rPr>
                <w:rFonts w:ascii="Arial" w:hAnsi="Arial" w:cs="Arial"/>
                <w:noProof/>
                <w:webHidden/>
              </w:rPr>
              <w:fldChar w:fldCharType="separate"/>
            </w:r>
            <w:r w:rsidRPr="00D15FF4">
              <w:rPr>
                <w:rFonts w:ascii="Arial" w:hAnsi="Arial" w:cs="Arial"/>
                <w:noProof/>
                <w:webHidden/>
              </w:rPr>
              <w:t>10</w:t>
            </w:r>
            <w:r w:rsidRPr="00D15FF4">
              <w:rPr>
                <w:rFonts w:ascii="Arial" w:hAnsi="Arial" w:cs="Arial"/>
                <w:noProof/>
                <w:webHidden/>
              </w:rPr>
              <w:fldChar w:fldCharType="end"/>
            </w:r>
          </w:hyperlink>
        </w:p>
        <w:p w14:paraId="4E0FE40E" w14:textId="5EEF35A2" w:rsidR="00982FC7" w:rsidRPr="000D6D7F" w:rsidRDefault="00982FC7" w:rsidP="00982FC7">
          <w:pPr>
            <w:spacing w:line="360" w:lineRule="auto"/>
            <w:rPr>
              <w:rFonts w:ascii="Arial" w:hAnsi="Arial" w:cs="Arial"/>
            </w:rPr>
          </w:pPr>
          <w:r w:rsidRPr="00D15FF4">
            <w:rPr>
              <w:rFonts w:ascii="Arial" w:hAnsi="Arial" w:cs="Arial"/>
              <w:b/>
              <w:bCs/>
              <w:noProof/>
            </w:rPr>
            <w:fldChar w:fldCharType="end"/>
          </w:r>
        </w:p>
      </w:sdtContent>
    </w:sdt>
    <w:p w14:paraId="52ACCB1F" w14:textId="77777777" w:rsidR="00982FC7" w:rsidRPr="000D6D7F" w:rsidRDefault="00982FC7" w:rsidP="00982FC7">
      <w:pPr>
        <w:spacing w:line="360" w:lineRule="auto"/>
        <w:jc w:val="center"/>
        <w:rPr>
          <w:rFonts w:ascii="Arial" w:hAnsi="Arial" w:cs="Arial"/>
          <w:b/>
          <w:bCs/>
          <w:sz w:val="24"/>
          <w:szCs w:val="24"/>
          <w:u w:val="single"/>
        </w:rPr>
      </w:pPr>
      <w:r w:rsidRPr="000D6D7F">
        <w:rPr>
          <w:rFonts w:ascii="Arial" w:hAnsi="Arial" w:cs="Arial"/>
          <w:b/>
          <w:bCs/>
          <w:sz w:val="24"/>
          <w:szCs w:val="24"/>
          <w:u w:val="single"/>
        </w:rPr>
        <w:t>Contents of Figure</w:t>
      </w:r>
    </w:p>
    <w:p w14:paraId="777178F0" w14:textId="763B4D8D" w:rsidR="008B6606" w:rsidRPr="000D6D7F" w:rsidRDefault="00982FC7">
      <w:pPr>
        <w:pStyle w:val="TableofFigures"/>
        <w:tabs>
          <w:tab w:val="right" w:leader="dot" w:pos="9016"/>
        </w:tabs>
        <w:rPr>
          <w:rFonts w:eastAsiaTheme="minorEastAsia"/>
          <w:noProof/>
          <w:kern w:val="2"/>
          <w:sz w:val="24"/>
          <w:szCs w:val="24"/>
          <w14:ligatures w14:val="standardContextual"/>
        </w:rPr>
      </w:pPr>
      <w:r w:rsidRPr="000D6D7F">
        <w:rPr>
          <w:rFonts w:ascii="Arial" w:hAnsi="Arial" w:cs="Arial"/>
          <w:sz w:val="24"/>
          <w:szCs w:val="24"/>
        </w:rPr>
        <w:fldChar w:fldCharType="begin"/>
      </w:r>
      <w:r w:rsidRPr="000D6D7F">
        <w:rPr>
          <w:rFonts w:ascii="Arial" w:hAnsi="Arial" w:cs="Arial"/>
          <w:sz w:val="24"/>
          <w:szCs w:val="24"/>
        </w:rPr>
        <w:instrText xml:space="preserve"> TOC \h \z \c "Figure" </w:instrText>
      </w:r>
      <w:r w:rsidRPr="000D6D7F">
        <w:rPr>
          <w:rFonts w:ascii="Arial" w:hAnsi="Arial" w:cs="Arial"/>
          <w:sz w:val="24"/>
          <w:szCs w:val="24"/>
        </w:rPr>
        <w:fldChar w:fldCharType="separate"/>
      </w:r>
      <w:hyperlink w:anchor="_Toc215660225" w:history="1">
        <w:r w:rsidR="008B6606" w:rsidRPr="000D6D7F">
          <w:rPr>
            <w:rStyle w:val="Hyperlink"/>
            <w:rFonts w:ascii="Arial" w:hAnsi="Arial" w:cs="Arial"/>
            <w:noProof/>
          </w:rPr>
          <w:t>Figure 1: Social Determinants of Health</w:t>
        </w:r>
        <w:r w:rsidR="008B6606" w:rsidRPr="000D6D7F">
          <w:rPr>
            <w:noProof/>
            <w:webHidden/>
          </w:rPr>
          <w:tab/>
        </w:r>
        <w:r w:rsidR="008B6606" w:rsidRPr="000D6D7F">
          <w:rPr>
            <w:noProof/>
            <w:webHidden/>
          </w:rPr>
          <w:fldChar w:fldCharType="begin"/>
        </w:r>
        <w:r w:rsidR="008B6606" w:rsidRPr="000D6D7F">
          <w:rPr>
            <w:noProof/>
            <w:webHidden/>
          </w:rPr>
          <w:instrText xml:space="preserve"> PAGEREF _Toc215660225 \h </w:instrText>
        </w:r>
        <w:r w:rsidR="008B6606" w:rsidRPr="000D6D7F">
          <w:rPr>
            <w:noProof/>
            <w:webHidden/>
          </w:rPr>
        </w:r>
        <w:r w:rsidR="008B6606" w:rsidRPr="000D6D7F">
          <w:rPr>
            <w:noProof/>
            <w:webHidden/>
          </w:rPr>
          <w:fldChar w:fldCharType="separate"/>
        </w:r>
        <w:r w:rsidR="00D15FF4">
          <w:rPr>
            <w:noProof/>
            <w:webHidden/>
          </w:rPr>
          <w:t>1</w:t>
        </w:r>
        <w:r w:rsidR="008B6606" w:rsidRPr="000D6D7F">
          <w:rPr>
            <w:noProof/>
            <w:webHidden/>
          </w:rPr>
          <w:fldChar w:fldCharType="end"/>
        </w:r>
      </w:hyperlink>
    </w:p>
    <w:p w14:paraId="22BB2DDA" w14:textId="57399994" w:rsidR="00982FC7" w:rsidRPr="000D6D7F" w:rsidRDefault="00982FC7" w:rsidP="00982FC7">
      <w:pPr>
        <w:rPr>
          <w:rFonts w:ascii="Arial" w:hAnsi="Arial" w:cs="Arial"/>
          <w:sz w:val="24"/>
          <w:szCs w:val="24"/>
        </w:rPr>
      </w:pPr>
      <w:r w:rsidRPr="000D6D7F">
        <w:rPr>
          <w:rFonts w:ascii="Arial" w:hAnsi="Arial" w:cs="Arial"/>
          <w:sz w:val="24"/>
          <w:szCs w:val="24"/>
        </w:rPr>
        <w:fldChar w:fldCharType="end"/>
      </w:r>
    </w:p>
    <w:p w14:paraId="01DACD2E" w14:textId="77777777" w:rsidR="00982FC7" w:rsidRPr="000D6D7F" w:rsidRDefault="00982FC7" w:rsidP="00982FC7">
      <w:pPr>
        <w:rPr>
          <w:rFonts w:ascii="Arial" w:hAnsi="Arial" w:cs="Arial"/>
          <w:sz w:val="24"/>
          <w:szCs w:val="24"/>
        </w:rPr>
      </w:pPr>
    </w:p>
    <w:p w14:paraId="41FE0E0A" w14:textId="77777777" w:rsidR="00982FC7" w:rsidRPr="000D6D7F" w:rsidRDefault="00982FC7" w:rsidP="00982FC7">
      <w:pPr>
        <w:rPr>
          <w:rFonts w:ascii="Arial" w:hAnsi="Arial" w:cs="Arial"/>
          <w:sz w:val="24"/>
          <w:szCs w:val="24"/>
        </w:rPr>
      </w:pPr>
    </w:p>
    <w:p w14:paraId="4A6D758B" w14:textId="77777777" w:rsidR="00982FC7" w:rsidRPr="000D6D7F" w:rsidRDefault="00982FC7" w:rsidP="00982FC7">
      <w:pPr>
        <w:rPr>
          <w:rFonts w:ascii="Arial" w:hAnsi="Arial" w:cs="Arial"/>
          <w:sz w:val="24"/>
          <w:szCs w:val="24"/>
        </w:rPr>
        <w:sectPr w:rsidR="00982FC7" w:rsidRPr="000D6D7F" w:rsidSect="00982FC7">
          <w:footerReference w:type="first" r:id="rId10"/>
          <w:pgSz w:w="11906" w:h="16838"/>
          <w:pgMar w:top="1440" w:right="1440" w:bottom="1440" w:left="1440" w:header="720" w:footer="720" w:gutter="0"/>
          <w:pgNumType w:fmt="lowerRoman" w:start="1"/>
          <w:cols w:space="720"/>
          <w:titlePg/>
          <w:docGrid w:linePitch="299"/>
        </w:sectPr>
      </w:pPr>
    </w:p>
    <w:p w14:paraId="3531B20F" w14:textId="22A915C8" w:rsidR="00FF26DA" w:rsidRPr="000D6D7F" w:rsidRDefault="00165CF0" w:rsidP="00FF26DA">
      <w:pPr>
        <w:pStyle w:val="Heading1"/>
        <w:jc w:val="center"/>
        <w:rPr>
          <w:u w:val="single"/>
        </w:rPr>
      </w:pPr>
      <w:bookmarkStart w:id="0" w:name="_Toc216183938"/>
      <w:r>
        <w:rPr>
          <w:u w:val="single"/>
        </w:rPr>
        <w:lastRenderedPageBreak/>
        <w:t xml:space="preserve">Task </w:t>
      </w:r>
      <w:r w:rsidR="00FF26DA" w:rsidRPr="000D6D7F">
        <w:rPr>
          <w:u w:val="single"/>
        </w:rPr>
        <w:t>1</w:t>
      </w:r>
      <w:r w:rsidR="00760129" w:rsidRPr="000D6D7F">
        <w:rPr>
          <w:u w:val="single"/>
        </w:rPr>
        <w:t>: Social Epidemiological Analysis</w:t>
      </w:r>
      <w:bookmarkEnd w:id="0"/>
    </w:p>
    <w:p w14:paraId="0068AA6A" w14:textId="3EF21A1D" w:rsidR="003960BE" w:rsidRPr="000D6D7F" w:rsidRDefault="00C709D4" w:rsidP="00000092">
      <w:pPr>
        <w:spacing w:line="360" w:lineRule="auto"/>
        <w:jc w:val="both"/>
        <w:rPr>
          <w:rFonts w:ascii="Arial" w:hAnsi="Arial" w:cs="Arial"/>
        </w:rPr>
      </w:pPr>
      <w:r w:rsidRPr="000D6D7F">
        <w:rPr>
          <w:rFonts w:ascii="Arial" w:hAnsi="Arial" w:cs="Arial"/>
          <w:b/>
          <w:bCs/>
        </w:rPr>
        <w:t>Title:</w:t>
      </w:r>
      <w:r w:rsidRPr="000D6D7F">
        <w:rPr>
          <w:rFonts w:ascii="Arial" w:hAnsi="Arial" w:cs="Arial"/>
        </w:rPr>
        <w:t xml:space="preserve"> The Widening Gap: An Analysis of Age and Health Inequality in the UK Elderly Population</w:t>
      </w:r>
    </w:p>
    <w:p w14:paraId="253BC262" w14:textId="69426EF3" w:rsidR="00EB6509" w:rsidRPr="000D6D7F" w:rsidRDefault="00EB6509" w:rsidP="00EB6509">
      <w:pPr>
        <w:pStyle w:val="Heading2"/>
      </w:pPr>
      <w:bookmarkStart w:id="1" w:name="_Toc216183939"/>
      <w:r w:rsidRPr="000D6D7F">
        <w:t>1.1 Introduction: The Elderly Population as a Target Group</w:t>
      </w:r>
      <w:bookmarkEnd w:id="1"/>
    </w:p>
    <w:p w14:paraId="1049CF00" w14:textId="77777777" w:rsidR="00673DE9" w:rsidRPr="000D6D7F" w:rsidRDefault="00673DE9" w:rsidP="00673DE9">
      <w:pPr>
        <w:spacing w:before="240" w:line="360" w:lineRule="auto"/>
        <w:jc w:val="both"/>
        <w:rPr>
          <w:rFonts w:ascii="Arial" w:hAnsi="Arial" w:cs="Arial"/>
        </w:rPr>
      </w:pPr>
      <w:r w:rsidRPr="000D6D7F">
        <w:rPr>
          <w:rFonts w:ascii="Arial" w:hAnsi="Arial" w:cs="Arial"/>
        </w:rPr>
        <w:t>One of the most vulnerable groups risking health disparities in the UK is the older population, defined as people aged above 65 (Age UK, 2025). Biological ageing is combined with social determinants of health to the disadvantage of this group disproportionately. Naturally, ageing is a risk factor that predisposes an individual to the development of multiple long-term diseases, which is why 75% of individuals aged 75 and older were living with multiple long-term diseases and 82% with at least one (NHS England, 2024). Inequality cannot, however, be entirely attributed to biological ageing: socio-economic challenges such as low income, poor housing and lack of social interaction are greatly compounding these dangers.</w:t>
      </w:r>
    </w:p>
    <w:p w14:paraId="0B5BADFD" w14:textId="77777777" w:rsidR="00FE6FAF" w:rsidRPr="000D6D7F" w:rsidRDefault="00770A20" w:rsidP="00FE6FAF">
      <w:pPr>
        <w:keepNext/>
        <w:spacing w:before="240" w:line="360" w:lineRule="auto"/>
        <w:jc w:val="both"/>
      </w:pPr>
      <w:r w:rsidRPr="000D6D7F">
        <w:rPr>
          <w:noProof/>
        </w:rPr>
        <w:drawing>
          <wp:inline distT="0" distB="0" distL="0" distR="0" wp14:anchorId="15A6BA79" wp14:editId="3EB5D731">
            <wp:extent cx="5731510" cy="3754120"/>
            <wp:effectExtent l="0" t="0" r="2540" b="0"/>
            <wp:docPr id="1984694263" name="Picture 3" descr="Image of Social Determinants of Health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Image of Social Determinants of Health Mode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754120"/>
                    </a:xfrm>
                    <a:prstGeom prst="rect">
                      <a:avLst/>
                    </a:prstGeom>
                    <a:noFill/>
                    <a:ln>
                      <a:noFill/>
                    </a:ln>
                  </pic:spPr>
                </pic:pic>
              </a:graphicData>
            </a:graphic>
          </wp:inline>
        </w:drawing>
      </w:r>
    </w:p>
    <w:p w14:paraId="767C1370" w14:textId="07B479EA" w:rsidR="00770A20" w:rsidRPr="000D6D7F" w:rsidRDefault="00FE6FAF" w:rsidP="00FE6FAF">
      <w:pPr>
        <w:pStyle w:val="Caption"/>
        <w:jc w:val="center"/>
        <w:rPr>
          <w:rFonts w:ascii="Arial" w:hAnsi="Arial" w:cs="Arial"/>
          <w:sz w:val="24"/>
          <w:szCs w:val="24"/>
        </w:rPr>
      </w:pPr>
      <w:bookmarkStart w:id="2" w:name="_Toc215660225"/>
      <w:r w:rsidRPr="000D6D7F">
        <w:t xml:space="preserve">Figure </w:t>
      </w:r>
      <w:r w:rsidRPr="000D6D7F">
        <w:fldChar w:fldCharType="begin"/>
      </w:r>
      <w:r w:rsidRPr="000D6D7F">
        <w:instrText xml:space="preserve"> SEQ Figure \* ARABIC </w:instrText>
      </w:r>
      <w:r w:rsidRPr="000D6D7F">
        <w:fldChar w:fldCharType="separate"/>
      </w:r>
      <w:r w:rsidRPr="000D6D7F">
        <w:rPr>
          <w:noProof/>
        </w:rPr>
        <w:t>1</w:t>
      </w:r>
      <w:r w:rsidRPr="000D6D7F">
        <w:fldChar w:fldCharType="end"/>
      </w:r>
      <w:r w:rsidRPr="000D6D7F">
        <w:t>: Social Determinants of Health</w:t>
      </w:r>
      <w:bookmarkEnd w:id="2"/>
    </w:p>
    <w:p w14:paraId="7A96DE15" w14:textId="77777777" w:rsidR="00673DE9" w:rsidRPr="000D6D7F" w:rsidRDefault="00673DE9" w:rsidP="00673DE9">
      <w:pPr>
        <w:spacing w:before="240" w:line="360" w:lineRule="auto"/>
        <w:jc w:val="both"/>
        <w:rPr>
          <w:rFonts w:ascii="Arial" w:hAnsi="Arial" w:cs="Arial"/>
        </w:rPr>
      </w:pPr>
      <w:r w:rsidRPr="000D6D7F">
        <w:rPr>
          <w:rFonts w:ascii="Arial" w:hAnsi="Arial" w:cs="Arial"/>
        </w:rPr>
        <w:t xml:space="preserve">National statistics provide evidence of this inequality. The disparity between the most and least deprived areas, measuring healthy life expectancy (HLE) at birth by the years 2020-2022 was 19.1 years (men) and 20.2 years (women) (ONS, 2024). These sharp disparities indicate that the aged population is vulnerable because of their age and because of structural inequalities </w:t>
      </w:r>
      <w:r w:rsidRPr="000D6D7F">
        <w:rPr>
          <w:rFonts w:ascii="Arial" w:hAnsi="Arial" w:cs="Arial"/>
        </w:rPr>
        <w:lastRenderedPageBreak/>
        <w:t>embedded in their health results. This makes older adults a crucial target population for studying health inequalities among seniors in the UK.</w:t>
      </w:r>
    </w:p>
    <w:p w14:paraId="08D2B67B" w14:textId="68542ACD" w:rsidR="00673DE9" w:rsidRPr="000D6D7F" w:rsidRDefault="00DE24CC" w:rsidP="00DE24CC">
      <w:pPr>
        <w:pStyle w:val="Heading2"/>
      </w:pPr>
      <w:bookmarkStart w:id="3" w:name="_Toc216183940"/>
      <w:r w:rsidRPr="000D6D7F">
        <w:t xml:space="preserve">1.2 </w:t>
      </w:r>
      <w:r w:rsidR="00144882" w:rsidRPr="000D6D7F">
        <w:t>Contextual Background and Underlying Factors</w:t>
      </w:r>
      <w:r w:rsidRPr="000D6D7F">
        <w:t>:</w:t>
      </w:r>
      <w:bookmarkEnd w:id="3"/>
    </w:p>
    <w:p w14:paraId="16AF4110" w14:textId="77777777" w:rsidR="00673DE9" w:rsidRPr="000D6D7F" w:rsidRDefault="00673DE9" w:rsidP="00673DE9">
      <w:pPr>
        <w:spacing w:before="240" w:line="360" w:lineRule="auto"/>
        <w:jc w:val="both"/>
        <w:rPr>
          <w:rFonts w:ascii="Arial" w:hAnsi="Arial" w:cs="Arial"/>
        </w:rPr>
      </w:pPr>
      <w:r w:rsidRPr="000D6D7F">
        <w:rPr>
          <w:rFonts w:ascii="Arial" w:hAnsi="Arial" w:cs="Arial"/>
        </w:rPr>
        <w:t>The concept of health inequality in older adults can be analysed in terms of issues that revolve around diseases, as well as the social determinants that aggravate the problem of diseases.</w:t>
      </w:r>
    </w:p>
    <w:p w14:paraId="5C5FB503" w14:textId="75D04A71" w:rsidR="00673DE9" w:rsidRPr="000D6D7F" w:rsidRDefault="00673DE9" w:rsidP="00801F85">
      <w:pPr>
        <w:pStyle w:val="Heading3"/>
        <w:numPr>
          <w:ilvl w:val="2"/>
          <w:numId w:val="41"/>
        </w:numPr>
      </w:pPr>
      <w:bookmarkStart w:id="4" w:name="_Toc216183941"/>
      <w:r w:rsidRPr="000D6D7F">
        <w:t>Disease and Illness Rates</w:t>
      </w:r>
      <w:bookmarkEnd w:id="4"/>
    </w:p>
    <w:p w14:paraId="755932EB" w14:textId="78203B01" w:rsidR="00673DE9" w:rsidRPr="000D6D7F" w:rsidRDefault="00380C5E" w:rsidP="00801F85">
      <w:pPr>
        <w:spacing w:before="240" w:line="360" w:lineRule="auto"/>
        <w:jc w:val="both"/>
        <w:rPr>
          <w:rFonts w:ascii="Arial" w:hAnsi="Arial" w:cs="Arial"/>
        </w:rPr>
      </w:pPr>
      <w:r w:rsidRPr="00380C5E">
        <w:rPr>
          <w:rFonts w:ascii="Arial" w:hAnsi="Arial" w:cs="Arial"/>
        </w:rPr>
        <w:t>Multimorbidity threatens UK seniors' health. The elderly in disadvantaged areas develop long-term diseases early and have more complex health demands (PHE, 2020). Disparate health trends across socioeconomic platforms increase healthcare needs, hospitalisation rates, and care coordination concerns. Frailty, another ageing feature, makes people more susceptible to stressors like illness and injury. At least one in three 65-year-olds and half of 80-year-olds will fall each year (Age UK, 2025). Only 19% of frail older people get assessed for falls risk (Age UK, 2025). Poor access to preventative and home adaptation programs worsens older individuals' situations, especially those with low incomes. Dementia kills more elderly people in poorer areas (ONS, 2024). Inequalities arise from barriers to primary care, delays in diagnosis, and inadequate culturally appropriate assistance for minority ethnic groups (PHE, 2020). These factors lower outcomes and quality of life.</w:t>
      </w:r>
    </w:p>
    <w:p w14:paraId="7A035BA7" w14:textId="3AD76AF8" w:rsidR="00673DE9" w:rsidRPr="000D6D7F" w:rsidRDefault="00673DE9" w:rsidP="00801F85">
      <w:pPr>
        <w:pStyle w:val="Heading3"/>
        <w:numPr>
          <w:ilvl w:val="2"/>
          <w:numId w:val="41"/>
        </w:numPr>
      </w:pPr>
      <w:bookmarkStart w:id="5" w:name="_Toc216183942"/>
      <w:r w:rsidRPr="000D6D7F">
        <w:t>Social Problems that impact Health Inequality</w:t>
      </w:r>
      <w:bookmarkEnd w:id="5"/>
    </w:p>
    <w:p w14:paraId="3953DAF9" w14:textId="295B9E5F" w:rsidR="00673DE9" w:rsidRPr="000D6D7F" w:rsidRDefault="00673DE9" w:rsidP="00801F85">
      <w:pPr>
        <w:spacing w:before="240" w:line="360" w:lineRule="auto"/>
        <w:jc w:val="both"/>
        <w:rPr>
          <w:rFonts w:ascii="Arial" w:hAnsi="Arial" w:cs="Arial"/>
        </w:rPr>
      </w:pPr>
      <w:r w:rsidRPr="000D6D7F">
        <w:rPr>
          <w:rFonts w:ascii="Arial" w:hAnsi="Arial" w:cs="Arial"/>
        </w:rPr>
        <w:t>Loneliness largely determines poor health in older adults. It significantly increases the risks of depression, cardiovascular disease, and cognitive impairment (ONS, 2025). Despite the high percentage of adults who report to be lonely, older adults (those aged 90+) have a higher rate of anxiety and lack of happiness (Ageing Better, 2025). Persistent social isolation is caused by factors like bereavement and limitations in mobility and accessibility to transport.</w:t>
      </w:r>
      <w:r w:rsidR="00801F85" w:rsidRPr="000D6D7F">
        <w:rPr>
          <w:rFonts w:ascii="Arial" w:hAnsi="Arial" w:cs="Arial"/>
        </w:rPr>
        <w:t xml:space="preserve"> </w:t>
      </w:r>
      <w:r w:rsidRPr="000D6D7F">
        <w:rPr>
          <w:rFonts w:ascii="Arial" w:hAnsi="Arial" w:cs="Arial"/>
        </w:rPr>
        <w:t xml:space="preserve">The </w:t>
      </w:r>
      <w:r w:rsidR="00D7064D" w:rsidRPr="000D6D7F">
        <w:rPr>
          <w:rFonts w:ascii="Arial" w:hAnsi="Arial" w:cs="Arial"/>
        </w:rPr>
        <w:t>cost-of-living</w:t>
      </w:r>
      <w:r w:rsidRPr="000D6D7F">
        <w:rPr>
          <w:rFonts w:ascii="Arial" w:hAnsi="Arial" w:cs="Arial"/>
        </w:rPr>
        <w:t xml:space="preserve"> crisis has led to a surge in health disparities. Most adults over 70 years old (approximately 80</w:t>
      </w:r>
      <w:r w:rsidR="00917DFF" w:rsidRPr="000D6D7F">
        <w:rPr>
          <w:rFonts w:ascii="Arial" w:hAnsi="Arial" w:cs="Arial"/>
        </w:rPr>
        <w:t>%</w:t>
      </w:r>
      <w:r w:rsidRPr="000D6D7F">
        <w:rPr>
          <w:rFonts w:ascii="Arial" w:hAnsi="Arial" w:cs="Arial"/>
        </w:rPr>
        <w:t>) consider the increasing cost of living a significant issue (ONS, 2025). Low-income elderly adults usually cannot afford to eat, keep warm, or do the required social activities. Most people have no claim to benefits they are eligible for, including the Pension credit, because of ignorance or complicated procedures (Age UK, 2025). This makes them more dependent on savings and inequalities in social care.</w:t>
      </w:r>
      <w:r w:rsidR="00801F85" w:rsidRPr="000D6D7F">
        <w:rPr>
          <w:rFonts w:ascii="Arial" w:hAnsi="Arial" w:cs="Arial"/>
        </w:rPr>
        <w:t xml:space="preserve"> </w:t>
      </w:r>
      <w:r w:rsidRPr="000D6D7F">
        <w:rPr>
          <w:rFonts w:ascii="Arial" w:hAnsi="Arial" w:cs="Arial"/>
        </w:rPr>
        <w:t xml:space="preserve">The quality of housing has a major influence on the health of the elderly, especially those residing in cold or damp conditions. Elderly people who are low income are most susceptible to fuel poverty and may not be in a position to repair their homes or insulate them (Centre for Ageing Better, 2025). People with </w:t>
      </w:r>
      <w:r w:rsidRPr="000D6D7F">
        <w:rPr>
          <w:rFonts w:ascii="Arial" w:hAnsi="Arial" w:cs="Arial"/>
        </w:rPr>
        <w:lastRenderedPageBreak/>
        <w:t>racially minoritized backgrounds are usually further stifled by a lack of access to inclusive home improvement services.</w:t>
      </w:r>
    </w:p>
    <w:p w14:paraId="610448D0" w14:textId="3B635B13" w:rsidR="00673DE9" w:rsidRPr="000D6D7F" w:rsidRDefault="00C921ED" w:rsidP="00C921ED">
      <w:pPr>
        <w:pStyle w:val="Heading2"/>
      </w:pPr>
      <w:bookmarkStart w:id="6" w:name="_Toc216183943"/>
      <w:r w:rsidRPr="000D6D7F">
        <w:t>1.3 Explaining the Statistics and Potential Solutions:</w:t>
      </w:r>
      <w:bookmarkEnd w:id="6"/>
    </w:p>
    <w:p w14:paraId="64E816A0" w14:textId="77777777" w:rsidR="00C35B1A" w:rsidRPr="00C35B1A" w:rsidRDefault="00C35B1A" w:rsidP="00C35B1A">
      <w:pPr>
        <w:spacing w:before="240" w:line="360" w:lineRule="auto"/>
        <w:jc w:val="both"/>
        <w:rPr>
          <w:rFonts w:ascii="Arial" w:hAnsi="Arial" w:cs="Arial"/>
        </w:rPr>
      </w:pPr>
      <w:r w:rsidRPr="00C35B1A">
        <w:rPr>
          <w:rFonts w:ascii="Arial" w:hAnsi="Arial" w:cs="Arial"/>
        </w:rPr>
        <w:t>Multimorbidity inequalities occur due to the exposure of deprived groups to more risk factors, including smoking, poor diet and environmental stress, which are some of the risk factors that lead to the occurrence of chronic disease (POST Parliament, 2025). Integrated health and social care, individualised care planning and enhanced models of self-management support of older adults can be used to reduce these gaps (NHS England, 2024). Inequality related to frailty and falls arises when poorer and minority groups have worse access to proactive detection of frailty and/or do not have adaptation of their homes to minimise the risk. This must be solved by better frailty detection within the GP practices, regular falls evaluations and by investing in age-friendly community projects. The inequalities in dementia are caused by the hindrances to primary care and culturally unsuitable services, which increase the delay in the diagnosis and poorer outcomes; specific early diagnosis programmes, community-based dementia support and increased professional training can be used to minimise the gaps. Digital exclusion and bereavement, in addition to a lack of transport choices, exacerbate social isolation and reduce the social ability of older adults; community befriending programmes, digital literacy education, and age-friendly communities can be used to promote inclusion. Income and housing disparities are also related to a lack of awareness of entitlements, a lack of pension income, and the increasing cost of energy, which means older adults can no longer enjoy a decent standard of living. They can be tackled by augmenting benefit uptake, Winter Fuel Payments and readily available home improvement grants to low-income older adults.</w:t>
      </w:r>
    </w:p>
    <w:p w14:paraId="38B6F448" w14:textId="5E7D3851" w:rsidR="00673DE9" w:rsidRPr="000D6D7F" w:rsidRDefault="008856F8" w:rsidP="008856F8">
      <w:pPr>
        <w:pStyle w:val="Heading2"/>
      </w:pPr>
      <w:bookmarkStart w:id="7" w:name="_Toc216183944"/>
      <w:r w:rsidRPr="000D6D7F">
        <w:t xml:space="preserve">1.4 National </w:t>
      </w:r>
      <w:proofErr w:type="spellStart"/>
      <w:r w:rsidRPr="000D6D7F">
        <w:t>Respones</w:t>
      </w:r>
      <w:proofErr w:type="spellEnd"/>
      <w:r w:rsidRPr="000D6D7F">
        <w:t xml:space="preserve"> to Reduce Inequalities</w:t>
      </w:r>
      <w:bookmarkEnd w:id="7"/>
    </w:p>
    <w:p w14:paraId="5DC64752" w14:textId="77777777" w:rsidR="00673DE9" w:rsidRPr="000D6D7F" w:rsidRDefault="00673DE9" w:rsidP="00673DE9">
      <w:pPr>
        <w:spacing w:before="240" w:line="360" w:lineRule="auto"/>
        <w:jc w:val="both"/>
        <w:rPr>
          <w:rFonts w:ascii="Arial" w:hAnsi="Arial" w:cs="Arial"/>
          <w:b/>
          <w:bCs/>
        </w:rPr>
      </w:pPr>
      <w:r w:rsidRPr="000D6D7F">
        <w:rPr>
          <w:rFonts w:ascii="Arial" w:hAnsi="Arial" w:cs="Arial"/>
          <w:b/>
          <w:bCs/>
        </w:rPr>
        <w:t>NHS Ageing Well Programme</w:t>
      </w:r>
    </w:p>
    <w:p w14:paraId="54197C8C" w14:textId="1B5C10F1" w:rsidR="000D6D7F" w:rsidRPr="00406032" w:rsidRDefault="00673DE9" w:rsidP="00673DE9">
      <w:pPr>
        <w:spacing w:before="240" w:line="360" w:lineRule="auto"/>
        <w:jc w:val="both"/>
        <w:rPr>
          <w:rFonts w:ascii="Arial" w:hAnsi="Arial" w:cs="Arial"/>
        </w:rPr>
      </w:pPr>
      <w:r w:rsidRPr="000D6D7F">
        <w:rPr>
          <w:rFonts w:ascii="Arial" w:hAnsi="Arial" w:cs="Arial"/>
        </w:rPr>
        <w:t>The focus of this program is proactive frailty and multimorbidity management, whereby GP practices are encouraged to identify vulnerable individuals and develop individualised care plans (NHS England, 2024). It is meant to transform it into preventive care rather than reactive care, which is a crucial measure to take to decrease inequalities.</w:t>
      </w:r>
    </w:p>
    <w:p w14:paraId="2B719E13" w14:textId="70E9CAE4" w:rsidR="00673DE9" w:rsidRPr="000D6D7F" w:rsidRDefault="00673DE9" w:rsidP="00673DE9">
      <w:pPr>
        <w:spacing w:before="240" w:line="360" w:lineRule="auto"/>
        <w:jc w:val="both"/>
        <w:rPr>
          <w:rFonts w:ascii="Arial" w:hAnsi="Arial" w:cs="Arial"/>
          <w:b/>
          <w:bCs/>
        </w:rPr>
      </w:pPr>
      <w:r w:rsidRPr="000D6D7F">
        <w:rPr>
          <w:rFonts w:ascii="Arial" w:hAnsi="Arial" w:cs="Arial"/>
          <w:b/>
          <w:bCs/>
        </w:rPr>
        <w:t>Cost of Living Support</w:t>
      </w:r>
    </w:p>
    <w:p w14:paraId="40CA09C2" w14:textId="77777777" w:rsidR="00673DE9" w:rsidRPr="000D6D7F" w:rsidRDefault="00673DE9" w:rsidP="00673DE9">
      <w:pPr>
        <w:spacing w:before="240" w:line="360" w:lineRule="auto"/>
        <w:jc w:val="both"/>
        <w:rPr>
          <w:rFonts w:ascii="Arial" w:hAnsi="Arial" w:cs="Arial"/>
        </w:rPr>
      </w:pPr>
      <w:r w:rsidRPr="000D6D7F">
        <w:rPr>
          <w:rFonts w:ascii="Arial" w:hAnsi="Arial" w:cs="Arial"/>
        </w:rPr>
        <w:t xml:space="preserve">The Pensioner Cost of Living Payment and Winter Fuel Payment are some examples of state programmes that allow older people to pay for heating and necessities in times of economic </w:t>
      </w:r>
      <w:r w:rsidRPr="000D6D7F">
        <w:rPr>
          <w:rFonts w:ascii="Arial" w:hAnsi="Arial" w:cs="Arial"/>
        </w:rPr>
        <w:lastRenderedPageBreak/>
        <w:t>hardship (Age UK, 2025). These are measures that are direct to health disparities because of poverty.</w:t>
      </w:r>
    </w:p>
    <w:p w14:paraId="21E51C90" w14:textId="1CA15DEA" w:rsidR="00673DE9" w:rsidRPr="000D6D7F" w:rsidRDefault="00811C93" w:rsidP="00811C93">
      <w:pPr>
        <w:pStyle w:val="Heading2"/>
      </w:pPr>
      <w:bookmarkStart w:id="8" w:name="_Toc216183945"/>
      <w:r w:rsidRPr="000D6D7F">
        <w:t>1.5: Organisations Supporting the Elderly: Age UK</w:t>
      </w:r>
      <w:bookmarkEnd w:id="8"/>
    </w:p>
    <w:p w14:paraId="30ED7E1D" w14:textId="09643853" w:rsidR="00673DE9" w:rsidRPr="00D3431C" w:rsidRDefault="00D3431C" w:rsidP="00673DE9">
      <w:pPr>
        <w:spacing w:before="240" w:line="360" w:lineRule="auto"/>
        <w:jc w:val="both"/>
        <w:rPr>
          <w:rFonts w:ascii="Arial" w:hAnsi="Arial" w:cs="Arial"/>
          <w:lang w:val="en-US"/>
        </w:rPr>
      </w:pPr>
      <w:r w:rsidRPr="00D3431C">
        <w:rPr>
          <w:rFonts w:ascii="Arial" w:hAnsi="Arial" w:cs="Arial"/>
          <w:lang w:val="en-US"/>
        </w:rPr>
        <w:t xml:space="preserve">Age UK is an </w:t>
      </w:r>
      <w:proofErr w:type="spellStart"/>
      <w:r w:rsidRPr="00D3431C">
        <w:rPr>
          <w:rFonts w:ascii="Arial" w:hAnsi="Arial" w:cs="Arial"/>
          <w:lang w:val="en-US"/>
        </w:rPr>
        <w:t>organisation</w:t>
      </w:r>
      <w:proofErr w:type="spellEnd"/>
      <w:r w:rsidRPr="00D3431C">
        <w:rPr>
          <w:rFonts w:ascii="Arial" w:hAnsi="Arial" w:cs="Arial"/>
          <w:lang w:val="en-US"/>
        </w:rPr>
        <w:t xml:space="preserve"> that is very active in not only ensuring the older generation is represented nationally and locally but also that the group is handled in ways that are essential to correcting certain inequalities associated with frailty, falls, loneliness, and income insecurity. Some of the practical support services offered by the </w:t>
      </w:r>
      <w:proofErr w:type="spellStart"/>
      <w:r w:rsidRPr="00D3431C">
        <w:rPr>
          <w:rFonts w:ascii="Arial" w:hAnsi="Arial" w:cs="Arial"/>
          <w:lang w:val="en-US"/>
        </w:rPr>
        <w:t>organisation</w:t>
      </w:r>
      <w:proofErr w:type="spellEnd"/>
      <w:r w:rsidRPr="00D3431C">
        <w:rPr>
          <w:rFonts w:ascii="Arial" w:hAnsi="Arial" w:cs="Arial"/>
          <w:lang w:val="en-US"/>
        </w:rPr>
        <w:t xml:space="preserve"> include befriending schemes, which assist in the alleviation of loneliness; handyperson services and home-based fall prevention services to enhance safety; and benefits consultancy services to ensure that vulnerable older adults are able to obtain the financial support they are entitled to. In addition to its direct services, Age UK is also engaged in pushing the systems towards reform by increasing awareness of the disparities experienced by the elderly and pushing for greater accessibility in the health and social care systems</w:t>
      </w:r>
      <w:r w:rsidR="00673DE9" w:rsidRPr="000D6D7F">
        <w:rPr>
          <w:rFonts w:ascii="Arial" w:hAnsi="Arial" w:cs="Arial"/>
        </w:rPr>
        <w:t>.</w:t>
      </w:r>
    </w:p>
    <w:p w14:paraId="220BF022" w14:textId="437D498B" w:rsidR="00673DE9" w:rsidRPr="000D6D7F" w:rsidRDefault="0006312A" w:rsidP="0006312A">
      <w:pPr>
        <w:pStyle w:val="Heading2"/>
      </w:pPr>
      <w:bookmarkStart w:id="9" w:name="_Toc216183946"/>
      <w:r w:rsidRPr="000D6D7F">
        <w:t xml:space="preserve">1.6: </w:t>
      </w:r>
      <w:r w:rsidR="00673DE9" w:rsidRPr="000D6D7F">
        <w:t>Conclusion</w:t>
      </w:r>
      <w:bookmarkEnd w:id="9"/>
    </w:p>
    <w:p w14:paraId="04594FD2" w14:textId="21F1E09E" w:rsidR="00982FC7" w:rsidRPr="000D6D7F" w:rsidRDefault="00673DE9" w:rsidP="00982FC7">
      <w:pPr>
        <w:spacing w:before="240" w:line="360" w:lineRule="auto"/>
        <w:jc w:val="both"/>
        <w:rPr>
          <w:rFonts w:ascii="Arial" w:hAnsi="Arial" w:cs="Arial"/>
        </w:rPr>
      </w:pPr>
      <w:r w:rsidRPr="000D6D7F">
        <w:rPr>
          <w:rFonts w:ascii="Arial" w:hAnsi="Arial" w:cs="Arial"/>
        </w:rPr>
        <w:t>The combination of ageing, socio-economic disadvantage, healthcare, and social structural barriers determines health disparities among the elderly population in the UK. The gap in the healthy life expectancy of 19 years is evidence of social injustice at the greatest level (ONS, 2024). Although this assistance is critical, in the case of ageing, it is necessary to take long-term and coherent measures at health, housing, and social care levels to provide equitable, healthy ageing to all older adults irrespective of socio-economic backgrounds, even though national programmes and charities such as Age UK are vital.</w:t>
      </w:r>
    </w:p>
    <w:p w14:paraId="67DACE04" w14:textId="77777777" w:rsidR="0006312A" w:rsidRPr="000D6D7F" w:rsidRDefault="0006312A">
      <w:pPr>
        <w:spacing w:after="160" w:line="278" w:lineRule="auto"/>
        <w:rPr>
          <w:rFonts w:ascii="Arial" w:eastAsiaTheme="majorEastAsia" w:hAnsi="Arial" w:cstheme="majorBidi"/>
          <w:b/>
          <w:color w:val="000000" w:themeColor="text1"/>
          <w:sz w:val="32"/>
          <w:szCs w:val="40"/>
        </w:rPr>
      </w:pPr>
      <w:r w:rsidRPr="000D6D7F">
        <w:br w:type="page"/>
      </w:r>
    </w:p>
    <w:p w14:paraId="508E9375" w14:textId="25198E7C" w:rsidR="00982FC7" w:rsidRPr="000D6D7F" w:rsidRDefault="00E50072" w:rsidP="00E03830">
      <w:pPr>
        <w:pStyle w:val="Heading1"/>
        <w:jc w:val="center"/>
        <w:rPr>
          <w:u w:val="single"/>
        </w:rPr>
      </w:pPr>
      <w:bookmarkStart w:id="10" w:name="_Toc216183947"/>
      <w:r>
        <w:rPr>
          <w:u w:val="single"/>
        </w:rPr>
        <w:lastRenderedPageBreak/>
        <w:t>Task</w:t>
      </w:r>
      <w:r w:rsidR="00E03830" w:rsidRPr="000D6D7F">
        <w:rPr>
          <w:u w:val="single"/>
        </w:rPr>
        <w:t xml:space="preserve"> 2: Epidemiological Analysis</w:t>
      </w:r>
      <w:bookmarkEnd w:id="10"/>
    </w:p>
    <w:p w14:paraId="24AF87BD" w14:textId="3720E052" w:rsidR="00D81088" w:rsidRPr="000D6D7F" w:rsidRDefault="00AA5B87" w:rsidP="003C2897">
      <w:pPr>
        <w:pStyle w:val="Heading2"/>
      </w:pPr>
      <w:bookmarkStart w:id="11" w:name="_Toc216183948"/>
      <w:r w:rsidRPr="000D6D7F">
        <w:t>2.</w:t>
      </w:r>
      <w:r w:rsidR="00D81088" w:rsidRPr="000D6D7F">
        <w:t>1</w:t>
      </w:r>
      <w:r w:rsidR="00A25763" w:rsidRPr="000D6D7F">
        <w:t>:</w:t>
      </w:r>
      <w:r w:rsidR="00D81088" w:rsidRPr="000D6D7F">
        <w:t xml:space="preserve"> Introduction</w:t>
      </w:r>
      <w:bookmarkEnd w:id="11"/>
    </w:p>
    <w:p w14:paraId="7CF728F6" w14:textId="5C8ADCB9" w:rsidR="00D81088" w:rsidRPr="000D6D7F" w:rsidRDefault="00D81088" w:rsidP="00D81088">
      <w:pPr>
        <w:spacing w:before="240" w:line="360" w:lineRule="auto"/>
        <w:jc w:val="both"/>
        <w:rPr>
          <w:rFonts w:ascii="Arial" w:hAnsi="Arial" w:cs="Arial"/>
          <w:bCs/>
        </w:rPr>
      </w:pPr>
      <w:r w:rsidRPr="000D6D7F">
        <w:rPr>
          <w:rFonts w:ascii="Arial" w:hAnsi="Arial" w:cs="Arial"/>
          <w:bCs/>
        </w:rPr>
        <w:t>Type 2 Diabetes Mellitus (T2DM) is a significant noncommunicable disease (NCD) that is typified by insulin resistance and progressive loss of the pancreatic β-cells' insulin secretory capacity, leading to chronic hyperglycaemia (IDF, 2024). The impacts of this condition are social, cultural and health-related and are very detrimental to individuals as well as communities. T2DM can also result in socially low productivity, unemployment, more reliance on the welfare system, stigma and low quality of life. A significant part is also played by cultural factors: the dietary traditions of a certain culture, the lack of culturally permissible ways to exercise, and religious fasting can influence both the risk and management of T2DM, especially in minority ethnic groups (Diabetes UK, 2023). Medically, T2DM has been linked to major complications (retinopathy, nephropathy, neuropathy, cardiovascular disease, and stroke), which cause disability and early death (NICE, 2024).</w:t>
      </w:r>
    </w:p>
    <w:p w14:paraId="30EB5443" w14:textId="20778028" w:rsidR="00D81088" w:rsidRPr="000D6D7F" w:rsidRDefault="00D81088" w:rsidP="00D81088">
      <w:pPr>
        <w:spacing w:before="240" w:line="360" w:lineRule="auto"/>
        <w:jc w:val="both"/>
        <w:rPr>
          <w:rFonts w:ascii="Arial" w:hAnsi="Arial" w:cs="Arial"/>
          <w:bCs/>
        </w:rPr>
      </w:pPr>
      <w:r w:rsidRPr="000D6D7F">
        <w:rPr>
          <w:rFonts w:ascii="Arial" w:hAnsi="Arial" w:cs="Arial"/>
          <w:bCs/>
        </w:rPr>
        <w:t>T2DM is increasing at a very high rate in the whole world. In 2021, it was estimated that the number of adults living with diabetes globally amounted to approximately 537 million, and it is expected to increase to 783 million people in 2045 (IDF, 2024). In the UK, diabetes has been diagnosed in approximately 4.3 million individuals, out of which approximately 90% are T2DM (Diabetes UK, 2023). The London Borough of Newham has one of the worst rates of diabetes prevalence in England. The rate of prevalence in Newham is frequently above 10</w:t>
      </w:r>
      <w:r w:rsidR="00917DFF" w:rsidRPr="000D6D7F">
        <w:rPr>
          <w:rFonts w:ascii="Arial" w:hAnsi="Arial" w:cs="Arial"/>
          <w:bCs/>
        </w:rPr>
        <w:t>%</w:t>
      </w:r>
      <w:r w:rsidRPr="000D6D7F">
        <w:rPr>
          <w:rFonts w:ascii="Arial" w:hAnsi="Arial" w:cs="Arial"/>
          <w:bCs/>
        </w:rPr>
        <w:t xml:space="preserve"> of the enrolled populace, which is primarily increasing relative to the average in England, which is 7.4</w:t>
      </w:r>
      <w:r w:rsidR="00917DFF" w:rsidRPr="000D6D7F">
        <w:rPr>
          <w:rFonts w:ascii="Arial" w:hAnsi="Arial" w:cs="Arial"/>
          <w:bCs/>
        </w:rPr>
        <w:t>%</w:t>
      </w:r>
      <w:r w:rsidRPr="000D6D7F">
        <w:rPr>
          <w:rFonts w:ascii="Arial" w:hAnsi="Arial" w:cs="Arial"/>
          <w:bCs/>
        </w:rPr>
        <w:t xml:space="preserve"> (PHE, 2020). It emphasises the fact that T2DM is a serious problem in the borough in terms of its impact on the population and, therefore, the necessity of the specific interventions based on the demographic characteristics of the population.</w:t>
      </w:r>
    </w:p>
    <w:p w14:paraId="4F0C6196" w14:textId="053997D8" w:rsidR="00D81088" w:rsidRPr="000D6D7F" w:rsidRDefault="00A25763" w:rsidP="00A25763">
      <w:pPr>
        <w:pStyle w:val="Heading2"/>
      </w:pPr>
      <w:bookmarkStart w:id="12" w:name="_Toc216183949"/>
      <w:r w:rsidRPr="000D6D7F">
        <w:t>2.</w:t>
      </w:r>
      <w:r w:rsidR="00D81088" w:rsidRPr="000D6D7F">
        <w:t>2 Processes of Epidemiology and Public Health Strategies</w:t>
      </w:r>
      <w:bookmarkEnd w:id="12"/>
    </w:p>
    <w:p w14:paraId="290889C4" w14:textId="3B446478" w:rsidR="00D81088" w:rsidRPr="000D6D7F" w:rsidRDefault="00D81088" w:rsidP="008915CB">
      <w:pPr>
        <w:pStyle w:val="Heading3"/>
        <w:numPr>
          <w:ilvl w:val="2"/>
          <w:numId w:val="36"/>
        </w:numPr>
      </w:pPr>
      <w:bookmarkStart w:id="13" w:name="_Toc216183950"/>
      <w:r w:rsidRPr="000D6D7F">
        <w:t>Public Health Measures: The 3 Ps</w:t>
      </w:r>
      <w:bookmarkEnd w:id="13"/>
    </w:p>
    <w:p w14:paraId="0A1A6B6D" w14:textId="34415889" w:rsidR="00D81088" w:rsidRPr="000D6D7F" w:rsidRDefault="00D81088" w:rsidP="008915CB">
      <w:pPr>
        <w:spacing w:before="240" w:line="360" w:lineRule="auto"/>
        <w:jc w:val="both"/>
        <w:rPr>
          <w:rFonts w:ascii="Arial" w:hAnsi="Arial" w:cs="Arial"/>
          <w:bCs/>
        </w:rPr>
      </w:pPr>
      <w:r w:rsidRPr="000D6D7F">
        <w:rPr>
          <w:rFonts w:ascii="Arial" w:hAnsi="Arial" w:cs="Arial"/>
          <w:bCs/>
        </w:rPr>
        <w:t>To effectively manage and prevent T2DM in Newham, an integrated public health approach should be used, through application of the three fundamental pillars, which are Prevention, Protection, and Promotion.</w:t>
      </w:r>
      <w:r w:rsidR="008915CB" w:rsidRPr="000D6D7F">
        <w:rPr>
          <w:rFonts w:ascii="Arial" w:hAnsi="Arial" w:cs="Arial"/>
          <w:bCs/>
        </w:rPr>
        <w:t xml:space="preserve"> </w:t>
      </w:r>
      <w:r w:rsidRPr="000D6D7F">
        <w:rPr>
          <w:rFonts w:ascii="Arial" w:hAnsi="Arial" w:cs="Arial"/>
          <w:bCs/>
        </w:rPr>
        <w:t>The most effective evidence-based interventions to prevent the development of a disease include the NHS Diabetes Prevention Programme (NDPP). The NDPP is aimed at persons with pre-diabetes, and it provides systematic education, which includes diet, physical exercise, and behaviour change to avoid advancing to T2DM (NHS England, 2024).</w:t>
      </w:r>
      <w:r w:rsidR="008915CB" w:rsidRPr="000D6D7F">
        <w:rPr>
          <w:rFonts w:ascii="Arial" w:hAnsi="Arial" w:cs="Arial"/>
          <w:bCs/>
        </w:rPr>
        <w:t xml:space="preserve"> </w:t>
      </w:r>
      <w:r w:rsidRPr="000D6D7F">
        <w:rPr>
          <w:rFonts w:ascii="Arial" w:hAnsi="Arial" w:cs="Arial"/>
          <w:bCs/>
        </w:rPr>
        <w:t xml:space="preserve">Protection measures are also designed to reduce the number of complications in the already diagnosed individuals. It involves providing all patients with the </w:t>
      </w:r>
      <w:r w:rsidRPr="000D6D7F">
        <w:rPr>
          <w:rFonts w:ascii="Arial" w:hAnsi="Arial" w:cs="Arial"/>
          <w:bCs/>
        </w:rPr>
        <w:lastRenderedPageBreak/>
        <w:t>annual care services as advised by the NICE: foot checks, retinal screening, kidney function tests, and HbA1c (NICE, 2024). The production of effective protection presupposes effective primary care systems and the proper commissioning of specific services.</w:t>
      </w:r>
      <w:r w:rsidR="008915CB" w:rsidRPr="000D6D7F">
        <w:rPr>
          <w:rFonts w:ascii="Arial" w:hAnsi="Arial" w:cs="Arial"/>
          <w:bCs/>
        </w:rPr>
        <w:t xml:space="preserve"> </w:t>
      </w:r>
      <w:r w:rsidRPr="000D6D7F">
        <w:rPr>
          <w:rFonts w:ascii="Arial" w:hAnsi="Arial" w:cs="Arial"/>
          <w:bCs/>
        </w:rPr>
        <w:t>The cultural specifics of the health promotion campaigns should be orientated towards the multicultural population of Newham. Collaboration with faith centres, local leaders of the community and local charities would enhance the understanding of the risk and early symptoms of T2DM and help shift behaviours in a multi-ethnic population, where the likelihood of misconceptions or stigma related to diabetes could be widespread (PHE, 2020).</w:t>
      </w:r>
    </w:p>
    <w:p w14:paraId="3297F08B" w14:textId="6AA16139" w:rsidR="00D81088" w:rsidRPr="000D6D7F" w:rsidRDefault="000927E5" w:rsidP="00A8421E">
      <w:pPr>
        <w:pStyle w:val="Heading3"/>
      </w:pPr>
      <w:bookmarkStart w:id="14" w:name="_Toc216183951"/>
      <w:r w:rsidRPr="000D6D7F">
        <w:t xml:space="preserve">2.2.2 </w:t>
      </w:r>
      <w:r w:rsidR="00D81088" w:rsidRPr="000D6D7F">
        <w:t>Significant Determinants and Risk Factors</w:t>
      </w:r>
      <w:r w:rsidRPr="000D6D7F">
        <w:t>:</w:t>
      </w:r>
      <w:bookmarkEnd w:id="14"/>
    </w:p>
    <w:p w14:paraId="09F3C3F7" w14:textId="77777777" w:rsidR="00D81088" w:rsidRPr="000D6D7F" w:rsidRDefault="00D81088" w:rsidP="00D81088">
      <w:pPr>
        <w:spacing w:before="240" w:line="360" w:lineRule="auto"/>
        <w:jc w:val="both"/>
        <w:rPr>
          <w:rFonts w:ascii="Arial" w:hAnsi="Arial" w:cs="Arial"/>
          <w:bCs/>
        </w:rPr>
      </w:pPr>
      <w:r w:rsidRPr="000D6D7F">
        <w:rPr>
          <w:rFonts w:ascii="Arial" w:hAnsi="Arial" w:cs="Arial"/>
          <w:bCs/>
        </w:rPr>
        <w:t>The causal factors of T2DM in Newham are a complicated interaction between biological, behavioural and socio-environmental factors.</w:t>
      </w:r>
    </w:p>
    <w:p w14:paraId="67B1886F" w14:textId="77777777" w:rsidR="00D81088" w:rsidRPr="000D6D7F" w:rsidRDefault="00D81088" w:rsidP="00D81088">
      <w:pPr>
        <w:spacing w:before="240" w:line="360" w:lineRule="auto"/>
        <w:jc w:val="both"/>
        <w:rPr>
          <w:rFonts w:ascii="Arial" w:hAnsi="Arial" w:cs="Arial"/>
          <w:b/>
        </w:rPr>
      </w:pPr>
      <w:r w:rsidRPr="000D6D7F">
        <w:rPr>
          <w:rFonts w:ascii="Arial" w:hAnsi="Arial" w:cs="Arial"/>
          <w:b/>
        </w:rPr>
        <w:t>Non-Modifiable Factors:</w:t>
      </w:r>
    </w:p>
    <w:p w14:paraId="20CC02E3" w14:textId="77777777" w:rsidR="00D81088" w:rsidRPr="000D6D7F" w:rsidRDefault="00D81088" w:rsidP="009F2E8F">
      <w:pPr>
        <w:pStyle w:val="ListParagraph"/>
        <w:numPr>
          <w:ilvl w:val="0"/>
          <w:numId w:val="27"/>
        </w:numPr>
        <w:spacing w:before="240" w:line="360" w:lineRule="auto"/>
        <w:jc w:val="both"/>
        <w:rPr>
          <w:rFonts w:ascii="Arial" w:hAnsi="Arial" w:cs="Arial"/>
          <w:bCs/>
        </w:rPr>
      </w:pPr>
      <w:r w:rsidRPr="000D6D7F">
        <w:rPr>
          <w:rFonts w:ascii="Arial" w:hAnsi="Arial" w:cs="Arial"/>
          <w:b/>
        </w:rPr>
        <w:t>Age:</w:t>
      </w:r>
      <w:r w:rsidRPr="000D6D7F">
        <w:rPr>
          <w:rFonts w:ascii="Arial" w:hAnsi="Arial" w:cs="Arial"/>
          <w:bCs/>
        </w:rPr>
        <w:t xml:space="preserve"> There is a significant risk increment after 40.</w:t>
      </w:r>
    </w:p>
    <w:p w14:paraId="4D977BE8" w14:textId="77777777" w:rsidR="00D81088" w:rsidRPr="000D6D7F" w:rsidRDefault="00D81088" w:rsidP="009F2E8F">
      <w:pPr>
        <w:pStyle w:val="ListParagraph"/>
        <w:numPr>
          <w:ilvl w:val="0"/>
          <w:numId w:val="27"/>
        </w:numPr>
        <w:spacing w:before="240" w:line="360" w:lineRule="auto"/>
        <w:jc w:val="both"/>
        <w:rPr>
          <w:rFonts w:ascii="Arial" w:hAnsi="Arial" w:cs="Arial"/>
          <w:bCs/>
        </w:rPr>
      </w:pPr>
      <w:r w:rsidRPr="000D6D7F">
        <w:rPr>
          <w:rFonts w:ascii="Arial" w:hAnsi="Arial" w:cs="Arial"/>
          <w:b/>
        </w:rPr>
        <w:t>Ethnicity:</w:t>
      </w:r>
      <w:r w:rsidRPr="000D6D7F">
        <w:rPr>
          <w:rFonts w:ascii="Arial" w:hAnsi="Arial" w:cs="Arial"/>
          <w:bCs/>
        </w:rPr>
        <w:t xml:space="preserve"> South Asian, Black African, and Caribbean people are highly vulnerable and develop T2DM earlier.</w:t>
      </w:r>
    </w:p>
    <w:p w14:paraId="47794B06" w14:textId="77777777" w:rsidR="00D81088" w:rsidRPr="000D6D7F" w:rsidRDefault="00D81088" w:rsidP="009F2E8F">
      <w:pPr>
        <w:pStyle w:val="ListParagraph"/>
        <w:numPr>
          <w:ilvl w:val="0"/>
          <w:numId w:val="27"/>
        </w:numPr>
        <w:spacing w:before="240" w:line="360" w:lineRule="auto"/>
        <w:jc w:val="both"/>
        <w:rPr>
          <w:rFonts w:ascii="Arial" w:hAnsi="Arial" w:cs="Arial"/>
          <w:bCs/>
        </w:rPr>
      </w:pPr>
      <w:r w:rsidRPr="000D6D7F">
        <w:rPr>
          <w:rFonts w:ascii="Arial" w:hAnsi="Arial" w:cs="Arial"/>
          <w:b/>
        </w:rPr>
        <w:t>Family History:</w:t>
      </w:r>
      <w:r w:rsidRPr="000D6D7F">
        <w:rPr>
          <w:rFonts w:ascii="Arial" w:hAnsi="Arial" w:cs="Arial"/>
          <w:bCs/>
        </w:rPr>
        <w:t xml:space="preserve"> There is a high likelihood of being susceptible to genetic predisposition (Diabetes UK, 2023).</w:t>
      </w:r>
    </w:p>
    <w:p w14:paraId="133FF38F" w14:textId="77777777" w:rsidR="00D81088" w:rsidRPr="000D6D7F" w:rsidRDefault="00D81088" w:rsidP="00D81088">
      <w:pPr>
        <w:spacing w:before="240" w:line="360" w:lineRule="auto"/>
        <w:jc w:val="both"/>
        <w:rPr>
          <w:rFonts w:ascii="Arial" w:hAnsi="Arial" w:cs="Arial"/>
          <w:b/>
        </w:rPr>
      </w:pPr>
      <w:r w:rsidRPr="000D6D7F">
        <w:rPr>
          <w:rFonts w:ascii="Arial" w:hAnsi="Arial" w:cs="Arial"/>
          <w:b/>
        </w:rPr>
        <w:t>Modifiable Factors:</w:t>
      </w:r>
    </w:p>
    <w:p w14:paraId="176F6847" w14:textId="77777777" w:rsidR="00D81088" w:rsidRPr="000D6D7F" w:rsidRDefault="00D81088" w:rsidP="00E4667F">
      <w:pPr>
        <w:pStyle w:val="ListParagraph"/>
        <w:numPr>
          <w:ilvl w:val="0"/>
          <w:numId w:val="28"/>
        </w:numPr>
        <w:spacing w:before="240" w:line="360" w:lineRule="auto"/>
        <w:jc w:val="both"/>
        <w:rPr>
          <w:rFonts w:ascii="Arial" w:hAnsi="Arial" w:cs="Arial"/>
          <w:bCs/>
        </w:rPr>
      </w:pPr>
      <w:r w:rsidRPr="000D6D7F">
        <w:rPr>
          <w:rFonts w:ascii="Arial" w:hAnsi="Arial" w:cs="Arial"/>
          <w:b/>
        </w:rPr>
        <w:t>Obesity and central adiposity,</w:t>
      </w:r>
      <w:r w:rsidRPr="000D6D7F">
        <w:rPr>
          <w:rFonts w:ascii="Arial" w:hAnsi="Arial" w:cs="Arial"/>
          <w:bCs/>
        </w:rPr>
        <w:t xml:space="preserve"> specifically visceral fat, are modifiable factors to consider.</w:t>
      </w:r>
    </w:p>
    <w:p w14:paraId="28002F88" w14:textId="77777777" w:rsidR="00D81088" w:rsidRPr="000D6D7F" w:rsidRDefault="00D81088" w:rsidP="00E4667F">
      <w:pPr>
        <w:pStyle w:val="ListParagraph"/>
        <w:numPr>
          <w:ilvl w:val="0"/>
          <w:numId w:val="28"/>
        </w:numPr>
        <w:spacing w:before="240" w:line="360" w:lineRule="auto"/>
        <w:jc w:val="both"/>
        <w:rPr>
          <w:rFonts w:ascii="Arial" w:hAnsi="Arial" w:cs="Arial"/>
          <w:bCs/>
        </w:rPr>
      </w:pPr>
      <w:r w:rsidRPr="000D6D7F">
        <w:rPr>
          <w:rFonts w:ascii="Arial" w:hAnsi="Arial" w:cs="Arial"/>
          <w:b/>
        </w:rPr>
        <w:t>Lack of physical activity,</w:t>
      </w:r>
      <w:r w:rsidRPr="000D6D7F">
        <w:rPr>
          <w:rFonts w:ascii="Arial" w:hAnsi="Arial" w:cs="Arial"/>
          <w:bCs/>
        </w:rPr>
        <w:t xml:space="preserve"> especially among those that belong to a certain culture where they do not have many chances to exercise.</w:t>
      </w:r>
    </w:p>
    <w:p w14:paraId="2A2C2FAD" w14:textId="77777777" w:rsidR="00D81088" w:rsidRPr="000D6D7F" w:rsidRDefault="00D81088" w:rsidP="00E4667F">
      <w:pPr>
        <w:pStyle w:val="ListParagraph"/>
        <w:numPr>
          <w:ilvl w:val="0"/>
          <w:numId w:val="28"/>
        </w:numPr>
        <w:spacing w:before="240" w:line="360" w:lineRule="auto"/>
        <w:jc w:val="both"/>
        <w:rPr>
          <w:rFonts w:ascii="Arial" w:hAnsi="Arial" w:cs="Arial"/>
          <w:bCs/>
        </w:rPr>
      </w:pPr>
      <w:r w:rsidRPr="000D6D7F">
        <w:rPr>
          <w:rFonts w:ascii="Arial" w:hAnsi="Arial" w:cs="Arial"/>
          <w:b/>
        </w:rPr>
        <w:t>Inappropriate diet,</w:t>
      </w:r>
      <w:r w:rsidRPr="000D6D7F">
        <w:rPr>
          <w:rFonts w:ascii="Arial" w:hAnsi="Arial" w:cs="Arial"/>
          <w:bCs/>
        </w:rPr>
        <w:t xml:space="preserve"> which is usually rich in refined carbohydrates, sugar and saturated fat.</w:t>
      </w:r>
    </w:p>
    <w:p w14:paraId="7C2DCD52" w14:textId="771E5AD4" w:rsidR="00D81088" w:rsidRPr="000D6D7F" w:rsidRDefault="00D81088" w:rsidP="00D81088">
      <w:pPr>
        <w:spacing w:before="240" w:line="360" w:lineRule="auto"/>
        <w:jc w:val="both"/>
        <w:rPr>
          <w:rFonts w:ascii="Arial" w:hAnsi="Arial" w:cs="Arial"/>
          <w:b/>
        </w:rPr>
      </w:pPr>
      <w:r w:rsidRPr="000D6D7F">
        <w:rPr>
          <w:rFonts w:ascii="Arial" w:hAnsi="Arial" w:cs="Arial"/>
          <w:b/>
        </w:rPr>
        <w:t>Socio-environmental Factors:</w:t>
      </w:r>
    </w:p>
    <w:p w14:paraId="042ABBF4" w14:textId="77777777" w:rsidR="00D81088" w:rsidRPr="000D6D7F" w:rsidRDefault="00D81088" w:rsidP="00D81088">
      <w:pPr>
        <w:spacing w:before="240" w:line="360" w:lineRule="auto"/>
        <w:jc w:val="both"/>
        <w:rPr>
          <w:rFonts w:ascii="Arial" w:hAnsi="Arial" w:cs="Arial"/>
          <w:bCs/>
        </w:rPr>
      </w:pPr>
      <w:r w:rsidRPr="000D6D7F">
        <w:rPr>
          <w:rFonts w:ascii="Arial" w:hAnsi="Arial" w:cs="Arial"/>
          <w:bCs/>
        </w:rPr>
        <w:t>Newham is another borough that is highly deprived in London. Unhealthy food settings, increased stress, a lack of access to green space, and increased exposure to fast-food establishments are linked to deprivation and lead to the increased risk of T2DM (PHE, 2020).</w:t>
      </w:r>
    </w:p>
    <w:p w14:paraId="7679282D" w14:textId="660073AC" w:rsidR="00D81088" w:rsidRPr="000D6D7F" w:rsidRDefault="00D81088" w:rsidP="008915CB">
      <w:pPr>
        <w:pStyle w:val="Heading3"/>
        <w:numPr>
          <w:ilvl w:val="2"/>
          <w:numId w:val="36"/>
        </w:numPr>
      </w:pPr>
      <w:bookmarkStart w:id="15" w:name="_Toc216183952"/>
      <w:r w:rsidRPr="000D6D7F">
        <w:t>Determining the Affected and At-Risk Populations</w:t>
      </w:r>
      <w:r w:rsidR="00A9411A" w:rsidRPr="000D6D7F">
        <w:t>:</w:t>
      </w:r>
      <w:bookmarkEnd w:id="15"/>
    </w:p>
    <w:p w14:paraId="74FD6BFB" w14:textId="340E344A" w:rsidR="00D81088" w:rsidRPr="000D6D7F" w:rsidRDefault="00D81088" w:rsidP="008915CB">
      <w:pPr>
        <w:spacing w:before="240" w:line="360" w:lineRule="auto"/>
        <w:jc w:val="both"/>
        <w:rPr>
          <w:rFonts w:ascii="Arial" w:hAnsi="Arial" w:cs="Arial"/>
          <w:bCs/>
        </w:rPr>
      </w:pPr>
      <w:r w:rsidRPr="000D6D7F">
        <w:rPr>
          <w:rFonts w:ascii="Arial" w:hAnsi="Arial" w:cs="Arial"/>
          <w:bCs/>
        </w:rPr>
        <w:t>It will be necessary to integrate epidemiological studies with a Health Needs Assessment (HNA) to identify the affected and at-risk individuals.</w:t>
      </w:r>
      <w:r w:rsidR="008915CB" w:rsidRPr="000D6D7F">
        <w:rPr>
          <w:rFonts w:ascii="Arial" w:hAnsi="Arial" w:cs="Arial"/>
          <w:bCs/>
        </w:rPr>
        <w:t xml:space="preserve"> </w:t>
      </w:r>
      <w:r w:rsidRPr="000D6D7F">
        <w:rPr>
          <w:rFonts w:ascii="Arial" w:hAnsi="Arial" w:cs="Arial"/>
          <w:bCs/>
        </w:rPr>
        <w:t xml:space="preserve">The Quality and Outcomes Framework </w:t>
      </w:r>
      <w:r w:rsidRPr="000D6D7F">
        <w:rPr>
          <w:rFonts w:ascii="Arial" w:hAnsi="Arial" w:cs="Arial"/>
          <w:bCs/>
        </w:rPr>
        <w:lastRenderedPageBreak/>
        <w:t>(QOF) data on primary care offers an estimate of prevalence and provides the opportunity to map geographically T2DM hotspots.</w:t>
      </w:r>
      <w:r w:rsidR="008915CB" w:rsidRPr="000D6D7F">
        <w:rPr>
          <w:rFonts w:ascii="Arial" w:hAnsi="Arial" w:cs="Arial"/>
          <w:bCs/>
        </w:rPr>
        <w:t xml:space="preserve"> </w:t>
      </w:r>
      <w:r w:rsidRPr="000D6D7F">
        <w:rPr>
          <w:rFonts w:ascii="Arial" w:hAnsi="Arial" w:cs="Arial"/>
          <w:bCs/>
        </w:rPr>
        <w:t>Local cohorts, especially those targeting South Asian and Black groups, can identify incidence patterns and measure the risk from modifiable determinants of obesity and inactivity.</w:t>
      </w:r>
      <w:r w:rsidR="008915CB" w:rsidRPr="000D6D7F">
        <w:rPr>
          <w:rFonts w:ascii="Arial" w:hAnsi="Arial" w:cs="Arial"/>
          <w:bCs/>
        </w:rPr>
        <w:t xml:space="preserve"> </w:t>
      </w:r>
      <w:r w:rsidRPr="000D6D7F">
        <w:rPr>
          <w:rFonts w:ascii="Arial" w:hAnsi="Arial" w:cs="Arial"/>
          <w:bCs/>
        </w:rPr>
        <w:t>A comprehensive HNA involves mixed methods such as analysing admissions, mortality and patient surveys in hospitals. It is also able to present obstacles like language barriers, digital exclusion, cultural misunderstandings, and transport issues, all critical to the creation of the right local provision (NICE, 2024).</w:t>
      </w:r>
    </w:p>
    <w:p w14:paraId="39247C16" w14:textId="134E8FA0" w:rsidR="00D81088" w:rsidRPr="000D6D7F" w:rsidRDefault="00302413" w:rsidP="00302413">
      <w:pPr>
        <w:pStyle w:val="Heading3"/>
      </w:pPr>
      <w:bookmarkStart w:id="16" w:name="_Toc216183953"/>
      <w:r w:rsidRPr="000D6D7F">
        <w:t xml:space="preserve">2.2.4 </w:t>
      </w:r>
      <w:r w:rsidR="00D81088" w:rsidRPr="000D6D7F">
        <w:t>Monitoring Surveillance Incidence</w:t>
      </w:r>
      <w:r w:rsidRPr="000D6D7F">
        <w:t>:</w:t>
      </w:r>
      <w:bookmarkEnd w:id="16"/>
    </w:p>
    <w:p w14:paraId="44F5E034" w14:textId="3109F1E0" w:rsidR="00D81088" w:rsidRPr="000D6D7F" w:rsidRDefault="0048005A" w:rsidP="00D81088">
      <w:pPr>
        <w:spacing w:before="240" w:line="360" w:lineRule="auto"/>
        <w:jc w:val="both"/>
        <w:rPr>
          <w:rFonts w:ascii="Arial" w:hAnsi="Arial" w:cs="Arial"/>
          <w:bCs/>
        </w:rPr>
      </w:pPr>
      <w:r w:rsidRPr="000D6D7F">
        <w:rPr>
          <w:rFonts w:ascii="Arial" w:hAnsi="Arial" w:cs="Arial"/>
          <w:bCs/>
        </w:rPr>
        <w:t>T2DM instances and trends in Newham are monitored using several techniques. Passive surveillance includes mandated reporting, QOF diabetic registers, and practice-level clinical indicators. An active surveillance Community clinics and hospitals investigate new cases. Sentinel surveillance involves selecting GPs to identify and report new cases at an earlier stage. Behaviour Monitoring To monitor smoking, obesity, and exercise, theoretical surveillance uses local lifestyle questionnaires. The combined approaches fully represent both diagnosed and presumably undiagnosed instances.</w:t>
      </w:r>
    </w:p>
    <w:p w14:paraId="27A6FAFE" w14:textId="19B5694E" w:rsidR="00D81088" w:rsidRPr="000D6D7F" w:rsidRDefault="005470C7" w:rsidP="005470C7">
      <w:pPr>
        <w:pStyle w:val="Heading3"/>
      </w:pPr>
      <w:bookmarkStart w:id="17" w:name="_Toc216183954"/>
      <w:r w:rsidRPr="000D6D7F">
        <w:t xml:space="preserve">2.2.5 </w:t>
      </w:r>
      <w:r w:rsidR="00D81088" w:rsidRPr="000D6D7F">
        <w:t xml:space="preserve">Public Health Impact: Short- and </w:t>
      </w:r>
      <w:r w:rsidRPr="000D6D7F">
        <w:t>long-term</w:t>
      </w:r>
      <w:r w:rsidR="00D81088" w:rsidRPr="000D6D7F">
        <w:t xml:space="preserve"> consequences.</w:t>
      </w:r>
      <w:bookmarkEnd w:id="17"/>
    </w:p>
    <w:p w14:paraId="51C90A8C" w14:textId="145A55E1" w:rsidR="00D81088" w:rsidRPr="000D6D7F" w:rsidRDefault="0048005A" w:rsidP="0048005A">
      <w:pPr>
        <w:spacing w:before="240" w:line="360" w:lineRule="auto"/>
        <w:jc w:val="both"/>
        <w:rPr>
          <w:rFonts w:ascii="Arial" w:hAnsi="Arial" w:cs="Arial"/>
          <w:bCs/>
        </w:rPr>
      </w:pPr>
      <w:r w:rsidRPr="000D6D7F">
        <w:rPr>
          <w:rFonts w:ascii="Arial" w:hAnsi="Arial" w:cs="Arial"/>
          <w:bCs/>
        </w:rPr>
        <w:t>Short-term Newham effects high DKA emergency hospital admissions, severe hypoglycaemia, and poorly controlled hyperglycaemia imply misdiagnosis or mismanagement.   These incidents strain NHS services and reveal care gaps (NHS England, 2024).   Long-term T2DM consequences in the UK and internationally include chronic kidney failure, blindness, cardiovascular disease, and lower limb amputations.   IDF (2024) reports 6.7 million diabetes deaths worldwide.   High kidney disease, cardiovascular death, and amputation rates cost Newham money and health.</w:t>
      </w:r>
    </w:p>
    <w:p w14:paraId="28A67008" w14:textId="45521375" w:rsidR="00D81088" w:rsidRPr="000D6D7F" w:rsidRDefault="00B33D7F" w:rsidP="00B33D7F">
      <w:pPr>
        <w:pStyle w:val="Heading3"/>
      </w:pPr>
      <w:bookmarkStart w:id="18" w:name="_Toc216183955"/>
      <w:r w:rsidRPr="000D6D7F">
        <w:t xml:space="preserve">2.2.6 </w:t>
      </w:r>
      <w:r w:rsidR="00D81088" w:rsidRPr="000D6D7F">
        <w:t>Intervention Programme: The Newham T2DM Prevention and Management Hub</w:t>
      </w:r>
      <w:bookmarkEnd w:id="18"/>
    </w:p>
    <w:p w14:paraId="1424AE36" w14:textId="77777777" w:rsidR="00D81088" w:rsidRPr="000D6D7F" w:rsidRDefault="00D81088" w:rsidP="00D81088">
      <w:pPr>
        <w:spacing w:before="240" w:line="360" w:lineRule="auto"/>
        <w:jc w:val="both"/>
        <w:rPr>
          <w:rFonts w:ascii="Arial" w:hAnsi="Arial" w:cs="Arial"/>
          <w:bCs/>
        </w:rPr>
      </w:pPr>
      <w:r w:rsidRPr="000D6D7F">
        <w:rPr>
          <w:rFonts w:ascii="Arial" w:hAnsi="Arial" w:cs="Arial"/>
          <w:bCs/>
        </w:rPr>
        <w:t>Individualised community-based intervention is critical to incidence reduction and better management.</w:t>
      </w:r>
    </w:p>
    <w:p w14:paraId="5E3C1625" w14:textId="61BC8C4D" w:rsidR="00D81088" w:rsidRPr="000D6D7F" w:rsidRDefault="00D81088" w:rsidP="00D81088">
      <w:pPr>
        <w:spacing w:before="240" w:line="360" w:lineRule="auto"/>
        <w:jc w:val="both"/>
        <w:rPr>
          <w:rFonts w:ascii="Arial" w:hAnsi="Arial" w:cs="Arial"/>
          <w:b/>
        </w:rPr>
      </w:pPr>
      <w:r w:rsidRPr="000D6D7F">
        <w:rPr>
          <w:rFonts w:ascii="Arial" w:hAnsi="Arial" w:cs="Arial"/>
          <w:b/>
        </w:rPr>
        <w:t>Programme Goal</w:t>
      </w:r>
      <w:r w:rsidR="0025229D" w:rsidRPr="000D6D7F">
        <w:rPr>
          <w:rFonts w:ascii="Arial" w:hAnsi="Arial" w:cs="Arial"/>
          <w:b/>
        </w:rPr>
        <w:t>:</w:t>
      </w:r>
    </w:p>
    <w:p w14:paraId="422A830D" w14:textId="77777777" w:rsidR="00D81088" w:rsidRPr="000D6D7F" w:rsidRDefault="00D81088" w:rsidP="00D81088">
      <w:pPr>
        <w:spacing w:before="240" w:line="360" w:lineRule="auto"/>
        <w:jc w:val="both"/>
        <w:rPr>
          <w:rFonts w:ascii="Arial" w:hAnsi="Arial" w:cs="Arial"/>
          <w:bCs/>
        </w:rPr>
      </w:pPr>
      <w:r w:rsidRPr="000D6D7F">
        <w:rPr>
          <w:rFonts w:ascii="Arial" w:hAnsi="Arial" w:cs="Arial"/>
          <w:bCs/>
        </w:rPr>
        <w:t>To minimise cases of T2DM and enhance glycaemic control in high-risk ethnic minority populations in Newham.</w:t>
      </w:r>
    </w:p>
    <w:p w14:paraId="5C02602D" w14:textId="77777777" w:rsidR="00386F57" w:rsidRDefault="00386F57" w:rsidP="00D81088">
      <w:pPr>
        <w:spacing w:before="240" w:line="360" w:lineRule="auto"/>
        <w:jc w:val="both"/>
        <w:rPr>
          <w:rFonts w:ascii="Arial" w:hAnsi="Arial" w:cs="Arial"/>
          <w:b/>
        </w:rPr>
      </w:pPr>
    </w:p>
    <w:p w14:paraId="73F25BFE" w14:textId="621508E0" w:rsidR="00D81088" w:rsidRPr="000D6D7F" w:rsidRDefault="00D81088" w:rsidP="00D81088">
      <w:pPr>
        <w:spacing w:before="240" w:line="360" w:lineRule="auto"/>
        <w:jc w:val="both"/>
        <w:rPr>
          <w:rFonts w:ascii="Arial" w:hAnsi="Arial" w:cs="Arial"/>
          <w:b/>
        </w:rPr>
      </w:pPr>
      <w:r w:rsidRPr="000D6D7F">
        <w:rPr>
          <w:rFonts w:ascii="Arial" w:hAnsi="Arial" w:cs="Arial"/>
          <w:b/>
        </w:rPr>
        <w:lastRenderedPageBreak/>
        <w:t>Aspects of the Intervention</w:t>
      </w:r>
      <w:r w:rsidR="0025229D" w:rsidRPr="000D6D7F">
        <w:rPr>
          <w:rFonts w:ascii="Arial" w:hAnsi="Arial" w:cs="Arial"/>
          <w:b/>
        </w:rPr>
        <w:t>:</w:t>
      </w:r>
    </w:p>
    <w:p w14:paraId="60A7A8F2" w14:textId="6368C50E" w:rsidR="00D81088" w:rsidRPr="000D6D7F" w:rsidRDefault="0048005A" w:rsidP="0048005A">
      <w:pPr>
        <w:spacing w:before="240" w:line="360" w:lineRule="auto"/>
        <w:jc w:val="both"/>
        <w:rPr>
          <w:rFonts w:ascii="Arial" w:hAnsi="Arial" w:cs="Arial"/>
          <w:bCs/>
        </w:rPr>
      </w:pPr>
      <w:r w:rsidRPr="000D6D7F">
        <w:rPr>
          <w:rFonts w:ascii="Arial" w:hAnsi="Arial" w:cs="Arial"/>
          <w:bCs/>
        </w:rPr>
        <w:t>A culturally sensitive adapted NDPP can enhance the level of engagement by providing lifestyle education that uses the predominant languages of the community, including Bengali, Urdu, and Gujarati, and the diet plans that include common foods. Offering exercise options in the society, like gender-segregated exercise programmes and low-cost indoor exercises, or even culturally acceptable exercises, can be used to eliminate limiting factors in participation. Also, peer support networks, achieved through employing people with personal experience with Type 2 diabetes, will encourage new patients, assist them in changing behaviour, and help them find their way through NHS services more easily.</w:t>
      </w:r>
    </w:p>
    <w:p w14:paraId="1B093BC9" w14:textId="291B2899" w:rsidR="00D81088" w:rsidRPr="000D6D7F" w:rsidRDefault="002C5512" w:rsidP="00C54A40">
      <w:pPr>
        <w:pStyle w:val="Heading3"/>
      </w:pPr>
      <w:bookmarkStart w:id="19" w:name="_Toc216183956"/>
      <w:r w:rsidRPr="000D6D7F">
        <w:t xml:space="preserve">2.2.7 </w:t>
      </w:r>
      <w:r w:rsidR="00D81088" w:rsidRPr="000D6D7F">
        <w:t>Evaluation of the Programme</w:t>
      </w:r>
      <w:bookmarkEnd w:id="19"/>
    </w:p>
    <w:p w14:paraId="6C2C7B3F" w14:textId="4349EDD7" w:rsidR="00D81088" w:rsidRPr="000D6D7F" w:rsidRDefault="00FE41CD" w:rsidP="00FE41CD">
      <w:pPr>
        <w:spacing w:before="240" w:line="360" w:lineRule="auto"/>
        <w:jc w:val="both"/>
        <w:rPr>
          <w:rFonts w:ascii="Arial" w:hAnsi="Arial" w:cs="Arial"/>
          <w:bCs/>
        </w:rPr>
      </w:pPr>
      <w:r w:rsidRPr="000D6D7F">
        <w:rPr>
          <w:rFonts w:ascii="Arial" w:hAnsi="Arial" w:cs="Arial"/>
          <w:bCs/>
        </w:rPr>
        <w:t>Process evaluation will be aimed at checking the levels of participation, satisfaction, attendance, and general engagement to determine the way in which the intervention is executed and received. The short-term outcomes of HbA1c, weight, physical activity levels, and BMI will be observed through outcome evaluation in which quasi-experimental comparison groups will have been used to determine the early effects. The long-term results will be measured by the trends of new diagnoses and incidences of Type 2 diabetes within the intervention areas versus the control areas in the next five years, which will give an insight into how successful the programme will be in the long term.</w:t>
      </w:r>
    </w:p>
    <w:p w14:paraId="01811561" w14:textId="6D657386" w:rsidR="00D81088" w:rsidRPr="000D6D7F" w:rsidRDefault="004E557D" w:rsidP="004E557D">
      <w:pPr>
        <w:pStyle w:val="Heading3"/>
      </w:pPr>
      <w:bookmarkStart w:id="20" w:name="_Toc216183957"/>
      <w:r w:rsidRPr="000D6D7F">
        <w:t xml:space="preserve">2.2.8 </w:t>
      </w:r>
      <w:r w:rsidR="00D81088" w:rsidRPr="000D6D7F">
        <w:t>Advantages and Disadvantages of the Epidemiological Approach</w:t>
      </w:r>
      <w:r w:rsidRPr="000D6D7F">
        <w:t>:</w:t>
      </w:r>
      <w:bookmarkEnd w:id="20"/>
    </w:p>
    <w:p w14:paraId="3C95F1AE" w14:textId="77777777" w:rsidR="00871A7D" w:rsidRDefault="005C7253" w:rsidP="005C7253">
      <w:pPr>
        <w:spacing w:before="240" w:line="360" w:lineRule="auto"/>
        <w:jc w:val="both"/>
        <w:rPr>
          <w:rFonts w:ascii="Arial" w:hAnsi="Arial" w:cs="Arial"/>
          <w:bCs/>
        </w:rPr>
      </w:pPr>
      <w:r w:rsidRPr="005C7253">
        <w:rPr>
          <w:rFonts w:ascii="Arial" w:hAnsi="Arial" w:cs="Arial"/>
          <w:bCs/>
        </w:rPr>
        <w:t>Some of the strengths of the approach include good data sources, such as QOF that are good in quality and collect prevalence data often. Also, the interventions are carefully planned based on epidemiological information and, thus, allow focusing on the high-risk groups and improve cultural acceptability and cost-effectiveness. Nevertheless, it is also important to admit the flaws. The underdiagnosis issue continues to exist since the surveillance systems do not capture the fact of undiagnosed cases and therefore underestimate prevalence. The observational data might contain confounding variables as well, so it will be difficult to identify the effect of the socio-economic, genetic, and lifestyle factors. Besides, the self-reported behaviour implies that it can be biased, as inaccurate recall and social desirability can influence the accuracy of the information</w:t>
      </w:r>
      <w:r w:rsidR="00D81088" w:rsidRPr="000D6D7F">
        <w:rPr>
          <w:rFonts w:ascii="Arial" w:hAnsi="Arial" w:cs="Arial"/>
          <w:bCs/>
        </w:rPr>
        <w:t>.</w:t>
      </w:r>
    </w:p>
    <w:p w14:paraId="55607009" w14:textId="77777777" w:rsidR="00401685" w:rsidRDefault="00401685">
      <w:pPr>
        <w:spacing w:after="160" w:line="278" w:lineRule="auto"/>
        <w:rPr>
          <w:rFonts w:ascii="Arial" w:hAnsi="Arial" w:cs="Arial"/>
          <w:bCs/>
        </w:rPr>
      </w:pPr>
      <w:r>
        <w:rPr>
          <w:rFonts w:ascii="Arial" w:hAnsi="Arial" w:cs="Arial"/>
          <w:bCs/>
        </w:rPr>
        <w:br w:type="page"/>
      </w:r>
    </w:p>
    <w:p w14:paraId="4773979C" w14:textId="230D6ECD" w:rsidR="00401685" w:rsidRDefault="00871A7D" w:rsidP="00D15FF4">
      <w:pPr>
        <w:pStyle w:val="Heading2"/>
      </w:pPr>
      <w:bookmarkStart w:id="21" w:name="_Toc216183958"/>
      <w:r>
        <w:lastRenderedPageBreak/>
        <w:t>2.3 Conclusion</w:t>
      </w:r>
      <w:r w:rsidR="00401685">
        <w:t>:</w:t>
      </w:r>
      <w:bookmarkEnd w:id="21"/>
    </w:p>
    <w:p w14:paraId="10385C31" w14:textId="4F2394B9" w:rsidR="00982FC7" w:rsidRPr="00401685" w:rsidRDefault="00401685" w:rsidP="005C7253">
      <w:pPr>
        <w:spacing w:before="240" w:line="360" w:lineRule="auto"/>
        <w:jc w:val="both"/>
        <w:rPr>
          <w:rFonts w:ascii="Arial" w:hAnsi="Arial" w:cs="Arial"/>
          <w:lang w:val="en-US"/>
        </w:rPr>
      </w:pPr>
      <w:r w:rsidRPr="00401685">
        <w:rPr>
          <w:rFonts w:ascii="Arial" w:hAnsi="Arial" w:cs="Arial"/>
          <w:lang w:val="en-US"/>
        </w:rPr>
        <w:t xml:space="preserve">T2DM is a key public health issue in Newham because it is very common, it is closely associated with deprivation, and minority ethnic groups are over-represented. The epidemiological analysis indicates the significance of culturally specific prevention, early diagnosis, and further effective control. Through a combination of surveillance data, targeted interventions, and community-based solutions, Newham will be able to deal with major risk factors and </w:t>
      </w:r>
      <w:proofErr w:type="spellStart"/>
      <w:r w:rsidRPr="00401685">
        <w:rPr>
          <w:rFonts w:ascii="Arial" w:hAnsi="Arial" w:cs="Arial"/>
          <w:lang w:val="en-US"/>
        </w:rPr>
        <w:t>minimise</w:t>
      </w:r>
      <w:proofErr w:type="spellEnd"/>
      <w:r w:rsidRPr="00401685">
        <w:rPr>
          <w:rFonts w:ascii="Arial" w:hAnsi="Arial" w:cs="Arial"/>
          <w:lang w:val="en-US"/>
        </w:rPr>
        <w:t xml:space="preserve"> inequalities. A culturally modified NDPP and enhanced primary care provision provide excellent opportunities to enhance the outcomes and reduce the risk of disease burden in the future.</w:t>
      </w:r>
      <w:r w:rsidR="00982FC7" w:rsidRPr="000D6D7F">
        <w:rPr>
          <w:rFonts w:ascii="Arial" w:hAnsi="Arial" w:cs="Arial"/>
        </w:rPr>
        <w:br w:type="page"/>
      </w:r>
    </w:p>
    <w:p w14:paraId="5D35721B" w14:textId="77777777" w:rsidR="00982FC7" w:rsidRPr="000D6D7F" w:rsidRDefault="00982FC7" w:rsidP="000D6D7F">
      <w:pPr>
        <w:pStyle w:val="Heading1"/>
      </w:pPr>
      <w:bookmarkStart w:id="22" w:name="_Toc216183959"/>
      <w:r w:rsidRPr="000D6D7F">
        <w:lastRenderedPageBreak/>
        <w:t>Reference</w:t>
      </w:r>
      <w:bookmarkEnd w:id="22"/>
    </w:p>
    <w:p w14:paraId="6527285A" w14:textId="77777777" w:rsidR="00652956" w:rsidRPr="00652956" w:rsidRDefault="00652956" w:rsidP="00C12DCE">
      <w:pPr>
        <w:pStyle w:val="NormalWeb"/>
        <w:spacing w:line="360" w:lineRule="auto"/>
        <w:rPr>
          <w:rFonts w:ascii="Arial" w:hAnsi="Arial" w:cs="Arial"/>
          <w:sz w:val="22"/>
          <w:szCs w:val="22"/>
          <w:lang w:val="en-US"/>
        </w:rPr>
      </w:pPr>
      <w:r w:rsidRPr="00652956">
        <w:rPr>
          <w:rFonts w:ascii="Arial" w:hAnsi="Arial" w:cs="Arial"/>
          <w:sz w:val="22"/>
          <w:szCs w:val="22"/>
          <w:lang w:val="en-US"/>
        </w:rPr>
        <w:t xml:space="preserve">Age UK (2025) </w:t>
      </w:r>
      <w:r w:rsidRPr="00652956">
        <w:rPr>
          <w:rFonts w:ascii="Arial" w:hAnsi="Arial" w:cs="Arial"/>
          <w:i/>
          <w:iCs/>
          <w:sz w:val="22"/>
          <w:szCs w:val="22"/>
          <w:lang w:val="en-US"/>
        </w:rPr>
        <w:t>The State of Health and Care of Older People in England 2025</w:t>
      </w:r>
      <w:r w:rsidRPr="00652956">
        <w:rPr>
          <w:rFonts w:ascii="Arial" w:hAnsi="Arial" w:cs="Arial"/>
          <w:sz w:val="22"/>
          <w:szCs w:val="22"/>
          <w:lang w:val="en-US"/>
        </w:rPr>
        <w:t xml:space="preserve">. Available at: </w:t>
      </w:r>
      <w:hyperlink r:id="rId12" w:tgtFrame="_blank" w:history="1">
        <w:r w:rsidRPr="00652956">
          <w:rPr>
            <w:rStyle w:val="Hyperlink"/>
            <w:rFonts w:ascii="Arial" w:hAnsi="Arial" w:cs="Arial"/>
            <w:sz w:val="22"/>
            <w:szCs w:val="22"/>
            <w:lang w:val="en-US"/>
          </w:rPr>
          <w:t>https://www.ageuk.org.uk/siteassets/documents/reports-and-publications/reports-and-briefings/health--wellbeing/state-of-health-and-care/state-of-health-care-of-older-people-in-england-2025.pdf</w:t>
        </w:r>
      </w:hyperlink>
      <w:r w:rsidRPr="00652956">
        <w:rPr>
          <w:rFonts w:ascii="Arial" w:hAnsi="Arial" w:cs="Arial"/>
          <w:sz w:val="22"/>
          <w:szCs w:val="22"/>
          <w:lang w:val="en-US"/>
        </w:rPr>
        <w:t xml:space="preserve"> (Accessed: 2 December 2025).</w:t>
      </w:r>
    </w:p>
    <w:p w14:paraId="2A43E069" w14:textId="77777777" w:rsidR="00652956" w:rsidRPr="00652956" w:rsidRDefault="00652956" w:rsidP="00C12DCE">
      <w:pPr>
        <w:pStyle w:val="NormalWeb"/>
        <w:spacing w:line="360" w:lineRule="auto"/>
        <w:rPr>
          <w:rFonts w:ascii="Arial" w:hAnsi="Arial" w:cs="Arial"/>
          <w:sz w:val="22"/>
          <w:szCs w:val="22"/>
          <w:lang w:val="en-US"/>
        </w:rPr>
      </w:pPr>
      <w:r w:rsidRPr="00652956">
        <w:rPr>
          <w:rFonts w:ascii="Arial" w:hAnsi="Arial" w:cs="Arial"/>
          <w:sz w:val="22"/>
          <w:szCs w:val="22"/>
          <w:lang w:val="en-US"/>
        </w:rPr>
        <w:t xml:space="preserve">Ageing Better (2025) </w:t>
      </w:r>
      <w:r w:rsidRPr="00652956">
        <w:rPr>
          <w:rFonts w:ascii="Arial" w:hAnsi="Arial" w:cs="Arial"/>
          <w:i/>
          <w:iCs/>
          <w:sz w:val="22"/>
          <w:szCs w:val="22"/>
          <w:lang w:val="en-US"/>
        </w:rPr>
        <w:t>Health and wellbeing | The State of Ageing 2025</w:t>
      </w:r>
      <w:r w:rsidRPr="00652956">
        <w:rPr>
          <w:rFonts w:ascii="Arial" w:hAnsi="Arial" w:cs="Arial"/>
          <w:sz w:val="22"/>
          <w:szCs w:val="22"/>
          <w:lang w:val="en-US"/>
        </w:rPr>
        <w:t xml:space="preserve">. Available at: </w:t>
      </w:r>
      <w:hyperlink r:id="rId13" w:tgtFrame="_blank" w:history="1">
        <w:r w:rsidRPr="00652956">
          <w:rPr>
            <w:rStyle w:val="Hyperlink"/>
            <w:rFonts w:ascii="Arial" w:hAnsi="Arial" w:cs="Arial"/>
            <w:sz w:val="22"/>
            <w:szCs w:val="22"/>
            <w:lang w:val="en-US"/>
          </w:rPr>
          <w:t>https://ageing-better.org.uk/state-ageing-2025</w:t>
        </w:r>
      </w:hyperlink>
      <w:r w:rsidRPr="00652956">
        <w:rPr>
          <w:rFonts w:ascii="Arial" w:hAnsi="Arial" w:cs="Arial"/>
          <w:sz w:val="22"/>
          <w:szCs w:val="22"/>
          <w:lang w:val="en-US"/>
        </w:rPr>
        <w:t xml:space="preserve"> (Accessed: 2 December 2025).</w:t>
      </w:r>
    </w:p>
    <w:p w14:paraId="0904F337" w14:textId="77777777" w:rsidR="00652956" w:rsidRPr="00652956" w:rsidRDefault="00652956" w:rsidP="00C12DCE">
      <w:pPr>
        <w:pStyle w:val="NormalWeb"/>
        <w:spacing w:line="360" w:lineRule="auto"/>
        <w:rPr>
          <w:rFonts w:ascii="Arial" w:hAnsi="Arial" w:cs="Arial"/>
          <w:sz w:val="22"/>
          <w:szCs w:val="22"/>
          <w:lang w:val="en-US"/>
        </w:rPr>
      </w:pPr>
      <w:r w:rsidRPr="00652956">
        <w:rPr>
          <w:rFonts w:ascii="Arial" w:hAnsi="Arial" w:cs="Arial"/>
          <w:sz w:val="22"/>
          <w:szCs w:val="22"/>
          <w:lang w:val="en-US"/>
        </w:rPr>
        <w:t xml:space="preserve">Centre for Ageing Better (2025) </w:t>
      </w:r>
      <w:r w:rsidRPr="00652956">
        <w:rPr>
          <w:rFonts w:ascii="Arial" w:hAnsi="Arial" w:cs="Arial"/>
          <w:i/>
          <w:iCs/>
          <w:sz w:val="22"/>
          <w:szCs w:val="22"/>
          <w:lang w:val="en-US"/>
        </w:rPr>
        <w:t>Our Ageing Population | The State of Ageing 2025</w:t>
      </w:r>
      <w:r w:rsidRPr="00652956">
        <w:rPr>
          <w:rFonts w:ascii="Arial" w:hAnsi="Arial" w:cs="Arial"/>
          <w:sz w:val="22"/>
          <w:szCs w:val="22"/>
          <w:lang w:val="en-US"/>
        </w:rPr>
        <w:t xml:space="preserve">. Available at: </w:t>
      </w:r>
      <w:hyperlink r:id="rId14" w:tgtFrame="_blank" w:history="1">
        <w:r w:rsidRPr="00652956">
          <w:rPr>
            <w:rStyle w:val="Hyperlink"/>
            <w:rFonts w:ascii="Arial" w:hAnsi="Arial" w:cs="Arial"/>
            <w:sz w:val="22"/>
            <w:szCs w:val="22"/>
            <w:lang w:val="en-US"/>
          </w:rPr>
          <w:t>https://ageing-better.org.uk/state-ageing-2025</w:t>
        </w:r>
      </w:hyperlink>
      <w:r w:rsidRPr="00652956">
        <w:rPr>
          <w:rFonts w:ascii="Arial" w:hAnsi="Arial" w:cs="Arial"/>
          <w:sz w:val="22"/>
          <w:szCs w:val="22"/>
          <w:lang w:val="en-US"/>
        </w:rPr>
        <w:t xml:space="preserve"> (Accessed: 2 December 2025).</w:t>
      </w:r>
    </w:p>
    <w:p w14:paraId="1DF33B02" w14:textId="77777777" w:rsidR="00652956" w:rsidRPr="00652956" w:rsidRDefault="00652956" w:rsidP="00C12DCE">
      <w:pPr>
        <w:pStyle w:val="NormalWeb"/>
        <w:spacing w:line="360" w:lineRule="auto"/>
        <w:rPr>
          <w:rFonts w:ascii="Arial" w:hAnsi="Arial" w:cs="Arial"/>
          <w:sz w:val="22"/>
          <w:szCs w:val="22"/>
          <w:lang w:val="en-US"/>
        </w:rPr>
      </w:pPr>
      <w:r w:rsidRPr="00652956">
        <w:rPr>
          <w:rFonts w:ascii="Arial" w:hAnsi="Arial" w:cs="Arial"/>
          <w:sz w:val="22"/>
          <w:szCs w:val="22"/>
          <w:lang w:val="en-US"/>
        </w:rPr>
        <w:t xml:space="preserve">NHS England (2024) </w:t>
      </w:r>
      <w:r w:rsidRPr="00652956">
        <w:rPr>
          <w:rFonts w:ascii="Arial" w:hAnsi="Arial" w:cs="Arial"/>
          <w:i/>
          <w:iCs/>
          <w:sz w:val="22"/>
          <w:szCs w:val="22"/>
          <w:lang w:val="en-US"/>
        </w:rPr>
        <w:t>Improving care for older people</w:t>
      </w:r>
      <w:r w:rsidRPr="00652956">
        <w:rPr>
          <w:rFonts w:ascii="Arial" w:hAnsi="Arial" w:cs="Arial"/>
          <w:sz w:val="22"/>
          <w:szCs w:val="22"/>
          <w:lang w:val="en-US"/>
        </w:rPr>
        <w:t xml:space="preserve">. Available at: </w:t>
      </w:r>
      <w:hyperlink r:id="rId15" w:tgtFrame="_blank" w:history="1">
        <w:r w:rsidRPr="00652956">
          <w:rPr>
            <w:rStyle w:val="Hyperlink"/>
            <w:rFonts w:ascii="Arial" w:hAnsi="Arial" w:cs="Arial"/>
            <w:sz w:val="22"/>
            <w:szCs w:val="22"/>
            <w:lang w:val="en-US"/>
          </w:rPr>
          <w:t>https://www.england.nhs.uk/ourwork/clinical-policy/older-people/improving-care-for-older-people/</w:t>
        </w:r>
      </w:hyperlink>
      <w:r w:rsidRPr="00652956">
        <w:rPr>
          <w:rFonts w:ascii="Arial" w:hAnsi="Arial" w:cs="Arial"/>
          <w:sz w:val="22"/>
          <w:szCs w:val="22"/>
          <w:lang w:val="en-US"/>
        </w:rPr>
        <w:t xml:space="preserve"> (Accessed: 2 December 2025).</w:t>
      </w:r>
    </w:p>
    <w:p w14:paraId="172B6DC8" w14:textId="77777777" w:rsidR="00652956" w:rsidRPr="00652956" w:rsidRDefault="00652956" w:rsidP="00C12DCE">
      <w:pPr>
        <w:pStyle w:val="NormalWeb"/>
        <w:spacing w:line="360" w:lineRule="auto"/>
        <w:rPr>
          <w:rFonts w:ascii="Arial" w:hAnsi="Arial" w:cs="Arial"/>
          <w:sz w:val="22"/>
          <w:szCs w:val="22"/>
          <w:lang w:val="en-US"/>
        </w:rPr>
      </w:pPr>
      <w:r w:rsidRPr="00652956">
        <w:rPr>
          <w:rFonts w:ascii="Arial" w:hAnsi="Arial" w:cs="Arial"/>
          <w:sz w:val="22"/>
          <w:szCs w:val="22"/>
          <w:lang w:val="en-US"/>
        </w:rPr>
        <w:t xml:space="preserve">Office for National Statistics (ONS) (2024) </w:t>
      </w:r>
      <w:r w:rsidRPr="00652956">
        <w:rPr>
          <w:rFonts w:ascii="Arial" w:hAnsi="Arial" w:cs="Arial"/>
          <w:i/>
          <w:iCs/>
          <w:sz w:val="22"/>
          <w:szCs w:val="22"/>
          <w:lang w:val="en-US"/>
        </w:rPr>
        <w:t>Health inequalities</w:t>
      </w:r>
      <w:r w:rsidRPr="00652956">
        <w:rPr>
          <w:rFonts w:ascii="Arial" w:hAnsi="Arial" w:cs="Arial"/>
          <w:sz w:val="22"/>
          <w:szCs w:val="22"/>
          <w:lang w:val="en-US"/>
        </w:rPr>
        <w:t xml:space="preserve">. Available at: </w:t>
      </w:r>
      <w:hyperlink r:id="rId16" w:tgtFrame="_blank" w:history="1">
        <w:r w:rsidRPr="00652956">
          <w:rPr>
            <w:rStyle w:val="Hyperlink"/>
            <w:rFonts w:ascii="Arial" w:hAnsi="Arial" w:cs="Arial"/>
            <w:sz w:val="22"/>
            <w:szCs w:val="22"/>
            <w:lang w:val="en-US"/>
          </w:rPr>
          <w:t>https://www.ons.gov.uk/peoplepopulationandcommunity/healthandsocialcare/healthinequalities</w:t>
        </w:r>
      </w:hyperlink>
      <w:r w:rsidRPr="00652956">
        <w:rPr>
          <w:rFonts w:ascii="Arial" w:hAnsi="Arial" w:cs="Arial"/>
          <w:sz w:val="22"/>
          <w:szCs w:val="22"/>
          <w:lang w:val="en-US"/>
        </w:rPr>
        <w:t xml:space="preserve"> (Accessed: 2 December 2025).</w:t>
      </w:r>
    </w:p>
    <w:p w14:paraId="781F5204" w14:textId="77777777" w:rsidR="00652956" w:rsidRPr="00652956" w:rsidRDefault="00652956" w:rsidP="00C12DCE">
      <w:pPr>
        <w:pStyle w:val="NormalWeb"/>
        <w:spacing w:line="360" w:lineRule="auto"/>
        <w:rPr>
          <w:rFonts w:ascii="Arial" w:hAnsi="Arial" w:cs="Arial"/>
          <w:sz w:val="22"/>
          <w:szCs w:val="22"/>
          <w:lang w:val="en-US"/>
        </w:rPr>
      </w:pPr>
      <w:r w:rsidRPr="00652956">
        <w:rPr>
          <w:rFonts w:ascii="Arial" w:hAnsi="Arial" w:cs="Arial"/>
          <w:sz w:val="22"/>
          <w:szCs w:val="22"/>
          <w:lang w:val="en-US"/>
        </w:rPr>
        <w:t xml:space="preserve">Office for National Statistics (ONS) (2025) </w:t>
      </w:r>
      <w:r w:rsidRPr="00652956">
        <w:rPr>
          <w:rFonts w:ascii="Arial" w:hAnsi="Arial" w:cs="Arial"/>
          <w:i/>
          <w:iCs/>
          <w:sz w:val="22"/>
          <w:szCs w:val="22"/>
          <w:lang w:val="en-US"/>
        </w:rPr>
        <w:t>Public opinions and social trends, Great Britain: January 2025</w:t>
      </w:r>
      <w:r w:rsidRPr="00652956">
        <w:rPr>
          <w:rFonts w:ascii="Arial" w:hAnsi="Arial" w:cs="Arial"/>
          <w:sz w:val="22"/>
          <w:szCs w:val="22"/>
          <w:lang w:val="en-US"/>
        </w:rPr>
        <w:t xml:space="preserve">. Available at: </w:t>
      </w:r>
      <w:hyperlink r:id="rId17" w:tgtFrame="_blank" w:history="1">
        <w:r w:rsidRPr="00652956">
          <w:rPr>
            <w:rStyle w:val="Hyperlink"/>
            <w:rFonts w:ascii="Arial" w:hAnsi="Arial" w:cs="Arial"/>
            <w:sz w:val="22"/>
            <w:szCs w:val="22"/>
            <w:lang w:val="en-US"/>
          </w:rPr>
          <w:t>https://www.gov.uk/government/statistics/public-opinions-and-social-trends-great-britain-january-2025</w:t>
        </w:r>
      </w:hyperlink>
      <w:r w:rsidRPr="00652956">
        <w:rPr>
          <w:rFonts w:ascii="Arial" w:hAnsi="Arial" w:cs="Arial"/>
          <w:sz w:val="22"/>
          <w:szCs w:val="22"/>
          <w:lang w:val="en-US"/>
        </w:rPr>
        <w:t xml:space="preserve"> (Accessed: 2 December 2025).</w:t>
      </w:r>
    </w:p>
    <w:p w14:paraId="649A64C7" w14:textId="77777777" w:rsidR="00652956" w:rsidRPr="00652956" w:rsidRDefault="00652956" w:rsidP="00C12DCE">
      <w:pPr>
        <w:pStyle w:val="NormalWeb"/>
        <w:spacing w:line="360" w:lineRule="auto"/>
        <w:rPr>
          <w:rFonts w:ascii="Arial" w:hAnsi="Arial" w:cs="Arial"/>
          <w:sz w:val="22"/>
          <w:szCs w:val="22"/>
          <w:lang w:val="en-US"/>
        </w:rPr>
      </w:pPr>
      <w:r w:rsidRPr="00652956">
        <w:rPr>
          <w:rFonts w:ascii="Arial" w:hAnsi="Arial" w:cs="Arial"/>
          <w:sz w:val="22"/>
          <w:szCs w:val="22"/>
          <w:lang w:val="en-US"/>
        </w:rPr>
        <w:t xml:space="preserve">Public Health England (PHE) (2020) </w:t>
      </w:r>
      <w:r w:rsidRPr="00652956">
        <w:rPr>
          <w:rFonts w:ascii="Arial" w:hAnsi="Arial" w:cs="Arial"/>
          <w:i/>
          <w:iCs/>
          <w:sz w:val="22"/>
          <w:szCs w:val="22"/>
          <w:lang w:val="en-US"/>
        </w:rPr>
        <w:t>PHE Strategy 2020-25</w:t>
      </w:r>
      <w:r w:rsidRPr="00652956">
        <w:rPr>
          <w:rFonts w:ascii="Arial" w:hAnsi="Arial" w:cs="Arial"/>
          <w:sz w:val="22"/>
          <w:szCs w:val="22"/>
          <w:lang w:val="en-US"/>
        </w:rPr>
        <w:t xml:space="preserve">. Available at: </w:t>
      </w:r>
      <w:hyperlink r:id="rId18" w:tgtFrame="_blank" w:history="1">
        <w:r w:rsidRPr="00652956">
          <w:rPr>
            <w:rStyle w:val="Hyperlink"/>
            <w:rFonts w:ascii="Arial" w:hAnsi="Arial" w:cs="Arial"/>
            <w:sz w:val="22"/>
            <w:szCs w:val="22"/>
            <w:lang w:val="en-US"/>
          </w:rPr>
          <w:t>https://assets.publishing.service.gov.uk/media/5d762843ed915d08f4c6b8b5/PHE_Strategy__2020-25__Executive_Summary.pdf</w:t>
        </w:r>
      </w:hyperlink>
      <w:r w:rsidRPr="00652956">
        <w:rPr>
          <w:rFonts w:ascii="Arial" w:hAnsi="Arial" w:cs="Arial"/>
          <w:sz w:val="22"/>
          <w:szCs w:val="22"/>
          <w:lang w:val="en-US"/>
        </w:rPr>
        <w:t xml:space="preserve"> (Accessed: 2 December 2025).</w:t>
      </w:r>
    </w:p>
    <w:p w14:paraId="121913EB" w14:textId="77777777" w:rsidR="00652956" w:rsidRPr="00652956" w:rsidRDefault="00652956" w:rsidP="00C12DCE">
      <w:pPr>
        <w:pStyle w:val="NormalWeb"/>
        <w:spacing w:line="360" w:lineRule="auto"/>
        <w:rPr>
          <w:rFonts w:ascii="Arial" w:hAnsi="Arial" w:cs="Arial"/>
          <w:sz w:val="22"/>
          <w:szCs w:val="22"/>
          <w:lang w:val="en-US"/>
        </w:rPr>
      </w:pPr>
      <w:r w:rsidRPr="00652956">
        <w:rPr>
          <w:rFonts w:ascii="Arial" w:hAnsi="Arial" w:cs="Arial"/>
          <w:sz w:val="22"/>
          <w:szCs w:val="22"/>
          <w:lang w:val="en-US"/>
        </w:rPr>
        <w:t xml:space="preserve">POST Parliament (2025) </w:t>
      </w:r>
      <w:r w:rsidRPr="00652956">
        <w:rPr>
          <w:rFonts w:ascii="Arial" w:hAnsi="Arial" w:cs="Arial"/>
          <w:i/>
          <w:iCs/>
          <w:sz w:val="22"/>
          <w:szCs w:val="22"/>
          <w:lang w:val="en-US"/>
        </w:rPr>
        <w:t>Public health: inequalities and prevention</w:t>
      </w:r>
      <w:r w:rsidRPr="00652956">
        <w:rPr>
          <w:rFonts w:ascii="Arial" w:hAnsi="Arial" w:cs="Arial"/>
          <w:sz w:val="22"/>
          <w:szCs w:val="22"/>
          <w:lang w:val="en-US"/>
        </w:rPr>
        <w:t xml:space="preserve">. Available at: </w:t>
      </w:r>
      <w:hyperlink r:id="rId19" w:tgtFrame="_blank" w:history="1">
        <w:r w:rsidRPr="00652956">
          <w:rPr>
            <w:rStyle w:val="Hyperlink"/>
            <w:rFonts w:ascii="Arial" w:hAnsi="Arial" w:cs="Arial"/>
            <w:sz w:val="22"/>
            <w:szCs w:val="22"/>
            <w:lang w:val="en-US"/>
          </w:rPr>
          <w:t>https://www.gov.uk/government/publications/health-inequalities-in-health-protection-report/health-inequalities-in-health-protection-report-2025</w:t>
        </w:r>
      </w:hyperlink>
      <w:r w:rsidRPr="00652956">
        <w:rPr>
          <w:rFonts w:ascii="Arial" w:hAnsi="Arial" w:cs="Arial"/>
          <w:sz w:val="22"/>
          <w:szCs w:val="22"/>
          <w:lang w:val="en-US"/>
        </w:rPr>
        <w:t xml:space="preserve"> (Accessed: 2 December 2025).</w:t>
      </w:r>
    </w:p>
    <w:p w14:paraId="671DC7E1" w14:textId="77777777" w:rsidR="00652956" w:rsidRPr="00652956" w:rsidRDefault="00652956" w:rsidP="00C12DCE">
      <w:pPr>
        <w:pStyle w:val="NormalWeb"/>
        <w:spacing w:line="360" w:lineRule="auto"/>
        <w:rPr>
          <w:rFonts w:ascii="Arial" w:hAnsi="Arial" w:cs="Arial"/>
          <w:sz w:val="22"/>
          <w:szCs w:val="22"/>
          <w:lang w:val="en-US"/>
        </w:rPr>
      </w:pPr>
      <w:r w:rsidRPr="00652956">
        <w:rPr>
          <w:rFonts w:ascii="Arial" w:hAnsi="Arial" w:cs="Arial"/>
          <w:sz w:val="22"/>
          <w:szCs w:val="22"/>
          <w:lang w:val="en-US"/>
        </w:rPr>
        <w:t xml:space="preserve">Aveyard, H. (2020) </w:t>
      </w:r>
      <w:r w:rsidRPr="00652956">
        <w:rPr>
          <w:rFonts w:ascii="Arial" w:hAnsi="Arial" w:cs="Arial"/>
          <w:i/>
          <w:iCs/>
          <w:sz w:val="22"/>
          <w:szCs w:val="22"/>
          <w:lang w:val="en-US"/>
        </w:rPr>
        <w:t>Doing a Literature Review in Health and Social Care: A Practical Guide</w:t>
      </w:r>
      <w:r w:rsidRPr="00652956">
        <w:rPr>
          <w:rFonts w:ascii="Arial" w:hAnsi="Arial" w:cs="Arial"/>
          <w:sz w:val="22"/>
          <w:szCs w:val="22"/>
          <w:lang w:val="en-US"/>
        </w:rPr>
        <w:t xml:space="preserve">. 5th </w:t>
      </w:r>
      <w:proofErr w:type="spellStart"/>
      <w:r w:rsidRPr="00652956">
        <w:rPr>
          <w:rFonts w:ascii="Arial" w:hAnsi="Arial" w:cs="Arial"/>
          <w:sz w:val="22"/>
          <w:szCs w:val="22"/>
          <w:lang w:val="en-US"/>
        </w:rPr>
        <w:t>edn</w:t>
      </w:r>
      <w:proofErr w:type="spellEnd"/>
      <w:r w:rsidRPr="00652956">
        <w:rPr>
          <w:rFonts w:ascii="Arial" w:hAnsi="Arial" w:cs="Arial"/>
          <w:sz w:val="22"/>
          <w:szCs w:val="22"/>
          <w:lang w:val="en-US"/>
        </w:rPr>
        <w:t>. London: Open University Press.</w:t>
      </w:r>
    </w:p>
    <w:p w14:paraId="537D81CB" w14:textId="77777777" w:rsidR="00652956" w:rsidRPr="00652956" w:rsidRDefault="00652956" w:rsidP="00C12DCE">
      <w:pPr>
        <w:pStyle w:val="NormalWeb"/>
        <w:spacing w:line="360" w:lineRule="auto"/>
        <w:rPr>
          <w:rFonts w:ascii="Arial" w:hAnsi="Arial" w:cs="Arial"/>
          <w:sz w:val="22"/>
          <w:szCs w:val="22"/>
          <w:lang w:val="en-US"/>
        </w:rPr>
      </w:pPr>
      <w:r w:rsidRPr="00652956">
        <w:rPr>
          <w:rFonts w:ascii="Arial" w:hAnsi="Arial" w:cs="Arial"/>
          <w:sz w:val="22"/>
          <w:szCs w:val="22"/>
          <w:lang w:val="en-US"/>
        </w:rPr>
        <w:t xml:space="preserve">Diabetes UK (2023) </w:t>
      </w:r>
      <w:r w:rsidRPr="00652956">
        <w:rPr>
          <w:rFonts w:ascii="Arial" w:hAnsi="Arial" w:cs="Arial"/>
          <w:i/>
          <w:iCs/>
          <w:sz w:val="22"/>
          <w:szCs w:val="22"/>
          <w:lang w:val="en-US"/>
        </w:rPr>
        <w:t>Diabetes Facts and Figures</w:t>
      </w:r>
      <w:r w:rsidRPr="00652956">
        <w:rPr>
          <w:rFonts w:ascii="Arial" w:hAnsi="Arial" w:cs="Arial"/>
          <w:sz w:val="22"/>
          <w:szCs w:val="22"/>
          <w:lang w:val="en-US"/>
        </w:rPr>
        <w:t xml:space="preserve">. Available at: </w:t>
      </w:r>
      <w:hyperlink r:id="rId20" w:tgtFrame="_blank" w:history="1">
        <w:r w:rsidRPr="00652956">
          <w:rPr>
            <w:rStyle w:val="Hyperlink"/>
            <w:rFonts w:ascii="Arial" w:hAnsi="Arial" w:cs="Arial"/>
            <w:sz w:val="22"/>
            <w:szCs w:val="22"/>
            <w:lang w:val="en-US"/>
          </w:rPr>
          <w:t>https://www.diabetes.org.uk/about-us/about-the-charity/our-strategy/statistics</w:t>
        </w:r>
      </w:hyperlink>
      <w:r w:rsidRPr="00652956">
        <w:rPr>
          <w:rFonts w:ascii="Arial" w:hAnsi="Arial" w:cs="Arial"/>
          <w:sz w:val="22"/>
          <w:szCs w:val="22"/>
          <w:lang w:val="en-US"/>
        </w:rPr>
        <w:t xml:space="preserve"> (Accessed: 3 December 2025).</w:t>
      </w:r>
    </w:p>
    <w:p w14:paraId="10E931E0" w14:textId="77777777" w:rsidR="00652956" w:rsidRPr="00652956" w:rsidRDefault="00652956" w:rsidP="00C12DCE">
      <w:pPr>
        <w:pStyle w:val="NormalWeb"/>
        <w:spacing w:line="360" w:lineRule="auto"/>
        <w:rPr>
          <w:rFonts w:ascii="Arial" w:hAnsi="Arial" w:cs="Arial"/>
          <w:sz w:val="22"/>
          <w:szCs w:val="22"/>
          <w:lang w:val="en-US"/>
        </w:rPr>
      </w:pPr>
      <w:r w:rsidRPr="00652956">
        <w:rPr>
          <w:rFonts w:ascii="Arial" w:hAnsi="Arial" w:cs="Arial"/>
          <w:sz w:val="22"/>
          <w:szCs w:val="22"/>
          <w:lang w:val="en-US"/>
        </w:rPr>
        <w:lastRenderedPageBreak/>
        <w:t xml:space="preserve">IDF (International Diabetes Federation) (2024) </w:t>
      </w:r>
      <w:r w:rsidRPr="00652956">
        <w:rPr>
          <w:rFonts w:ascii="Arial" w:hAnsi="Arial" w:cs="Arial"/>
          <w:i/>
          <w:iCs/>
          <w:sz w:val="22"/>
          <w:szCs w:val="22"/>
          <w:lang w:val="en-US"/>
        </w:rPr>
        <w:t>IDF Diabetes Atlas, 11th Edition</w:t>
      </w:r>
      <w:r w:rsidRPr="00652956">
        <w:rPr>
          <w:rFonts w:ascii="Arial" w:hAnsi="Arial" w:cs="Arial"/>
          <w:sz w:val="22"/>
          <w:szCs w:val="22"/>
          <w:lang w:val="en-US"/>
        </w:rPr>
        <w:t xml:space="preserve">. Available at: </w:t>
      </w:r>
      <w:hyperlink r:id="rId21" w:tgtFrame="_blank" w:history="1">
        <w:r w:rsidRPr="00652956">
          <w:rPr>
            <w:rStyle w:val="Hyperlink"/>
            <w:rFonts w:ascii="Arial" w:hAnsi="Arial" w:cs="Arial"/>
            <w:sz w:val="22"/>
            <w:szCs w:val="22"/>
            <w:lang w:val="en-US"/>
          </w:rPr>
          <w:t>https://diabetesatlas.org/media/uploads/sites/3/2025/04/IDF_Atlas_11th_Edition_2025.pdf</w:t>
        </w:r>
      </w:hyperlink>
      <w:r w:rsidRPr="00652956">
        <w:rPr>
          <w:rFonts w:ascii="Arial" w:hAnsi="Arial" w:cs="Arial"/>
          <w:sz w:val="22"/>
          <w:szCs w:val="22"/>
          <w:lang w:val="en-US"/>
        </w:rPr>
        <w:t xml:space="preserve"> (Accessed: 3 December 2025).</w:t>
      </w:r>
    </w:p>
    <w:p w14:paraId="5D2B0BC8" w14:textId="77777777" w:rsidR="00652956" w:rsidRPr="00652956" w:rsidRDefault="00652956" w:rsidP="00C12DCE">
      <w:pPr>
        <w:pStyle w:val="NormalWeb"/>
        <w:spacing w:line="360" w:lineRule="auto"/>
        <w:rPr>
          <w:rFonts w:ascii="Arial" w:hAnsi="Arial" w:cs="Arial"/>
          <w:sz w:val="22"/>
          <w:szCs w:val="22"/>
          <w:lang w:val="en-US"/>
        </w:rPr>
      </w:pPr>
      <w:r w:rsidRPr="00652956">
        <w:rPr>
          <w:rFonts w:ascii="Arial" w:hAnsi="Arial" w:cs="Arial"/>
          <w:sz w:val="22"/>
          <w:szCs w:val="22"/>
          <w:lang w:val="en-US"/>
        </w:rPr>
        <w:t xml:space="preserve">NHS England (2024) </w:t>
      </w:r>
      <w:r w:rsidRPr="00652956">
        <w:rPr>
          <w:rFonts w:ascii="Arial" w:hAnsi="Arial" w:cs="Arial"/>
          <w:i/>
          <w:iCs/>
          <w:sz w:val="22"/>
          <w:szCs w:val="22"/>
          <w:lang w:val="en-US"/>
        </w:rPr>
        <w:t xml:space="preserve">The NHS Diabetes Prevention </w:t>
      </w:r>
      <w:proofErr w:type="spellStart"/>
      <w:r w:rsidRPr="00652956">
        <w:rPr>
          <w:rFonts w:ascii="Arial" w:hAnsi="Arial" w:cs="Arial"/>
          <w:i/>
          <w:iCs/>
          <w:sz w:val="22"/>
          <w:szCs w:val="22"/>
          <w:lang w:val="en-US"/>
        </w:rPr>
        <w:t>Programme</w:t>
      </w:r>
      <w:proofErr w:type="spellEnd"/>
      <w:r w:rsidRPr="00652956">
        <w:rPr>
          <w:rFonts w:ascii="Arial" w:hAnsi="Arial" w:cs="Arial"/>
          <w:i/>
          <w:iCs/>
          <w:sz w:val="22"/>
          <w:szCs w:val="22"/>
          <w:lang w:val="en-US"/>
        </w:rPr>
        <w:t xml:space="preserve"> (NDPP)</w:t>
      </w:r>
      <w:r w:rsidRPr="00652956">
        <w:rPr>
          <w:rFonts w:ascii="Arial" w:hAnsi="Arial" w:cs="Arial"/>
          <w:sz w:val="22"/>
          <w:szCs w:val="22"/>
          <w:lang w:val="en-US"/>
        </w:rPr>
        <w:t xml:space="preserve">. Available at: </w:t>
      </w:r>
      <w:hyperlink r:id="rId22" w:tgtFrame="_blank" w:history="1">
        <w:r w:rsidRPr="00652956">
          <w:rPr>
            <w:rStyle w:val="Hyperlink"/>
            <w:rFonts w:ascii="Arial" w:hAnsi="Arial" w:cs="Arial"/>
            <w:sz w:val="22"/>
            <w:szCs w:val="22"/>
            <w:lang w:val="en-US"/>
          </w:rPr>
          <w:t>https://northeastlondon.icb.nhs.uk/service/diabetes-diabetes-prevention-programme-ndpp/</w:t>
        </w:r>
      </w:hyperlink>
      <w:r w:rsidRPr="00652956">
        <w:rPr>
          <w:rFonts w:ascii="Arial" w:hAnsi="Arial" w:cs="Arial"/>
          <w:sz w:val="22"/>
          <w:szCs w:val="22"/>
          <w:lang w:val="en-US"/>
        </w:rPr>
        <w:t xml:space="preserve"> (Accessed: 3 December 2025).</w:t>
      </w:r>
    </w:p>
    <w:p w14:paraId="783201E4" w14:textId="47F7778B" w:rsidR="00652956" w:rsidRPr="00652956" w:rsidRDefault="00652956" w:rsidP="00C12DCE">
      <w:pPr>
        <w:pStyle w:val="NormalWeb"/>
        <w:spacing w:line="360" w:lineRule="auto"/>
        <w:rPr>
          <w:rFonts w:ascii="Arial" w:hAnsi="Arial" w:cs="Arial"/>
          <w:sz w:val="22"/>
          <w:szCs w:val="22"/>
          <w:lang w:val="en-US"/>
        </w:rPr>
      </w:pPr>
      <w:r w:rsidRPr="00652956">
        <w:rPr>
          <w:rFonts w:ascii="Arial" w:hAnsi="Arial" w:cs="Arial"/>
          <w:sz w:val="22"/>
          <w:szCs w:val="22"/>
          <w:lang w:val="en-US"/>
        </w:rPr>
        <w:t xml:space="preserve">NICE (National Institute for Health and Care Excellence) (2024) </w:t>
      </w:r>
      <w:r w:rsidRPr="00652956">
        <w:rPr>
          <w:rFonts w:ascii="Arial" w:hAnsi="Arial" w:cs="Arial"/>
          <w:i/>
          <w:iCs/>
          <w:sz w:val="22"/>
          <w:szCs w:val="22"/>
          <w:lang w:val="en-US"/>
        </w:rPr>
        <w:t>Type 2 diabetes in adults (QS209)</w:t>
      </w:r>
      <w:r w:rsidRPr="00652956">
        <w:rPr>
          <w:rFonts w:ascii="Arial" w:hAnsi="Arial" w:cs="Arial"/>
          <w:sz w:val="22"/>
          <w:szCs w:val="22"/>
          <w:lang w:val="en-US"/>
        </w:rPr>
        <w:t xml:space="preserve">. Available at: </w:t>
      </w:r>
      <w:hyperlink r:id="rId23" w:tgtFrame="_blank" w:history="1">
        <w:r w:rsidRPr="00652956">
          <w:rPr>
            <w:rStyle w:val="Hyperlink"/>
            <w:rFonts w:ascii="Arial" w:hAnsi="Arial" w:cs="Arial"/>
            <w:sz w:val="22"/>
            <w:szCs w:val="22"/>
            <w:lang w:val="en-US"/>
          </w:rPr>
          <w:t>https://www.nice.org.uk/guidance/qs209</w:t>
        </w:r>
      </w:hyperlink>
      <w:r w:rsidRPr="00652956">
        <w:rPr>
          <w:rFonts w:ascii="Arial" w:hAnsi="Arial" w:cs="Arial"/>
          <w:sz w:val="22"/>
          <w:szCs w:val="22"/>
          <w:lang w:val="en-US"/>
        </w:rPr>
        <w:t xml:space="preserve"> (Accessed: 3 December 2025).</w:t>
      </w:r>
    </w:p>
    <w:p w14:paraId="7F9B9962" w14:textId="51A8EBD5" w:rsidR="00212ED5" w:rsidRPr="00C12DCE" w:rsidRDefault="00652956" w:rsidP="00C12DCE">
      <w:pPr>
        <w:pStyle w:val="NormalWeb"/>
        <w:spacing w:line="360" w:lineRule="auto"/>
        <w:rPr>
          <w:rFonts w:ascii="Arial" w:hAnsi="Arial" w:cs="Arial"/>
          <w:sz w:val="22"/>
          <w:szCs w:val="22"/>
          <w:lang w:val="en-US"/>
        </w:rPr>
      </w:pPr>
      <w:r w:rsidRPr="00652956">
        <w:rPr>
          <w:rFonts w:ascii="Arial" w:hAnsi="Arial" w:cs="Arial"/>
          <w:sz w:val="22"/>
          <w:szCs w:val="22"/>
          <w:lang w:val="en-US"/>
        </w:rPr>
        <w:t xml:space="preserve">PHE (Public Health England) (2020) </w:t>
      </w:r>
      <w:r w:rsidRPr="00652956">
        <w:rPr>
          <w:rFonts w:ascii="Arial" w:hAnsi="Arial" w:cs="Arial"/>
          <w:i/>
          <w:iCs/>
          <w:sz w:val="22"/>
          <w:szCs w:val="22"/>
          <w:lang w:val="en-US"/>
        </w:rPr>
        <w:t>Diabetes Profile for London Borough of Newham</w:t>
      </w:r>
      <w:r w:rsidRPr="00652956">
        <w:rPr>
          <w:rFonts w:ascii="Arial" w:hAnsi="Arial" w:cs="Arial"/>
          <w:sz w:val="22"/>
          <w:szCs w:val="22"/>
          <w:lang w:val="en-US"/>
        </w:rPr>
        <w:t xml:space="preserve">. Available at: </w:t>
      </w:r>
      <w:hyperlink r:id="rId24" w:tgtFrame="_blank" w:history="1">
        <w:r w:rsidRPr="00652956">
          <w:rPr>
            <w:rStyle w:val="Hyperlink"/>
            <w:rFonts w:ascii="Arial" w:hAnsi="Arial" w:cs="Arial"/>
            <w:sz w:val="22"/>
            <w:szCs w:val="22"/>
            <w:lang w:val="en-US"/>
          </w:rPr>
          <w:t>https://fingertips.phe.org.uk/profile/diabetes-ft/data</w:t>
        </w:r>
      </w:hyperlink>
      <w:r w:rsidRPr="00652956">
        <w:rPr>
          <w:rFonts w:ascii="Arial" w:hAnsi="Arial" w:cs="Arial"/>
          <w:sz w:val="22"/>
          <w:szCs w:val="22"/>
          <w:lang w:val="en-US"/>
        </w:rPr>
        <w:t xml:space="preserve"> (Accessed: 3 December 2025).</w:t>
      </w:r>
    </w:p>
    <w:sectPr w:rsidR="00212ED5" w:rsidRPr="00C12DCE" w:rsidSect="00982FC7">
      <w:footerReference w:type="default" r:id="rId25"/>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60E4B" w14:textId="77777777" w:rsidR="000F4A3A" w:rsidRDefault="000F4A3A">
      <w:pPr>
        <w:spacing w:after="0" w:line="240" w:lineRule="auto"/>
      </w:pPr>
      <w:r>
        <w:separator/>
      </w:r>
    </w:p>
  </w:endnote>
  <w:endnote w:type="continuationSeparator" w:id="0">
    <w:p w14:paraId="6DC43FE7" w14:textId="77777777" w:rsidR="000F4A3A" w:rsidRDefault="000F4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72EAF" w14:textId="77777777" w:rsidR="00982FC7" w:rsidRDefault="00982FC7">
    <w:pPr>
      <w:pStyle w:val="Footer"/>
      <w:jc w:val="center"/>
    </w:pPr>
  </w:p>
  <w:p w14:paraId="7A46E189" w14:textId="77777777" w:rsidR="00982FC7" w:rsidRDefault="00982F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8470264"/>
      <w:docPartObj>
        <w:docPartGallery w:val="Page Numbers (Bottom of Page)"/>
        <w:docPartUnique/>
      </w:docPartObj>
    </w:sdtPr>
    <w:sdtEndPr>
      <w:rPr>
        <w:noProof/>
      </w:rPr>
    </w:sdtEndPr>
    <w:sdtContent>
      <w:p w14:paraId="26C323E5" w14:textId="77777777" w:rsidR="00982FC7" w:rsidRDefault="00982F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44DBF7" w14:textId="77777777" w:rsidR="00982FC7" w:rsidRDefault="00982F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201291"/>
      <w:docPartObj>
        <w:docPartGallery w:val="Page Numbers (Bottom of Page)"/>
        <w:docPartUnique/>
      </w:docPartObj>
    </w:sdtPr>
    <w:sdtEndPr>
      <w:rPr>
        <w:noProof/>
      </w:rPr>
    </w:sdtEndPr>
    <w:sdtContent>
      <w:p w14:paraId="0C8E8556" w14:textId="739D3689" w:rsidR="00982FC7" w:rsidRDefault="00982FC7" w:rsidP="005926DE">
        <w:pPr>
          <w:pStyle w:val="Footer"/>
          <w:jc w:val="right"/>
        </w:pPr>
        <w:r>
          <w:fldChar w:fldCharType="begin"/>
        </w:r>
        <w:r>
          <w:instrText xml:space="preserve"> PAGE   \* MERGEFORMAT </w:instrText>
        </w:r>
        <w:r>
          <w:fldChar w:fldCharType="separate"/>
        </w:r>
        <w:r>
          <w:rPr>
            <w:noProof/>
          </w:rPr>
          <w:t>16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0B482" w14:textId="77777777" w:rsidR="000F4A3A" w:rsidRDefault="000F4A3A">
      <w:pPr>
        <w:spacing w:after="0" w:line="240" w:lineRule="auto"/>
      </w:pPr>
      <w:r>
        <w:separator/>
      </w:r>
    </w:p>
  </w:footnote>
  <w:footnote w:type="continuationSeparator" w:id="0">
    <w:p w14:paraId="4C083487" w14:textId="77777777" w:rsidR="000F4A3A" w:rsidRDefault="000F4A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17D7"/>
    <w:multiLevelType w:val="hybridMultilevel"/>
    <w:tmpl w:val="EFD457D0"/>
    <w:lvl w:ilvl="0" w:tplc="5408083E">
      <w:start w:val="1"/>
      <w:numFmt w:val="decimal"/>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FD16D6"/>
    <w:multiLevelType w:val="hybridMultilevel"/>
    <w:tmpl w:val="8988A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D5E36"/>
    <w:multiLevelType w:val="hybridMultilevel"/>
    <w:tmpl w:val="086A4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6E0010"/>
    <w:multiLevelType w:val="hybridMultilevel"/>
    <w:tmpl w:val="4CE20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516E94"/>
    <w:multiLevelType w:val="hybridMultilevel"/>
    <w:tmpl w:val="D2966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1C4F29"/>
    <w:multiLevelType w:val="hybridMultilevel"/>
    <w:tmpl w:val="258CE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7F0907"/>
    <w:multiLevelType w:val="multilevel"/>
    <w:tmpl w:val="E0AE1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1E6AC8"/>
    <w:multiLevelType w:val="hybridMultilevel"/>
    <w:tmpl w:val="8A64A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AA4B38"/>
    <w:multiLevelType w:val="hybridMultilevel"/>
    <w:tmpl w:val="4350B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7A6053"/>
    <w:multiLevelType w:val="hybridMultilevel"/>
    <w:tmpl w:val="1FC8B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31778E"/>
    <w:multiLevelType w:val="hybridMultilevel"/>
    <w:tmpl w:val="A1A25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725D39"/>
    <w:multiLevelType w:val="hybridMultilevel"/>
    <w:tmpl w:val="5A6C5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1050C8"/>
    <w:multiLevelType w:val="multilevel"/>
    <w:tmpl w:val="A850A028"/>
    <w:lvl w:ilvl="0">
      <w:start w:val="1"/>
      <w:numFmt w:val="decimal"/>
      <w:lvlText w:val="%1"/>
      <w:lvlJc w:val="left"/>
      <w:pPr>
        <w:ind w:left="530" w:hanging="530"/>
      </w:pPr>
      <w:rPr>
        <w:rFonts w:hint="default"/>
      </w:rPr>
    </w:lvl>
    <w:lvl w:ilvl="1">
      <w:start w:val="2"/>
      <w:numFmt w:val="decimal"/>
      <w:lvlText w:val="%1.%2"/>
      <w:lvlJc w:val="left"/>
      <w:pPr>
        <w:ind w:left="530" w:hanging="5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0935D7"/>
    <w:multiLevelType w:val="hybridMultilevel"/>
    <w:tmpl w:val="809AF1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8241703"/>
    <w:multiLevelType w:val="hybridMultilevel"/>
    <w:tmpl w:val="07E40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354B80"/>
    <w:multiLevelType w:val="hybridMultilevel"/>
    <w:tmpl w:val="67021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703FE7"/>
    <w:multiLevelType w:val="hybridMultilevel"/>
    <w:tmpl w:val="A1E8EA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EE40CFC"/>
    <w:multiLevelType w:val="hybridMultilevel"/>
    <w:tmpl w:val="9FF05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730C8D"/>
    <w:multiLevelType w:val="hybridMultilevel"/>
    <w:tmpl w:val="82660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500C7D"/>
    <w:multiLevelType w:val="hybridMultilevel"/>
    <w:tmpl w:val="746A7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E10F1C"/>
    <w:multiLevelType w:val="hybridMultilevel"/>
    <w:tmpl w:val="A030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D362AD"/>
    <w:multiLevelType w:val="multilevel"/>
    <w:tmpl w:val="AAB20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6658A1"/>
    <w:multiLevelType w:val="hybridMultilevel"/>
    <w:tmpl w:val="A3544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CF6155"/>
    <w:multiLevelType w:val="hybridMultilevel"/>
    <w:tmpl w:val="7E82B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17226A"/>
    <w:multiLevelType w:val="hybridMultilevel"/>
    <w:tmpl w:val="F9605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5937ED"/>
    <w:multiLevelType w:val="multilevel"/>
    <w:tmpl w:val="6AC0A8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960971"/>
    <w:multiLevelType w:val="hybridMultilevel"/>
    <w:tmpl w:val="ABA8F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7F2B5F"/>
    <w:multiLevelType w:val="multilevel"/>
    <w:tmpl w:val="2200DAA8"/>
    <w:lvl w:ilvl="0">
      <w:start w:val="2"/>
      <w:numFmt w:val="decimal"/>
      <w:lvlText w:val="%1"/>
      <w:lvlJc w:val="left"/>
      <w:pPr>
        <w:ind w:left="530" w:hanging="530"/>
      </w:pPr>
      <w:rPr>
        <w:rFonts w:hint="default"/>
      </w:rPr>
    </w:lvl>
    <w:lvl w:ilvl="1">
      <w:start w:val="2"/>
      <w:numFmt w:val="decimal"/>
      <w:lvlText w:val="%1.%2"/>
      <w:lvlJc w:val="left"/>
      <w:pPr>
        <w:ind w:left="530" w:hanging="5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1C70167"/>
    <w:multiLevelType w:val="hybridMultilevel"/>
    <w:tmpl w:val="E4424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AD6E44"/>
    <w:multiLevelType w:val="hybridMultilevel"/>
    <w:tmpl w:val="D83AC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F92717"/>
    <w:multiLevelType w:val="hybridMultilevel"/>
    <w:tmpl w:val="AFDE8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834037"/>
    <w:multiLevelType w:val="multilevel"/>
    <w:tmpl w:val="9C4C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8B553B"/>
    <w:multiLevelType w:val="hybridMultilevel"/>
    <w:tmpl w:val="F8546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FB02F6"/>
    <w:multiLevelType w:val="hybridMultilevel"/>
    <w:tmpl w:val="AC84C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3127B1"/>
    <w:multiLevelType w:val="hybridMultilevel"/>
    <w:tmpl w:val="EF0E7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E17EFA"/>
    <w:multiLevelType w:val="hybridMultilevel"/>
    <w:tmpl w:val="3392B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A7178F"/>
    <w:multiLevelType w:val="hybridMultilevel"/>
    <w:tmpl w:val="CE1A7214"/>
    <w:lvl w:ilvl="0" w:tplc="F9446340">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4351A4"/>
    <w:multiLevelType w:val="hybridMultilevel"/>
    <w:tmpl w:val="919806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E905E26"/>
    <w:multiLevelType w:val="hybridMultilevel"/>
    <w:tmpl w:val="60F61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8E7DD7"/>
    <w:multiLevelType w:val="hybridMultilevel"/>
    <w:tmpl w:val="09B00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9163E9"/>
    <w:multiLevelType w:val="hybridMultilevel"/>
    <w:tmpl w:val="36723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573417"/>
    <w:multiLevelType w:val="hybridMultilevel"/>
    <w:tmpl w:val="0E3C8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725E41"/>
    <w:multiLevelType w:val="hybridMultilevel"/>
    <w:tmpl w:val="7200CD08"/>
    <w:lvl w:ilvl="0" w:tplc="F9446340">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9043BC"/>
    <w:multiLevelType w:val="hybridMultilevel"/>
    <w:tmpl w:val="82EE8872"/>
    <w:lvl w:ilvl="0" w:tplc="5408083E">
      <w:start w:val="1"/>
      <w:numFmt w:val="decimal"/>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68321527">
    <w:abstractNumId w:val="20"/>
  </w:num>
  <w:num w:numId="2" w16cid:durableId="851577751">
    <w:abstractNumId w:val="28"/>
  </w:num>
  <w:num w:numId="3" w16cid:durableId="1098523924">
    <w:abstractNumId w:val="14"/>
  </w:num>
  <w:num w:numId="4" w16cid:durableId="1958679220">
    <w:abstractNumId w:val="18"/>
  </w:num>
  <w:num w:numId="5" w16cid:durableId="1314798221">
    <w:abstractNumId w:val="34"/>
  </w:num>
  <w:num w:numId="6" w16cid:durableId="1632634012">
    <w:abstractNumId w:val="10"/>
  </w:num>
  <w:num w:numId="7" w16cid:durableId="598832706">
    <w:abstractNumId w:val="5"/>
  </w:num>
  <w:num w:numId="8" w16cid:durableId="897015617">
    <w:abstractNumId w:val="3"/>
  </w:num>
  <w:num w:numId="9" w16cid:durableId="2048286453">
    <w:abstractNumId w:val="19"/>
  </w:num>
  <w:num w:numId="10" w16cid:durableId="1688486997">
    <w:abstractNumId w:val="15"/>
  </w:num>
  <w:num w:numId="11" w16cid:durableId="1872719322">
    <w:abstractNumId w:val="0"/>
  </w:num>
  <w:num w:numId="12" w16cid:durableId="1748765839">
    <w:abstractNumId w:val="1"/>
  </w:num>
  <w:num w:numId="13" w16cid:durableId="1650474377">
    <w:abstractNumId w:val="41"/>
  </w:num>
  <w:num w:numId="14" w16cid:durableId="1677540802">
    <w:abstractNumId w:val="4"/>
  </w:num>
  <w:num w:numId="15" w16cid:durableId="1968125030">
    <w:abstractNumId w:val="43"/>
  </w:num>
  <w:num w:numId="16" w16cid:durableId="986519163">
    <w:abstractNumId w:val="31"/>
  </w:num>
  <w:num w:numId="17" w16cid:durableId="243606842">
    <w:abstractNumId w:val="6"/>
  </w:num>
  <w:num w:numId="18" w16cid:durableId="892808874">
    <w:abstractNumId w:val="36"/>
  </w:num>
  <w:num w:numId="19" w16cid:durableId="1950504735">
    <w:abstractNumId w:val="42"/>
  </w:num>
  <w:num w:numId="20" w16cid:durableId="1516312003">
    <w:abstractNumId w:val="8"/>
  </w:num>
  <w:num w:numId="21" w16cid:durableId="389498223">
    <w:abstractNumId w:val="38"/>
  </w:num>
  <w:num w:numId="22" w16cid:durableId="604769453">
    <w:abstractNumId w:val="2"/>
  </w:num>
  <w:num w:numId="23" w16cid:durableId="1723942419">
    <w:abstractNumId w:val="9"/>
  </w:num>
  <w:num w:numId="24" w16cid:durableId="1096289191">
    <w:abstractNumId w:val="17"/>
  </w:num>
  <w:num w:numId="25" w16cid:durableId="470249387">
    <w:abstractNumId w:val="30"/>
  </w:num>
  <w:num w:numId="26" w16cid:durableId="982003497">
    <w:abstractNumId w:val="39"/>
  </w:num>
  <w:num w:numId="27" w16cid:durableId="120341577">
    <w:abstractNumId w:val="35"/>
  </w:num>
  <w:num w:numId="28" w16cid:durableId="63794671">
    <w:abstractNumId w:val="22"/>
  </w:num>
  <w:num w:numId="29" w16cid:durableId="2143383424">
    <w:abstractNumId w:val="33"/>
  </w:num>
  <w:num w:numId="30" w16cid:durableId="504437671">
    <w:abstractNumId w:val="40"/>
  </w:num>
  <w:num w:numId="31" w16cid:durableId="1663310916">
    <w:abstractNumId w:val="7"/>
  </w:num>
  <w:num w:numId="32" w16cid:durableId="1062338580">
    <w:abstractNumId w:val="24"/>
  </w:num>
  <w:num w:numId="33" w16cid:durableId="1314917128">
    <w:abstractNumId w:val="29"/>
  </w:num>
  <w:num w:numId="34" w16cid:durableId="1977371930">
    <w:abstractNumId w:val="11"/>
  </w:num>
  <w:num w:numId="35" w16cid:durableId="906495211">
    <w:abstractNumId w:val="32"/>
  </w:num>
  <w:num w:numId="36" w16cid:durableId="245386453">
    <w:abstractNumId w:val="27"/>
  </w:num>
  <w:num w:numId="37" w16cid:durableId="1955167070">
    <w:abstractNumId w:val="13"/>
  </w:num>
  <w:num w:numId="38" w16cid:durableId="1113012485">
    <w:abstractNumId w:val="16"/>
  </w:num>
  <w:num w:numId="39" w16cid:durableId="1892693203">
    <w:abstractNumId w:val="23"/>
  </w:num>
  <w:num w:numId="40" w16cid:durableId="1672179284">
    <w:abstractNumId w:val="26"/>
  </w:num>
  <w:num w:numId="41" w16cid:durableId="1479611732">
    <w:abstractNumId w:val="12"/>
  </w:num>
  <w:num w:numId="42" w16cid:durableId="1815753302">
    <w:abstractNumId w:val="21"/>
  </w:num>
  <w:num w:numId="43" w16cid:durableId="106699946">
    <w:abstractNumId w:val="25"/>
  </w:num>
  <w:num w:numId="44" w16cid:durableId="77748541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A53"/>
    <w:rsid w:val="00000092"/>
    <w:rsid w:val="00016E2F"/>
    <w:rsid w:val="00033C4A"/>
    <w:rsid w:val="0006312A"/>
    <w:rsid w:val="000927E5"/>
    <w:rsid w:val="000D3CC1"/>
    <w:rsid w:val="000D6D7F"/>
    <w:rsid w:val="000F4A3A"/>
    <w:rsid w:val="000F4F84"/>
    <w:rsid w:val="00144882"/>
    <w:rsid w:val="00165CF0"/>
    <w:rsid w:val="0017672E"/>
    <w:rsid w:val="001A442F"/>
    <w:rsid w:val="001B22DF"/>
    <w:rsid w:val="001D5EF2"/>
    <w:rsid w:val="00212ED5"/>
    <w:rsid w:val="00226AB0"/>
    <w:rsid w:val="0025229D"/>
    <w:rsid w:val="002C5512"/>
    <w:rsid w:val="00302413"/>
    <w:rsid w:val="00307CDA"/>
    <w:rsid w:val="00346216"/>
    <w:rsid w:val="00361E3B"/>
    <w:rsid w:val="00380C5E"/>
    <w:rsid w:val="00386F57"/>
    <w:rsid w:val="003960BE"/>
    <w:rsid w:val="003C2897"/>
    <w:rsid w:val="00401685"/>
    <w:rsid w:val="00406032"/>
    <w:rsid w:val="0048005A"/>
    <w:rsid w:val="004E557D"/>
    <w:rsid w:val="00520B8F"/>
    <w:rsid w:val="005470C7"/>
    <w:rsid w:val="00584A53"/>
    <w:rsid w:val="005926DE"/>
    <w:rsid w:val="005C7253"/>
    <w:rsid w:val="00635F78"/>
    <w:rsid w:val="00652956"/>
    <w:rsid w:val="00673DE9"/>
    <w:rsid w:val="00726ABC"/>
    <w:rsid w:val="00760129"/>
    <w:rsid w:val="00770A20"/>
    <w:rsid w:val="007930AD"/>
    <w:rsid w:val="00801F85"/>
    <w:rsid w:val="00811C93"/>
    <w:rsid w:val="00823D83"/>
    <w:rsid w:val="00871A7D"/>
    <w:rsid w:val="00872A31"/>
    <w:rsid w:val="008856F8"/>
    <w:rsid w:val="00890BD3"/>
    <w:rsid w:val="008915CB"/>
    <w:rsid w:val="008B6606"/>
    <w:rsid w:val="008D668B"/>
    <w:rsid w:val="008D7D9A"/>
    <w:rsid w:val="00917DFF"/>
    <w:rsid w:val="00980B08"/>
    <w:rsid w:val="00982FC7"/>
    <w:rsid w:val="009A4E52"/>
    <w:rsid w:val="009F2E8F"/>
    <w:rsid w:val="00A25763"/>
    <w:rsid w:val="00A7047A"/>
    <w:rsid w:val="00A8421E"/>
    <w:rsid w:val="00A9411A"/>
    <w:rsid w:val="00A97FE6"/>
    <w:rsid w:val="00AA5B87"/>
    <w:rsid w:val="00AC02BA"/>
    <w:rsid w:val="00AC24F6"/>
    <w:rsid w:val="00B33D7F"/>
    <w:rsid w:val="00B46AD2"/>
    <w:rsid w:val="00BA0BF9"/>
    <w:rsid w:val="00BC1266"/>
    <w:rsid w:val="00C12DCE"/>
    <w:rsid w:val="00C35B1A"/>
    <w:rsid w:val="00C54A40"/>
    <w:rsid w:val="00C709D4"/>
    <w:rsid w:val="00C921ED"/>
    <w:rsid w:val="00C95F86"/>
    <w:rsid w:val="00D10537"/>
    <w:rsid w:val="00D15FF4"/>
    <w:rsid w:val="00D24EA9"/>
    <w:rsid w:val="00D33DA9"/>
    <w:rsid w:val="00D3431C"/>
    <w:rsid w:val="00D7064D"/>
    <w:rsid w:val="00D81088"/>
    <w:rsid w:val="00DB2928"/>
    <w:rsid w:val="00DE24CC"/>
    <w:rsid w:val="00DE7729"/>
    <w:rsid w:val="00E03830"/>
    <w:rsid w:val="00E06455"/>
    <w:rsid w:val="00E4667F"/>
    <w:rsid w:val="00E47229"/>
    <w:rsid w:val="00E47270"/>
    <w:rsid w:val="00E50072"/>
    <w:rsid w:val="00E85C34"/>
    <w:rsid w:val="00E9427E"/>
    <w:rsid w:val="00EA5450"/>
    <w:rsid w:val="00EB6509"/>
    <w:rsid w:val="00EE48A8"/>
    <w:rsid w:val="00F51792"/>
    <w:rsid w:val="00F54A27"/>
    <w:rsid w:val="00FE41CD"/>
    <w:rsid w:val="00FE6FAF"/>
    <w:rsid w:val="00FF26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56CC4"/>
  <w15:chartTrackingRefBased/>
  <w15:docId w15:val="{B0DDD990-56F9-42F2-8447-83CABEFE9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FC7"/>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982FC7"/>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EB6509"/>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7930AD"/>
    <w:pPr>
      <w:keepNext/>
      <w:keepLines/>
      <w:spacing w:before="160" w:after="8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584A5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84A5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84A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4A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4A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4A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FC7"/>
    <w:rPr>
      <w:rFonts w:ascii="Arial" w:eastAsiaTheme="majorEastAsia" w:hAnsi="Arial" w:cstheme="majorBidi"/>
      <w:b/>
      <w:color w:val="000000" w:themeColor="text1"/>
      <w:kern w:val="0"/>
      <w:sz w:val="32"/>
      <w:szCs w:val="40"/>
      <w:lang w:val="en-GB"/>
      <w14:ligatures w14:val="none"/>
    </w:rPr>
  </w:style>
  <w:style w:type="character" w:customStyle="1" w:styleId="Heading2Char">
    <w:name w:val="Heading 2 Char"/>
    <w:basedOn w:val="DefaultParagraphFont"/>
    <w:link w:val="Heading2"/>
    <w:uiPriority w:val="9"/>
    <w:rsid w:val="00EB6509"/>
    <w:rPr>
      <w:rFonts w:ascii="Arial" w:eastAsiaTheme="majorEastAsia" w:hAnsi="Arial" w:cstheme="majorBidi"/>
      <w:b/>
      <w:color w:val="000000" w:themeColor="text1"/>
      <w:kern w:val="0"/>
      <w:sz w:val="28"/>
      <w:szCs w:val="32"/>
      <w:lang w:val="en-GB"/>
      <w14:ligatures w14:val="none"/>
    </w:rPr>
  </w:style>
  <w:style w:type="character" w:customStyle="1" w:styleId="Heading3Char">
    <w:name w:val="Heading 3 Char"/>
    <w:basedOn w:val="DefaultParagraphFont"/>
    <w:link w:val="Heading3"/>
    <w:uiPriority w:val="9"/>
    <w:rsid w:val="007930AD"/>
    <w:rPr>
      <w:rFonts w:ascii="Arial" w:eastAsiaTheme="majorEastAsia" w:hAnsi="Arial" w:cstheme="majorBidi"/>
      <w:b/>
      <w:color w:val="000000" w:themeColor="text1"/>
      <w:kern w:val="0"/>
      <w:szCs w:val="28"/>
      <w:lang w:val="en-GB"/>
      <w14:ligatures w14:val="none"/>
    </w:rPr>
  </w:style>
  <w:style w:type="character" w:customStyle="1" w:styleId="Heading4Char">
    <w:name w:val="Heading 4 Char"/>
    <w:basedOn w:val="DefaultParagraphFont"/>
    <w:link w:val="Heading4"/>
    <w:uiPriority w:val="9"/>
    <w:semiHidden/>
    <w:rsid w:val="00584A5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84A5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84A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4A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4A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4A53"/>
    <w:rPr>
      <w:rFonts w:eastAsiaTheme="majorEastAsia" w:cstheme="majorBidi"/>
      <w:color w:val="272727" w:themeColor="text1" w:themeTint="D8"/>
    </w:rPr>
  </w:style>
  <w:style w:type="paragraph" w:styleId="Title">
    <w:name w:val="Title"/>
    <w:basedOn w:val="Normal"/>
    <w:next w:val="Normal"/>
    <w:link w:val="TitleChar"/>
    <w:uiPriority w:val="10"/>
    <w:qFormat/>
    <w:rsid w:val="00584A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A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4A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4A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4A53"/>
    <w:pPr>
      <w:spacing w:before="160"/>
      <w:jc w:val="center"/>
    </w:pPr>
    <w:rPr>
      <w:i/>
      <w:iCs/>
      <w:color w:val="404040" w:themeColor="text1" w:themeTint="BF"/>
    </w:rPr>
  </w:style>
  <w:style w:type="character" w:customStyle="1" w:styleId="QuoteChar">
    <w:name w:val="Quote Char"/>
    <w:basedOn w:val="DefaultParagraphFont"/>
    <w:link w:val="Quote"/>
    <w:uiPriority w:val="29"/>
    <w:rsid w:val="00584A53"/>
    <w:rPr>
      <w:i/>
      <w:iCs/>
      <w:color w:val="404040" w:themeColor="text1" w:themeTint="BF"/>
    </w:rPr>
  </w:style>
  <w:style w:type="paragraph" w:styleId="ListParagraph">
    <w:name w:val="List Paragraph"/>
    <w:basedOn w:val="Normal"/>
    <w:uiPriority w:val="34"/>
    <w:qFormat/>
    <w:rsid w:val="00584A53"/>
    <w:pPr>
      <w:ind w:left="720"/>
      <w:contextualSpacing/>
    </w:pPr>
  </w:style>
  <w:style w:type="character" w:styleId="IntenseEmphasis">
    <w:name w:val="Intense Emphasis"/>
    <w:basedOn w:val="DefaultParagraphFont"/>
    <w:uiPriority w:val="21"/>
    <w:qFormat/>
    <w:rsid w:val="00584A53"/>
    <w:rPr>
      <w:i/>
      <w:iCs/>
      <w:color w:val="2F5496" w:themeColor="accent1" w:themeShade="BF"/>
    </w:rPr>
  </w:style>
  <w:style w:type="paragraph" w:styleId="IntenseQuote">
    <w:name w:val="Intense Quote"/>
    <w:basedOn w:val="Normal"/>
    <w:next w:val="Normal"/>
    <w:link w:val="IntenseQuoteChar"/>
    <w:uiPriority w:val="30"/>
    <w:qFormat/>
    <w:rsid w:val="00584A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4A53"/>
    <w:rPr>
      <w:i/>
      <w:iCs/>
      <w:color w:val="2F5496" w:themeColor="accent1" w:themeShade="BF"/>
    </w:rPr>
  </w:style>
  <w:style w:type="character" w:styleId="IntenseReference">
    <w:name w:val="Intense Reference"/>
    <w:basedOn w:val="DefaultParagraphFont"/>
    <w:uiPriority w:val="32"/>
    <w:qFormat/>
    <w:rsid w:val="00584A53"/>
    <w:rPr>
      <w:b/>
      <w:bCs/>
      <w:smallCaps/>
      <w:color w:val="2F5496" w:themeColor="accent1" w:themeShade="BF"/>
      <w:spacing w:val="5"/>
    </w:rPr>
  </w:style>
  <w:style w:type="paragraph" w:styleId="NormalWeb">
    <w:name w:val="Normal (Web)"/>
    <w:basedOn w:val="Normal"/>
    <w:uiPriority w:val="99"/>
    <w:unhideWhenUsed/>
    <w:rsid w:val="00982F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82F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2FC7"/>
    <w:rPr>
      <w:kern w:val="0"/>
      <w:sz w:val="22"/>
      <w:szCs w:val="22"/>
      <w:lang w:val="en-GB"/>
      <w14:ligatures w14:val="none"/>
    </w:rPr>
  </w:style>
  <w:style w:type="paragraph" w:styleId="TOCHeading">
    <w:name w:val="TOC Heading"/>
    <w:basedOn w:val="Heading1"/>
    <w:next w:val="Normal"/>
    <w:uiPriority w:val="39"/>
    <w:unhideWhenUsed/>
    <w:qFormat/>
    <w:rsid w:val="00982FC7"/>
    <w:pPr>
      <w:spacing w:before="480" w:after="0"/>
      <w:outlineLvl w:val="9"/>
    </w:pPr>
    <w:rPr>
      <w:b w:val="0"/>
      <w:bCs/>
      <w:sz w:val="28"/>
      <w:szCs w:val="28"/>
      <w:lang w:eastAsia="ja-JP"/>
    </w:rPr>
  </w:style>
  <w:style w:type="paragraph" w:styleId="TOC1">
    <w:name w:val="toc 1"/>
    <w:basedOn w:val="Normal"/>
    <w:next w:val="Normal"/>
    <w:autoRedefine/>
    <w:uiPriority w:val="39"/>
    <w:unhideWhenUsed/>
    <w:rsid w:val="00982FC7"/>
    <w:pPr>
      <w:spacing w:after="100"/>
    </w:pPr>
  </w:style>
  <w:style w:type="character" w:styleId="Hyperlink">
    <w:name w:val="Hyperlink"/>
    <w:basedOn w:val="DefaultParagraphFont"/>
    <w:uiPriority w:val="99"/>
    <w:unhideWhenUsed/>
    <w:rsid w:val="00982FC7"/>
    <w:rPr>
      <w:color w:val="0563C1" w:themeColor="hyperlink"/>
      <w:u w:val="single"/>
    </w:rPr>
  </w:style>
  <w:style w:type="paragraph" w:styleId="TOC2">
    <w:name w:val="toc 2"/>
    <w:basedOn w:val="Normal"/>
    <w:next w:val="Normal"/>
    <w:autoRedefine/>
    <w:uiPriority w:val="39"/>
    <w:unhideWhenUsed/>
    <w:rsid w:val="00982FC7"/>
    <w:pPr>
      <w:spacing w:after="100"/>
      <w:ind w:left="220"/>
    </w:pPr>
  </w:style>
  <w:style w:type="paragraph" w:styleId="Caption">
    <w:name w:val="caption"/>
    <w:basedOn w:val="Normal"/>
    <w:next w:val="Normal"/>
    <w:uiPriority w:val="35"/>
    <w:unhideWhenUsed/>
    <w:qFormat/>
    <w:rsid w:val="00982FC7"/>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982FC7"/>
    <w:pPr>
      <w:spacing w:after="0"/>
    </w:pPr>
  </w:style>
  <w:style w:type="paragraph" w:styleId="TOC3">
    <w:name w:val="toc 3"/>
    <w:basedOn w:val="Normal"/>
    <w:next w:val="Normal"/>
    <w:autoRedefine/>
    <w:uiPriority w:val="39"/>
    <w:unhideWhenUsed/>
    <w:rsid w:val="00D24EA9"/>
    <w:pPr>
      <w:spacing w:after="100"/>
      <w:ind w:left="440"/>
    </w:pPr>
  </w:style>
  <w:style w:type="character" w:styleId="UnresolvedMention">
    <w:name w:val="Unresolved Mention"/>
    <w:basedOn w:val="DefaultParagraphFont"/>
    <w:uiPriority w:val="99"/>
    <w:semiHidden/>
    <w:unhideWhenUsed/>
    <w:rsid w:val="00652956"/>
    <w:rPr>
      <w:color w:val="605E5C"/>
      <w:shd w:val="clear" w:color="auto" w:fill="E1DFDD"/>
    </w:rPr>
  </w:style>
  <w:style w:type="character" w:styleId="FollowedHyperlink">
    <w:name w:val="FollowedHyperlink"/>
    <w:basedOn w:val="DefaultParagraphFont"/>
    <w:uiPriority w:val="99"/>
    <w:semiHidden/>
    <w:unhideWhenUsed/>
    <w:rsid w:val="00C12DCE"/>
    <w:rPr>
      <w:color w:val="954F72" w:themeColor="followedHyperlink"/>
      <w:u w:val="single"/>
    </w:rPr>
  </w:style>
  <w:style w:type="paragraph" w:styleId="Header">
    <w:name w:val="header"/>
    <w:basedOn w:val="Normal"/>
    <w:link w:val="HeaderChar"/>
    <w:uiPriority w:val="99"/>
    <w:unhideWhenUsed/>
    <w:rsid w:val="005926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26DE"/>
    <w:rPr>
      <w:kern w:val="0"/>
      <w:sz w:val="22"/>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ageing-better.org.uk/state-ageing-2025" TargetMode="External"/><Relationship Id="rId18" Type="http://schemas.openxmlformats.org/officeDocument/2006/relationships/hyperlink" Target="https://assets.publishing.service.gov.uk/media/5d762843ed915d08f4c6b8b5/PHE_Strategy__2020-25__Executive_Summary.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iabetesatlas.org/media/uploads/sites/3/2025/04/IDF_Atlas_11th_Edition_2025.pdf" TargetMode="External"/><Relationship Id="rId7" Type="http://schemas.openxmlformats.org/officeDocument/2006/relationships/image" Target="media/image1.png"/><Relationship Id="rId12" Type="http://schemas.openxmlformats.org/officeDocument/2006/relationships/hyperlink" Target="https://www.ageuk.org.uk/siteassets/documents/reports-and-publications/reports-and-briefings/health--wellbeing/state-of-health-and-care/state-of-health-care-of-older-people-in-england-2025.pdf" TargetMode="External"/><Relationship Id="rId17" Type="http://schemas.openxmlformats.org/officeDocument/2006/relationships/hyperlink" Target="https://www.gov.uk/government/statistics/public-opinions-and-social-trends-great-britain-january-2025"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ons.gov.uk/peoplepopulationandcommunity/healthandsocialcare/healthinequalities" TargetMode="External"/><Relationship Id="rId20" Type="http://schemas.openxmlformats.org/officeDocument/2006/relationships/hyperlink" Target="https://www.diabetes.org.uk/about-us/about-the-charity/our-strategy/statist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s://fingertips.phe.org.uk/profile/diabetes-ft/data" TargetMode="External"/><Relationship Id="rId5" Type="http://schemas.openxmlformats.org/officeDocument/2006/relationships/footnotes" Target="footnotes.xml"/><Relationship Id="rId15" Type="http://schemas.openxmlformats.org/officeDocument/2006/relationships/hyperlink" Target="https://www.england.nhs.uk/ourwork/clinical-policy/older-people/improving-care-for-older-people/" TargetMode="External"/><Relationship Id="rId23" Type="http://schemas.openxmlformats.org/officeDocument/2006/relationships/hyperlink" Target="https://www.nice.org.uk/guidance/qs209" TargetMode="External"/><Relationship Id="rId10" Type="http://schemas.openxmlformats.org/officeDocument/2006/relationships/footer" Target="footer2.xml"/><Relationship Id="rId19" Type="http://schemas.openxmlformats.org/officeDocument/2006/relationships/hyperlink" Target="https://www.gov.uk/government/publications/health-inequalities-in-health-protection-report/health-inequalities-in-health-protection-report-2025"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ageing-better.org.uk/state-ageing-2025" TargetMode="External"/><Relationship Id="rId22" Type="http://schemas.openxmlformats.org/officeDocument/2006/relationships/hyperlink" Target="https://northeastlondon.icb.nhs.uk/service/diabetes-diabetes-prevention-programme-ndpp/"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13</Pages>
  <Words>3827</Words>
  <Characters>21820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Mukhlesur Rahman Shepon</dc:creator>
  <cp:keywords/>
  <dc:description/>
  <cp:lastModifiedBy>MD SIZAN</cp:lastModifiedBy>
  <cp:revision>118</cp:revision>
  <dcterms:created xsi:type="dcterms:W3CDTF">2025-12-03T05:26:00Z</dcterms:created>
  <dcterms:modified xsi:type="dcterms:W3CDTF">2025-12-15T14:21:00Z</dcterms:modified>
</cp:coreProperties>
</file>