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822B0" w:rsidRDefault="00790DA2">
      <w:r>
        <w:t xml:space="preserve">ETLA Assignment. </w:t>
      </w:r>
      <w:bookmarkStart w:id="0" w:name="_GoBack"/>
      <w:bookmarkEnd w:id="0"/>
    </w:p>
    <w:p w:rsidR="00441771" w:rsidRDefault="00EE1FFC" w:rsidP="00DC07E8">
      <w:r>
        <w:t xml:space="preserve">The second </w:t>
      </w:r>
      <w:r w:rsidR="00790DA2">
        <w:t>microteach</w:t>
      </w:r>
      <w:r>
        <w:t xml:space="preserve"> did not go as well as the first or as well as I would have liked. I had actually changed the subject for the session the night before I was due to give it, and if I had stuck with the original idea, I do believe it would have been more successful. </w:t>
      </w:r>
      <w:r w:rsidR="000C5FE1">
        <w:br/>
      </w:r>
      <w:r w:rsidR="000C5FE1">
        <w:tab/>
        <w:t xml:space="preserve">My microteach explored </w:t>
      </w:r>
      <w:r w:rsidR="005D77C2">
        <w:t xml:space="preserve">Dissociative Identity Disorder (DID), which up until recently was known as Split Personality Disorder, which is characterised by more than one personality residing within one body. I started the session, while the computer warmed up by handing out case studies of people diagnosed with DID, explain how the symptoms first manifested in these </w:t>
      </w:r>
      <w:r w:rsidR="00F37BD2">
        <w:t>patients</w:t>
      </w:r>
      <w:r w:rsidR="005D77C2">
        <w:t xml:space="preserve"> as well as a brief overview of the different personalities and what has happened in their life before and after diagnosis. One the computer had warmed and the PowerPoint set up, I then started by explaining the leaning objectives, a definition and a brief history of the condition. </w:t>
      </w:r>
      <w:r w:rsidR="005D77C2">
        <w:br/>
        <w:t xml:space="preserve"> </w:t>
      </w:r>
      <w:r w:rsidR="005D77C2">
        <w:tab/>
        <w:t xml:space="preserve">I gave the students ten minutes to read through their case studies and to make notes on some key points to be able to describe the case study to the other students. </w:t>
      </w:r>
      <w:r w:rsidR="00F37BD2">
        <w:t>While the class was silent, I felt that I was getting flustered and unable to relax enough to allow the students to be in silence so as such I stopped them early and asked each person individually to describe their study. After two people had read theirs out, I jumped in and asked if the students noticed any similarities between these cases, but as only two had be read out, from two very different eras of the condition, it was quite difficult for the students to find to many things in common</w:t>
      </w:r>
      <w:r w:rsidR="00596955">
        <w:t>, once all students had fed back it was easier for them to pick up similarities and differences but by that point I was already going too fast and floundering to really develop on any of the good points the students made</w:t>
      </w:r>
      <w:r w:rsidR="00F37BD2">
        <w:t xml:space="preserve">. That was my fault, because I was flustered and unable to relax, I was speeding through the teaching and not allowing the students to really understand the topic. </w:t>
      </w:r>
      <w:r w:rsidR="00596955">
        <w:t xml:space="preserve">Or before giving them an overview of the condition in any depth. </w:t>
      </w:r>
      <w:r w:rsidR="00596955">
        <w:br/>
      </w:r>
      <w:r w:rsidR="00596955">
        <w:tab/>
        <w:t xml:space="preserve">My next slide, and corresponding notes, were to outline how DID was diagnosed. It is diagnosed by process of elimination by ruling out any less serious conditions such as Borderline Personality Disorder or Schizophrenia. I kept referring closely to my notes and as such kept repeating myself and not explaining how each of these conditions related to some symptoms of DID or how the eliminations process worked. </w:t>
      </w:r>
      <w:r w:rsidR="000C7CA1">
        <w:t xml:space="preserve">This was not clearly explained to the students and as such it led to confusion and I think some of the student switched off and disengaged with the subject. I was trying to raise awareness of the topic, which did not happen the way I would have liked. </w:t>
      </w:r>
      <w:r w:rsidR="00E7777B">
        <w:br/>
        <w:t xml:space="preserve"> </w:t>
      </w:r>
      <w:r w:rsidR="00E7777B">
        <w:tab/>
        <w:t>The next task I had them complete was a diagnostic tool that doctors would use to diagnose DID in patients, I give i</w:t>
      </w:r>
      <w:r w:rsidR="006368DD">
        <w:t xml:space="preserve">t to them as a fun task with a disclaimer that they should not use it to diagnose themselves, a friend, partner or the person next to them. Rather than give this, I should have given them a task to assess them either formatively or summative. Which was missing throughout the session. </w:t>
      </w:r>
      <w:r w:rsidR="00A80921">
        <w:t xml:space="preserve">Which I would need in future sessions, or within the lesson plans over many sessions much like it is in my placement. </w:t>
      </w:r>
      <w:r w:rsidR="00A80921">
        <w:br/>
        <w:t xml:space="preserve"> </w:t>
      </w:r>
      <w:r w:rsidR="00A80921">
        <w:tab/>
        <w:t xml:space="preserve">The students and I then went through their scores and we talked about how generic each statement was and could be interpreted and seen in any human. Afterwards I asked them why they think DID was controversial, a few slides too early, to which some students replied that because of the generic diagnostic tools, and the feeling that the brain could not be able to split in such a way, which were all valid points. I then went through a slide outlining and explaining some of the controversies, including the debate around repressed memories and the confusion with schizophrenia. At this point the overhead projector overheated and turned off, which did fluster me more but I managed to finish the presentation </w:t>
      </w:r>
      <w:r w:rsidR="00790DA2">
        <w:t xml:space="preserve">talking about the misrepresentation of DID in popular culture including films such as Split, Fight Club and Psycho as well as novels such as Dr Jekyll and Mr Hyde. </w:t>
      </w:r>
      <w:r w:rsidR="00790DA2">
        <w:br/>
        <w:t xml:space="preserve"> </w:t>
      </w:r>
      <w:r w:rsidR="00790DA2">
        <w:tab/>
        <w:t xml:space="preserve">I was very flustered and nervous throughout this session and I believe it was down to me </w:t>
      </w:r>
      <w:r w:rsidR="00790DA2">
        <w:lastRenderedPageBreak/>
        <w:t xml:space="preserve">changing the subject the night before, as I believed the lesson I was going to do was too broad and too long for the session I had and as such I was not as prepared as I would have liked to be and that led me to being flustered and awkward. For my teaching in placement I have been more prepared, not relied on PowerPoints as much and developed booklets on individual topics in order to build upon knowledge from lesson to lesson, and the timings have been more relaxed and calm and I believe the students have responded to this more and have learned more than if I was as flustered and as fast as I was in this session. </w:t>
      </w:r>
      <w:r w:rsidR="00790DA2">
        <w:br/>
      </w:r>
      <w:r w:rsidR="00790DA2">
        <w:tab/>
      </w:r>
      <w:r w:rsidR="00ED7EE8">
        <w:t>Pedagogy can refer to the</w:t>
      </w:r>
      <w:r w:rsidR="0011563C">
        <w:t xml:space="preserve"> interactions between students, teachers and the environment in which the learning is taking place. (Murphy, 2008) With a term as broad ad this it is hard to determine how the students and teachers can relate to each other </w:t>
      </w:r>
      <w:r w:rsidR="00E36FC0">
        <w:t>regardless of</w:t>
      </w:r>
      <w:r w:rsidR="0011563C">
        <w:t xml:space="preserve"> the continuous changes of the instinctual approaches in the classroom. (Murphy, 2008)</w:t>
      </w:r>
      <w:r w:rsidR="00E36FC0">
        <w:t xml:space="preserve"> These pedagogical theories can be placed into two groups, these are teacher-centred and learner-centred (Murphy, 2008) which may elude to two different approaches, which may be contradictory. These approaches can be complementary in the real world educational setting. A teacher-centred approach may be used as an introductory tactic in order to familiarise the students with the topic at hand (Murphy, 2008) whereas the student-centred approach can be used later in the curriculum to allow the students to explore and develop a deeper understanding of the theories and subjects to develop a deeper and more critical comprehension (Murphy, 2008) which is quite useful especially within the post-16 sector as a purely teacher-centred approach will not be cohesive or </w:t>
      </w:r>
      <w:r w:rsidR="002341CF">
        <w:t xml:space="preserve">be appropriate with an adult student base. </w:t>
      </w:r>
      <w:r w:rsidR="002341CF">
        <w:br/>
        <w:t xml:space="preserve"> </w:t>
      </w:r>
      <w:r w:rsidR="002341CF">
        <w:tab/>
        <w:t xml:space="preserve">Teacher-Centred Pedagogy, based primarily on the behaviourist approach, can be seem with most teachers practicing in both the compulsory sector and the post-compulsory sector as it is by far the easiest theory to implement within a classroom or lecture hall, (Westbrook et al, 2013) </w:t>
      </w:r>
      <w:r w:rsidR="00F926A0">
        <w:t>as it relies on the teacher to be the centre of the learning process and focuses on a whole-class</w:t>
      </w:r>
      <w:r w:rsidR="00E07A8F">
        <w:t xml:space="preserve"> address, memorization and chorus answers (Westbrook et al, 2013). With this pedagogy the students are only completing lower-order tasks and are not developed to answer or debate the questions brought up by the curriculum and are taught to regurgitate answers (Westbrook et al, 2013) although this can be effective </w:t>
      </w:r>
      <w:r w:rsidR="008B556B">
        <w:t>if the teacher is willing to ask students to elaborate and explain their ideas rather than merely lecture</w:t>
      </w:r>
      <w:r w:rsidR="00C42AC2">
        <w:t xml:space="preserve"> </w:t>
      </w:r>
      <w:r w:rsidR="00DC07E8">
        <w:t xml:space="preserve">(Westbrook et al, 2013) </w:t>
      </w:r>
      <w:r w:rsidR="00C42AC2">
        <w:t>which is a point at which I failed to implement in my micro-teach and instead focused on only giving information and not allowing much interaction with the points.</w:t>
      </w:r>
      <w:r w:rsidR="008B556B">
        <w:t xml:space="preserve"> </w:t>
      </w:r>
      <w:r w:rsidR="008B556B">
        <w:tab/>
      </w:r>
      <w:r w:rsidR="00DC07E8">
        <w:br/>
        <w:t xml:space="preserve"> </w:t>
      </w:r>
      <w:r w:rsidR="00DC07E8">
        <w:tab/>
      </w:r>
      <w:r w:rsidR="008B556B">
        <w:t xml:space="preserve">Whereas Learner-Centred Pedagogy, based on the constructivist theory, </w:t>
      </w:r>
      <w:r w:rsidR="003659A2">
        <w:t>whereby learners should have self-efficacy over their learning using prior knowledge and experiences to develop (Westbrook et al, 2013) with the teacher there purely as a facilitator by creating structures and skeletons that the student have to develop their understanding upon (Westbrook et al, 2013) and as such this approach has attracted considerable support for economic, cognitive and political reasons (</w:t>
      </w:r>
      <w:proofErr w:type="spellStart"/>
      <w:r w:rsidR="003659A2">
        <w:t>Vavrus</w:t>
      </w:r>
      <w:proofErr w:type="spellEnd"/>
      <w:r w:rsidR="003659A2">
        <w:t>, Bartlett &amp; Thomas, 2011) nevertheless with many teachers stuck within the teacher centred approach it can be difficult to teachers to switch to learner-centred pedagogy and will need considerable support which most institutions can seldom afford</w:t>
      </w:r>
      <w:r w:rsidR="00DC07E8">
        <w:t xml:space="preserve"> nor, with disruptive groups or those who are retraining </w:t>
      </w:r>
      <w:r w:rsidR="00B147CD">
        <w:t>it would be inappropriate for the teacher to step back, some guidance will have to be given, in which the students can build from</w:t>
      </w:r>
      <w:r w:rsidR="003659A2">
        <w:t xml:space="preserve">. </w:t>
      </w:r>
      <w:r w:rsidR="003659A2">
        <w:br/>
        <w:t xml:space="preserve"> </w:t>
      </w:r>
      <w:r w:rsidR="003659A2">
        <w:tab/>
      </w:r>
      <w:r w:rsidR="000B24C1">
        <w:t xml:space="preserve">Learning-Centred Pedagogy is a new term that refers to a mix between both learner-centred and teacher-centred pedagogy which can be quite effective if the teacher is aware of the local context, student numbers, the environment in which the learning will take place, the availability of teaching and learning materials, </w:t>
      </w:r>
      <w:r w:rsidR="001A5E99">
        <w:t>technology etc</w:t>
      </w:r>
      <w:r w:rsidR="000B24C1">
        <w:t xml:space="preserve"> that can impact on a student’s ability to learn effectively</w:t>
      </w:r>
      <w:r w:rsidR="00B147CD">
        <w:t>, which should be addressed in lesson plans</w:t>
      </w:r>
      <w:r w:rsidR="000B24C1">
        <w:t xml:space="preserve">. </w:t>
      </w:r>
      <w:r w:rsidR="00B5196F">
        <w:t xml:space="preserve">These would include lessons in museums, coffee shops, after school clubs etc. </w:t>
      </w:r>
      <w:r w:rsidR="001A5E99">
        <w:t>The teacher would need to flexible and adaptable to all situations and teach accordingly</w:t>
      </w:r>
      <w:r w:rsidR="00B147CD">
        <w:t xml:space="preserve">, which I was not during the micro-teach and as such the learning </w:t>
      </w:r>
      <w:r w:rsidR="00B147CD">
        <w:lastRenderedPageBreak/>
        <w:t>suffered greatly</w:t>
      </w:r>
      <w:r w:rsidR="001A5E99">
        <w:t xml:space="preserve">. </w:t>
      </w:r>
      <w:r w:rsidR="008E3A91">
        <w:t xml:space="preserve">A point that I am currently working on in my placement. </w:t>
      </w:r>
      <w:r w:rsidR="001A5E99">
        <w:br/>
        <w:t xml:space="preserve"> </w:t>
      </w:r>
      <w:r w:rsidR="001A5E99">
        <w:tab/>
        <w:t>The development of new theories that have challenged the ingrained ideas that ability over environment, social and educational influences have confirmed the belief in the educational commun</w:t>
      </w:r>
      <w:r w:rsidR="008E3A91">
        <w:t xml:space="preserve">ity the human ability to learn </w:t>
      </w:r>
      <w:r w:rsidR="001A5E99">
        <w:t>(Murphy, 2008)</w:t>
      </w:r>
      <w:r w:rsidR="008E3A91">
        <w:t>.</w:t>
      </w:r>
      <w:r w:rsidR="001A5E99">
        <w:t xml:space="preserve"> Learner-centred approaches are often misinterpreted a</w:t>
      </w:r>
      <w:r w:rsidR="008E3A91">
        <w:t>s</w:t>
      </w:r>
      <w:r w:rsidR="001A5E99">
        <w:t xml:space="preserve"> discovery approaches to pedagogy which translates as the learner </w:t>
      </w:r>
      <w:r w:rsidR="003F015C">
        <w:t xml:space="preserve">having qualities that, given the right environment can be realised to full potentials (Murphy, 2008) with the focus on individuals and not a class based pedagogy. </w:t>
      </w:r>
      <w:r w:rsidR="000F785C">
        <w:t>The teacher’s role has been restructured so that development of individual growth (Murphy, 2008) can be achieved with the main focus being on guiding students and not on lecturing</w:t>
      </w:r>
      <w:r w:rsidR="0037305B">
        <w:t>. D</w:t>
      </w:r>
      <w:r w:rsidR="000F785C">
        <w:t>rawing quite extensively from Piagetian theories of development in stages and a clear readiness for learning (Murphy, 2008)</w:t>
      </w:r>
      <w:r w:rsidR="00ED3155">
        <w:t xml:space="preserve"> this theory is the belief in a child’s development towards scientific rationality evolving spontaneously </w:t>
      </w:r>
      <w:r w:rsidR="00AA0CC2">
        <w:t xml:space="preserve">as the leaner </w:t>
      </w:r>
      <w:r w:rsidR="00ED3155">
        <w:t>explores their environment</w:t>
      </w:r>
      <w:r w:rsidR="00AA0CC2">
        <w:t xml:space="preserve">, whether it be in the learning centre or not (Murphy, 2008)  however the learner the can only learn if they are deemed ready to by the stage of development in which they currently reside (Murphy, 2008) which can be difficult for the teacher with learners of different abilities in one classroom, </w:t>
      </w:r>
      <w:r w:rsidR="000A7F35">
        <w:t>whether they b</w:t>
      </w:r>
      <w:r w:rsidR="0037305B">
        <w:t>e adult or child learners and be quite difficult to lesson plan and structure lessons accordingly. This may lead to teacher apathy whereby the teacher will just lecture and hope the student have</w:t>
      </w:r>
      <w:r w:rsidR="009E3FD5">
        <w:t xml:space="preserve"> kept up, a tactic which I have, unfortunately used at the beginning of the placement and as such have lost some students who have been left behind.  </w:t>
      </w:r>
      <w:r w:rsidR="000A7F35">
        <w:br/>
        <w:t xml:space="preserve"> </w:t>
      </w:r>
      <w:r w:rsidR="000A7F35">
        <w:tab/>
        <w:t>There is a conflict between Piagetian theories that normalise behaviours of the learner and those who aim to liberate the individuality of the learner (</w:t>
      </w:r>
      <w:proofErr w:type="spellStart"/>
      <w:r w:rsidR="000A7F35">
        <w:t>Walkerdine</w:t>
      </w:r>
      <w:proofErr w:type="spellEnd"/>
      <w:r w:rsidR="000A7F35">
        <w:t xml:space="preserve">, 1984) which is now the accepted pedagogy for independent learners within any learning environment for learners of any age.  While Piagetian pedagogies are continuing to be adapted and applied to all levels of the education system, more contemporary theories are beginning to gather steam with regards to application, especially within the post-compulsory sector (Murphy, 2008) where standards and curriculums are much more fluid and adaptable. Constructivism and socio-cultural theories have developed the understanding, much like Piaget, that the student is an active participant in the </w:t>
      </w:r>
      <w:r w:rsidR="00294547">
        <w:t>learning</w:t>
      </w:r>
      <w:r w:rsidR="000A7F35">
        <w:t xml:space="preserve"> process</w:t>
      </w:r>
      <w:r w:rsidR="00294547">
        <w:t xml:space="preserve"> able to construct meaning and knowledge themselves. (Murphy, 2008) and although views vary on how, it is generally agreed that teaching must first establish a baseline whereby the current knowledge of the student population is established. </w:t>
      </w:r>
      <w:r w:rsidR="00294547">
        <w:br/>
        <w:t xml:space="preserve"> </w:t>
      </w:r>
      <w:r w:rsidR="00294547">
        <w:tab/>
        <w:t xml:space="preserve">Operative knowledge (von </w:t>
      </w:r>
      <w:proofErr w:type="spellStart"/>
      <w:r w:rsidR="00294547">
        <w:t>Glaserfeld</w:t>
      </w:r>
      <w:proofErr w:type="spellEnd"/>
      <w:r w:rsidR="00294547">
        <w:t xml:space="preserve">, 1989) outlines strategies to develop explicit thinking within students. This development of metacognitive awareness relies heavily on language, (von </w:t>
      </w:r>
      <w:proofErr w:type="spellStart"/>
      <w:r w:rsidR="00294547">
        <w:t>Glaserfeld</w:t>
      </w:r>
      <w:proofErr w:type="spellEnd"/>
      <w:r w:rsidR="00294547">
        <w:t>, 1989) in learning joined with a perception of ability in distinguished social constructivist and socio-cultural theories of learning</w:t>
      </w:r>
      <w:r w:rsidR="00F12EAF">
        <w:t>;</w:t>
      </w:r>
      <w:r w:rsidR="00294547">
        <w:t xml:space="preserve"> whereby learners develop understanding over othe</w:t>
      </w:r>
      <w:r w:rsidR="00F12EAF">
        <w:t>rs minds due to shared language</w:t>
      </w:r>
      <w:r w:rsidR="00294547">
        <w:t xml:space="preserve"> (Bruner, 1986) Language allows learners to mediate their thoughts and to discuss these with fellow learners </w:t>
      </w:r>
      <w:r w:rsidR="00441771">
        <w:t xml:space="preserve">and any difficulties can be communicated and changed. (Bruner, 1986) </w:t>
      </w:r>
      <w:r w:rsidR="00441771">
        <w:br/>
        <w:t xml:space="preserve"> </w:t>
      </w:r>
      <w:r w:rsidR="00441771">
        <w:tab/>
        <w:t xml:space="preserve">Much like Pedagogy, Andragogy can be applied to all learners in a specified group, </w:t>
      </w:r>
      <w:r w:rsidR="007B440E">
        <w:t xml:space="preserve">generally </w:t>
      </w:r>
      <w:r w:rsidR="00441771">
        <w:t>adult learners</w:t>
      </w:r>
      <w:r w:rsidR="007B440E">
        <w:t xml:space="preserve"> but can also be used for advanced children if the development warrants a higher level</w:t>
      </w:r>
      <w:r w:rsidR="00441771">
        <w:t xml:space="preserve">, and analyse the ways in which learning can be improved or disproved. </w:t>
      </w:r>
      <w:r w:rsidR="00441771">
        <w:br/>
        <w:t xml:space="preserve"> </w:t>
      </w:r>
      <w:r w:rsidR="00441771">
        <w:tab/>
        <w:t>Andragogy can be seem as th</w:t>
      </w:r>
      <w:r w:rsidR="007B440E">
        <w:t xml:space="preserve">e antithesis to Pedagogy as it </w:t>
      </w:r>
      <w:r w:rsidR="00441771">
        <w:t xml:space="preserve">focuses on adult learners and the ways in which adults develop their learning styles. </w:t>
      </w:r>
      <w:r w:rsidR="00441771">
        <w:br/>
        <w:t xml:space="preserve"> </w:t>
      </w:r>
      <w:r w:rsidR="00441771">
        <w:tab/>
        <w:t xml:space="preserve">There are five assumptions about the characteristics of post-compulsory learners that are not necessarily related to those of children. </w:t>
      </w:r>
      <w:r w:rsidR="00441771">
        <w:br/>
        <w:t xml:space="preserve"> </w:t>
      </w:r>
      <w:r w:rsidR="00441771">
        <w:tab/>
        <w:t>Self-Concept is a term that defines self-efficacy and self-direction within the learning environment which will develop the more the adult learns or is motivated to learn</w:t>
      </w:r>
      <w:r w:rsidR="008265E8">
        <w:t>. Child learners are dependent on the teacher for learning, much like in a real world setting where children rely on their guardians for every need (Knowles, 1</w:t>
      </w:r>
      <w:r w:rsidR="00A5066C">
        <w:t xml:space="preserve">970) as the child matures, they see themselves as having more control over their learning and lives and this allows them to make decisions for themselves, firstly </w:t>
      </w:r>
      <w:r w:rsidR="00A5066C">
        <w:lastRenderedPageBreak/>
        <w:t xml:space="preserve">experimentally and then once the learner matures, </w:t>
      </w:r>
      <w:r w:rsidR="007B440E">
        <w:t xml:space="preserve">constructively as </w:t>
      </w:r>
      <w:r w:rsidR="00A5066C">
        <w:t xml:space="preserve">the more </w:t>
      </w:r>
      <w:r w:rsidR="003D4C1F">
        <w:t>responsibility</w:t>
      </w:r>
      <w:r w:rsidR="00A5066C">
        <w:t xml:space="preserve"> they have over their own learning</w:t>
      </w:r>
      <w:r w:rsidR="007B440E">
        <w:t>, the more in control the learner will feel</w:t>
      </w:r>
      <w:r w:rsidR="00A5066C">
        <w:t xml:space="preserve">. </w:t>
      </w:r>
      <w:r w:rsidR="00F606DD">
        <w:t>With adult learners, situations whereby they are treated much like child learners can lead to avoidance, resistance and resentment which would not be conducive to a helpful learning environment (Knowles, 1970) and may resist learning altogeth</w:t>
      </w:r>
      <w:r w:rsidR="00EB0E75">
        <w:t>er under these circumstances. It can be seen with most college and sixth form teaching as the student is stuck between wanting to be an adult but being treated much like a child.</w:t>
      </w:r>
      <w:r w:rsidR="00F606DD">
        <w:br/>
        <w:t xml:space="preserve"> </w:t>
      </w:r>
      <w:r w:rsidR="00F606DD">
        <w:tab/>
      </w:r>
      <w:r w:rsidR="00A0180E">
        <w:t>As</w:t>
      </w:r>
      <w:r w:rsidR="00EB0E75">
        <w:t xml:space="preserve"> </w:t>
      </w:r>
      <w:r w:rsidR="00A0180E">
        <w:t>the a</w:t>
      </w:r>
      <w:r w:rsidR="00F606DD">
        <w:t xml:space="preserve">dult learner experience matures, the learner is more prepared and better able to adapt and tap into reserves of knowledge from life experiences. (Knowles, 1970) An adult is defined by </w:t>
      </w:r>
      <w:r w:rsidR="00CA4157">
        <w:t>experiences</w:t>
      </w:r>
      <w:r w:rsidR="00F606DD">
        <w:t xml:space="preserve"> and </w:t>
      </w:r>
      <w:r w:rsidR="00CA4157">
        <w:t>because of this an adult will have deep investment in</w:t>
      </w:r>
      <w:r w:rsidR="00A0180E">
        <w:t xml:space="preserve"> these experiences so when faced</w:t>
      </w:r>
      <w:r w:rsidR="00CA4157">
        <w:t xml:space="preserve"> with a situation whereby these experiences are not being used, minimised or completely rejected, the learner may feel personally rejected (Knowles, 1970) which will lead to disestablished learners. </w:t>
      </w:r>
      <w:r w:rsidR="00E8570B">
        <w:t>However, when done right, the student will feel respected and valued and much more likely to engage and treat education and the gaining of knowledge as mo</w:t>
      </w:r>
      <w:r w:rsidR="00A0180E">
        <w:t xml:space="preserve">re than just a means to an end and this can be achieved by using debates and opinion polls to discuss key ideas from all the </w:t>
      </w:r>
      <w:r w:rsidR="001948DA">
        <w:t>learners’</w:t>
      </w:r>
      <w:r w:rsidR="00A0180E">
        <w:t xml:space="preserve"> perspectives. </w:t>
      </w:r>
      <w:r w:rsidR="00E8570B">
        <w:br/>
      </w:r>
      <w:r w:rsidR="00E8570B">
        <w:tab/>
        <w:t xml:space="preserve">A readiness to learn can be fostered in children, but it can become much more complicated </w:t>
      </w:r>
      <w:r w:rsidR="006C1148">
        <w:t xml:space="preserve">with adults. Most development in adults occurs mostly within social roles (Knowles, 1970) and requirement for each of these roles change with age thus changing readiness to learn based on which social role or cognitive stage of life the adult is in. </w:t>
      </w:r>
      <w:r w:rsidR="002841B4">
        <w:br/>
        <w:t xml:space="preserve"> </w:t>
      </w:r>
      <w:r w:rsidR="002841B4">
        <w:tab/>
        <w:t xml:space="preserve">Adults orientations towards learning varies from that of children. Children regard education for its immediacy whereas adults are more likely to look for postponed application </w:t>
      </w:r>
      <w:r w:rsidR="00703F4B">
        <w:t xml:space="preserve">and lifelong relevance </w:t>
      </w:r>
      <w:r w:rsidR="0042396D">
        <w:t xml:space="preserve">(Knowles, 1970) </w:t>
      </w:r>
      <w:r w:rsidR="00A0180E">
        <w:t xml:space="preserve">creating a bank of knowledge that can be tapped into at any time. </w:t>
      </w:r>
      <w:r w:rsidR="006C1148">
        <w:br/>
      </w:r>
      <w:r w:rsidR="006C1148">
        <w:tab/>
      </w:r>
      <w:r w:rsidR="00F07655">
        <w:t>And</w:t>
      </w:r>
      <w:r w:rsidR="00703F4B">
        <w:t xml:space="preserve"> lastly, adult learners need motivation in which to learn. This particular assumption was added much later than the others and refers to internal motivation that develops as the learner matures and see value in knowledge (Knowles, 1984) if an adult does not wan</w:t>
      </w:r>
      <w:r w:rsidR="00F07655">
        <w:t xml:space="preserve">t to learn, then they will not and so the teacher must be engaging and able to address all the issues that would surround the lack of motivation in students and allow for better cohesion in the student-teacher relationship. </w:t>
      </w:r>
      <w:r w:rsidR="001948DA">
        <w:br/>
        <w:t xml:space="preserve"> </w:t>
      </w:r>
      <w:r w:rsidR="001948DA">
        <w:tab/>
        <w:t xml:space="preserve">To conclude, </w:t>
      </w:r>
      <w:r w:rsidR="004D7229">
        <w:t xml:space="preserve">there are a few ways in which the principles of andragogy could be implemented within a classroom setting. Crossover learning, whereby the students learn in informal and unconventional ways can lead to better understanding and better engagement. </w:t>
      </w:r>
      <w:r w:rsidR="00832867">
        <w:t>Settings such as museums, pl</w:t>
      </w:r>
      <w:r w:rsidR="002300CF">
        <w:t xml:space="preserve">aces of interest, coffee shops are all useable to help the students learn in more advanced ways. Debating can also be an effective tool in order to create discussion and getting the students to either attack or defend a notion can be used for understanding and evaluating. </w:t>
      </w:r>
      <w:r w:rsidR="003A7B63">
        <w:t xml:space="preserve">For those students, especially within the adult learning sector, learning from experiences can be very effective and allow the student better understanding and retention if it is linked to a personal or professional experience. </w:t>
      </w:r>
      <w:r w:rsidR="00242A5C">
        <w:t xml:space="preserve">Computational thinking is one of the most important tools for a learner and if the teacher can allow a student to accomplish </w:t>
      </w:r>
      <w:r w:rsidR="00EF1221">
        <w:t xml:space="preserve">evaluation and comprehension. This powerful approach involves breaking down theories and ideas in to more compact and digestible parts, also known as decomposition, analysing how these relate to previous ideas, pattern recognition and then disregarding unimportant </w:t>
      </w:r>
      <w:r w:rsidR="005D7074">
        <w:t xml:space="preserve">details. </w:t>
      </w:r>
    </w:p>
    <w:p w:rsidR="00B5196F" w:rsidRDefault="00B5196F" w:rsidP="00DC07E8"/>
    <w:p w:rsidR="004D7229" w:rsidRDefault="004D7229" w:rsidP="00B5196F">
      <w:pPr>
        <w:pStyle w:val="NormalWeb"/>
        <w:shd w:val="clear" w:color="auto" w:fill="FFFFFF"/>
        <w:spacing w:before="330" w:beforeAutospacing="0" w:after="330" w:afterAutospacing="0"/>
        <w:rPr>
          <w:rFonts w:ascii="PT Sans" w:hAnsi="PT Sans"/>
          <w:color w:val="666666"/>
          <w:sz w:val="26"/>
          <w:szCs w:val="26"/>
          <w:shd w:val="clear" w:color="auto" w:fill="FFFFFF"/>
        </w:rPr>
      </w:pPr>
    </w:p>
    <w:p w:rsidR="004D7229" w:rsidRDefault="004D7229" w:rsidP="00B5196F">
      <w:pPr>
        <w:pStyle w:val="NormalWeb"/>
        <w:shd w:val="clear" w:color="auto" w:fill="FFFFFF"/>
        <w:spacing w:before="330" w:beforeAutospacing="0" w:after="330" w:afterAutospacing="0"/>
        <w:rPr>
          <w:rFonts w:ascii="PT Sans" w:hAnsi="PT Sans"/>
          <w:color w:val="666666"/>
          <w:sz w:val="26"/>
          <w:szCs w:val="26"/>
        </w:rPr>
      </w:pPr>
    </w:p>
    <w:p w:rsidR="00B5196F" w:rsidRDefault="00B5196F" w:rsidP="00DC07E8"/>
    <w:sdt>
      <w:sdtPr>
        <w:id w:val="-1111272919"/>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34370B" w:rsidRDefault="0034370B">
          <w:pPr>
            <w:pStyle w:val="Heading1"/>
          </w:pPr>
          <w:r>
            <w:t>References</w:t>
          </w:r>
        </w:p>
        <w:p w:rsidR="00A77D02" w:rsidRPr="00A77D02" w:rsidRDefault="00A77D02" w:rsidP="00A77D02">
          <w:pPr>
            <w:rPr>
              <w:lang w:val="en-US"/>
            </w:rPr>
          </w:pPr>
        </w:p>
        <w:sdt>
          <w:sdtPr>
            <w:id w:val="-573587230"/>
            <w:bibliography/>
          </w:sdtPr>
          <w:sdtContent>
            <w:p w:rsidR="0034370B" w:rsidRDefault="0034370B" w:rsidP="0034370B">
              <w:pPr>
                <w:pStyle w:val="Bibliography"/>
                <w:rPr>
                  <w:noProof/>
                  <w:sz w:val="24"/>
                  <w:szCs w:val="24"/>
                  <w:lang w:val="en-US"/>
                </w:rPr>
              </w:pPr>
              <w:r>
                <w:fldChar w:fldCharType="begin"/>
              </w:r>
              <w:r>
                <w:instrText xml:space="preserve"> BIBLIOGRAPHY </w:instrText>
              </w:r>
              <w:r>
                <w:fldChar w:fldCharType="separate"/>
              </w:r>
              <w:r>
                <w:rPr>
                  <w:noProof/>
                  <w:lang w:val="en-US"/>
                </w:rPr>
                <w:t xml:space="preserve">E-Learning Industry, 2013. </w:t>
              </w:r>
              <w:r>
                <w:rPr>
                  <w:i/>
                  <w:iCs/>
                  <w:noProof/>
                  <w:lang w:val="en-US"/>
                </w:rPr>
                <w:t xml:space="preserve">The Adult Learning Theory - Andragogy - of Malcolm Knowles. </w:t>
              </w:r>
              <w:r>
                <w:rPr>
                  <w:noProof/>
                  <w:lang w:val="en-US"/>
                </w:rPr>
                <w:t xml:space="preserve">[Online] </w:t>
              </w:r>
              <w:r>
                <w:rPr>
                  <w:noProof/>
                  <w:lang w:val="en-US"/>
                </w:rPr>
                <w:br/>
                <w:t xml:space="preserve">Available at: </w:t>
              </w:r>
              <w:r>
                <w:rPr>
                  <w:noProof/>
                  <w:u w:val="single"/>
                  <w:lang w:val="en-US"/>
                </w:rPr>
                <w:t>https://elearningindustry.com/the-adult-learning-theory-andragogy-of-malcolm-knowles</w:t>
              </w:r>
              <w:r>
                <w:rPr>
                  <w:noProof/>
                  <w:lang w:val="en-US"/>
                </w:rPr>
                <w:br/>
                <w:t>[Accessed 22 November 2017].</w:t>
              </w:r>
            </w:p>
            <w:p w:rsidR="0034370B" w:rsidRDefault="0034370B" w:rsidP="0034370B">
              <w:pPr>
                <w:pStyle w:val="Bibliography"/>
                <w:rPr>
                  <w:noProof/>
                  <w:lang w:val="en-US"/>
                </w:rPr>
              </w:pPr>
              <w:r>
                <w:rPr>
                  <w:noProof/>
                  <w:lang w:val="en-US"/>
                </w:rPr>
                <w:t xml:space="preserve">IIEP Learning Portal, n.d. </w:t>
              </w:r>
              <w:r>
                <w:rPr>
                  <w:i/>
                  <w:iCs/>
                  <w:noProof/>
                  <w:lang w:val="en-US"/>
                </w:rPr>
                <w:t xml:space="preserve">Improve Learning. </w:t>
              </w:r>
              <w:r>
                <w:rPr>
                  <w:noProof/>
                  <w:lang w:val="en-US"/>
                </w:rPr>
                <w:t xml:space="preserve">[Online] </w:t>
              </w:r>
              <w:r>
                <w:rPr>
                  <w:noProof/>
                  <w:lang w:val="en-US"/>
                </w:rPr>
                <w:br/>
                <w:t xml:space="preserve">Available at: </w:t>
              </w:r>
              <w:r>
                <w:rPr>
                  <w:noProof/>
                  <w:u w:val="single"/>
                  <w:lang w:val="en-US"/>
                </w:rPr>
                <w:t>https://learningportal.iiep.unesco.org/en/improve-learning/teachers-pedagogy/pedagogy-appropriate-and-effective</w:t>
              </w:r>
              <w:r>
                <w:rPr>
                  <w:noProof/>
                  <w:lang w:val="en-US"/>
                </w:rPr>
                <w:br/>
                <w:t>[Accessed 23 November 2017].</w:t>
              </w:r>
            </w:p>
            <w:p w:rsidR="0034370B" w:rsidRDefault="0034370B" w:rsidP="0034370B">
              <w:pPr>
                <w:pStyle w:val="Bibliography"/>
                <w:rPr>
                  <w:noProof/>
                  <w:lang w:val="en-US"/>
                </w:rPr>
              </w:pPr>
              <w:r>
                <w:rPr>
                  <w:noProof/>
                  <w:lang w:val="en-US"/>
                </w:rPr>
                <w:t xml:space="preserve">Kearsley, G., 2003. </w:t>
              </w:r>
              <w:r>
                <w:rPr>
                  <w:i/>
                  <w:iCs/>
                  <w:noProof/>
                  <w:lang w:val="en-US"/>
                </w:rPr>
                <w:t xml:space="preserve">Explorations in Learning &amp; Instruction: The Theory Into Practice Database , </w:t>
              </w:r>
              <w:r>
                <w:rPr>
                  <w:noProof/>
                  <w:lang w:val="en-US"/>
                </w:rPr>
                <w:t>s.l.: s.n.</w:t>
              </w:r>
            </w:p>
            <w:p w:rsidR="0034370B" w:rsidRDefault="0034370B" w:rsidP="0034370B">
              <w:pPr>
                <w:pStyle w:val="Bibliography"/>
                <w:rPr>
                  <w:noProof/>
                  <w:lang w:val="en-US"/>
                </w:rPr>
              </w:pPr>
              <w:r>
                <w:rPr>
                  <w:noProof/>
                  <w:lang w:val="en-US"/>
                </w:rPr>
                <w:t xml:space="preserve">Knowles, M., 1970. ANDRAGOGY: AN EMERGING TECHNOLOGY FOR ADULT LEARNING. </w:t>
              </w:r>
              <w:r>
                <w:rPr>
                  <w:i/>
                  <w:iCs/>
                  <w:noProof/>
                  <w:lang w:val="en-US"/>
                </w:rPr>
                <w:t>The Modern Practice of Adult Education.</w:t>
              </w:r>
            </w:p>
            <w:p w:rsidR="0034370B" w:rsidRDefault="0034370B" w:rsidP="0034370B">
              <w:pPr>
                <w:pStyle w:val="Bibliography"/>
                <w:rPr>
                  <w:noProof/>
                  <w:lang w:val="en-US"/>
                </w:rPr>
              </w:pPr>
              <w:r>
                <w:rPr>
                  <w:noProof/>
                  <w:lang w:val="en-US"/>
                </w:rPr>
                <w:t xml:space="preserve">Knowles, M., 1980. From Pedagogy to Androgogy. </w:t>
              </w:r>
              <w:r>
                <w:rPr>
                  <w:i/>
                  <w:iCs/>
                  <w:noProof/>
                  <w:lang w:val="en-US"/>
                </w:rPr>
                <w:t>The Modern Practice of Adult Education.</w:t>
              </w:r>
            </w:p>
            <w:p w:rsidR="0034370B" w:rsidRDefault="0034370B" w:rsidP="0034370B">
              <w:pPr>
                <w:pStyle w:val="Bibliography"/>
                <w:rPr>
                  <w:noProof/>
                  <w:lang w:val="en-US"/>
                </w:rPr>
              </w:pPr>
              <w:r>
                <w:rPr>
                  <w:noProof/>
                  <w:lang w:val="en-US"/>
                </w:rPr>
                <w:t xml:space="preserve">Merriam, S. B., 2009. Beyond Andragogy: New Directions in Adult Learning Theory. </w:t>
              </w:r>
              <w:r>
                <w:rPr>
                  <w:i/>
                  <w:iCs/>
                  <w:noProof/>
                  <w:lang w:val="en-US"/>
                </w:rPr>
                <w:t xml:space="preserve">Adult Education Research Conference, </w:t>
              </w:r>
              <w:r>
                <w:rPr>
                  <w:noProof/>
                  <w:lang w:val="en-US"/>
                </w:rPr>
                <w:t>pp. 455-461.</w:t>
              </w:r>
            </w:p>
            <w:p w:rsidR="0034370B" w:rsidRDefault="0034370B" w:rsidP="0034370B">
              <w:pPr>
                <w:pStyle w:val="Bibliography"/>
                <w:rPr>
                  <w:noProof/>
                  <w:lang w:val="en-US"/>
                </w:rPr>
              </w:pPr>
              <w:r>
                <w:rPr>
                  <w:noProof/>
                  <w:lang w:val="en-US"/>
                </w:rPr>
                <w:t xml:space="preserve">Murphy, P., 2008. Defining Pedagogy. </w:t>
              </w:r>
              <w:r>
                <w:rPr>
                  <w:i/>
                  <w:iCs/>
                  <w:noProof/>
                  <w:lang w:val="en-US"/>
                </w:rPr>
                <w:t xml:space="preserve">Equity in the Classroom, </w:t>
              </w:r>
              <w:r>
                <w:rPr>
                  <w:noProof/>
                  <w:lang w:val="en-US"/>
                </w:rPr>
                <w:t>pp. 28-39.</w:t>
              </w:r>
            </w:p>
            <w:p w:rsidR="0034370B" w:rsidRDefault="0034370B" w:rsidP="0034370B">
              <w:pPr>
                <w:pStyle w:val="Bibliography"/>
                <w:rPr>
                  <w:noProof/>
                  <w:lang w:val="en-US"/>
                </w:rPr>
              </w:pPr>
              <w:r>
                <w:rPr>
                  <w:noProof/>
                  <w:lang w:val="en-US"/>
                </w:rPr>
                <w:t xml:space="preserve">Vavrus, F., Thomas, M. &amp; Bartlett, L., 2011. Ensuring quality by attending to inquiry: Learner-centered pedagogy in sub-Saharan Africa. </w:t>
              </w:r>
              <w:r>
                <w:rPr>
                  <w:i/>
                  <w:iCs/>
                  <w:noProof/>
                  <w:lang w:val="en-US"/>
                </w:rPr>
                <w:t>Fundamentals of teacher education development.</w:t>
              </w:r>
            </w:p>
            <w:p w:rsidR="0034370B" w:rsidRDefault="0034370B" w:rsidP="0034370B">
              <w:pPr>
                <w:pStyle w:val="Bibliography"/>
                <w:rPr>
                  <w:noProof/>
                  <w:lang w:val="en-US"/>
                </w:rPr>
              </w:pPr>
              <w:r>
                <w:rPr>
                  <w:noProof/>
                  <w:lang w:val="en-US"/>
                </w:rPr>
                <w:t xml:space="preserve">Westbrook, J. et al., 2013. Pedagogy, Curriculum, Teaching Practices and Teacher Education in Developing Countries. </w:t>
              </w:r>
              <w:r>
                <w:rPr>
                  <w:i/>
                  <w:iCs/>
                  <w:noProof/>
                  <w:lang w:val="en-US"/>
                </w:rPr>
                <w:t xml:space="preserve">Education Rigorous Literature Review, </w:t>
              </w:r>
              <w:r>
                <w:rPr>
                  <w:noProof/>
                  <w:lang w:val="en-US"/>
                </w:rPr>
                <w:t>pp. 1-106.</w:t>
              </w:r>
            </w:p>
            <w:p w:rsidR="0034370B" w:rsidRDefault="0034370B" w:rsidP="0034370B">
              <w:r>
                <w:rPr>
                  <w:b/>
                  <w:bCs/>
                  <w:noProof/>
                </w:rPr>
                <w:fldChar w:fldCharType="end"/>
              </w:r>
            </w:p>
          </w:sdtContent>
        </w:sdt>
      </w:sdtContent>
    </w:sdt>
    <w:p w:rsidR="007A1161" w:rsidRDefault="007A1161" w:rsidP="00DC07E8"/>
    <w:sectPr w:rsidR="007A116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PT Sans">
    <w:altName w:val="Times New Roman"/>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03F274D"/>
    <w:multiLevelType w:val="multilevel"/>
    <w:tmpl w:val="E9FE4F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0595137"/>
    <w:multiLevelType w:val="multilevel"/>
    <w:tmpl w:val="DD50D452"/>
    <w:lvl w:ilvl="0">
      <w:start w:val="1"/>
      <w:numFmt w:val="bullet"/>
      <w:lvlText w:val=""/>
      <w:lvlJc w:val="left"/>
      <w:pPr>
        <w:tabs>
          <w:tab w:val="num" w:pos="8298"/>
        </w:tabs>
        <w:ind w:left="8298" w:hanging="360"/>
      </w:pPr>
      <w:rPr>
        <w:rFonts w:ascii="Symbol" w:hAnsi="Symbol" w:hint="default"/>
        <w:sz w:val="20"/>
      </w:rPr>
    </w:lvl>
    <w:lvl w:ilvl="1" w:tentative="1">
      <w:start w:val="1"/>
      <w:numFmt w:val="bullet"/>
      <w:lvlText w:val="o"/>
      <w:lvlJc w:val="left"/>
      <w:pPr>
        <w:tabs>
          <w:tab w:val="num" w:pos="9018"/>
        </w:tabs>
        <w:ind w:left="9018" w:hanging="360"/>
      </w:pPr>
      <w:rPr>
        <w:rFonts w:ascii="Courier New" w:hAnsi="Courier New" w:hint="default"/>
        <w:sz w:val="20"/>
      </w:rPr>
    </w:lvl>
    <w:lvl w:ilvl="2" w:tentative="1">
      <w:start w:val="1"/>
      <w:numFmt w:val="bullet"/>
      <w:lvlText w:val=""/>
      <w:lvlJc w:val="left"/>
      <w:pPr>
        <w:tabs>
          <w:tab w:val="num" w:pos="9738"/>
        </w:tabs>
        <w:ind w:left="9738" w:hanging="360"/>
      </w:pPr>
      <w:rPr>
        <w:rFonts w:ascii="Wingdings" w:hAnsi="Wingdings" w:hint="default"/>
        <w:sz w:val="20"/>
      </w:rPr>
    </w:lvl>
    <w:lvl w:ilvl="3" w:tentative="1">
      <w:start w:val="1"/>
      <w:numFmt w:val="bullet"/>
      <w:lvlText w:val=""/>
      <w:lvlJc w:val="left"/>
      <w:pPr>
        <w:tabs>
          <w:tab w:val="num" w:pos="10458"/>
        </w:tabs>
        <w:ind w:left="10458" w:hanging="360"/>
      </w:pPr>
      <w:rPr>
        <w:rFonts w:ascii="Wingdings" w:hAnsi="Wingdings" w:hint="default"/>
        <w:sz w:val="20"/>
      </w:rPr>
    </w:lvl>
    <w:lvl w:ilvl="4" w:tentative="1">
      <w:start w:val="1"/>
      <w:numFmt w:val="bullet"/>
      <w:lvlText w:val=""/>
      <w:lvlJc w:val="left"/>
      <w:pPr>
        <w:tabs>
          <w:tab w:val="num" w:pos="11178"/>
        </w:tabs>
        <w:ind w:left="11178" w:hanging="360"/>
      </w:pPr>
      <w:rPr>
        <w:rFonts w:ascii="Wingdings" w:hAnsi="Wingdings" w:hint="default"/>
        <w:sz w:val="20"/>
      </w:rPr>
    </w:lvl>
    <w:lvl w:ilvl="5" w:tentative="1">
      <w:start w:val="1"/>
      <w:numFmt w:val="bullet"/>
      <w:lvlText w:val=""/>
      <w:lvlJc w:val="left"/>
      <w:pPr>
        <w:tabs>
          <w:tab w:val="num" w:pos="11898"/>
        </w:tabs>
        <w:ind w:left="11898" w:hanging="360"/>
      </w:pPr>
      <w:rPr>
        <w:rFonts w:ascii="Wingdings" w:hAnsi="Wingdings" w:hint="default"/>
        <w:sz w:val="20"/>
      </w:rPr>
    </w:lvl>
    <w:lvl w:ilvl="6" w:tentative="1">
      <w:start w:val="1"/>
      <w:numFmt w:val="bullet"/>
      <w:lvlText w:val=""/>
      <w:lvlJc w:val="left"/>
      <w:pPr>
        <w:tabs>
          <w:tab w:val="num" w:pos="12618"/>
        </w:tabs>
        <w:ind w:left="12618" w:hanging="360"/>
      </w:pPr>
      <w:rPr>
        <w:rFonts w:ascii="Wingdings" w:hAnsi="Wingdings" w:hint="default"/>
        <w:sz w:val="20"/>
      </w:rPr>
    </w:lvl>
    <w:lvl w:ilvl="7" w:tentative="1">
      <w:start w:val="1"/>
      <w:numFmt w:val="bullet"/>
      <w:lvlText w:val=""/>
      <w:lvlJc w:val="left"/>
      <w:pPr>
        <w:tabs>
          <w:tab w:val="num" w:pos="13338"/>
        </w:tabs>
        <w:ind w:left="13338" w:hanging="360"/>
      </w:pPr>
      <w:rPr>
        <w:rFonts w:ascii="Wingdings" w:hAnsi="Wingdings" w:hint="default"/>
        <w:sz w:val="20"/>
      </w:rPr>
    </w:lvl>
    <w:lvl w:ilvl="8" w:tentative="1">
      <w:start w:val="1"/>
      <w:numFmt w:val="bullet"/>
      <w:lvlText w:val=""/>
      <w:lvlJc w:val="left"/>
      <w:pPr>
        <w:tabs>
          <w:tab w:val="num" w:pos="14058"/>
        </w:tabs>
        <w:ind w:left="14058" w:hanging="360"/>
      </w:pPr>
      <w:rPr>
        <w:rFonts w:ascii="Wingdings" w:hAnsi="Wingdings" w:hint="default"/>
        <w:sz w:val="20"/>
      </w:rPr>
    </w:lvl>
  </w:abstractNum>
  <w:abstractNum w:abstractNumId="2" w15:restartNumberingAfterBreak="0">
    <w:nsid w:val="77DB7183"/>
    <w:multiLevelType w:val="multilevel"/>
    <w:tmpl w:val="F9FCC0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E1FFC"/>
    <w:rsid w:val="000A7F35"/>
    <w:rsid w:val="000B24C1"/>
    <w:rsid w:val="000C5FE1"/>
    <w:rsid w:val="000C7CA1"/>
    <w:rsid w:val="000F785C"/>
    <w:rsid w:val="0011563C"/>
    <w:rsid w:val="001948DA"/>
    <w:rsid w:val="001A5E99"/>
    <w:rsid w:val="001B1FC3"/>
    <w:rsid w:val="001D313B"/>
    <w:rsid w:val="002300CF"/>
    <w:rsid w:val="002341CF"/>
    <w:rsid w:val="00242A5C"/>
    <w:rsid w:val="00270368"/>
    <w:rsid w:val="002841B4"/>
    <w:rsid w:val="00294547"/>
    <w:rsid w:val="002C327B"/>
    <w:rsid w:val="0034370B"/>
    <w:rsid w:val="003659A2"/>
    <w:rsid w:val="0037305B"/>
    <w:rsid w:val="003A7B63"/>
    <w:rsid w:val="003C19EB"/>
    <w:rsid w:val="003D4C1F"/>
    <w:rsid w:val="003F015C"/>
    <w:rsid w:val="0042396D"/>
    <w:rsid w:val="00441771"/>
    <w:rsid w:val="004D7229"/>
    <w:rsid w:val="00596955"/>
    <w:rsid w:val="005D7074"/>
    <w:rsid w:val="005D77C2"/>
    <w:rsid w:val="006368DD"/>
    <w:rsid w:val="006C1148"/>
    <w:rsid w:val="00703F4B"/>
    <w:rsid w:val="00790DA2"/>
    <w:rsid w:val="007A1161"/>
    <w:rsid w:val="007B440E"/>
    <w:rsid w:val="008265E8"/>
    <w:rsid w:val="00832867"/>
    <w:rsid w:val="008B556B"/>
    <w:rsid w:val="008E3A91"/>
    <w:rsid w:val="008E5C9F"/>
    <w:rsid w:val="009617E6"/>
    <w:rsid w:val="009E3FD5"/>
    <w:rsid w:val="00A0180E"/>
    <w:rsid w:val="00A5066C"/>
    <w:rsid w:val="00A70707"/>
    <w:rsid w:val="00A77D02"/>
    <w:rsid w:val="00A80921"/>
    <w:rsid w:val="00AA0CC2"/>
    <w:rsid w:val="00B147CD"/>
    <w:rsid w:val="00B341EE"/>
    <w:rsid w:val="00B5196F"/>
    <w:rsid w:val="00C42AC2"/>
    <w:rsid w:val="00CA4157"/>
    <w:rsid w:val="00CF3EAB"/>
    <w:rsid w:val="00D50D87"/>
    <w:rsid w:val="00DA4212"/>
    <w:rsid w:val="00DC07E8"/>
    <w:rsid w:val="00E07A8F"/>
    <w:rsid w:val="00E25BFB"/>
    <w:rsid w:val="00E36FC0"/>
    <w:rsid w:val="00E47D7A"/>
    <w:rsid w:val="00E7777B"/>
    <w:rsid w:val="00E8570B"/>
    <w:rsid w:val="00EB0E75"/>
    <w:rsid w:val="00ED3155"/>
    <w:rsid w:val="00ED7EE8"/>
    <w:rsid w:val="00EE1FFC"/>
    <w:rsid w:val="00EF1221"/>
    <w:rsid w:val="00F07655"/>
    <w:rsid w:val="00F12EAF"/>
    <w:rsid w:val="00F37BD2"/>
    <w:rsid w:val="00F55C4A"/>
    <w:rsid w:val="00F606DD"/>
    <w:rsid w:val="00F926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2E47C0"/>
  <w15:chartTrackingRefBased/>
  <w15:docId w15:val="{39B7246F-EB76-4446-AA9A-C0C585B59D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4370B"/>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5196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B5196F"/>
    <w:rPr>
      <w:b/>
      <w:bCs/>
    </w:rPr>
  </w:style>
  <w:style w:type="character" w:customStyle="1" w:styleId="Heading1Char">
    <w:name w:val="Heading 1 Char"/>
    <w:basedOn w:val="DefaultParagraphFont"/>
    <w:link w:val="Heading1"/>
    <w:uiPriority w:val="9"/>
    <w:rsid w:val="0034370B"/>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3437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7050722">
      <w:bodyDiv w:val="1"/>
      <w:marLeft w:val="0"/>
      <w:marRight w:val="0"/>
      <w:marTop w:val="0"/>
      <w:marBottom w:val="0"/>
      <w:divBdr>
        <w:top w:val="none" w:sz="0" w:space="0" w:color="auto"/>
        <w:left w:val="none" w:sz="0" w:space="0" w:color="auto"/>
        <w:bottom w:val="none" w:sz="0" w:space="0" w:color="auto"/>
        <w:right w:val="none" w:sz="0" w:space="0" w:color="auto"/>
      </w:divBdr>
    </w:div>
    <w:div w:id="380982819">
      <w:bodyDiv w:val="1"/>
      <w:marLeft w:val="0"/>
      <w:marRight w:val="0"/>
      <w:marTop w:val="0"/>
      <w:marBottom w:val="0"/>
      <w:divBdr>
        <w:top w:val="none" w:sz="0" w:space="0" w:color="auto"/>
        <w:left w:val="none" w:sz="0" w:space="0" w:color="auto"/>
        <w:bottom w:val="none" w:sz="0" w:space="0" w:color="auto"/>
        <w:right w:val="none" w:sz="0" w:space="0" w:color="auto"/>
      </w:divBdr>
    </w:div>
    <w:div w:id="402872613">
      <w:bodyDiv w:val="1"/>
      <w:marLeft w:val="0"/>
      <w:marRight w:val="0"/>
      <w:marTop w:val="0"/>
      <w:marBottom w:val="0"/>
      <w:divBdr>
        <w:top w:val="none" w:sz="0" w:space="0" w:color="auto"/>
        <w:left w:val="none" w:sz="0" w:space="0" w:color="auto"/>
        <w:bottom w:val="none" w:sz="0" w:space="0" w:color="auto"/>
        <w:right w:val="none" w:sz="0" w:space="0" w:color="auto"/>
      </w:divBdr>
    </w:div>
    <w:div w:id="559053977">
      <w:bodyDiv w:val="1"/>
      <w:marLeft w:val="0"/>
      <w:marRight w:val="0"/>
      <w:marTop w:val="0"/>
      <w:marBottom w:val="0"/>
      <w:divBdr>
        <w:top w:val="none" w:sz="0" w:space="0" w:color="auto"/>
        <w:left w:val="none" w:sz="0" w:space="0" w:color="auto"/>
        <w:bottom w:val="none" w:sz="0" w:space="0" w:color="auto"/>
        <w:right w:val="none" w:sz="0" w:space="0" w:color="auto"/>
      </w:divBdr>
    </w:div>
    <w:div w:id="803306783">
      <w:bodyDiv w:val="1"/>
      <w:marLeft w:val="0"/>
      <w:marRight w:val="0"/>
      <w:marTop w:val="0"/>
      <w:marBottom w:val="0"/>
      <w:divBdr>
        <w:top w:val="none" w:sz="0" w:space="0" w:color="auto"/>
        <w:left w:val="none" w:sz="0" w:space="0" w:color="auto"/>
        <w:bottom w:val="none" w:sz="0" w:space="0" w:color="auto"/>
        <w:right w:val="none" w:sz="0" w:space="0" w:color="auto"/>
      </w:divBdr>
    </w:div>
    <w:div w:id="1144390964">
      <w:bodyDiv w:val="1"/>
      <w:marLeft w:val="0"/>
      <w:marRight w:val="0"/>
      <w:marTop w:val="0"/>
      <w:marBottom w:val="0"/>
      <w:divBdr>
        <w:top w:val="none" w:sz="0" w:space="0" w:color="auto"/>
        <w:left w:val="none" w:sz="0" w:space="0" w:color="auto"/>
        <w:bottom w:val="none" w:sz="0" w:space="0" w:color="auto"/>
        <w:right w:val="none" w:sz="0" w:space="0" w:color="auto"/>
      </w:divBdr>
    </w:div>
    <w:div w:id="1479885805">
      <w:bodyDiv w:val="1"/>
      <w:marLeft w:val="0"/>
      <w:marRight w:val="0"/>
      <w:marTop w:val="0"/>
      <w:marBottom w:val="0"/>
      <w:divBdr>
        <w:top w:val="none" w:sz="0" w:space="0" w:color="auto"/>
        <w:left w:val="none" w:sz="0" w:space="0" w:color="auto"/>
        <w:bottom w:val="none" w:sz="0" w:space="0" w:color="auto"/>
        <w:right w:val="none" w:sz="0" w:space="0" w:color="auto"/>
      </w:divBdr>
    </w:div>
    <w:div w:id="1830827690">
      <w:bodyDiv w:val="1"/>
      <w:marLeft w:val="0"/>
      <w:marRight w:val="0"/>
      <w:marTop w:val="0"/>
      <w:marBottom w:val="0"/>
      <w:divBdr>
        <w:top w:val="none" w:sz="0" w:space="0" w:color="auto"/>
        <w:left w:val="none" w:sz="0" w:space="0" w:color="auto"/>
        <w:bottom w:val="none" w:sz="0" w:space="0" w:color="auto"/>
        <w:right w:val="none" w:sz="0" w:space="0" w:color="auto"/>
      </w:divBdr>
    </w:div>
    <w:div w:id="2009478205">
      <w:bodyDiv w:val="1"/>
      <w:marLeft w:val="0"/>
      <w:marRight w:val="0"/>
      <w:marTop w:val="0"/>
      <w:marBottom w:val="0"/>
      <w:divBdr>
        <w:top w:val="none" w:sz="0" w:space="0" w:color="auto"/>
        <w:left w:val="none" w:sz="0" w:space="0" w:color="auto"/>
        <w:bottom w:val="none" w:sz="0" w:space="0" w:color="auto"/>
        <w:right w:val="none" w:sz="0" w:space="0" w:color="auto"/>
      </w:divBdr>
    </w:div>
    <w:div w:id="21399076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IIE17</b:Tag>
    <b:SourceType>InternetSite</b:SourceType>
    <b:Guid>{1E842DA9-8362-44D4-A49A-A4ABDFBCB296}</b:Guid>
    <b:Title>Improve Learning</b:Title>
    <b:Author>
      <b:Author>
        <b:Corporate>IIEP Learning Portal</b:Corporate>
      </b:Author>
    </b:Author>
    <b:YearAccessed>2017</b:YearAccessed>
    <b:MonthAccessed>November</b:MonthAccessed>
    <b:DayAccessed>23</b:DayAccessed>
    <b:URL>https://learningportal.iiep.unesco.org/en/improve-learning/teachers-pedagogy/pedagogy-appropriate-and-effective</b:URL>
    <b:RefOrder>1</b:RefOrder>
  </b:Source>
  <b:Source>
    <b:Tag>ELe13</b:Tag>
    <b:SourceType>InternetSite</b:SourceType>
    <b:Guid>{8F252C57-4E40-42F0-8655-BF3AB0A0DF86}</b:Guid>
    <b:Author>
      <b:Author>
        <b:Corporate>E-Learning Industry</b:Corporate>
      </b:Author>
    </b:Author>
    <b:Title>The Adult Learning Theory - Andragogy - of Malcolm Knowles</b:Title>
    <b:Year>2013</b:Year>
    <b:YearAccessed>2017</b:YearAccessed>
    <b:MonthAccessed>November</b:MonthAccessed>
    <b:DayAccessed>22</b:DayAccessed>
    <b:URL>https://elearningindustry.com/the-adult-learning-theory-andragogy-of-malcolm-knowles</b:URL>
    <b:RefOrder>2</b:RefOrder>
  </b:Source>
  <b:Source>
    <b:Tag>Mal70</b:Tag>
    <b:SourceType>JournalArticle</b:SourceType>
    <b:Guid>{C885D5FE-CB60-46C8-8EF2-707D75AC638C}</b:Guid>
    <b:Title>ANDRAGOGY: AN EMERGING TECHNOLOGY FOR ADULT LEARNING</b:Title>
    <b:Year>1970</b:Year>
    <b:Author>
      <b:Author>
        <b:NameList>
          <b:Person>
            <b:Last>Knowles</b:Last>
            <b:First>Malcolm</b:First>
          </b:Person>
        </b:NameList>
      </b:Author>
    </b:Author>
    <b:JournalName>The Modern Practice of Adult Education</b:JournalName>
    <b:RefOrder>3</b:RefOrder>
  </b:Source>
  <b:Source>
    <b:Tag>Sha09</b:Tag>
    <b:SourceType>JournalArticle</b:SourceType>
    <b:Guid>{FDAF3B0F-30D7-4899-AD6A-41D2316CFA7E}</b:Guid>
    <b:Author>
      <b:Author>
        <b:NameList>
          <b:Person>
            <b:Last>Merriam</b:Last>
            <b:First>Sharan</b:First>
            <b:Middle>B.</b:Middle>
          </b:Person>
        </b:NameList>
      </b:Author>
    </b:Author>
    <b:Title>Beyond Andragogy: New Directions in Adult Learning Theory</b:Title>
    <b:JournalName>Adult Education Research Conference</b:JournalName>
    <b:Year>2009</b:Year>
    <b:Pages>455-461</b:Pages>
    <b:RefOrder>4</b:RefOrder>
  </b:Source>
  <b:Source>
    <b:Tag>Mal80</b:Tag>
    <b:SourceType>JournalArticle</b:SourceType>
    <b:Guid>{2B274434-F6F9-4291-B25F-AA01024F7915}</b:Guid>
    <b:Author>
      <b:Author>
        <b:NameList>
          <b:Person>
            <b:Last>Knowles</b:Last>
            <b:First>Malcolm</b:First>
          </b:Person>
        </b:NameList>
      </b:Author>
    </b:Author>
    <b:Title>From Pedagogy to Androgogy </b:Title>
    <b:JournalName>The Modern Practice of Adult Education</b:JournalName>
    <b:Year>1980</b:Year>
    <b:RefOrder>5</b:RefOrder>
  </b:Source>
  <b:Source>
    <b:Tag>Gre03</b:Tag>
    <b:SourceType>ElectronicSource</b:SourceType>
    <b:Guid>{300CDB43-3F42-4874-B573-0AA470A13B97}</b:Guid>
    <b:Title>Explorations in Learning &amp; Instruction: The Theory Into Practice Database </b:Title>
    <b:Year>2003</b:Year>
    <b:Author>
      <b:Author>
        <b:NameList>
          <b:Person>
            <b:Last>Kearsley</b:Last>
            <b:First>Greg</b:First>
          </b:Person>
        </b:NameList>
      </b:Author>
    </b:Author>
    <b:RefOrder>6</b:RefOrder>
  </b:Source>
  <b:Source>
    <b:Tag>Vav11</b:Tag>
    <b:SourceType>JournalArticle</b:SourceType>
    <b:Guid>{26ECCFE2-371A-4D34-88D4-F0DD964E44C4}</b:Guid>
    <b:Title>Ensuring quality by attending to inquiry: Learner-centered pedagogy in sub-Saharan Africa</b:Title>
    <b:Year>2011</b:Year>
    <b:Author>
      <b:Author>
        <b:NameList>
          <b:Person>
            <b:Last>Vavrus</b:Last>
            <b:First>Francis</b:First>
          </b:Person>
          <b:Person>
            <b:Last>Thomas</b:Last>
            <b:First>Matthew</b:First>
          </b:Person>
          <b:Person>
            <b:Last>Bartlett</b:Last>
            <b:First>Lesley</b:First>
          </b:Person>
        </b:NameList>
      </b:Author>
    </b:Author>
    <b:JournalName>Fundamentals of teacher education development</b:JournalName>
    <b:RefOrder>7</b:RefOrder>
  </b:Source>
  <b:Source>
    <b:Tag>Wes13</b:Tag>
    <b:SourceType>JournalArticle</b:SourceType>
    <b:Guid>{D8D43D8D-6BDB-4598-AA52-BBDF200140C9}</b:Guid>
    <b:Title>Pedagogy, Curriculum, Teaching Practices and Teacher Education in Developing Countries</b:Title>
    <b:JournalName>Education Rigorous Literature Review</b:JournalName>
    <b:Year>2013</b:Year>
    <b:Pages>1-106</b:Pages>
    <b:Author>
      <b:Author>
        <b:NameList>
          <b:Person>
            <b:Last>Westbrook</b:Last>
            <b:First>Jo</b:First>
          </b:Person>
          <b:Person>
            <b:Last>Durrani</b:Last>
            <b:First>Naureen</b:First>
          </b:Person>
          <b:Person>
            <b:Last>Brown</b:Last>
            <b:First>Rhona</b:First>
          </b:Person>
          <b:Person>
            <b:Last>Orr</b:Last>
            <b:First>David</b:First>
          </b:Person>
          <b:Person>
            <b:Last>Pryor</b:Last>
            <b:First>John</b:First>
          </b:Person>
          <b:Person>
            <b:Last>Boddy</b:Last>
            <b:First>Janet</b:First>
          </b:Person>
          <b:Person>
            <b:Last>Salvi</b:Last>
            <b:First>Francesca</b:First>
          </b:Person>
        </b:NameList>
      </b:Author>
    </b:Author>
    <b:RefOrder>8</b:RefOrder>
  </b:Source>
  <b:Source>
    <b:Tag>Pat08</b:Tag>
    <b:SourceType>JournalArticle</b:SourceType>
    <b:Guid>{F7AFE55D-E113-4506-A766-5D7B2DF43977}</b:Guid>
    <b:Author>
      <b:Author>
        <b:NameList>
          <b:Person>
            <b:Last>Murphy</b:Last>
            <b:First>Patricia</b:First>
          </b:Person>
        </b:NameList>
      </b:Author>
    </b:Author>
    <b:Title>Defining Pedagogy</b:Title>
    <b:JournalName>Equity in the Classroom</b:JournalName>
    <b:Year>2008</b:Year>
    <b:Pages>28-39</b:Pages>
    <b:RefOrder>9</b:RefOrder>
  </b:Source>
</b:Sources>
</file>

<file path=customXml/itemProps1.xml><?xml version="1.0" encoding="utf-8"?>
<ds:datastoreItem xmlns:ds="http://schemas.openxmlformats.org/officeDocument/2006/customXml" ds:itemID="{5609EAA3-E479-40DE-8D7C-CF152471A8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5</Pages>
  <Words>2681</Words>
  <Characters>15287</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ES9 9</dc:creator>
  <cp:keywords/>
  <dc:description/>
  <cp:lastModifiedBy>Bethan Connelly</cp:lastModifiedBy>
  <cp:revision>4</cp:revision>
  <dcterms:created xsi:type="dcterms:W3CDTF">2017-11-29T09:59:00Z</dcterms:created>
  <dcterms:modified xsi:type="dcterms:W3CDTF">2017-11-29T15:29:00Z</dcterms:modified>
</cp:coreProperties>
</file>