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57093" w14:textId="00478A0F" w:rsidR="00D278B2" w:rsidRPr="007B2303" w:rsidRDefault="00FE71F6" w:rsidP="00D278B2">
      <w:pPr>
        <w:rPr>
          <w:sz w:val="44"/>
          <w:szCs w:val="44"/>
        </w:rPr>
      </w:pPr>
      <w:r w:rsidRPr="007B2303">
        <w:rPr>
          <w:sz w:val="44"/>
          <w:szCs w:val="44"/>
        </w:rPr>
        <w:t xml:space="preserve">Ruksar israr </w:t>
      </w:r>
    </w:p>
    <w:p w14:paraId="26ABB8DE" w14:textId="22423B2A" w:rsidR="00FE71F6" w:rsidRPr="007B2303" w:rsidRDefault="00FE71F6" w:rsidP="00D278B2">
      <w:pPr>
        <w:rPr>
          <w:sz w:val="44"/>
          <w:szCs w:val="44"/>
        </w:rPr>
      </w:pPr>
      <w:r w:rsidRPr="007B2303">
        <w:rPr>
          <w:sz w:val="44"/>
          <w:szCs w:val="44"/>
        </w:rPr>
        <w:t>Student number 1817838</w:t>
      </w:r>
    </w:p>
    <w:p w14:paraId="17072C4B" w14:textId="7EC58036" w:rsidR="00FE71F6" w:rsidRPr="007B2303" w:rsidRDefault="00FE71F6" w:rsidP="00D278B2">
      <w:pPr>
        <w:rPr>
          <w:sz w:val="44"/>
          <w:szCs w:val="44"/>
        </w:rPr>
      </w:pPr>
      <w:r w:rsidRPr="007B2303">
        <w:rPr>
          <w:sz w:val="44"/>
          <w:szCs w:val="44"/>
        </w:rPr>
        <w:t xml:space="preserve">Lecture name </w:t>
      </w:r>
      <w:r w:rsidR="00CB4CA0" w:rsidRPr="007B2303">
        <w:rPr>
          <w:sz w:val="44"/>
          <w:szCs w:val="44"/>
        </w:rPr>
        <w:t>Tomy.</w:t>
      </w:r>
      <w:r w:rsidR="00383CF3" w:rsidRPr="007B2303">
        <w:rPr>
          <w:sz w:val="44"/>
          <w:szCs w:val="44"/>
        </w:rPr>
        <w:t xml:space="preserve"> </w:t>
      </w:r>
    </w:p>
    <w:p w14:paraId="07A2E6B3" w14:textId="6F1B0C70" w:rsidR="00383CF3" w:rsidRPr="007B2303" w:rsidRDefault="00383CF3" w:rsidP="00D278B2">
      <w:pPr>
        <w:rPr>
          <w:sz w:val="44"/>
          <w:szCs w:val="44"/>
        </w:rPr>
      </w:pPr>
      <w:r w:rsidRPr="007B2303">
        <w:rPr>
          <w:sz w:val="44"/>
          <w:szCs w:val="44"/>
        </w:rPr>
        <w:t xml:space="preserve">Module name </w:t>
      </w:r>
    </w:p>
    <w:p w14:paraId="09AF9ED6" w14:textId="77777777" w:rsidR="00272F87" w:rsidRPr="007B2303" w:rsidRDefault="00272F87" w:rsidP="00D278B2">
      <w:pPr>
        <w:rPr>
          <w:sz w:val="44"/>
          <w:szCs w:val="44"/>
        </w:rPr>
      </w:pPr>
    </w:p>
    <w:p w14:paraId="43735CC6" w14:textId="77777777" w:rsidR="00272F87" w:rsidRDefault="00272F87" w:rsidP="00D278B2"/>
    <w:p w14:paraId="10580788" w14:textId="77777777" w:rsidR="00272F87" w:rsidRDefault="00272F87" w:rsidP="00D278B2"/>
    <w:p w14:paraId="6B426976" w14:textId="77777777" w:rsidR="00272F87" w:rsidRDefault="00272F87" w:rsidP="00D278B2"/>
    <w:p w14:paraId="148E79B1" w14:textId="77777777" w:rsidR="00272F87" w:rsidRDefault="00272F87" w:rsidP="00D278B2"/>
    <w:p w14:paraId="66430C41" w14:textId="77777777" w:rsidR="00272F87" w:rsidRDefault="00272F87" w:rsidP="00D278B2"/>
    <w:p w14:paraId="0EB2D2FC" w14:textId="77777777" w:rsidR="00272F87" w:rsidRDefault="00272F87" w:rsidP="00D278B2"/>
    <w:p w14:paraId="36EE1B52" w14:textId="77777777" w:rsidR="00272F87" w:rsidRDefault="00272F87" w:rsidP="00D278B2"/>
    <w:p w14:paraId="3AAC0694" w14:textId="77777777" w:rsidR="00272F87" w:rsidRDefault="00272F87" w:rsidP="00D278B2"/>
    <w:p w14:paraId="36ADFE3D" w14:textId="77777777" w:rsidR="00272F87" w:rsidRDefault="00272F87" w:rsidP="00D278B2"/>
    <w:p w14:paraId="196516BF" w14:textId="77777777" w:rsidR="00272F87" w:rsidRDefault="00272F87" w:rsidP="00D278B2"/>
    <w:p w14:paraId="17F034D6" w14:textId="77777777" w:rsidR="00272F87" w:rsidRDefault="00272F87" w:rsidP="00D278B2"/>
    <w:p w14:paraId="11E3695C" w14:textId="77777777" w:rsidR="00272F87" w:rsidRDefault="00272F87" w:rsidP="00D278B2"/>
    <w:p w14:paraId="27CD574D" w14:textId="77777777" w:rsidR="00272F87" w:rsidRDefault="00272F87" w:rsidP="00D278B2"/>
    <w:p w14:paraId="4F65BA54" w14:textId="77777777" w:rsidR="00272F87" w:rsidRDefault="00272F87" w:rsidP="00D278B2"/>
    <w:p w14:paraId="6FB93F48" w14:textId="77777777" w:rsidR="00272F87" w:rsidRDefault="00272F87" w:rsidP="00D278B2"/>
    <w:p w14:paraId="762F457F" w14:textId="77777777" w:rsidR="00272F87" w:rsidRDefault="00272F87" w:rsidP="00D278B2"/>
    <w:p w14:paraId="6079ED1E" w14:textId="77777777" w:rsidR="00272F87" w:rsidRDefault="00272F87" w:rsidP="00D278B2"/>
    <w:p w14:paraId="19E6D516" w14:textId="77777777" w:rsidR="00272F87" w:rsidRDefault="00272F87" w:rsidP="00D278B2"/>
    <w:p w14:paraId="7CDF0668" w14:textId="77777777" w:rsidR="00272F87" w:rsidRDefault="00272F87" w:rsidP="00D278B2"/>
    <w:p w14:paraId="60EE78D7" w14:textId="77777777" w:rsidR="00272F87" w:rsidRDefault="00272F87" w:rsidP="00D278B2"/>
    <w:p w14:paraId="5DAB11EB" w14:textId="77777777" w:rsidR="00272F87" w:rsidRDefault="00272F87" w:rsidP="00D278B2"/>
    <w:p w14:paraId="287A9AEA" w14:textId="77777777" w:rsidR="00272F87" w:rsidRDefault="00272F87" w:rsidP="00D278B2"/>
    <w:p w14:paraId="474C84C6" w14:textId="77777777" w:rsidR="00272F87" w:rsidRDefault="00272F87" w:rsidP="00D278B2"/>
    <w:p w14:paraId="4080251C" w14:textId="77777777" w:rsidR="00272F87" w:rsidRDefault="00272F87" w:rsidP="00D278B2"/>
    <w:p w14:paraId="515C8020" w14:textId="77777777" w:rsidR="00272F87" w:rsidRDefault="00272F87" w:rsidP="00D278B2"/>
    <w:p w14:paraId="42592B95" w14:textId="77777777" w:rsidR="00272F87" w:rsidRDefault="00272F87" w:rsidP="00FE71F6">
      <w:pPr>
        <w:spacing w:line="480" w:lineRule="auto"/>
        <w:jc w:val="both"/>
      </w:pPr>
    </w:p>
    <w:p w14:paraId="2B96DDF2" w14:textId="1DB9D8D8" w:rsidR="00D278B2" w:rsidRPr="00FE71F6" w:rsidRDefault="00D278B2" w:rsidP="0093110B">
      <w:pPr>
        <w:spacing w:line="480" w:lineRule="auto"/>
        <w:jc w:val="both"/>
        <w:rPr>
          <w:b/>
          <w:bCs/>
          <w:u w:val="single"/>
        </w:rPr>
      </w:pPr>
      <w:r w:rsidRPr="00272F87">
        <w:rPr>
          <w:b/>
          <w:bCs/>
          <w:u w:val="single"/>
        </w:rPr>
        <w:t xml:space="preserve"> Introductio</w:t>
      </w:r>
      <w:r w:rsidR="00FE71F6">
        <w:rPr>
          <w:b/>
          <w:bCs/>
          <w:u w:val="single"/>
        </w:rPr>
        <w:t xml:space="preserve">n </w:t>
      </w:r>
    </w:p>
    <w:p w14:paraId="7072CB2F" w14:textId="406A7A85" w:rsidR="002E617F" w:rsidRPr="002E617F" w:rsidRDefault="0084704E" w:rsidP="0093110B">
      <w:pPr>
        <w:spacing w:line="480" w:lineRule="auto"/>
        <w:jc w:val="both"/>
      </w:pPr>
      <w:r>
        <w:t>Depression is a globally prevalent mental health disorder and a leading contributor to disability and disease burden</w:t>
      </w:r>
      <w:r w:rsidR="002D0CF8">
        <w:t>s</w:t>
      </w:r>
      <w:r>
        <w:t>. According to the World Health Organization (WHO), over 280 million people worldwide are affected by depression, with significant impacts on quality of life, productivity, and physical health (WHO, 2022). Depression is characterised by persistent sadness, loss of interest or pleasure, and a range of cognitive and somatic symptoms that impair daily functioning. The International Classification of Diseases,</w:t>
      </w:r>
      <w:r w:rsidR="002E617F" w:rsidRPr="002E617F">
        <w:rPr>
          <w:rFonts w:ascii="Times New Roman" w:eastAsia="Times New Roman" w:hAnsi="Times New Roman" w:cs="Times New Roman"/>
          <w:kern w:val="0"/>
          <w:sz w:val="24"/>
          <w:szCs w:val="24"/>
          <w:lang w:eastAsia="en-GB"/>
          <w14:ligatures w14:val="none"/>
        </w:rPr>
        <w:t xml:space="preserve"> </w:t>
      </w:r>
      <w:r w:rsidR="002E617F" w:rsidRPr="002E617F">
        <w:t>The WHO's 11th Revision (ICD-11) offers a thorough and updated framework for the diagnosis and classification of disorders of depression. With an emphasis on its diagnostic standards, treatment and rehabilitation strategies, and the ongoing discussions around its conceptualization, this study critically analyses depression as defined in ICD-11 Chapter 6. The study assesses the efficacy and shortcomings of present procedures and makes recommendations for enhancing care and results for people with depression, drawing on recent academic research and policy recommendations.</w:t>
      </w:r>
    </w:p>
    <w:p w14:paraId="20D74FBC" w14:textId="7EE9C900" w:rsidR="0084704E" w:rsidRDefault="0084704E" w:rsidP="0093110B">
      <w:pPr>
        <w:spacing w:line="480" w:lineRule="auto"/>
        <w:jc w:val="both"/>
      </w:pPr>
    </w:p>
    <w:p w14:paraId="6BACA49B" w14:textId="77777777" w:rsidR="0084704E" w:rsidRDefault="0084704E" w:rsidP="0093110B">
      <w:pPr>
        <w:spacing w:line="480" w:lineRule="auto"/>
        <w:jc w:val="both"/>
      </w:pPr>
    </w:p>
    <w:p w14:paraId="19198882" w14:textId="77777777" w:rsidR="0084704E" w:rsidRDefault="0084704E" w:rsidP="0093110B">
      <w:pPr>
        <w:spacing w:line="480" w:lineRule="auto"/>
        <w:jc w:val="both"/>
      </w:pPr>
    </w:p>
    <w:p w14:paraId="44485BBE" w14:textId="77777777" w:rsidR="0084704E" w:rsidRDefault="0084704E" w:rsidP="0093110B">
      <w:pPr>
        <w:spacing w:line="480" w:lineRule="auto"/>
        <w:jc w:val="both"/>
      </w:pPr>
    </w:p>
    <w:p w14:paraId="171AC670" w14:textId="77777777" w:rsidR="00383CF3" w:rsidRDefault="00383CF3" w:rsidP="0093110B">
      <w:pPr>
        <w:spacing w:line="480" w:lineRule="auto"/>
        <w:jc w:val="both"/>
      </w:pPr>
    </w:p>
    <w:p w14:paraId="62910C8A" w14:textId="77777777" w:rsidR="0093110B" w:rsidRDefault="0093110B" w:rsidP="0093110B">
      <w:pPr>
        <w:spacing w:line="480" w:lineRule="auto"/>
        <w:jc w:val="both"/>
      </w:pPr>
    </w:p>
    <w:p w14:paraId="4C7EE913" w14:textId="77777777" w:rsidR="00383CF3" w:rsidRDefault="00383CF3" w:rsidP="0093110B">
      <w:pPr>
        <w:spacing w:line="480" w:lineRule="auto"/>
        <w:jc w:val="both"/>
      </w:pPr>
    </w:p>
    <w:p w14:paraId="73A0056A" w14:textId="5FF4C6E3" w:rsidR="00D278B2" w:rsidRPr="00383CF3" w:rsidRDefault="00D278B2" w:rsidP="0093110B">
      <w:pPr>
        <w:spacing w:line="480" w:lineRule="auto"/>
        <w:jc w:val="both"/>
        <w:rPr>
          <w:b/>
          <w:bCs/>
          <w:u w:val="single"/>
        </w:rPr>
      </w:pPr>
      <w:r w:rsidRPr="00383CF3">
        <w:rPr>
          <w:b/>
          <w:bCs/>
          <w:u w:val="single"/>
        </w:rPr>
        <w:lastRenderedPageBreak/>
        <w:t>Classification and Diagnosis</w:t>
      </w:r>
    </w:p>
    <w:p w14:paraId="2B910C8D" w14:textId="2F23AA5D" w:rsidR="00A00B57" w:rsidRDefault="000F543D" w:rsidP="0093110B">
      <w:pPr>
        <w:spacing w:line="480" w:lineRule="auto"/>
        <w:jc w:val="both"/>
      </w:pPr>
      <w:r w:rsidRPr="000F543D">
        <w:t>ICD-11 places depression in codes 6A70 through 6A7Z, which fall under the more general heading of mood disorders. 6A70 (Single Episode Depression Disorder), 6A71 (Recurrent Depressed Disorder), and 6A73 (Dysthymic Disorder) are the three main classifications that are applicable to depression (WHO, 2022). Compared to ICD-10, which placed depressive episodes under a more ge</w:t>
      </w:r>
      <w:r w:rsidR="00447D78">
        <w:t>8</w:t>
      </w:r>
      <w:r w:rsidRPr="000F543D">
        <w:t>neric category, this arrangement represents an important update. Instead of depending only on categorical diagnoses, ICD-11 offers a dimensional approach that enables doctors to evaluate the degree of symptoms and functional impairment. The goal of this change is to increase the clinical use and diagnostic accuracy in a variety of situations and groups (First et al., 2021).</w:t>
      </w:r>
      <w:r w:rsidR="00EE709F" w:rsidRPr="00EE709F">
        <w:rPr>
          <w:rFonts w:ascii="Times New Roman" w:eastAsia="Times New Roman" w:hAnsi="Times New Roman" w:cs="Times New Roman"/>
          <w:kern w:val="0"/>
          <w:sz w:val="24"/>
          <w:szCs w:val="24"/>
          <w:lang w:eastAsia="en-GB"/>
          <w14:ligatures w14:val="none"/>
        </w:rPr>
        <w:t xml:space="preserve"> </w:t>
      </w:r>
      <w:r w:rsidR="00EE709F" w:rsidRPr="00EE709F">
        <w:t xml:space="preserve">Core symptoms such low mood, loss of interest or pleasure, and decreased energy must be present for at least two weeks </w:t>
      </w:r>
      <w:r w:rsidR="00CB4CA0" w:rsidRPr="00EE709F">
        <w:t>to</w:t>
      </w:r>
      <w:r w:rsidR="00EE709F" w:rsidRPr="00EE709F">
        <w:t xml:space="preserve"> meet the ICD-11 diagnostic criteria for depressive disorders. Suicidal thoughts or actions, disturbed sleep and appetite, feelings of shame or worthlessness, and impaired concentration are possible additional symptoms (WHO, 2022). Crucially, the diagnosis needs to be supported by proof of severe distress or a decline in social, academic, professional, or personal functioning. </w:t>
      </w:r>
      <w:r w:rsidR="004D66F7" w:rsidRPr="00EE709F">
        <w:t>To</w:t>
      </w:r>
      <w:r w:rsidR="00EE709F" w:rsidRPr="00EE709F">
        <w:t xml:space="preserve"> promote a more comprehensive and person</w:t>
      </w:r>
      <w:r w:rsidR="00A00B57">
        <w:t xml:space="preserve"> </w:t>
      </w:r>
      <w:r w:rsidR="00D02534" w:rsidRPr="00EE709F">
        <w:t>cantered</w:t>
      </w:r>
      <w:r w:rsidR="00EE709F" w:rsidRPr="00EE709F">
        <w:t xml:space="preserve"> approach, ICD-11 also highlights the significance of </w:t>
      </w:r>
      <w:r w:rsidR="00BA43B5" w:rsidRPr="00EE709F">
        <w:t>considering</w:t>
      </w:r>
      <w:r w:rsidR="00EE709F" w:rsidRPr="00EE709F">
        <w:t xml:space="preserve"> life events, social circumstances, and multiple medical conditions when making a diagnosis (Reed et al., 2019).</w:t>
      </w:r>
      <w:r w:rsidR="00BA43B5">
        <w:t xml:space="preserve"> </w:t>
      </w:r>
      <w:r w:rsidR="00EE709F" w:rsidRPr="00EE709F">
        <w:t xml:space="preserve">There has been controversy around the wording used in ICD-11, especially the term "disorder." </w:t>
      </w:r>
      <w:r w:rsidR="00A00B57" w:rsidRPr="00A00B57">
        <w:t xml:space="preserve">Some academics contend that it may maintain stigma and treat typical emotional reactions to life challenges, even as it acknowledges clinical relevance and the need for intervention (Horwitz and Wakefield, 2007). To lessen stigma and encourage recovery-oriented care, other names like "condition" or "experience" have been suggested. However, the ICD-11 model offers doctors more flexibility and clarity, marking a significant progress in the </w:t>
      </w:r>
      <w:r w:rsidR="00383CF3">
        <w:t xml:space="preserve">classification of  </w:t>
      </w:r>
      <w:r w:rsidR="00A00B57" w:rsidRPr="00A00B57">
        <w:t xml:space="preserve"> </w:t>
      </w:r>
      <w:r w:rsidR="00383CF3" w:rsidRPr="00A00B57">
        <w:t>depression</w:t>
      </w:r>
      <w:r w:rsidR="00A00B57" w:rsidRPr="00A00B57">
        <w:t>.</w:t>
      </w:r>
    </w:p>
    <w:p w14:paraId="32532EB7" w14:textId="77777777" w:rsidR="00BA49C8" w:rsidRDefault="00BA49C8" w:rsidP="0093110B">
      <w:pPr>
        <w:spacing w:line="480" w:lineRule="auto"/>
        <w:jc w:val="both"/>
      </w:pPr>
    </w:p>
    <w:p w14:paraId="3D641522" w14:textId="77777777" w:rsidR="0093110B" w:rsidRPr="00BA49C8" w:rsidRDefault="0093110B" w:rsidP="0093110B">
      <w:pPr>
        <w:spacing w:line="480" w:lineRule="auto"/>
        <w:jc w:val="both"/>
      </w:pPr>
    </w:p>
    <w:p w14:paraId="7D8425FF" w14:textId="2CFDA522" w:rsidR="00D278B2" w:rsidRPr="00BA49C8" w:rsidRDefault="00D278B2" w:rsidP="0093110B">
      <w:pPr>
        <w:jc w:val="both"/>
        <w:rPr>
          <w:b/>
          <w:bCs/>
          <w:u w:val="single"/>
        </w:rPr>
      </w:pPr>
      <w:r w:rsidRPr="00272F87">
        <w:rPr>
          <w:b/>
          <w:bCs/>
          <w:u w:val="single"/>
        </w:rPr>
        <w:lastRenderedPageBreak/>
        <w:t>Treatment and Rehabilitation</w:t>
      </w:r>
    </w:p>
    <w:p w14:paraId="350F4AD9" w14:textId="34EA4651" w:rsidR="005B7080" w:rsidRPr="005B7080" w:rsidRDefault="005B7080" w:rsidP="00380E9F">
      <w:pPr>
        <w:spacing w:line="360" w:lineRule="auto"/>
        <w:jc w:val="both"/>
      </w:pPr>
      <w:r w:rsidRPr="005B7080">
        <w:t xml:space="preserve">Depending on the patient's demands and the severity of their depression, medicine and </w:t>
      </w:r>
      <w:r w:rsidR="00BA49C8" w:rsidRPr="005B7080">
        <w:t>behavioural</w:t>
      </w:r>
      <w:r w:rsidRPr="005B7080">
        <w:t xml:space="preserve"> therapies are often used together for treatment. For moderate to severe cases of depression, the National Institute for </w:t>
      </w:r>
      <w:r w:rsidR="004D66F7" w:rsidRPr="005B7080">
        <w:t>Health,</w:t>
      </w:r>
      <w:r w:rsidRPr="005B7080">
        <w:t xml:space="preserve"> and Care Excellence (NICE) suggests a stepped care strategy that starts with low-intensity interventions and moves on to more intensive treatments (NICE, 2022). Psychoeducation, self-help techniques, and digital cognitive </w:t>
      </w:r>
      <w:r w:rsidR="00BA49C8" w:rsidRPr="005B7080">
        <w:t>behavioural</w:t>
      </w:r>
      <w:r w:rsidRPr="005B7080">
        <w:t xml:space="preserve"> therapy (CBT) applications like </w:t>
      </w:r>
      <w:r w:rsidR="00B41E2F" w:rsidRPr="005B7080">
        <w:t>WYSA</w:t>
      </w:r>
      <w:r w:rsidRPr="005B7080">
        <w:t xml:space="preserve"> are frequently utilized for mild depression. The goal of these therapies is to enable people to control their symptoms and stop them from getting worse (Firth et al., 2020).</w:t>
      </w:r>
      <w:r w:rsidR="00BA49C8" w:rsidRPr="00BA49C8">
        <w:rPr>
          <w:rFonts w:ascii="Times New Roman" w:eastAsia="Times New Roman" w:hAnsi="Times New Roman" w:cs="Times New Roman"/>
          <w:kern w:val="0"/>
          <w:sz w:val="24"/>
          <w:szCs w:val="24"/>
          <w:lang w:eastAsia="en-GB"/>
          <w14:ligatures w14:val="none"/>
        </w:rPr>
        <w:t xml:space="preserve"> </w:t>
      </w:r>
      <w:r w:rsidR="00BA49C8" w:rsidRPr="00BA49C8">
        <w:t xml:space="preserve">Pharmacological treatments such antidepressants with serotonin-norepinephrine reuptake inhibitors, and selective serotonin reuptake inhibitors (SSRIs) are frequently used for moderate to severe depression. Despite the possibility of adverse effects such weight gain, sexual dysfunction, and emotional blunting, these drugs have been demonstrated to be successful in symptom reduction (Jakobsen et al., 2017). Additionally advised are psychological treatments that have been shown to be effective in enhancing mood and functioning, such as cognitive behavioural therapy (CBT), interpersonal therapy (IPT), and behavioural activation (Cuijpers et al., 2020). </w:t>
      </w:r>
    </w:p>
    <w:p w14:paraId="75BE485C" w14:textId="3B2AF44D" w:rsidR="00D278B2" w:rsidRDefault="00D278B2" w:rsidP="00380E9F">
      <w:pPr>
        <w:spacing w:line="360" w:lineRule="auto"/>
        <w:jc w:val="both"/>
      </w:pPr>
      <w:r>
        <w:t>In cases of treatment-resistant depression, augmentation strategies such as combining medications or using electroconvulsive therapy (ECT) may be considered (UK ECT Review Group, 2003).</w:t>
      </w:r>
      <w:r w:rsidR="00752087">
        <w:t xml:space="preserve"> </w:t>
      </w:r>
      <w:r>
        <w:t>Rehabilitation plays a crucial role in supporting recovery and preventing relapse. ICD-11 promotes community-based mental health services, psychoeducation, and vocational support as key components of rehabilitation (WHO, 2022). These measures aim to restore functioning, enhance quality of life, and facilitate social reintegration. Rehabilitation practices may include peer support, supported employment, relapse prevention planning, and social prescribing. Despite their potential benefits, rehabilitation services are often underfunded and inconsistently implemented, particularly in low-resource settings. The WHO’s Mental Health Action Plan (2021) calls for increased investment in psychosocial rehabilitation and integration into primary care.</w:t>
      </w:r>
      <w:r w:rsidR="00752087">
        <w:t xml:space="preserve"> </w:t>
      </w:r>
      <w:r>
        <w:t>The effectiveness of treatment and rehabilitation approaches varies depending on individual factors, access to services, and systemic barriers. While antidepressants and psychological therapies are evidence-based, their availability may be limited by workforce shortages, long waiting times, and socioeconomic disparities (Thornicroft et al., 2016). Digital tools offer scalable solutions but raise concerns about data privacy, clinical oversight, and digital exclusion (Naslund et al., 2017). Rehabilitation services are effective in improving long-term outcomes but require sustained funding and policy support to be fully integrated into care pathways (Slade et al., 2014).</w:t>
      </w:r>
    </w:p>
    <w:p w14:paraId="1ED50386" w14:textId="77777777" w:rsidR="001B6692" w:rsidRDefault="001B6692" w:rsidP="0093110B">
      <w:pPr>
        <w:jc w:val="both"/>
      </w:pPr>
    </w:p>
    <w:p w14:paraId="1363F787" w14:textId="2E6CCBD9" w:rsidR="00D278B2" w:rsidRPr="00272F87" w:rsidRDefault="00D278B2" w:rsidP="0093110B">
      <w:pPr>
        <w:jc w:val="both"/>
        <w:rPr>
          <w:b/>
          <w:bCs/>
          <w:u w:val="single"/>
        </w:rPr>
      </w:pPr>
      <w:r w:rsidRPr="00272F87">
        <w:rPr>
          <w:b/>
          <w:bCs/>
          <w:u w:val="single"/>
        </w:rPr>
        <w:lastRenderedPageBreak/>
        <w:t xml:space="preserve"> Current Debates and Emerging Issues</w:t>
      </w:r>
    </w:p>
    <w:p w14:paraId="7D1BB009" w14:textId="77777777" w:rsidR="00D278B2" w:rsidRDefault="00D278B2" w:rsidP="0093110B">
      <w:pPr>
        <w:jc w:val="both"/>
      </w:pPr>
    </w:p>
    <w:p w14:paraId="2A3D39BD" w14:textId="77777777" w:rsidR="00D278B2" w:rsidRDefault="00D278B2" w:rsidP="0093110B">
      <w:pPr>
        <w:spacing w:line="360" w:lineRule="auto"/>
        <w:jc w:val="both"/>
      </w:pPr>
      <w:r>
        <w:t>The classification and treatment of depression continue to be the subject of ongoing debate within the mental health field. One key issue is the categorical nature of diagnostic systems such as ICD-11, which may oversimplify the complex and heterogeneous nature of depressive experiences. Critics argue that depression exists on a continuum and overlaps with other conditions such as anxiety, trauma-related disorders, and neurodevelopmental disorders (Kendler et al., 2011). This has led to calls for transdiagnostic models that focus on underlying mechanisms such as emotional dysregulation, cognitive biases, and neurobiological factors.</w:t>
      </w:r>
    </w:p>
    <w:p w14:paraId="77B894B5" w14:textId="25246937" w:rsidR="00D278B2" w:rsidRDefault="00D278B2" w:rsidP="0093110B">
      <w:pPr>
        <w:spacing w:line="360" w:lineRule="auto"/>
        <w:jc w:val="both"/>
      </w:pPr>
      <w:r>
        <w:t xml:space="preserve">ICD-11’s dimensional approach represents progress in this regard, allowing for the assessment of symptom severity and functional impairment. However, its implementation in clinical practice remains uneven, with many clinicians defaulting to categorical diagnoses due to time constraints and systemic pressures. There is also concern that current diagnostic frameworks may not fully capture the lived experience of depression, particularly among marginalised populations. For </w:t>
      </w:r>
      <w:r w:rsidR="001B6692">
        <w:t>2</w:t>
      </w:r>
      <w:r>
        <w:t>example, cultural differences in the expression of distress and help-seeking behaviours may lead to underdiagnosis or misdiagnosis in certain groups (Seemüller, 2023).</w:t>
      </w:r>
    </w:p>
    <w:p w14:paraId="1BE89E46" w14:textId="4B9465C8" w:rsidR="00D278B2" w:rsidRDefault="00D278B2" w:rsidP="0093110B">
      <w:pPr>
        <w:spacing w:line="360" w:lineRule="auto"/>
        <w:jc w:val="both"/>
      </w:pPr>
      <w:r>
        <w:t xml:space="preserve">Neurodivergence presents another emerging issue in the classification and treatment of depression. Research has shown that depression may manifest differently in individuals with autism spectrum disorder (ASD), attention-deficit/hyperactivity disorder (ADHD), and other neurodevelopmental conditions (Lai et al., 2019). Symptoms may be masked, misinterpreted, or attributed to other conditions, leading to diagnostic challenges. ICD-11 does not yet fully accommodate neurodivergent presentations, prompting calls for more inclusive diagnostic frameworks and training for clinicians. The neurodiversity movement advocates for recognising diverse cognitive profiles and tailoring </w:t>
      </w:r>
      <w:r w:rsidR="00CB4CA0">
        <w:t>interventions,</w:t>
      </w:r>
      <w:r>
        <w:t xml:space="preserve"> accordingly, emphasising strengths-based approaches and reducing stigma.</w:t>
      </w:r>
    </w:p>
    <w:p w14:paraId="3151B49A" w14:textId="77777777" w:rsidR="001B6692" w:rsidRDefault="00D278B2" w:rsidP="0093110B">
      <w:pPr>
        <w:spacing w:line="360" w:lineRule="auto"/>
        <w:jc w:val="both"/>
      </w:pPr>
      <w:r>
        <w:t>Reclassification debates also centre on subthreshold depression, which refers to depressive symptoms that do not meet full diagnostic criteria but still cause significant distress and impairment. Some experts argue for its inclusion in diagnostic systems to facilitate early intervention and prevent progression to major depressive disorder. Others caution against over-pathologising normal emotional responses to life stressors, highlighting the need for careful clinical judgement and contextual understanding (Horwitz and Wakefield, 2007). These debates reflect broader tensions between clinical utility, scientific validity, and ethical considerations in mental health care.</w:t>
      </w:r>
    </w:p>
    <w:p w14:paraId="3F6D648C" w14:textId="4333B273" w:rsidR="00D278B2" w:rsidRPr="003C2C07" w:rsidRDefault="00D278B2" w:rsidP="0093110B">
      <w:pPr>
        <w:spacing w:line="360" w:lineRule="auto"/>
        <w:jc w:val="both"/>
        <w:rPr>
          <w:b/>
          <w:bCs/>
        </w:rPr>
      </w:pPr>
      <w:r w:rsidRPr="003C2C07">
        <w:rPr>
          <w:b/>
          <w:bCs/>
        </w:rPr>
        <w:lastRenderedPageBreak/>
        <w:t>Recommendations</w:t>
      </w:r>
    </w:p>
    <w:p w14:paraId="72B54193" w14:textId="74399832" w:rsidR="00D278B2" w:rsidRDefault="00D278B2" w:rsidP="0093110B">
      <w:pPr>
        <w:spacing w:line="360" w:lineRule="auto"/>
        <w:jc w:val="both"/>
      </w:pPr>
      <w:r>
        <w:t>Based on the critical analysis presented in this report, several recommendations can be made to improve the classification, diagnosis, treatment, and rehabilitation of depression. First, diagnostic frameworks should be refined to incorporate dimensional assessments that capture the severity and complexity of depressive symptoms. This would enhance clinical accuracy and support personalised care planning. Additionally, culturally sensitive diagnostic tools should be developed to reduce misdiagnosis and improve access to care for diverse populations (Bhugra et al., 2014).</w:t>
      </w:r>
      <w:r w:rsidR="006A5FB9">
        <w:t xml:space="preserve"> </w:t>
      </w:r>
      <w:r>
        <w:t>Second, access to psychological therapies should be expanded through increased funding, workforce development, and digital innovation. Training programmes should emphasise trauma-informed and neurodivergent-affirming care to ensure that interventions are inclusive and responsive to individual needs. Reducing waiting times and improving outreach to marginalised groups are essential for promoting equity in mental health services (Clark et al., 2009).</w:t>
      </w:r>
      <w:r w:rsidR="006A5FB9">
        <w:t xml:space="preserve"> </w:t>
      </w:r>
      <w:r>
        <w:t>Third, rehabilitation pathways should be strengthened by embedding peer support workers, community connectors, and social prescribing into care teams. Supported employment and creative therapies should be promoted as part of holistic recovery plans. Integration of rehabilitation into primary care and discharge planning would enhance continuity of care and reduce the risk of relapse (Slade et al., 2014).</w:t>
      </w:r>
      <w:r w:rsidR="006A5FB9">
        <w:t xml:space="preserve"> </w:t>
      </w:r>
      <w:r>
        <w:t>Finally, policy and research efforts should prioritise co-production with individuals with lived experience, longitudinal studies on digital interventions, and intersectional analysis of mental health disparities. Policymakers should address systemic barriers to care, including funding gaps, workforce shortages, and social determinants of health. By adopting a person-centred, evidence-based, and inclusive approach, mental health services can better support individuals living with depression and promote recovery across diverse contexts.</w:t>
      </w:r>
    </w:p>
    <w:p w14:paraId="2EA1A6DB" w14:textId="77777777" w:rsidR="00D278B2" w:rsidRDefault="00D278B2" w:rsidP="0093110B">
      <w:pPr>
        <w:spacing w:line="360" w:lineRule="auto"/>
        <w:jc w:val="both"/>
      </w:pPr>
    </w:p>
    <w:p w14:paraId="37B4F686" w14:textId="77777777" w:rsidR="00D278B2" w:rsidRDefault="00D278B2" w:rsidP="0093110B">
      <w:pPr>
        <w:spacing w:line="360" w:lineRule="auto"/>
        <w:jc w:val="both"/>
      </w:pPr>
    </w:p>
    <w:p w14:paraId="73E960B9" w14:textId="77777777" w:rsidR="00D278B2" w:rsidRDefault="00D278B2" w:rsidP="0093110B">
      <w:pPr>
        <w:spacing w:line="360" w:lineRule="auto"/>
        <w:jc w:val="both"/>
      </w:pPr>
    </w:p>
    <w:p w14:paraId="4D2407CC" w14:textId="77777777" w:rsidR="00272F87" w:rsidRDefault="00272F87" w:rsidP="0093110B">
      <w:pPr>
        <w:spacing w:line="360" w:lineRule="auto"/>
        <w:jc w:val="both"/>
        <w:rPr>
          <w:b/>
          <w:bCs/>
        </w:rPr>
      </w:pPr>
    </w:p>
    <w:p w14:paraId="4E8742DF" w14:textId="77777777" w:rsidR="00272F87" w:rsidRDefault="00272F87" w:rsidP="0093110B">
      <w:pPr>
        <w:spacing w:line="360" w:lineRule="auto"/>
        <w:jc w:val="both"/>
        <w:rPr>
          <w:b/>
          <w:bCs/>
        </w:rPr>
      </w:pPr>
    </w:p>
    <w:p w14:paraId="018672F6" w14:textId="77777777" w:rsidR="00F23780" w:rsidRDefault="00F23780" w:rsidP="0093110B">
      <w:pPr>
        <w:spacing w:line="360" w:lineRule="auto"/>
        <w:jc w:val="both"/>
        <w:rPr>
          <w:b/>
          <w:bCs/>
        </w:rPr>
      </w:pPr>
    </w:p>
    <w:p w14:paraId="0D57829D" w14:textId="77777777" w:rsidR="00380E9F" w:rsidRDefault="00380E9F" w:rsidP="0093110B">
      <w:pPr>
        <w:spacing w:line="360" w:lineRule="auto"/>
        <w:jc w:val="both"/>
        <w:rPr>
          <w:b/>
          <w:bCs/>
        </w:rPr>
      </w:pPr>
    </w:p>
    <w:p w14:paraId="0C8EA573" w14:textId="77777777" w:rsidR="001B6692" w:rsidRDefault="001B6692" w:rsidP="0093110B">
      <w:pPr>
        <w:spacing w:line="360" w:lineRule="auto"/>
        <w:jc w:val="both"/>
        <w:rPr>
          <w:b/>
          <w:bCs/>
        </w:rPr>
      </w:pPr>
    </w:p>
    <w:p w14:paraId="00195407" w14:textId="1CE15BE2" w:rsidR="00D278B2" w:rsidRPr="00D278B2" w:rsidRDefault="00D278B2" w:rsidP="0093110B">
      <w:pPr>
        <w:spacing w:line="360" w:lineRule="auto"/>
        <w:jc w:val="both"/>
        <w:rPr>
          <w:b/>
          <w:bCs/>
        </w:rPr>
      </w:pPr>
      <w:r w:rsidRPr="00D278B2">
        <w:rPr>
          <w:b/>
          <w:bCs/>
        </w:rPr>
        <w:lastRenderedPageBreak/>
        <w:t xml:space="preserve"> Conclusion</w:t>
      </w:r>
    </w:p>
    <w:p w14:paraId="66B93A0D" w14:textId="77777777" w:rsidR="00D278B2" w:rsidRPr="00D278B2" w:rsidRDefault="00D278B2" w:rsidP="0093110B">
      <w:pPr>
        <w:spacing w:line="360" w:lineRule="auto"/>
        <w:jc w:val="both"/>
      </w:pPr>
      <w:r w:rsidRPr="00D278B2">
        <w:t>Depression is a complex and multifaceted condition that poses significant challenges for diagnosis, treatment, and rehabilitation. The ICD-11 framework offers a more refined and flexible classification system that reflects contemporary psychiatric knowledge and clinical practice. Its dimensional approach to severity and functional impairment marks a significant improvement over previous models, allowing for more nuanced and person-centred care. However, the implementation of ICD-11 in clinical settings remains uneven, and further training and system-level support are needed to ensure consistency and accuracy.</w:t>
      </w:r>
    </w:p>
    <w:p w14:paraId="6AF4F6B0" w14:textId="77777777" w:rsidR="00D278B2" w:rsidRPr="00D278B2" w:rsidRDefault="00D278B2" w:rsidP="0093110B">
      <w:pPr>
        <w:spacing w:line="360" w:lineRule="auto"/>
        <w:jc w:val="both"/>
      </w:pPr>
      <w:r w:rsidRPr="00D278B2">
        <w:t>Treatment strategies for depression have evolved to include a wide range of pharmacological and psychological interventions, with growing emphasis on digital tools and community-based care. Rehabilitation, though often overlooked, plays a vital role in recovery and long-term wellbeing. Despite the availability of evidence-based treatments, access remains unequal, and systemic barriers such as funding gaps, workforce shortages, and cultural stigma continue to hinder progress.</w:t>
      </w:r>
    </w:p>
    <w:p w14:paraId="52A8AFFA" w14:textId="77777777" w:rsidR="00D278B2" w:rsidRPr="00D278B2" w:rsidRDefault="00D278B2" w:rsidP="0093110B">
      <w:pPr>
        <w:spacing w:line="360" w:lineRule="auto"/>
        <w:jc w:val="both"/>
      </w:pPr>
      <w:r w:rsidRPr="00D278B2">
        <w:t>Current debates surrounding depression highlight the need for more inclusive and flexible diagnostic frameworks, particularly in relation to neurodivergence and subthreshold presentations. The neurodiversity movement and transdiagnostic models challenge traditional psychiatric paradigms and offer promising directions for future research and practice. These debates underscore the importance of ethical, culturally sensitive, and recovery-oriented approaches to mental health care.</w:t>
      </w:r>
    </w:p>
    <w:p w14:paraId="2C73F558" w14:textId="69613941" w:rsidR="00D278B2" w:rsidRPr="00D278B2" w:rsidRDefault="00D278B2" w:rsidP="0093110B">
      <w:pPr>
        <w:spacing w:line="360" w:lineRule="auto"/>
        <w:jc w:val="both"/>
      </w:pPr>
      <w:r w:rsidRPr="00D278B2">
        <w:t xml:space="preserve">In conclusion, improving outcomes for individuals with depression requires a multifaceted strategy that integrates accurate classification, accessible treatment, robust rehabilitation, and responsive policy. By embracing innovation, inclusivity, and co-production with service users, mental health systems can move closer to delivering equitable, effective, and compassionate care. The ICD-11 framework provides </w:t>
      </w:r>
      <w:r w:rsidR="00897986" w:rsidRPr="00D278B2">
        <w:t>a solid foundation</w:t>
      </w:r>
      <w:r w:rsidRPr="00D278B2">
        <w:t>, but its full potential will only be realised through sustained commitment to person-centred practice, interdisciplinary collaboration, and continuous learning.</w:t>
      </w:r>
    </w:p>
    <w:p w14:paraId="7797FD8B" w14:textId="28BE7EEA" w:rsidR="00D278B2" w:rsidRPr="00D278B2" w:rsidRDefault="00D278B2" w:rsidP="0093110B">
      <w:pPr>
        <w:spacing w:line="360" w:lineRule="auto"/>
        <w:jc w:val="both"/>
      </w:pPr>
    </w:p>
    <w:p w14:paraId="17079C5C" w14:textId="77777777" w:rsidR="00D278B2" w:rsidRDefault="00D278B2" w:rsidP="0093110B">
      <w:pPr>
        <w:spacing w:line="360" w:lineRule="auto"/>
        <w:jc w:val="both"/>
        <w:rPr>
          <w:b/>
          <w:bCs/>
        </w:rPr>
      </w:pPr>
    </w:p>
    <w:p w14:paraId="43B33DD3" w14:textId="77777777" w:rsidR="00D278B2" w:rsidRDefault="00D278B2" w:rsidP="00D278B2">
      <w:pPr>
        <w:rPr>
          <w:b/>
          <w:bCs/>
        </w:rPr>
      </w:pPr>
    </w:p>
    <w:p w14:paraId="50109F5C" w14:textId="33DA41CB" w:rsidR="00272F87" w:rsidRDefault="00272F87" w:rsidP="00D278B2">
      <w:pPr>
        <w:rPr>
          <w:b/>
          <w:bCs/>
        </w:rPr>
      </w:pPr>
    </w:p>
    <w:p w14:paraId="372D2FDE" w14:textId="2780F96E" w:rsidR="00D278B2" w:rsidRPr="00D278B2" w:rsidRDefault="00D278B2" w:rsidP="00D278B2"/>
    <w:p w14:paraId="5B921EE7" w14:textId="77777777" w:rsidR="00D278B2" w:rsidRPr="00D278B2" w:rsidRDefault="00D278B2" w:rsidP="00D278B2">
      <w:pPr>
        <w:rPr>
          <w:b/>
          <w:bCs/>
        </w:rPr>
      </w:pPr>
      <w:r w:rsidRPr="00D278B2">
        <w:rPr>
          <w:b/>
          <w:bCs/>
        </w:rPr>
        <w:t>References</w:t>
      </w:r>
    </w:p>
    <w:p w14:paraId="61558078"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Bhugra, D., Till, A. and Sartorius, N., 2014. </w:t>
      </w:r>
      <w:r w:rsidRPr="00272F87">
        <w:rPr>
          <w:rFonts w:ascii="Arial" w:hAnsi="Arial" w:cs="Arial"/>
          <w:i/>
          <w:iCs/>
        </w:rPr>
        <w:t>What is mental health?</w:t>
      </w:r>
      <w:r w:rsidRPr="00272F87">
        <w:rPr>
          <w:rFonts w:ascii="Arial" w:hAnsi="Arial" w:cs="Arial"/>
        </w:rPr>
        <w:t xml:space="preserve"> International Journal of Social Psychiatry, 59(1), pp.3–4. Available at: </w:t>
      </w:r>
      <w:hyperlink r:id="rId5" w:history="1">
        <w:r w:rsidRPr="00272F87">
          <w:rPr>
            <w:rStyle w:val="Hyperlink"/>
            <w:rFonts w:ascii="Arial" w:hAnsi="Arial" w:cs="Arial"/>
          </w:rPr>
          <w:t>https://doi.org/10.1177/0020764012463315</w:t>
        </w:r>
      </w:hyperlink>
      <w:r w:rsidRPr="00272F87">
        <w:rPr>
          <w:rFonts w:ascii="Arial" w:hAnsi="Arial" w:cs="Arial"/>
        </w:rPr>
        <w:t xml:space="preserve">  [Accessed 31 Oct. 2025].</w:t>
      </w:r>
    </w:p>
    <w:p w14:paraId="282E5429"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Clark, D.M., Layard, R., Smithies, R., Richards, D.A., Suckling, R. and Wright, B., 2009. </w:t>
      </w:r>
      <w:r w:rsidRPr="00272F87">
        <w:rPr>
          <w:rFonts w:ascii="Arial" w:hAnsi="Arial" w:cs="Arial"/>
          <w:i/>
          <w:iCs/>
        </w:rPr>
        <w:t>Improving access to psychological therapy: Initial evaluation of two UK demonstration sites</w:t>
      </w:r>
      <w:r w:rsidRPr="00272F87">
        <w:rPr>
          <w:rFonts w:ascii="Arial" w:hAnsi="Arial" w:cs="Arial"/>
        </w:rPr>
        <w:t xml:space="preserve">. Behaviour Research and Therapy, 47(11), pp.910–920. Available at: </w:t>
      </w:r>
      <w:hyperlink r:id="rId6" w:history="1">
        <w:r w:rsidRPr="00272F87">
          <w:rPr>
            <w:rStyle w:val="Hyperlink"/>
            <w:rFonts w:ascii="Arial" w:hAnsi="Arial" w:cs="Arial"/>
          </w:rPr>
          <w:t>https://doi.org/10.1016/j.brat.2009.07.010</w:t>
        </w:r>
      </w:hyperlink>
      <w:r w:rsidRPr="00272F87">
        <w:rPr>
          <w:rFonts w:ascii="Arial" w:hAnsi="Arial" w:cs="Arial"/>
        </w:rPr>
        <w:t xml:space="preserve">  [Accessed 31 Oct. 2025].</w:t>
      </w:r>
    </w:p>
    <w:p w14:paraId="145F7733"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Cuijpers, P., Karyotaki, E., Reijnders, M. and Purgato, M., 2020. </w:t>
      </w:r>
      <w:r w:rsidRPr="00272F87">
        <w:rPr>
          <w:rFonts w:ascii="Arial" w:hAnsi="Arial" w:cs="Arial"/>
          <w:i/>
          <w:iCs/>
        </w:rPr>
        <w:t>Meta-analyses of psychological treatments for depression: major progress and challenges</w:t>
      </w:r>
      <w:r w:rsidRPr="00272F87">
        <w:rPr>
          <w:rFonts w:ascii="Arial" w:hAnsi="Arial" w:cs="Arial"/>
        </w:rPr>
        <w:t xml:space="preserve">. World Psychiatry, 19(3), pp.318–329. Available at: </w:t>
      </w:r>
      <w:hyperlink r:id="rId7" w:history="1">
        <w:r w:rsidRPr="00272F87">
          <w:rPr>
            <w:rStyle w:val="Hyperlink"/>
            <w:rFonts w:ascii="Arial" w:hAnsi="Arial" w:cs="Arial"/>
          </w:rPr>
          <w:t>https://doi.org/10.1002/wps.20797</w:t>
        </w:r>
      </w:hyperlink>
      <w:r w:rsidRPr="00272F87">
        <w:rPr>
          <w:rFonts w:ascii="Arial" w:hAnsi="Arial" w:cs="Arial"/>
        </w:rPr>
        <w:t xml:space="preserve">  [Accessed 31 Oct. 2025].</w:t>
      </w:r>
    </w:p>
    <w:p w14:paraId="2D6C8BE3"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First, M.B., Reed, G.M., Hyman, S.E. and Saxena, S., 2021. </w:t>
      </w:r>
      <w:r w:rsidRPr="00272F87">
        <w:rPr>
          <w:rFonts w:ascii="Arial" w:hAnsi="Arial" w:cs="Arial"/>
          <w:i/>
          <w:iCs/>
        </w:rPr>
        <w:t>The development of the ICD-11 classification of mental and behavioural disorders</w:t>
      </w:r>
      <w:r w:rsidRPr="00272F87">
        <w:rPr>
          <w:rFonts w:ascii="Arial" w:hAnsi="Arial" w:cs="Arial"/>
        </w:rPr>
        <w:t xml:space="preserve">. World Psychiatry, 20(1), pp.18–24. Available at: </w:t>
      </w:r>
      <w:hyperlink r:id="rId8" w:history="1">
        <w:r w:rsidRPr="00272F87">
          <w:rPr>
            <w:rStyle w:val="Hyperlink"/>
            <w:rFonts w:ascii="Arial" w:hAnsi="Arial" w:cs="Arial"/>
          </w:rPr>
          <w:t>https://doi.org/10.1002/wps.20827</w:t>
        </w:r>
      </w:hyperlink>
      <w:r w:rsidRPr="00272F87">
        <w:rPr>
          <w:rFonts w:ascii="Arial" w:hAnsi="Arial" w:cs="Arial"/>
        </w:rPr>
        <w:t xml:space="preserve">  [Accessed 31 Oct. 2025].</w:t>
      </w:r>
    </w:p>
    <w:p w14:paraId="383F4B52"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Firth, J., Torous, J., Nicholas, J., Carney, R., Pratap, A., Rosenbaum, S. and Sarris, J., 2020. </w:t>
      </w:r>
      <w:r w:rsidRPr="00272F87">
        <w:rPr>
          <w:rFonts w:ascii="Arial" w:hAnsi="Arial" w:cs="Arial"/>
          <w:i/>
          <w:iCs/>
        </w:rPr>
        <w:t>The efficacy of smartphone-based mental health interventions for depressive symptoms: a meta-analysis of randomized controlled trials</w:t>
      </w:r>
      <w:r w:rsidRPr="00272F87">
        <w:rPr>
          <w:rFonts w:ascii="Arial" w:hAnsi="Arial" w:cs="Arial"/>
        </w:rPr>
        <w:t xml:space="preserve">. World Psychiatry, 19(3), pp.325–336. Available at: </w:t>
      </w:r>
      <w:hyperlink r:id="rId9" w:history="1">
        <w:r w:rsidRPr="00272F87">
          <w:rPr>
            <w:rStyle w:val="Hyperlink"/>
            <w:rFonts w:ascii="Arial" w:hAnsi="Arial" w:cs="Arial"/>
          </w:rPr>
          <w:t>https://doi.org/10.1002/wps.20788</w:t>
        </w:r>
      </w:hyperlink>
      <w:r w:rsidRPr="00272F87">
        <w:rPr>
          <w:rFonts w:ascii="Arial" w:hAnsi="Arial" w:cs="Arial"/>
        </w:rPr>
        <w:t xml:space="preserve">  [Accessed 31 Oct. 2025].</w:t>
      </w:r>
    </w:p>
    <w:p w14:paraId="6F396A0B"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Horwitz, A.V. and Wakefield, J.C., 2007. </w:t>
      </w:r>
      <w:r w:rsidRPr="00272F87">
        <w:rPr>
          <w:rFonts w:ascii="Arial" w:hAnsi="Arial" w:cs="Arial"/>
          <w:i/>
          <w:iCs/>
        </w:rPr>
        <w:t>The Loss of Sadness: How Psychiatry Transformed Normal Sorrow into Depressive Disorder</w:t>
      </w:r>
      <w:r w:rsidRPr="00272F87">
        <w:rPr>
          <w:rFonts w:ascii="Arial" w:hAnsi="Arial" w:cs="Arial"/>
        </w:rPr>
        <w:t xml:space="preserve">. Oxford: Oxford University Press. Available at: </w:t>
      </w:r>
      <w:hyperlink r:id="rId10" w:history="1">
        <w:r w:rsidRPr="00272F87">
          <w:rPr>
            <w:rStyle w:val="Hyperlink"/>
            <w:rFonts w:ascii="Arial" w:hAnsi="Arial" w:cs="Arial"/>
          </w:rPr>
          <w:t>https://global.oup.com/academic/product/the-loss-of-sadness-9780195313048</w:t>
        </w:r>
      </w:hyperlink>
      <w:r w:rsidRPr="00272F87">
        <w:rPr>
          <w:rFonts w:ascii="Arial" w:hAnsi="Arial" w:cs="Arial"/>
        </w:rPr>
        <w:t xml:space="preserve">  [Accessed 31 Oct. 2025].</w:t>
      </w:r>
    </w:p>
    <w:p w14:paraId="08A61F5C"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Jakobsen, J.C., Gluud, C. and Kirsch, I., 2017. </w:t>
      </w:r>
      <w:r w:rsidRPr="00272F87">
        <w:rPr>
          <w:rFonts w:ascii="Arial" w:hAnsi="Arial" w:cs="Arial"/>
          <w:i/>
          <w:iCs/>
        </w:rPr>
        <w:t>Antidepressants in major depression: a review of meta-analyses</w:t>
      </w:r>
      <w:r w:rsidRPr="00272F87">
        <w:rPr>
          <w:rFonts w:ascii="Arial" w:hAnsi="Arial" w:cs="Arial"/>
        </w:rPr>
        <w:t xml:space="preserve">. Acta Psychiatrica Scandinavica, 135(5), pp.339–351. Available at: </w:t>
      </w:r>
      <w:hyperlink r:id="rId11" w:history="1">
        <w:r w:rsidRPr="00272F87">
          <w:rPr>
            <w:rStyle w:val="Hyperlink"/>
            <w:rFonts w:ascii="Arial" w:hAnsi="Arial" w:cs="Arial"/>
          </w:rPr>
          <w:t>https://doi.org/10.1111/acps.12671</w:t>
        </w:r>
      </w:hyperlink>
      <w:r w:rsidRPr="00272F87">
        <w:rPr>
          <w:rFonts w:ascii="Arial" w:hAnsi="Arial" w:cs="Arial"/>
        </w:rPr>
        <w:t xml:space="preserve"> [Accessed 31 Oct. 2025].</w:t>
      </w:r>
    </w:p>
    <w:p w14:paraId="680DCD88"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Kendler, K.S., Zachar, P. and Craver, C.F., 2011. </w:t>
      </w:r>
      <w:r w:rsidRPr="00272F87">
        <w:rPr>
          <w:rFonts w:ascii="Arial" w:hAnsi="Arial" w:cs="Arial"/>
          <w:i/>
          <w:iCs/>
        </w:rPr>
        <w:t>What kinds of things are psychiatric disorders?</w:t>
      </w:r>
      <w:r w:rsidRPr="00272F87">
        <w:rPr>
          <w:rFonts w:ascii="Arial" w:hAnsi="Arial" w:cs="Arial"/>
        </w:rPr>
        <w:t xml:space="preserve"> Psychological Medicine, 41(6), pp.1143–1150. Available at: </w:t>
      </w:r>
      <w:hyperlink r:id="rId12" w:history="1">
        <w:r w:rsidRPr="00272F87">
          <w:rPr>
            <w:rStyle w:val="Hyperlink"/>
            <w:rFonts w:ascii="Arial" w:hAnsi="Arial" w:cs="Arial"/>
          </w:rPr>
          <w:t>https://doi.org/10.1017/S0033291710001844</w:t>
        </w:r>
      </w:hyperlink>
      <w:r w:rsidRPr="00272F87">
        <w:rPr>
          <w:rFonts w:ascii="Arial" w:hAnsi="Arial" w:cs="Arial"/>
        </w:rPr>
        <w:t xml:space="preserve">  [Accessed 31 Oct. 2025].</w:t>
      </w:r>
    </w:p>
    <w:p w14:paraId="7492D4B0"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Lai, M.C., Kassee, C., Besney, R., Bonato, S., Hull, L., Mandy, W., Szatmari, P. and Ameis, S.H., 2019. </w:t>
      </w:r>
      <w:r w:rsidRPr="00272F87">
        <w:rPr>
          <w:rFonts w:ascii="Arial" w:hAnsi="Arial" w:cs="Arial"/>
          <w:i/>
          <w:iCs/>
        </w:rPr>
        <w:t>Prevalence of co-occurring mental health diagnoses in the autism population: a systematic review and meta-analysis</w:t>
      </w:r>
      <w:r w:rsidRPr="00272F87">
        <w:rPr>
          <w:rFonts w:ascii="Arial" w:hAnsi="Arial" w:cs="Arial"/>
        </w:rPr>
        <w:t xml:space="preserve">. The Lancet Psychiatry, 6(10), pp.819–829. Available at: </w:t>
      </w:r>
      <w:hyperlink r:id="rId13" w:history="1">
        <w:r w:rsidRPr="00272F87">
          <w:rPr>
            <w:rStyle w:val="Hyperlink"/>
            <w:rFonts w:ascii="Arial" w:hAnsi="Arial" w:cs="Arial"/>
          </w:rPr>
          <w:t>https://doi.org/10.1016/S2215-0366(19)30289-5</w:t>
        </w:r>
      </w:hyperlink>
      <w:r w:rsidRPr="00272F87">
        <w:rPr>
          <w:rFonts w:ascii="Arial" w:hAnsi="Arial" w:cs="Arial"/>
        </w:rPr>
        <w:t xml:space="preserve"> [Accessed 31 Oct. 2025].</w:t>
      </w:r>
    </w:p>
    <w:p w14:paraId="3FF64E90"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Naslund, J.A., Marsch, L.A., McHugo, G.J. and Bartels, S.J., 2017. </w:t>
      </w:r>
      <w:r w:rsidRPr="00272F87">
        <w:rPr>
          <w:rFonts w:ascii="Arial" w:hAnsi="Arial" w:cs="Arial"/>
          <w:i/>
          <w:iCs/>
        </w:rPr>
        <w:t>Emerging digital technologies for mental health care: a review of the evidence and future directions</w:t>
      </w:r>
      <w:r w:rsidRPr="00272F87">
        <w:rPr>
          <w:rFonts w:ascii="Arial" w:hAnsi="Arial" w:cs="Arial"/>
        </w:rPr>
        <w:t xml:space="preserve">. World Psychiatry, 16(3), pp.287–298. Available at: </w:t>
      </w:r>
      <w:hyperlink r:id="rId14" w:history="1">
        <w:r w:rsidRPr="00272F87">
          <w:rPr>
            <w:rStyle w:val="Hyperlink"/>
            <w:rFonts w:ascii="Arial" w:hAnsi="Arial" w:cs="Arial"/>
          </w:rPr>
          <w:t>https://doi.org/10.1002/wps.20473</w:t>
        </w:r>
      </w:hyperlink>
      <w:r w:rsidRPr="00272F87">
        <w:rPr>
          <w:rFonts w:ascii="Arial" w:hAnsi="Arial" w:cs="Arial"/>
        </w:rPr>
        <w:t xml:space="preserve"> [Accessed 31 Oct. 2025].</w:t>
      </w:r>
    </w:p>
    <w:p w14:paraId="6730B012"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National Institute for Health and Care Excellence (NICE), 2022. </w:t>
      </w:r>
      <w:r w:rsidRPr="00272F87">
        <w:rPr>
          <w:rFonts w:ascii="Arial" w:hAnsi="Arial" w:cs="Arial"/>
          <w:i/>
          <w:iCs/>
        </w:rPr>
        <w:t>Depression in adults: treatment and management</w:t>
      </w:r>
      <w:r w:rsidRPr="00272F87">
        <w:rPr>
          <w:rFonts w:ascii="Arial" w:hAnsi="Arial" w:cs="Arial"/>
        </w:rPr>
        <w:t xml:space="preserve">. [online] NICE. Available at: </w:t>
      </w:r>
      <w:hyperlink r:id="rId15" w:history="1">
        <w:r w:rsidRPr="00272F87">
          <w:rPr>
            <w:rStyle w:val="Hyperlink"/>
            <w:rFonts w:ascii="Arial" w:hAnsi="Arial" w:cs="Arial"/>
          </w:rPr>
          <w:t>https://www.nice.org.uk/guidance/ng222</w:t>
        </w:r>
      </w:hyperlink>
      <w:r w:rsidRPr="00272F87">
        <w:rPr>
          <w:rFonts w:ascii="Arial" w:hAnsi="Arial" w:cs="Arial"/>
        </w:rPr>
        <w:t xml:space="preserve">  [Accessed 31 Oct. 2025].</w:t>
      </w:r>
    </w:p>
    <w:p w14:paraId="51DF8080" w14:textId="00CA14E6"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Reed, G.M., First, M.B., Kogan, C.S., Hyman, S.E., Gureje, O., Gaebel, W., Sharan, P., Bablola, E., Saxena, S. and Maj, M., 2019. </w:t>
      </w:r>
      <w:r w:rsidRPr="00272F87">
        <w:rPr>
          <w:rFonts w:ascii="Arial" w:hAnsi="Arial" w:cs="Arial"/>
          <w:i/>
          <w:iCs/>
        </w:rPr>
        <w:t xml:space="preserve">Innovations and changes in the ICD-11 classification of mental, </w:t>
      </w:r>
      <w:r w:rsidR="004D66F7" w:rsidRPr="00272F87">
        <w:rPr>
          <w:rFonts w:ascii="Arial" w:hAnsi="Arial" w:cs="Arial"/>
          <w:i/>
          <w:iCs/>
        </w:rPr>
        <w:t>behavioural</w:t>
      </w:r>
      <w:r w:rsidRPr="00272F87">
        <w:rPr>
          <w:rFonts w:ascii="Arial" w:hAnsi="Arial" w:cs="Arial"/>
          <w:i/>
          <w:iCs/>
        </w:rPr>
        <w:t xml:space="preserve"> and neurodevelopmental disorders</w:t>
      </w:r>
      <w:r w:rsidRPr="00272F87">
        <w:rPr>
          <w:rFonts w:ascii="Arial" w:hAnsi="Arial" w:cs="Arial"/>
        </w:rPr>
        <w:t xml:space="preserve">. World Psychiatry, 18(1), pp.3–19. Available at: </w:t>
      </w:r>
      <w:hyperlink r:id="rId16" w:history="1">
        <w:r w:rsidRPr="00272F87">
          <w:rPr>
            <w:rStyle w:val="Hyperlink"/>
            <w:rFonts w:ascii="Arial" w:hAnsi="Arial" w:cs="Arial"/>
          </w:rPr>
          <w:t>https://doi.org/10.1002/wps.20611</w:t>
        </w:r>
      </w:hyperlink>
      <w:r w:rsidRPr="00272F87">
        <w:rPr>
          <w:rFonts w:ascii="Arial" w:hAnsi="Arial" w:cs="Arial"/>
        </w:rPr>
        <w:t xml:space="preserve">  [Accessed 31 Oct. 2025].</w:t>
      </w:r>
    </w:p>
    <w:p w14:paraId="06517FCD" w14:textId="55D189A0" w:rsidR="00272F87" w:rsidRPr="00272F87" w:rsidRDefault="00272F87" w:rsidP="00272F87">
      <w:pPr>
        <w:pStyle w:val="ListParagraph"/>
        <w:numPr>
          <w:ilvl w:val="0"/>
          <w:numId w:val="1"/>
        </w:numPr>
        <w:rPr>
          <w:rFonts w:ascii="Arial" w:hAnsi="Arial" w:cs="Arial"/>
        </w:rPr>
      </w:pPr>
      <w:r w:rsidRPr="00272F87">
        <w:rPr>
          <w:rFonts w:ascii="Arial" w:hAnsi="Arial" w:cs="Arial"/>
        </w:rPr>
        <w:lastRenderedPageBreak/>
        <w:t xml:space="preserve">Seemüller, F., 2023. </w:t>
      </w:r>
      <w:r w:rsidRPr="00272F87">
        <w:rPr>
          <w:rFonts w:ascii="Arial" w:hAnsi="Arial" w:cs="Arial"/>
          <w:i/>
          <w:iCs/>
        </w:rPr>
        <w:t>Cultural considerations in diagnosing depression: implications for ICD-11</w:t>
      </w:r>
      <w:r w:rsidRPr="00272F87">
        <w:rPr>
          <w:rFonts w:ascii="Arial" w:hAnsi="Arial" w:cs="Arial"/>
        </w:rPr>
        <w:t xml:space="preserve">. International </w:t>
      </w:r>
      <w:r w:rsidR="00F87279">
        <w:rPr>
          <w:rFonts w:ascii="Arial" w:hAnsi="Arial" w:cs="Arial"/>
        </w:rPr>
        <w:t>8</w:t>
      </w:r>
      <w:r w:rsidRPr="00272F87">
        <w:rPr>
          <w:rFonts w:ascii="Arial" w:hAnsi="Arial" w:cs="Arial"/>
        </w:rPr>
        <w:t xml:space="preserve">Review of Psychiatry, 35(2), pp.145–158. Available at: </w:t>
      </w:r>
      <w:hyperlink r:id="rId17" w:history="1">
        <w:r w:rsidRPr="00272F87">
          <w:rPr>
            <w:rStyle w:val="Hyperlink"/>
            <w:rFonts w:ascii="Arial" w:hAnsi="Arial" w:cs="Arial"/>
          </w:rPr>
          <w:t>https://doi.org/10.1080/09540261.2023.2174567</w:t>
        </w:r>
      </w:hyperlink>
      <w:r w:rsidRPr="00272F87">
        <w:rPr>
          <w:rFonts w:ascii="Arial" w:hAnsi="Arial" w:cs="Arial"/>
        </w:rPr>
        <w:t xml:space="preserve">  [Accessed 31 Oct. 2025].</w:t>
      </w:r>
    </w:p>
    <w:p w14:paraId="7FA09204"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Slade, M., Amering, M. and Oades, L., 2014. </w:t>
      </w:r>
      <w:r w:rsidRPr="00272F87">
        <w:rPr>
          <w:rFonts w:ascii="Arial" w:hAnsi="Arial" w:cs="Arial"/>
          <w:i/>
          <w:iCs/>
        </w:rPr>
        <w:t>Recovery: an international perspective</w:t>
      </w:r>
      <w:r w:rsidRPr="00272F87">
        <w:rPr>
          <w:rFonts w:ascii="Arial" w:hAnsi="Arial" w:cs="Arial"/>
        </w:rPr>
        <w:t xml:space="preserve">. Epidemiology and Psychiatric Sciences, 17(2), pp.128–137. Available at: </w:t>
      </w:r>
      <w:hyperlink r:id="rId18" w:history="1">
        <w:r w:rsidRPr="00272F87">
          <w:rPr>
            <w:rStyle w:val="Hyperlink"/>
            <w:rFonts w:ascii="Arial" w:hAnsi="Arial" w:cs="Arial"/>
          </w:rPr>
          <w:t>https://doi.org/10.1017/S2045796014000030</w:t>
        </w:r>
      </w:hyperlink>
      <w:r w:rsidRPr="00272F87">
        <w:rPr>
          <w:rFonts w:ascii="Arial" w:hAnsi="Arial" w:cs="Arial"/>
        </w:rPr>
        <w:t xml:space="preserve">  [Accessed 31 Oct. 2025].</w:t>
      </w:r>
    </w:p>
    <w:p w14:paraId="4E0EACA5"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Thornicroft, G., Mehta, N., Clement, S., Evans-Lacko, S., Doherty, M., Rose, D., Koschorke, M., Shidhaye, R., Rahman, A. and Henderson, C., 2016. </w:t>
      </w:r>
      <w:r w:rsidRPr="00272F87">
        <w:rPr>
          <w:rFonts w:ascii="Arial" w:hAnsi="Arial" w:cs="Arial"/>
          <w:i/>
          <w:iCs/>
        </w:rPr>
        <w:t>Evidence for effective interventions to reduce mental-health-related stigma and discrimination</w:t>
      </w:r>
      <w:r w:rsidRPr="00272F87">
        <w:rPr>
          <w:rFonts w:ascii="Arial" w:hAnsi="Arial" w:cs="Arial"/>
        </w:rPr>
        <w:t xml:space="preserve">. The Lancet, 387(10023), pp.1123–1132. Available at: </w:t>
      </w:r>
      <w:hyperlink r:id="rId19" w:history="1">
        <w:r w:rsidRPr="00272F87">
          <w:rPr>
            <w:rStyle w:val="Hyperlink"/>
            <w:rFonts w:ascii="Arial" w:hAnsi="Arial" w:cs="Arial"/>
          </w:rPr>
          <w:t>https://doi.org/10.1016/S0140-6736(15)00298-6</w:t>
        </w:r>
      </w:hyperlink>
      <w:r w:rsidRPr="00272F87">
        <w:rPr>
          <w:rFonts w:ascii="Arial" w:hAnsi="Arial" w:cs="Arial"/>
        </w:rPr>
        <w:t xml:space="preserve">   [Accessed 31 Oct. 2025].</w:t>
      </w:r>
    </w:p>
    <w:p w14:paraId="24022643"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UK ECT Review Group, 2003. </w:t>
      </w:r>
      <w:r w:rsidRPr="00272F87">
        <w:rPr>
          <w:rFonts w:ascii="Arial" w:hAnsi="Arial" w:cs="Arial"/>
          <w:i/>
          <w:iCs/>
        </w:rPr>
        <w:t>Efficacy and safety of electroconvulsive therapy in depressive disorders: a systematic review and meta-analysis</w:t>
      </w:r>
      <w:r w:rsidRPr="00272F87">
        <w:rPr>
          <w:rFonts w:ascii="Arial" w:hAnsi="Arial" w:cs="Arial"/>
        </w:rPr>
        <w:t xml:space="preserve">. The Lancet, 361(9360), pp.799–808. Available at: </w:t>
      </w:r>
      <w:hyperlink r:id="rId20" w:history="1">
        <w:r w:rsidRPr="00272F87">
          <w:rPr>
            <w:rStyle w:val="Hyperlink"/>
            <w:rFonts w:ascii="Arial" w:hAnsi="Arial" w:cs="Arial"/>
          </w:rPr>
          <w:t>https://doi.org/10.1016/S0140-6736(03)12705-5</w:t>
        </w:r>
      </w:hyperlink>
      <w:r w:rsidRPr="00272F87">
        <w:rPr>
          <w:rFonts w:ascii="Arial" w:hAnsi="Arial" w:cs="Arial"/>
        </w:rPr>
        <w:t xml:space="preserve">  [Accessed 31 Oct. 2025].</w:t>
      </w:r>
    </w:p>
    <w:p w14:paraId="01829689"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World Health Organization (WHO), 2021. </w:t>
      </w:r>
      <w:r w:rsidRPr="00272F87">
        <w:rPr>
          <w:rFonts w:ascii="Arial" w:hAnsi="Arial" w:cs="Arial"/>
          <w:i/>
          <w:iCs/>
        </w:rPr>
        <w:t>Comprehensive Mental Health Action Plan 2013–2030</w:t>
      </w:r>
      <w:r w:rsidRPr="00272F87">
        <w:rPr>
          <w:rFonts w:ascii="Arial" w:hAnsi="Arial" w:cs="Arial"/>
        </w:rPr>
        <w:t xml:space="preserve">. Geneva: WHO. Available at: </w:t>
      </w:r>
      <w:hyperlink r:id="rId21" w:history="1">
        <w:r w:rsidRPr="00272F87">
          <w:rPr>
            <w:rStyle w:val="Hyperlink"/>
            <w:rFonts w:ascii="Arial" w:hAnsi="Arial" w:cs="Arial"/>
          </w:rPr>
          <w:t>https://www.who.int/publications/i/item/9789240031029</w:t>
        </w:r>
      </w:hyperlink>
      <w:r w:rsidRPr="00272F87">
        <w:rPr>
          <w:rFonts w:ascii="Arial" w:hAnsi="Arial" w:cs="Arial"/>
        </w:rPr>
        <w:t xml:space="preserve">  [Accessed 31 Oct. 2025].</w:t>
      </w:r>
    </w:p>
    <w:p w14:paraId="09D5B01C" w14:textId="77777777" w:rsidR="00272F87" w:rsidRPr="00272F87" w:rsidRDefault="00272F87" w:rsidP="00272F87">
      <w:pPr>
        <w:pStyle w:val="ListParagraph"/>
        <w:numPr>
          <w:ilvl w:val="0"/>
          <w:numId w:val="1"/>
        </w:numPr>
        <w:rPr>
          <w:rFonts w:ascii="Arial" w:hAnsi="Arial" w:cs="Arial"/>
        </w:rPr>
      </w:pPr>
      <w:r w:rsidRPr="00272F87">
        <w:rPr>
          <w:rFonts w:ascii="Arial" w:hAnsi="Arial" w:cs="Arial"/>
        </w:rPr>
        <w:t xml:space="preserve">World Health Organization (WHO), 2022. </w:t>
      </w:r>
      <w:r w:rsidRPr="00272F87">
        <w:rPr>
          <w:rFonts w:ascii="Arial" w:hAnsi="Arial" w:cs="Arial"/>
          <w:i/>
          <w:iCs/>
        </w:rPr>
        <w:t>International Classification of Diseases 11th Revision (ICD-11)</w:t>
      </w:r>
      <w:r w:rsidRPr="00272F87">
        <w:rPr>
          <w:rFonts w:ascii="Arial" w:hAnsi="Arial" w:cs="Arial"/>
        </w:rPr>
        <w:t xml:space="preserve">. Geneva: WHO. Available at: </w:t>
      </w:r>
      <w:hyperlink r:id="rId22" w:history="1">
        <w:r w:rsidRPr="00272F87">
          <w:rPr>
            <w:rStyle w:val="Hyperlink"/>
            <w:rFonts w:ascii="Arial" w:hAnsi="Arial" w:cs="Arial"/>
          </w:rPr>
          <w:t>https://icd.who.int/en</w:t>
        </w:r>
      </w:hyperlink>
      <w:r w:rsidRPr="00272F87">
        <w:rPr>
          <w:rFonts w:ascii="Arial" w:hAnsi="Arial" w:cs="Arial"/>
        </w:rPr>
        <w:t xml:space="preserve">  [Accessed 31 Oct. 2025].</w:t>
      </w:r>
    </w:p>
    <w:p w14:paraId="6E49F334" w14:textId="77777777" w:rsidR="00D278B2" w:rsidRDefault="00D278B2" w:rsidP="00D278B2"/>
    <w:p w14:paraId="104EC238" w14:textId="4CB5D2FF" w:rsidR="00735CD1" w:rsidRPr="00D278B2" w:rsidRDefault="00735CD1" w:rsidP="00D278B2"/>
    <w:sectPr w:rsidR="00735CD1" w:rsidRPr="00D27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BC7DAE"/>
    <w:multiLevelType w:val="hybridMultilevel"/>
    <w:tmpl w:val="7FA0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675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8B2"/>
    <w:rsid w:val="000D148A"/>
    <w:rsid w:val="000F543D"/>
    <w:rsid w:val="001B6692"/>
    <w:rsid w:val="001C2C8B"/>
    <w:rsid w:val="00272278"/>
    <w:rsid w:val="00272F87"/>
    <w:rsid w:val="002A6E67"/>
    <w:rsid w:val="002D0CF8"/>
    <w:rsid w:val="002E617F"/>
    <w:rsid w:val="00380E9F"/>
    <w:rsid w:val="00383CF3"/>
    <w:rsid w:val="003C19FE"/>
    <w:rsid w:val="003C2C07"/>
    <w:rsid w:val="00447D78"/>
    <w:rsid w:val="004D66F7"/>
    <w:rsid w:val="005B7080"/>
    <w:rsid w:val="006A5FB9"/>
    <w:rsid w:val="00735CD1"/>
    <w:rsid w:val="00752087"/>
    <w:rsid w:val="00787C9D"/>
    <w:rsid w:val="007B2303"/>
    <w:rsid w:val="0084704E"/>
    <w:rsid w:val="00897986"/>
    <w:rsid w:val="0093110B"/>
    <w:rsid w:val="009E1E65"/>
    <w:rsid w:val="00A00B57"/>
    <w:rsid w:val="00A23578"/>
    <w:rsid w:val="00A36891"/>
    <w:rsid w:val="00A73996"/>
    <w:rsid w:val="00AF01D5"/>
    <w:rsid w:val="00B22966"/>
    <w:rsid w:val="00B41E2F"/>
    <w:rsid w:val="00B645A4"/>
    <w:rsid w:val="00BA43B5"/>
    <w:rsid w:val="00BA49C8"/>
    <w:rsid w:val="00CB4CA0"/>
    <w:rsid w:val="00CE0B9F"/>
    <w:rsid w:val="00D02534"/>
    <w:rsid w:val="00D278B2"/>
    <w:rsid w:val="00E30715"/>
    <w:rsid w:val="00E932DF"/>
    <w:rsid w:val="00EE709F"/>
    <w:rsid w:val="00F23780"/>
    <w:rsid w:val="00F87279"/>
    <w:rsid w:val="00FB6498"/>
    <w:rsid w:val="00FE7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10443"/>
  <w15:chartTrackingRefBased/>
  <w15:docId w15:val="{AE54E46C-EF5E-49F5-88E4-13D75D3AF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8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8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8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8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8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8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8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8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8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8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8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8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8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8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8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8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8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8B2"/>
    <w:rPr>
      <w:rFonts w:eastAsiaTheme="majorEastAsia" w:cstheme="majorBidi"/>
      <w:color w:val="272727" w:themeColor="text1" w:themeTint="D8"/>
    </w:rPr>
  </w:style>
  <w:style w:type="paragraph" w:styleId="Title">
    <w:name w:val="Title"/>
    <w:basedOn w:val="Normal"/>
    <w:next w:val="Normal"/>
    <w:link w:val="TitleChar"/>
    <w:uiPriority w:val="10"/>
    <w:qFormat/>
    <w:rsid w:val="00D278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8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8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8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8B2"/>
    <w:pPr>
      <w:spacing w:before="160"/>
      <w:jc w:val="center"/>
    </w:pPr>
    <w:rPr>
      <w:i/>
      <w:iCs/>
      <w:color w:val="404040" w:themeColor="text1" w:themeTint="BF"/>
    </w:rPr>
  </w:style>
  <w:style w:type="character" w:customStyle="1" w:styleId="QuoteChar">
    <w:name w:val="Quote Char"/>
    <w:basedOn w:val="DefaultParagraphFont"/>
    <w:link w:val="Quote"/>
    <w:uiPriority w:val="29"/>
    <w:rsid w:val="00D278B2"/>
    <w:rPr>
      <w:i/>
      <w:iCs/>
      <w:color w:val="404040" w:themeColor="text1" w:themeTint="BF"/>
    </w:rPr>
  </w:style>
  <w:style w:type="paragraph" w:styleId="ListParagraph">
    <w:name w:val="List Paragraph"/>
    <w:basedOn w:val="Normal"/>
    <w:uiPriority w:val="34"/>
    <w:qFormat/>
    <w:rsid w:val="00D278B2"/>
    <w:pPr>
      <w:ind w:left="720"/>
      <w:contextualSpacing/>
    </w:pPr>
  </w:style>
  <w:style w:type="character" w:styleId="IntenseEmphasis">
    <w:name w:val="Intense Emphasis"/>
    <w:basedOn w:val="DefaultParagraphFont"/>
    <w:uiPriority w:val="21"/>
    <w:qFormat/>
    <w:rsid w:val="00D278B2"/>
    <w:rPr>
      <w:i/>
      <w:iCs/>
      <w:color w:val="0F4761" w:themeColor="accent1" w:themeShade="BF"/>
    </w:rPr>
  </w:style>
  <w:style w:type="paragraph" w:styleId="IntenseQuote">
    <w:name w:val="Intense Quote"/>
    <w:basedOn w:val="Normal"/>
    <w:next w:val="Normal"/>
    <w:link w:val="IntenseQuoteChar"/>
    <w:uiPriority w:val="30"/>
    <w:qFormat/>
    <w:rsid w:val="00D278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8B2"/>
    <w:rPr>
      <w:i/>
      <w:iCs/>
      <w:color w:val="0F4761" w:themeColor="accent1" w:themeShade="BF"/>
    </w:rPr>
  </w:style>
  <w:style w:type="character" w:styleId="IntenseReference">
    <w:name w:val="Intense Reference"/>
    <w:basedOn w:val="DefaultParagraphFont"/>
    <w:uiPriority w:val="32"/>
    <w:qFormat/>
    <w:rsid w:val="00D278B2"/>
    <w:rPr>
      <w:b/>
      <w:bCs/>
      <w:smallCaps/>
      <w:color w:val="0F4761" w:themeColor="accent1" w:themeShade="BF"/>
      <w:spacing w:val="5"/>
    </w:rPr>
  </w:style>
  <w:style w:type="character" w:styleId="Hyperlink">
    <w:name w:val="Hyperlink"/>
    <w:basedOn w:val="DefaultParagraphFont"/>
    <w:uiPriority w:val="99"/>
    <w:unhideWhenUsed/>
    <w:rsid w:val="00D278B2"/>
    <w:rPr>
      <w:color w:val="467886" w:themeColor="hyperlink"/>
      <w:u w:val="single"/>
    </w:rPr>
  </w:style>
  <w:style w:type="character" w:styleId="UnresolvedMention">
    <w:name w:val="Unresolved Mention"/>
    <w:basedOn w:val="DefaultParagraphFont"/>
    <w:uiPriority w:val="99"/>
    <w:semiHidden/>
    <w:unhideWhenUsed/>
    <w:rsid w:val="00D278B2"/>
    <w:rPr>
      <w:color w:val="605E5C"/>
      <w:shd w:val="clear" w:color="auto" w:fill="E1DFDD"/>
    </w:rPr>
  </w:style>
  <w:style w:type="character" w:styleId="FollowedHyperlink">
    <w:name w:val="FollowedHyperlink"/>
    <w:basedOn w:val="DefaultParagraphFont"/>
    <w:uiPriority w:val="99"/>
    <w:semiHidden/>
    <w:unhideWhenUsed/>
    <w:rsid w:val="00272F8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wps.20827" TargetMode="External"/><Relationship Id="rId13" Type="http://schemas.openxmlformats.org/officeDocument/2006/relationships/hyperlink" Target="https://doi.org/10.1016/S2215-0366(19)30289-5" TargetMode="External"/><Relationship Id="rId18" Type="http://schemas.openxmlformats.org/officeDocument/2006/relationships/hyperlink" Target="https://doi.org/10.1017/S2045796014000030" TargetMode="External"/><Relationship Id="rId3" Type="http://schemas.openxmlformats.org/officeDocument/2006/relationships/settings" Target="settings.xml"/><Relationship Id="rId21" Type="http://schemas.openxmlformats.org/officeDocument/2006/relationships/hyperlink" Target="https://www.who.int/publications/i/item/9789240031029" TargetMode="External"/><Relationship Id="rId7" Type="http://schemas.openxmlformats.org/officeDocument/2006/relationships/hyperlink" Target="https://doi.org/10.1002/wps.20797" TargetMode="External"/><Relationship Id="rId12" Type="http://schemas.openxmlformats.org/officeDocument/2006/relationships/hyperlink" Target="https://doi.org/10.1017/S0033291710001844" TargetMode="External"/><Relationship Id="rId17" Type="http://schemas.openxmlformats.org/officeDocument/2006/relationships/hyperlink" Target="https://doi.org/10.1080/09540261.2023.2174567" TargetMode="External"/><Relationship Id="rId2" Type="http://schemas.openxmlformats.org/officeDocument/2006/relationships/styles" Target="styles.xml"/><Relationship Id="rId16" Type="http://schemas.openxmlformats.org/officeDocument/2006/relationships/hyperlink" Target="https://doi.org/10.1002/wps.20611" TargetMode="External"/><Relationship Id="rId20" Type="http://schemas.openxmlformats.org/officeDocument/2006/relationships/hyperlink" Target="https://doi.org/10.1016/S0140-6736(03)12705-5" TargetMode="External"/><Relationship Id="rId1" Type="http://schemas.openxmlformats.org/officeDocument/2006/relationships/numbering" Target="numbering.xml"/><Relationship Id="rId6" Type="http://schemas.openxmlformats.org/officeDocument/2006/relationships/hyperlink" Target="https://doi.org/10.1016/j.brat.2009.07.010" TargetMode="External"/><Relationship Id="rId11" Type="http://schemas.openxmlformats.org/officeDocument/2006/relationships/hyperlink" Target="https://doi.org/10.1111/acps.12671" TargetMode="External"/><Relationship Id="rId24" Type="http://schemas.openxmlformats.org/officeDocument/2006/relationships/theme" Target="theme/theme1.xml"/><Relationship Id="rId5" Type="http://schemas.openxmlformats.org/officeDocument/2006/relationships/hyperlink" Target="https://doi.org/10.1177/0020764012463315" TargetMode="External"/><Relationship Id="rId15" Type="http://schemas.openxmlformats.org/officeDocument/2006/relationships/hyperlink" Target="https://www.nice.org.uk/guidance/ng222" TargetMode="External"/><Relationship Id="rId23" Type="http://schemas.openxmlformats.org/officeDocument/2006/relationships/fontTable" Target="fontTable.xml"/><Relationship Id="rId10" Type="http://schemas.openxmlformats.org/officeDocument/2006/relationships/hyperlink" Target="https://global.oup.com/academic/product/the-loss-of-sadness-9780195313048" TargetMode="External"/><Relationship Id="rId19" Type="http://schemas.openxmlformats.org/officeDocument/2006/relationships/hyperlink" Target="https://doi.org/10.1016/S0140-6736(15)00298-6" TargetMode="External"/><Relationship Id="rId4" Type="http://schemas.openxmlformats.org/officeDocument/2006/relationships/webSettings" Target="webSettings.xml"/><Relationship Id="rId9" Type="http://schemas.openxmlformats.org/officeDocument/2006/relationships/hyperlink" Target="https://doi.org/10.1002/wps.20788" TargetMode="External"/><Relationship Id="rId14" Type="http://schemas.openxmlformats.org/officeDocument/2006/relationships/hyperlink" Target="https://doi.org/10.1002/wps.20473" TargetMode="External"/><Relationship Id="rId22" Type="http://schemas.openxmlformats.org/officeDocument/2006/relationships/hyperlink" Target="https://icd.who.in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ruksar israr</dc:creator>
  <cp:keywords/>
  <dc:description/>
  <cp:lastModifiedBy>ruksar israr</cp:lastModifiedBy>
  <cp:revision>2</cp:revision>
  <dcterms:created xsi:type="dcterms:W3CDTF">2025-11-10T19:47:00Z</dcterms:created>
  <dcterms:modified xsi:type="dcterms:W3CDTF">2025-11-10T19:47:00Z</dcterms:modified>
</cp:coreProperties>
</file>