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86048">
      <w:pPr>
        <w:widowControl/>
        <w:spacing w:after="160" w:line="360" w:lineRule="auto"/>
        <w:rPr>
          <w:rFonts w:ascii="Times New Roman" w:hAnsi="Times New Roman" w:eastAsia="Calibri" w:cs="Times New Roman"/>
          <w:i/>
          <w:iCs/>
          <w:color w:val="000000"/>
          <w:sz w:val="32"/>
          <w:szCs w:val="32"/>
          <w:lang w:val="zh-CN" w:eastAsia="en-US"/>
          <w14:ligatures w14:val="standardContextual"/>
        </w:rPr>
      </w:pPr>
      <w:r>
        <w:rPr>
          <w:rFonts w:ascii="Calibri" w:hAnsi="Calibri" w:eastAsia="Calibri" w:cs="Times New Roman"/>
          <w:color w:val="4F81BD"/>
          <w:sz w:val="24"/>
          <w:lang w:val="zh-CN" w:eastAsia="en-US"/>
          <w14:ligatures w14:val="standardContextual"/>
        </w:rPr>
        <w:drawing>
          <wp:inline distT="0" distB="0" distL="0" distR="0">
            <wp:extent cx="3389630" cy="1329055"/>
            <wp:effectExtent l="0" t="0" r="127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389630" cy="1329055"/>
                    </a:xfrm>
                    <a:prstGeom prst="rect">
                      <a:avLst/>
                    </a:prstGeom>
                    <a:noFill/>
                  </pic:spPr>
                </pic:pic>
              </a:graphicData>
            </a:graphic>
          </wp:inline>
        </w:drawing>
      </w:r>
    </w:p>
    <w:p w14:paraId="55827263">
      <w:pPr>
        <w:widowControl/>
        <w:spacing w:after="160" w:line="360" w:lineRule="auto"/>
        <w:rPr>
          <w:rFonts w:ascii="Times New Roman" w:hAnsi="Times New Roman" w:eastAsia="Calibri" w:cs="Times New Roman"/>
          <w:i/>
          <w:iCs/>
          <w:color w:val="000000"/>
          <w:sz w:val="32"/>
          <w:szCs w:val="32"/>
          <w:lang w:val="zh-CN" w:eastAsia="en-US"/>
          <w14:ligatures w14:val="standardContextual"/>
        </w:rPr>
      </w:pPr>
    </w:p>
    <w:p w14:paraId="086B1DB4">
      <w:pPr>
        <w:widowControl/>
        <w:spacing w:after="160" w:line="360" w:lineRule="auto"/>
        <w:jc w:val="center"/>
        <w:rPr>
          <w:rFonts w:ascii="Times New Roman" w:hAnsi="Times New Roman" w:eastAsia="Calibri" w:cs="Times New Roman"/>
          <w:i/>
          <w:iCs/>
          <w:color w:val="000000"/>
          <w:sz w:val="32"/>
          <w:szCs w:val="32"/>
          <w:lang w:val="zh-CN" w:eastAsia="en-US"/>
          <w14:ligatures w14:val="standardContextual"/>
        </w:rPr>
      </w:pPr>
    </w:p>
    <w:p w14:paraId="105F3EC9">
      <w:pPr>
        <w:widowControl/>
        <w:spacing w:after="160" w:line="360" w:lineRule="auto"/>
        <w:jc w:val="center"/>
        <w:rPr>
          <w:rFonts w:ascii="Times New Roman" w:hAnsi="Times New Roman" w:eastAsia="Calibri" w:cs="Times New Roman"/>
          <w:b/>
          <w:bCs/>
          <w:color w:val="000000"/>
          <w:sz w:val="40"/>
          <w:szCs w:val="40"/>
          <w:lang w:eastAsia="en-US"/>
          <w14:ligatures w14:val="standardContextual"/>
        </w:rPr>
      </w:pPr>
      <w:r>
        <w:rPr>
          <w:rFonts w:ascii="Times New Roman" w:hAnsi="Times New Roman" w:eastAsia="Calibri" w:cs="Times New Roman"/>
          <w:b/>
          <w:bCs/>
          <w:color w:val="000000"/>
          <w:sz w:val="40"/>
          <w:szCs w:val="40"/>
          <w:lang w:eastAsia="en-US"/>
          <w14:ligatures w14:val="standardContextual"/>
        </w:rPr>
        <w:t>The Influence of Corporate Social Responsibility on Brand Loyalty Among Gen Z Consumers in UK</w:t>
      </w:r>
    </w:p>
    <w:sdt>
      <w:sdtPr>
        <w:rPr>
          <w:rFonts w:ascii="Calibri" w:hAnsi="Calibri" w:eastAsia="Calibri" w:cs="宋体"/>
          <w:b/>
          <w:color w:val="4F81BD"/>
          <w:sz w:val="40"/>
          <w:szCs w:val="40"/>
          <w:lang w:eastAsia="en-US"/>
          <w14:ligatures w14:val="standardContextual"/>
        </w:rPr>
        <w:alias w:val="Subtitle"/>
        <w:id w:val="328029620"/>
        <w:placeholder>
          <w:docPart w:val="{35c30c7d-f505-4e61-9473-aa25261c0f9b}"/>
        </w:placeholder>
        <w:dataBinding w:prefixMappings="xmlns:ns0='http://purl.org/dc/elements/1.1/' xmlns:ns1='http://schemas.openxmlformats.org/package/2006/metadata/core-properties' " w:xpath="/ns1:coreProperties[1]/ns0:subject[1]" w:storeItemID="{6C3C8BC8-F283-45AE-878A-BAB7291924A1}"/>
        <w:text/>
      </w:sdtPr>
      <w:sdtEndPr>
        <w:rPr>
          <w:rFonts w:ascii="Calibri" w:hAnsi="Calibri" w:eastAsia="Calibri" w:cs="宋体"/>
          <w:b/>
          <w:color w:val="4F81BD"/>
          <w:sz w:val="40"/>
          <w:szCs w:val="40"/>
          <w:lang w:eastAsia="en-US"/>
          <w14:ligatures w14:val="standardContextual"/>
        </w:rPr>
      </w:sdtEndPr>
      <w:sdtContent>
        <w:p w14:paraId="30F867EF">
          <w:pPr>
            <w:widowControl/>
            <w:spacing w:after="160" w:line="360" w:lineRule="auto"/>
            <w:jc w:val="center"/>
            <w:rPr>
              <w:rFonts w:ascii="Calibri" w:hAnsi="Calibri" w:eastAsia="Calibri" w:cs="宋体"/>
              <w:b/>
              <w:color w:val="4F81BD"/>
              <w:sz w:val="40"/>
              <w:szCs w:val="40"/>
              <w:lang w:eastAsia="en-US"/>
              <w14:ligatures w14:val="standardContextual"/>
            </w:rPr>
          </w:pPr>
          <w:r>
            <w:rPr>
              <w:rFonts w:ascii="Calibri" w:hAnsi="Calibri" w:eastAsia="Calibri" w:cs="宋体"/>
              <w:b/>
              <w:color w:val="4F81BD"/>
              <w:sz w:val="40"/>
              <w:szCs w:val="40"/>
              <w:lang w:eastAsia="en-US"/>
              <w14:ligatures w14:val="standardContextual"/>
            </w:rPr>
            <w:t>Master of Business Administration Dissertation</w:t>
          </w:r>
        </w:p>
      </w:sdtContent>
    </w:sdt>
    <w:p w14:paraId="44B7F72B">
      <w:pPr>
        <w:widowControl/>
        <w:spacing w:after="160" w:line="360" w:lineRule="auto"/>
        <w:jc w:val="center"/>
        <w:rPr>
          <w:rFonts w:ascii="Calibri" w:hAnsi="Calibri" w:eastAsia="Calibri" w:cs="宋体"/>
          <w:b/>
          <w:color w:val="4F81BD"/>
          <w:sz w:val="40"/>
          <w:szCs w:val="40"/>
          <w:lang w:eastAsia="en-US"/>
          <w14:ligatures w14:val="standardContextual"/>
        </w:rPr>
      </w:pPr>
    </w:p>
    <w:p w14:paraId="60920110">
      <w:pPr>
        <w:widowControl/>
        <w:spacing w:after="160" w:line="360" w:lineRule="auto"/>
        <w:jc w:val="center"/>
        <w:rPr>
          <w:rFonts w:ascii="Times New Roman" w:hAnsi="Times New Roman" w:eastAsia="Calibri" w:cs="Times New Roman"/>
          <w:i/>
          <w:iCs/>
          <w:color w:val="000000"/>
          <w:sz w:val="32"/>
          <w:szCs w:val="32"/>
          <w14:ligatures w14:val="standardContextual"/>
        </w:rPr>
      </w:pPr>
    </w:p>
    <w:p w14:paraId="5C3FB7D9">
      <w:pPr>
        <w:widowControl/>
        <w:spacing w:after="160" w:line="360" w:lineRule="auto"/>
        <w:jc w:val="center"/>
        <w:rPr>
          <w:rFonts w:ascii="Times New Roman" w:hAnsi="Times New Roman" w:eastAsia="Calibri" w:cs="Times New Roman"/>
          <w:i/>
          <w:iCs/>
          <w:color w:val="000000"/>
          <w:sz w:val="32"/>
          <w:szCs w:val="32"/>
          <w14:ligatures w14:val="standardContextual"/>
        </w:rPr>
      </w:pPr>
    </w:p>
    <w:p w14:paraId="137CF566">
      <w:pPr>
        <w:widowControl/>
        <w:spacing w:after="160" w:line="360" w:lineRule="auto"/>
        <w:jc w:val="center"/>
        <w:rPr>
          <w:rFonts w:ascii="Times New Roman" w:hAnsi="Times New Roman" w:eastAsia="Calibri" w:cs="Times New Roman"/>
          <w:i/>
          <w:iCs/>
          <w:color w:val="000000"/>
          <w:sz w:val="32"/>
          <w:szCs w:val="32"/>
          <w14:ligatures w14:val="standardContextual"/>
        </w:rPr>
      </w:pPr>
    </w:p>
    <w:p w14:paraId="3BDEFD4E">
      <w:pPr>
        <w:widowControl/>
        <w:spacing w:after="160" w:line="360" w:lineRule="auto"/>
        <w:jc w:val="center"/>
        <w:rPr>
          <w:rFonts w:ascii="Times New Roman" w:hAnsi="Times New Roman" w:eastAsia="Calibri" w:cs="Times New Roman"/>
          <w:i/>
          <w:iCs/>
          <w:color w:val="000000"/>
          <w:sz w:val="32"/>
          <w:szCs w:val="32"/>
          <w14:ligatures w14:val="standardContextual"/>
        </w:rPr>
      </w:pPr>
      <w:r>
        <w:rPr>
          <w:rFonts w:hint="eastAsia" w:ascii="Times New Roman" w:hAnsi="Times New Roman" w:eastAsia="Calibri" w:cs="Times New Roman"/>
          <w:i/>
          <w:iCs/>
          <w:color w:val="000000"/>
          <w:sz w:val="32"/>
          <w:szCs w:val="32"/>
          <w14:ligatures w14:val="standardContextual"/>
        </w:rPr>
        <w:t xml:space="preserve">By:Yitong Wang                                                                   </w:t>
      </w:r>
    </w:p>
    <w:p w14:paraId="74A87C77">
      <w:pPr>
        <w:widowControl/>
        <w:spacing w:after="160" w:line="360" w:lineRule="auto"/>
        <w:jc w:val="center"/>
        <w:rPr>
          <w:rFonts w:ascii="Times New Roman" w:hAnsi="Times New Roman" w:eastAsia="Calibri" w:cs="Times New Roman"/>
          <w:i/>
          <w:iCs/>
          <w:color w:val="000000"/>
          <w:sz w:val="32"/>
          <w:szCs w:val="32"/>
          <w14:ligatures w14:val="standardContextual"/>
        </w:rPr>
      </w:pPr>
      <w:r>
        <w:rPr>
          <w:rFonts w:hint="eastAsia" w:ascii="Times New Roman" w:hAnsi="Times New Roman" w:eastAsia="Calibri" w:cs="Times New Roman"/>
          <w:i/>
          <w:iCs/>
          <w:color w:val="000000"/>
          <w:sz w:val="32"/>
          <w:szCs w:val="32"/>
          <w14:ligatures w14:val="standardContextual"/>
        </w:rPr>
        <w:t>Student ID:2409469</w:t>
      </w:r>
    </w:p>
    <w:p w14:paraId="7EBBC6FB">
      <w:pPr>
        <w:widowControl/>
        <w:spacing w:after="160" w:line="360" w:lineRule="auto"/>
        <w:jc w:val="center"/>
        <w:rPr>
          <w:rFonts w:ascii="Times New Roman" w:hAnsi="Times New Roman" w:eastAsia="Calibri" w:cs="Times New Roman"/>
          <w:i/>
          <w:iCs/>
          <w:color w:val="000000"/>
          <w:sz w:val="32"/>
          <w:szCs w:val="32"/>
          <w14:ligatures w14:val="standardContextual"/>
        </w:rPr>
      </w:pPr>
      <w:r>
        <w:rPr>
          <w:rFonts w:hint="eastAsia" w:ascii="Times New Roman" w:hAnsi="Times New Roman" w:eastAsia="Calibri" w:cs="Times New Roman"/>
          <w:i/>
          <w:iCs/>
          <w:color w:val="000000"/>
          <w:sz w:val="32"/>
          <w:szCs w:val="32"/>
          <w14:ligatures w14:val="standardContextual"/>
        </w:rPr>
        <w:t xml:space="preserve">   Supervisor: Daniela Hellyer</w:t>
      </w:r>
    </w:p>
    <w:p w14:paraId="04CD7ECD">
      <w:pPr>
        <w:widowControl/>
        <w:spacing w:after="160" w:line="360" w:lineRule="auto"/>
        <w:jc w:val="center"/>
        <w:rPr>
          <w:rFonts w:ascii="Times New Roman" w:hAnsi="Times New Roman" w:eastAsia="Calibri" w:cs="Times New Roman"/>
          <w:i/>
          <w:iCs/>
          <w:color w:val="000000"/>
          <w:sz w:val="32"/>
          <w:szCs w:val="32"/>
          <w14:ligatures w14:val="standardContextual"/>
        </w:rPr>
      </w:pPr>
      <w:r>
        <w:rPr>
          <w:rFonts w:ascii="Times New Roman" w:hAnsi="Times New Roman" w:eastAsia="Calibri" w:cs="Times New Roman"/>
          <w:i/>
          <w:iCs/>
          <w:color w:val="000000"/>
          <w:sz w:val="32"/>
          <w:szCs w:val="32"/>
          <w:lang w:eastAsia="en-US"/>
          <w14:ligatures w14:val="standardContextual"/>
        </w:rPr>
        <w:t>Dated:</w:t>
      </w:r>
      <w:r>
        <w:rPr>
          <w:rFonts w:hint="eastAsia" w:ascii="Times New Roman" w:hAnsi="Times New Roman" w:eastAsia="Calibri" w:cs="Times New Roman"/>
          <w:i/>
          <w:iCs/>
          <w:color w:val="000000"/>
          <w:sz w:val="32"/>
          <w:szCs w:val="32"/>
          <w14:ligatures w14:val="standardContextual"/>
        </w:rPr>
        <w:t>26.9.2025</w:t>
      </w:r>
    </w:p>
    <w:p w14:paraId="5A863C70">
      <w:pPr>
        <w:widowControl/>
        <w:spacing w:after="160" w:line="360" w:lineRule="auto"/>
        <w:rPr>
          <w:rFonts w:ascii="Times New Roman" w:hAnsi="Times New Roman" w:eastAsia="Calibri" w:cs="Times New Roman"/>
          <w:i/>
          <w:iCs/>
          <w:color w:val="000000"/>
          <w:sz w:val="32"/>
          <w:szCs w:val="32"/>
          <w:lang w:eastAsia="en-US"/>
          <w14:ligatures w14:val="standardContextual"/>
        </w:rPr>
      </w:pPr>
    </w:p>
    <w:p w14:paraId="6AC976D7">
      <w:pPr>
        <w:widowControl/>
        <w:spacing w:after="160" w:line="360" w:lineRule="auto"/>
        <w:jc w:val="center"/>
        <w:rPr>
          <w:rFonts w:ascii="Times New Roman" w:hAnsi="Times New Roman" w:cs="Times New Roman"/>
          <w:i/>
          <w:iCs/>
          <w:color w:val="000000"/>
          <w:sz w:val="32"/>
          <w:szCs w:val="32"/>
          <w14:ligatures w14:val="standardContextual"/>
        </w:rPr>
      </w:pPr>
    </w:p>
    <w:p w14:paraId="4DE1145C">
      <w:pPr>
        <w:widowControl/>
        <w:spacing w:after="160" w:line="360" w:lineRule="auto"/>
        <w:jc w:val="center"/>
        <w:rPr>
          <w:rFonts w:ascii="Times New Roman" w:hAnsi="Times New Roman" w:cs="Times New Roman"/>
          <w:i/>
          <w:iCs/>
          <w:color w:val="000000"/>
          <w:sz w:val="32"/>
          <w:szCs w:val="32"/>
          <w14:ligatures w14:val="standardContextual"/>
        </w:rPr>
      </w:pPr>
    </w:p>
    <w:p w14:paraId="4ED6E9CF">
      <w:pPr>
        <w:widowControl/>
        <w:spacing w:after="160" w:line="360" w:lineRule="auto"/>
        <w:jc w:val="center"/>
        <w:rPr>
          <w:rFonts w:ascii="Times New Roman" w:hAnsi="Times New Roman" w:eastAsia="Calibri" w:cs="Times New Roman"/>
          <w:b/>
          <w:bCs/>
          <w:color w:val="000000"/>
          <w:sz w:val="24"/>
          <w:lang w:eastAsia="en-US"/>
          <w14:ligatures w14:val="standardContextual"/>
        </w:rPr>
      </w:pPr>
      <w:r>
        <w:rPr>
          <w:rFonts w:ascii="Times New Roman" w:hAnsi="Times New Roman" w:eastAsia="Calibri" w:cs="Times New Roman"/>
          <w:b/>
          <w:bCs/>
          <w:color w:val="000000"/>
          <w:sz w:val="24"/>
          <w:lang w:eastAsia="en-US"/>
          <w14:ligatures w14:val="standardContextual"/>
        </w:rPr>
        <w:t>Acknowledgement</w:t>
      </w:r>
    </w:p>
    <w:p w14:paraId="25D4829E">
      <w:pPr>
        <w:widowControl/>
        <w:spacing w:after="160" w:line="360" w:lineRule="auto"/>
        <w:rPr>
          <w:rFonts w:ascii="Times New Roman" w:hAnsi="Times New Roman" w:eastAsia="Calibri" w:cs="Times New Roman"/>
          <w:color w:val="000000"/>
          <w:sz w:val="24"/>
          <w:lang w:eastAsia="en-US"/>
          <w14:ligatures w14:val="standardContextual"/>
        </w:rPr>
      </w:pPr>
    </w:p>
    <w:p w14:paraId="64A3A7C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 would like to thank my supervisor for providing the directions, support and constructive comments during this research work. I would also like to express my gratitude to all Gen Z respondents, who participated in the poll and contributed to the most important data measured in the study. I would like to give special thanks to my family and friends who were very encouraging along the way of the research. They were able to support me always, they kept me moving and motivated. Lastly, my indebtedness is to all the authors and researchers whose research work served as the baseline to this study and spruced up the literature review, research methods and discussion.</w:t>
      </w:r>
    </w:p>
    <w:p w14:paraId="7567BECD">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280FABF2">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7C4424EC">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5D4972E9">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65CA342D">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194092E5">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5D5007EC">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624CD36E">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385815FA">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264FEAB1">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62EB5E18">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7A8597BB">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721AD90A">
      <w:pPr>
        <w:widowControl/>
        <w:spacing w:after="160" w:line="360" w:lineRule="auto"/>
        <w:jc w:val="center"/>
        <w:rPr>
          <w:rFonts w:ascii="Times New Roman" w:hAnsi="Times New Roman" w:eastAsia="Calibri" w:cs="Times New Roman"/>
          <w:i/>
          <w:iCs/>
          <w:color w:val="000000"/>
          <w:sz w:val="32"/>
          <w:szCs w:val="32"/>
          <w:lang w:eastAsia="en-US"/>
          <w14:ligatures w14:val="standardContextual"/>
        </w:rPr>
      </w:pPr>
    </w:p>
    <w:p w14:paraId="0B055B6F">
      <w:pPr>
        <w:widowControl/>
        <w:spacing w:after="160" w:line="360" w:lineRule="auto"/>
        <w:jc w:val="center"/>
        <w:rPr>
          <w:rFonts w:ascii="Times New Roman" w:hAnsi="Times New Roman" w:eastAsia="Calibri" w:cs="Times New Roman"/>
          <w:b/>
          <w:bCs/>
          <w:color w:val="000000"/>
          <w:sz w:val="24"/>
          <w:lang w:eastAsia="en-US"/>
          <w14:ligatures w14:val="standardContextual"/>
        </w:rPr>
      </w:pPr>
      <w:r>
        <w:rPr>
          <w:rFonts w:ascii="Times New Roman" w:hAnsi="Times New Roman" w:eastAsia="Calibri" w:cs="Times New Roman"/>
          <w:b/>
          <w:bCs/>
          <w:color w:val="000000"/>
          <w:sz w:val="24"/>
          <w:lang w:eastAsia="en-US"/>
          <w14:ligatures w14:val="standardContextual"/>
        </w:rPr>
        <w:t>Abstract:</w:t>
      </w:r>
    </w:p>
    <w:p w14:paraId="67915C1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research examines the influence of Corporate Social Responsibility (CSR) initiatives on brand loyalty among Generation Z (Gen Z) consumers in the United Kingdom.  Gen Z, who are more digital natives, are ethically conscientious and socially active, and are developing into a very key consumer base. Through structured online surveys, which were carried out among 221 respondents in Wales and England, the research design adopted by the study is a quantitative one. Descriptive statistics, as well as inferential statistics (correlation and regression), were utilised in analysing the data in order to determine associations among CSR awareness, brand trust, consumer satisfaction and its impact on consumer loyalty behaviours. Results indicate that CSR does not directly influence loyalty but builds loyalty indirectly by developing trust and satisfaction. Gen Z is also very focused on authenticity, transparency, and sustainability and reacts well to coherent and consistent CSR communication. The paper stresses the value of digital interaction, ethics, and sustainability as factors that can help create sustainable brand connections with Gen Z. These insights provide actionable direction to marketers to develop CSR strategies in line with the values-driven young consumers.</w:t>
      </w:r>
    </w:p>
    <w:p w14:paraId="4E876D2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Keywords: Corporate Social Responsibility, Gen Z, Brand Loyalty, Trust, Consumer Satisfaction, Digital Engagement, Sustainability.</w:t>
      </w:r>
    </w:p>
    <w:p w14:paraId="3C730F84">
      <w:pPr>
        <w:widowControl/>
        <w:spacing w:after="160" w:line="360" w:lineRule="auto"/>
        <w:rPr>
          <w:rFonts w:ascii="Times New Roman" w:hAnsi="Times New Roman" w:eastAsia="Calibri" w:cs="Times New Roman"/>
          <w:color w:val="000000"/>
          <w:sz w:val="24"/>
          <w:lang w:eastAsia="en-US"/>
          <w14:ligatures w14:val="standardContextual"/>
        </w:rPr>
      </w:pPr>
    </w:p>
    <w:p w14:paraId="25270416">
      <w:pPr>
        <w:widowControl/>
        <w:spacing w:after="160" w:line="360" w:lineRule="auto"/>
        <w:rPr>
          <w:rFonts w:ascii="Times New Roman" w:hAnsi="Times New Roman" w:eastAsia="Calibri" w:cs="Times New Roman"/>
          <w:color w:val="000000"/>
          <w:sz w:val="24"/>
          <w:lang w:eastAsia="en-US"/>
          <w14:ligatures w14:val="standardContextual"/>
        </w:rPr>
      </w:pPr>
    </w:p>
    <w:p w14:paraId="64D47E41">
      <w:pPr>
        <w:widowControl/>
        <w:spacing w:after="160" w:line="360" w:lineRule="auto"/>
        <w:rPr>
          <w:rFonts w:ascii="Times New Roman" w:hAnsi="Times New Roman" w:eastAsia="Calibri" w:cs="Times New Roman"/>
          <w:color w:val="000000"/>
          <w:sz w:val="24"/>
          <w:lang w:eastAsia="en-US"/>
          <w14:ligatures w14:val="standardContextual"/>
        </w:rPr>
      </w:pPr>
    </w:p>
    <w:p w14:paraId="46FC81A4">
      <w:pPr>
        <w:widowControl/>
        <w:spacing w:after="160" w:line="360" w:lineRule="auto"/>
        <w:rPr>
          <w:rFonts w:ascii="Times New Roman" w:hAnsi="Times New Roman" w:eastAsia="Calibri" w:cs="Times New Roman"/>
          <w:color w:val="000000"/>
          <w:sz w:val="24"/>
          <w:lang w:eastAsia="en-US"/>
          <w14:ligatures w14:val="standardContextual"/>
        </w:rPr>
      </w:pPr>
    </w:p>
    <w:p w14:paraId="60065E59">
      <w:pPr>
        <w:widowControl/>
        <w:spacing w:after="160" w:line="360" w:lineRule="auto"/>
        <w:rPr>
          <w:rFonts w:ascii="Times New Roman" w:hAnsi="Times New Roman" w:eastAsia="Calibri" w:cs="Times New Roman"/>
          <w:color w:val="000000"/>
          <w:sz w:val="24"/>
          <w:lang w:eastAsia="en-US"/>
          <w14:ligatures w14:val="standardContextual"/>
        </w:rPr>
      </w:pPr>
    </w:p>
    <w:p w14:paraId="6F5E5A24">
      <w:pPr>
        <w:widowControl/>
        <w:spacing w:after="160" w:line="360" w:lineRule="auto"/>
        <w:rPr>
          <w:rFonts w:ascii="Times New Roman" w:hAnsi="Times New Roman" w:eastAsia="Calibri" w:cs="Times New Roman"/>
          <w:color w:val="000000"/>
          <w:sz w:val="24"/>
          <w:lang w:eastAsia="en-US"/>
          <w14:ligatures w14:val="standardContextual"/>
        </w:rPr>
      </w:pPr>
    </w:p>
    <w:p w14:paraId="11B500CE">
      <w:pPr>
        <w:widowControl/>
        <w:spacing w:after="160" w:line="360" w:lineRule="auto"/>
        <w:rPr>
          <w:rFonts w:ascii="Times New Roman" w:hAnsi="Times New Roman" w:eastAsia="Calibri" w:cs="Times New Roman"/>
          <w:color w:val="000000"/>
          <w:sz w:val="24"/>
          <w:lang w:eastAsia="en-US"/>
          <w14:ligatures w14:val="standardContextual"/>
        </w:rPr>
      </w:pPr>
    </w:p>
    <w:p w14:paraId="67EC9DB3">
      <w:pPr>
        <w:widowControl/>
        <w:spacing w:after="160" w:line="360" w:lineRule="auto"/>
        <w:rPr>
          <w:rFonts w:ascii="Times New Roman" w:hAnsi="Times New Roman" w:eastAsia="Calibri" w:cs="Times New Roman"/>
          <w:color w:val="000000"/>
          <w:sz w:val="24"/>
          <w:lang w:eastAsia="en-US"/>
          <w14:ligatures w14:val="standardContextual"/>
        </w:rPr>
      </w:pPr>
    </w:p>
    <w:p w14:paraId="7B6AC513">
      <w:pPr>
        <w:widowControl/>
        <w:spacing w:after="160" w:line="360" w:lineRule="auto"/>
        <w:rPr>
          <w:rFonts w:ascii="Times New Roman" w:hAnsi="Times New Roman" w:eastAsia="Calibri" w:cs="Times New Roman"/>
          <w:color w:val="000000"/>
          <w:sz w:val="24"/>
          <w:lang w:eastAsia="en-US"/>
          <w14:ligatures w14:val="standardContextual"/>
        </w:rPr>
      </w:pPr>
    </w:p>
    <w:p w14:paraId="4A175D11">
      <w:pPr>
        <w:widowControl/>
        <w:spacing w:after="160" w:line="360" w:lineRule="auto"/>
        <w:rPr>
          <w:rFonts w:ascii="Times New Roman" w:hAnsi="Times New Roman" w:eastAsia="Calibri" w:cs="Times New Roman"/>
          <w:color w:val="000000"/>
          <w:sz w:val="24"/>
          <w:lang w:eastAsia="en-US"/>
          <w14:ligatures w14:val="standardContextual"/>
        </w:rPr>
      </w:pPr>
    </w:p>
    <w:sdt>
      <w:sdtPr>
        <w:rPr>
          <w:rFonts w:ascii="Times New Roman" w:hAnsi="Times New Roman" w:eastAsia="Calibri" w:cs="Times New Roman"/>
          <w:sz w:val="24"/>
          <w:lang w:val="zh-CN" w:eastAsia="en-US"/>
          <w14:ligatures w14:val="standardContextual"/>
        </w:rPr>
        <w:id w:val="-407315220"/>
        <w:docPartObj>
          <w:docPartGallery w:val="Table of Contents"/>
          <w:docPartUnique/>
        </w:docPartObj>
      </w:sdtPr>
      <w:sdtEndPr>
        <w:rPr>
          <w:rFonts w:ascii="Calibri" w:hAnsi="Calibri" w:eastAsia="Calibri" w:cs="Times New Roman"/>
          <w:b/>
          <w:bCs/>
          <w:sz w:val="24"/>
          <w:lang w:val="zh-CN" w:eastAsia="en-US"/>
          <w14:ligatures w14:val="standardContextual"/>
        </w:rPr>
      </w:sdtEndPr>
      <w:sdtContent>
        <w:p w14:paraId="7D5A360E">
          <w:pPr>
            <w:keepNext/>
            <w:keepLines/>
            <w:spacing w:before="480" w:line="276" w:lineRule="auto"/>
            <w:rPr>
              <w:rFonts w:ascii="Times New Roman" w:hAnsi="Times New Roman" w:eastAsia="等线 Light" w:cs="Times New Roman"/>
              <w:color w:val="2F5496"/>
              <w:kern w:val="0"/>
              <w:sz w:val="28"/>
              <w:szCs w:val="28"/>
              <w:lang w:eastAsia="en-US"/>
            </w:rPr>
          </w:pPr>
          <w:r>
            <w:rPr>
              <w:rFonts w:ascii="Times New Roman" w:hAnsi="Times New Roman" w:eastAsia="等线 Light" w:cs="Times New Roman"/>
              <w:color w:val="2F5496"/>
              <w:kern w:val="0"/>
              <w:sz w:val="28"/>
              <w:szCs w:val="28"/>
              <w:lang w:eastAsia="en-US"/>
            </w:rPr>
            <w:t>Table of Contents</w:t>
          </w:r>
        </w:p>
        <w:p w14:paraId="2CB7B161">
          <w:pPr>
            <w:pStyle w:val="3"/>
            <w:tabs>
              <w:tab w:val="right" w:leader="dot" w:pos="9026"/>
            </w:tabs>
          </w:pPr>
          <w:r>
            <w:rPr>
              <w:rFonts w:ascii="Times New Roman" w:hAnsi="Times New Roman" w:eastAsia="Calibri" w:cs="Times New Roman"/>
              <w:i/>
              <w:iCs/>
              <w:sz w:val="24"/>
              <w:szCs w:val="28"/>
              <w:lang w:val="zh-CN" w:eastAsia="en-US"/>
              <w14:ligatures w14:val="standardContextual"/>
            </w:rPr>
            <w:fldChar w:fldCharType="begin"/>
          </w:r>
          <w:r>
            <w:rPr>
              <w:rFonts w:ascii="Times New Roman" w:hAnsi="Times New Roman" w:eastAsia="Calibri" w:cs="Times New Roman"/>
              <w:i/>
              <w:iCs/>
              <w:sz w:val="24"/>
              <w:szCs w:val="28"/>
              <w:lang w:val="zh-CN" w:eastAsia="en-US"/>
              <w14:ligatures w14:val="standardContextual"/>
            </w:rPr>
            <w:instrText xml:space="preserve"> TOC \o "1-3" \h \z \u </w:instrText>
          </w:r>
          <w:r>
            <w:rPr>
              <w:rFonts w:ascii="Times New Roman" w:hAnsi="Times New Roman" w:eastAsia="Calibri" w:cs="Times New Roman"/>
              <w:i/>
              <w:iCs/>
              <w:sz w:val="24"/>
              <w:szCs w:val="28"/>
              <w:lang w:val="zh-CN" w:eastAsia="en-US"/>
              <w14:ligatures w14:val="standardContextual"/>
            </w:rPr>
            <w:fldChar w:fldCharType="separate"/>
          </w:r>
          <w:r>
            <w:rPr>
              <w:rFonts w:ascii="Times New Roman" w:hAnsi="Times New Roman" w:eastAsia="Calibri" w:cs="Times New Roman"/>
              <w:i/>
              <w:iCs/>
              <w:szCs w:val="28"/>
              <w:lang w:val="zh-CN" w:eastAsia="en-US"/>
              <w14:ligatures w14:val="standardContextual"/>
            </w:rPr>
            <w:fldChar w:fldCharType="begin"/>
          </w:r>
          <w:r>
            <w:rPr>
              <w:rFonts w:ascii="Times New Roman" w:hAnsi="Times New Roman" w:eastAsia="Calibri" w:cs="Times New Roman"/>
              <w:i/>
              <w:iCs/>
              <w:szCs w:val="28"/>
              <w:lang w:val="zh-CN" w:eastAsia="en-US"/>
              <w14:ligatures w14:val="standardContextual"/>
            </w:rPr>
            <w:instrText xml:space="preserve"> HYPERLINK \l _Toc26328 </w:instrText>
          </w:r>
          <w:r>
            <w:rPr>
              <w:rFonts w:ascii="Times New Roman" w:hAnsi="Times New Roman" w:eastAsia="Calibri" w:cs="Times New Roman"/>
              <w:i/>
              <w:iCs/>
              <w:szCs w:val="28"/>
              <w:lang w:val="zh-CN" w:eastAsia="en-US"/>
              <w14:ligatures w14:val="standardContextual"/>
            </w:rPr>
            <w:fldChar w:fldCharType="separate"/>
          </w:r>
          <w:r>
            <w:rPr>
              <w:rFonts w:ascii="Times New Roman" w:hAnsi="Times New Roman" w:eastAsia="等线 Light" w:cs="Times New Roman"/>
              <w:bCs/>
              <w:szCs w:val="40"/>
              <w:lang w:eastAsia="en-US"/>
              <w14:ligatures w14:val="standardContextual"/>
            </w:rPr>
            <w:t>1. Chapter 1 – Introduction</w:t>
          </w:r>
          <w:r>
            <w:tab/>
          </w:r>
          <w:r>
            <w:fldChar w:fldCharType="begin"/>
          </w:r>
          <w:r>
            <w:instrText xml:space="preserve"> PAGEREF _Toc26328 \h </w:instrText>
          </w:r>
          <w:r>
            <w:fldChar w:fldCharType="separate"/>
          </w:r>
          <w:r>
            <w:t>6</w:t>
          </w:r>
          <w:r>
            <w:fldChar w:fldCharType="end"/>
          </w:r>
          <w:r>
            <w:rPr>
              <w:rFonts w:ascii="Times New Roman" w:hAnsi="Times New Roman" w:eastAsia="Calibri" w:cs="Times New Roman"/>
              <w:i/>
              <w:iCs/>
              <w:szCs w:val="28"/>
              <w:lang w:val="zh-CN" w:eastAsia="en-US"/>
              <w14:ligatures w14:val="standardContextual"/>
            </w:rPr>
            <w:fldChar w:fldCharType="end"/>
          </w:r>
        </w:p>
        <w:p w14:paraId="2A1DA9AF">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_Toc23236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1.1. </w:t>
          </w:r>
          <w:r>
            <w:rPr>
              <w:rFonts w:ascii="Times New Roman" w:hAnsi="Times New Roman" w:eastAsia="等线 Light" w:cs="Times New Roman"/>
              <w:bCs/>
              <w:szCs w:val="32"/>
              <w:lang w:val="zh-CN" w:eastAsia="en-US"/>
              <w14:ligatures w14:val="standardContextual"/>
            </w:rPr>
            <w:t>Background</w:t>
          </w:r>
          <w:r>
            <w:tab/>
          </w:r>
          <w:r>
            <w:fldChar w:fldCharType="begin"/>
          </w:r>
          <w:r>
            <w:instrText xml:space="preserve"> PAGEREF _Toc23236 \h </w:instrText>
          </w:r>
          <w:r>
            <w:fldChar w:fldCharType="separate"/>
          </w:r>
          <w:r>
            <w:t>6</w:t>
          </w:r>
          <w:r>
            <w:fldChar w:fldCharType="end"/>
          </w:r>
          <w:r>
            <w:rPr>
              <w:rFonts w:ascii="Times New Roman" w:hAnsi="Times New Roman" w:eastAsia="Calibri" w:cs="Times New Roman"/>
              <w:lang w:val="zh-CN" w:eastAsia="en-US"/>
              <w14:ligatures w14:val="standardContextual"/>
            </w:rPr>
            <w:fldChar w:fldCharType="end"/>
          </w:r>
        </w:p>
        <w:p w14:paraId="7C9946CE">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_Toc16274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1.2. </w:t>
          </w:r>
          <w:r>
            <w:rPr>
              <w:rFonts w:ascii="Times New Roman" w:hAnsi="Times New Roman" w:eastAsia="等线 Light" w:cs="Times New Roman"/>
              <w:bCs/>
              <w:szCs w:val="32"/>
              <w:lang w:eastAsia="en-US"/>
              <w14:ligatures w14:val="standardContextual"/>
            </w:rPr>
            <w:t>Research Focus:</w:t>
          </w:r>
          <w:r>
            <w:tab/>
          </w:r>
          <w:r>
            <w:fldChar w:fldCharType="begin"/>
          </w:r>
          <w:r>
            <w:instrText xml:space="preserve"> PAGEREF _Toc16274 \h </w:instrText>
          </w:r>
          <w:r>
            <w:fldChar w:fldCharType="separate"/>
          </w:r>
          <w:r>
            <w:t>7</w:t>
          </w:r>
          <w:r>
            <w:fldChar w:fldCharType="end"/>
          </w:r>
          <w:r>
            <w:rPr>
              <w:rFonts w:ascii="Times New Roman" w:hAnsi="Times New Roman" w:eastAsia="Calibri" w:cs="Times New Roman"/>
              <w:lang w:val="zh-CN" w:eastAsia="en-US"/>
              <w14:ligatures w14:val="standardContextual"/>
            </w:rPr>
            <w:fldChar w:fldCharType="end"/>
          </w:r>
        </w:p>
        <w:p w14:paraId="57EB691A">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_Toc16034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1.3. </w:t>
          </w:r>
          <w:r>
            <w:rPr>
              <w:rFonts w:ascii="Times New Roman" w:hAnsi="Times New Roman" w:eastAsia="等线 Light" w:cs="Times New Roman"/>
              <w:bCs/>
              <w:szCs w:val="32"/>
              <w:lang w:val="zh-CN" w:eastAsia="en-US"/>
              <w14:ligatures w14:val="standardContextual"/>
            </w:rPr>
            <w:t>Rationale of Study</w:t>
          </w:r>
          <w:r>
            <w:tab/>
          </w:r>
          <w:r>
            <w:fldChar w:fldCharType="begin"/>
          </w:r>
          <w:r>
            <w:instrText xml:space="preserve"> PAGEREF _Toc16034 \h </w:instrText>
          </w:r>
          <w:r>
            <w:fldChar w:fldCharType="separate"/>
          </w:r>
          <w:r>
            <w:t>8</w:t>
          </w:r>
          <w:r>
            <w:fldChar w:fldCharType="end"/>
          </w:r>
          <w:r>
            <w:rPr>
              <w:rFonts w:ascii="Times New Roman" w:hAnsi="Times New Roman" w:eastAsia="Calibri" w:cs="Times New Roman"/>
              <w:lang w:val="zh-CN" w:eastAsia="en-US"/>
              <w14:ligatures w14:val="standardContextual"/>
            </w:rPr>
            <w:fldChar w:fldCharType="end"/>
          </w:r>
        </w:p>
        <w:p w14:paraId="4CC5374E">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_Toc11125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1.4. </w:t>
          </w:r>
          <w:r>
            <w:rPr>
              <w:rFonts w:ascii="Times New Roman" w:hAnsi="Times New Roman" w:eastAsia="等线 Light" w:cs="Times New Roman"/>
              <w:bCs/>
              <w:szCs w:val="32"/>
              <w:lang w:val="zh-CN" w:eastAsia="en-US"/>
              <w14:ligatures w14:val="standardContextual"/>
            </w:rPr>
            <w:t>Research Aim and Research Objectives</w:t>
          </w:r>
          <w:r>
            <w:tab/>
          </w:r>
          <w:r>
            <w:fldChar w:fldCharType="begin"/>
          </w:r>
          <w:r>
            <w:instrText xml:space="preserve"> PAGEREF _Toc11125 \h </w:instrText>
          </w:r>
          <w:r>
            <w:fldChar w:fldCharType="separate"/>
          </w:r>
          <w:r>
            <w:t>9</w:t>
          </w:r>
          <w:r>
            <w:fldChar w:fldCharType="end"/>
          </w:r>
          <w:r>
            <w:rPr>
              <w:rFonts w:ascii="Times New Roman" w:hAnsi="Times New Roman" w:eastAsia="Calibri" w:cs="Times New Roman"/>
              <w:lang w:val="zh-CN" w:eastAsia="en-US"/>
              <w14:ligatures w14:val="standardContextual"/>
            </w:rPr>
            <w:fldChar w:fldCharType="end"/>
          </w:r>
        </w:p>
        <w:p w14:paraId="525F153F">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_Toc4005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1.5. </w:t>
          </w:r>
          <w:r>
            <w:rPr>
              <w:rFonts w:ascii="Times New Roman" w:hAnsi="Times New Roman" w:eastAsia="等线 Light" w:cs="Times New Roman"/>
              <w:bCs/>
              <w:szCs w:val="32"/>
              <w:lang w:eastAsia="en-US"/>
              <w14:ligatures w14:val="standardContextual"/>
            </w:rPr>
            <w:t>Outline of the Dissertation:</w:t>
          </w:r>
          <w:r>
            <w:tab/>
          </w:r>
          <w:r>
            <w:fldChar w:fldCharType="begin"/>
          </w:r>
          <w:r>
            <w:instrText xml:space="preserve"> PAGEREF _Toc4005 \h </w:instrText>
          </w:r>
          <w:r>
            <w:fldChar w:fldCharType="separate"/>
          </w:r>
          <w:r>
            <w:t>10</w:t>
          </w:r>
          <w:r>
            <w:fldChar w:fldCharType="end"/>
          </w:r>
          <w:r>
            <w:rPr>
              <w:rFonts w:ascii="Times New Roman" w:hAnsi="Times New Roman" w:eastAsia="Calibri" w:cs="Times New Roman"/>
              <w:lang w:val="zh-CN" w:eastAsia="en-US"/>
              <w14:ligatures w14:val="standardContextual"/>
            </w:rPr>
            <w:fldChar w:fldCharType="end"/>
          </w:r>
        </w:p>
        <w:p w14:paraId="7674BCE3">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_Toc26890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等线 Light" w:cs="Times New Roman"/>
              <w:bCs/>
              <w:szCs w:val="40"/>
              <w:lang w:eastAsia="en-US"/>
              <w14:ligatures w14:val="standardContextual"/>
            </w:rPr>
            <w:t>Chapter 2 – Literature Review</w:t>
          </w:r>
          <w:r>
            <w:tab/>
          </w:r>
          <w:r>
            <w:fldChar w:fldCharType="begin"/>
          </w:r>
          <w:r>
            <w:instrText xml:space="preserve"> PAGEREF _Toc26890 \h </w:instrText>
          </w:r>
          <w:r>
            <w:fldChar w:fldCharType="separate"/>
          </w:r>
          <w:r>
            <w:t>11</w:t>
          </w:r>
          <w:r>
            <w:fldChar w:fldCharType="end"/>
          </w:r>
          <w:r>
            <w:rPr>
              <w:rFonts w:ascii="Times New Roman" w:hAnsi="Times New Roman" w:eastAsia="Calibri" w:cs="Times New Roman"/>
              <w:lang w:val="zh-CN" w:eastAsia="en-US"/>
              <w14:ligatures w14:val="standardContextual"/>
            </w:rPr>
            <w:fldChar w:fldCharType="end"/>
          </w:r>
        </w:p>
        <w:p w14:paraId="17A6BDF8">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_Toc31020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等线 Light" w:cs="Times New Roman"/>
              <w:bCs/>
              <w:szCs w:val="32"/>
              <w:lang w:eastAsia="en-US"/>
              <w14:ligatures w14:val="standardContextual"/>
            </w:rPr>
            <w:t>2. Introduction:</w:t>
          </w:r>
          <w:r>
            <w:tab/>
          </w:r>
          <w:r>
            <w:fldChar w:fldCharType="begin"/>
          </w:r>
          <w:r>
            <w:instrText xml:space="preserve"> PAGEREF _Toc31020 \h </w:instrText>
          </w:r>
          <w:r>
            <w:fldChar w:fldCharType="separate"/>
          </w:r>
          <w:r>
            <w:t>11</w:t>
          </w:r>
          <w:r>
            <w:fldChar w:fldCharType="end"/>
          </w:r>
          <w:r>
            <w:rPr>
              <w:rFonts w:ascii="Times New Roman" w:hAnsi="Times New Roman" w:eastAsia="Calibri" w:cs="Times New Roman"/>
              <w:lang w:val="zh-CN" w:eastAsia="en-US"/>
              <w14:ligatures w14:val="standardContextual"/>
            </w:rPr>
            <w:fldChar w:fldCharType="end"/>
          </w:r>
        </w:p>
        <w:p w14:paraId="1D0A02C1">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_Toc10570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2.1. </w:t>
          </w:r>
          <w:r>
            <w:rPr>
              <w:rFonts w:ascii="Times New Roman" w:hAnsi="Times New Roman" w:eastAsia="等线 Light" w:cs="Times New Roman"/>
              <w:bCs/>
              <w:szCs w:val="32"/>
              <w:lang w:val="zh-CN" w:eastAsia="en-US"/>
              <w14:ligatures w14:val="standardContextual"/>
            </w:rPr>
            <w:t>Key Concepts:</w:t>
          </w:r>
          <w:r>
            <w:tab/>
          </w:r>
          <w:r>
            <w:fldChar w:fldCharType="begin"/>
          </w:r>
          <w:r>
            <w:instrText xml:space="preserve"> PAGEREF _Toc10570 \h </w:instrText>
          </w:r>
          <w:r>
            <w:fldChar w:fldCharType="separate"/>
          </w:r>
          <w:r>
            <w:t>12</w:t>
          </w:r>
          <w:r>
            <w:fldChar w:fldCharType="end"/>
          </w:r>
          <w:r>
            <w:rPr>
              <w:rFonts w:ascii="Times New Roman" w:hAnsi="Times New Roman" w:eastAsia="Calibri" w:cs="Times New Roman"/>
              <w:lang w:val="zh-CN" w:eastAsia="en-US"/>
              <w14:ligatures w14:val="standardContextual"/>
            </w:rPr>
            <w:fldChar w:fldCharType="end"/>
          </w:r>
        </w:p>
        <w:p w14:paraId="1D5DC134">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_Toc5908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2.2. </w:t>
          </w:r>
          <w:r>
            <w:rPr>
              <w:rFonts w:ascii="Times New Roman" w:hAnsi="Times New Roman" w:eastAsia="等线 Light" w:cs="Times New Roman"/>
              <w:bCs/>
              <w:szCs w:val="32"/>
              <w:lang w:eastAsia="en-US"/>
              <w14:ligatures w14:val="standardContextual"/>
            </w:rPr>
            <w:t>The Evolution and Conceptualisation of CSR</w:t>
          </w:r>
          <w:r>
            <w:tab/>
          </w:r>
          <w:r>
            <w:fldChar w:fldCharType="begin"/>
          </w:r>
          <w:r>
            <w:instrText xml:space="preserve"> PAGEREF _Toc5908 \h </w:instrText>
          </w:r>
          <w:r>
            <w:fldChar w:fldCharType="separate"/>
          </w:r>
          <w:r>
            <w:t>13</w:t>
          </w:r>
          <w:r>
            <w:fldChar w:fldCharType="end"/>
          </w:r>
          <w:r>
            <w:rPr>
              <w:rFonts w:ascii="Times New Roman" w:hAnsi="Times New Roman" w:eastAsia="Calibri" w:cs="Times New Roman"/>
              <w:lang w:val="zh-CN" w:eastAsia="en-US"/>
              <w14:ligatures w14:val="standardContextual"/>
            </w:rPr>
            <w:fldChar w:fldCharType="end"/>
          </w:r>
        </w:p>
        <w:p w14:paraId="152FE784">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_Toc13371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2.3. </w:t>
          </w:r>
          <w:r>
            <w:rPr>
              <w:rFonts w:ascii="Times New Roman" w:hAnsi="Times New Roman" w:eastAsia="等线 Light" w:cs="Times New Roman"/>
              <w:bCs/>
              <w:szCs w:val="32"/>
              <w:lang w:val="zh-CN" w:eastAsia="en-US"/>
              <w14:ligatures w14:val="standardContextual"/>
            </w:rPr>
            <w:t>CSR and Stakeholder Relationships</w:t>
          </w:r>
          <w:r>
            <w:tab/>
          </w:r>
          <w:r>
            <w:fldChar w:fldCharType="begin"/>
          </w:r>
          <w:r>
            <w:instrText xml:space="preserve"> PAGEREF _Toc13371 \h </w:instrText>
          </w:r>
          <w:r>
            <w:fldChar w:fldCharType="separate"/>
          </w:r>
          <w:r>
            <w:t>15</w:t>
          </w:r>
          <w:r>
            <w:fldChar w:fldCharType="end"/>
          </w:r>
          <w:r>
            <w:rPr>
              <w:rFonts w:ascii="Times New Roman" w:hAnsi="Times New Roman" w:eastAsia="Calibri" w:cs="Times New Roman"/>
              <w:lang w:val="zh-CN" w:eastAsia="en-US"/>
              <w14:ligatures w14:val="standardContextual"/>
            </w:rPr>
            <w:fldChar w:fldCharType="end"/>
          </w:r>
        </w:p>
        <w:p w14:paraId="374AD8A6">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_Toc18019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2.4. </w:t>
          </w:r>
          <w:r>
            <w:rPr>
              <w:rFonts w:ascii="Times New Roman" w:hAnsi="Times New Roman" w:eastAsia="等线 Light" w:cs="Times New Roman"/>
              <w:bCs/>
              <w:szCs w:val="32"/>
              <w:lang w:val="zh-CN" w:eastAsia="en-US"/>
              <w14:ligatures w14:val="standardContextual"/>
            </w:rPr>
            <w:t>CSR and Consumer Behaviour Theories</w:t>
          </w:r>
          <w:r>
            <w:tab/>
          </w:r>
          <w:r>
            <w:fldChar w:fldCharType="begin"/>
          </w:r>
          <w:r>
            <w:instrText xml:space="preserve"> PAGEREF _Toc18019 \h </w:instrText>
          </w:r>
          <w:r>
            <w:fldChar w:fldCharType="separate"/>
          </w:r>
          <w:r>
            <w:t>16</w:t>
          </w:r>
          <w:r>
            <w:fldChar w:fldCharType="end"/>
          </w:r>
          <w:r>
            <w:rPr>
              <w:rFonts w:ascii="Times New Roman" w:hAnsi="Times New Roman" w:eastAsia="Calibri" w:cs="Times New Roman"/>
              <w:lang w:val="zh-CN" w:eastAsia="en-US"/>
              <w14:ligatures w14:val="standardContextual"/>
            </w:rPr>
            <w:fldChar w:fldCharType="end"/>
          </w:r>
        </w:p>
        <w:p w14:paraId="54D00B21">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_Toc15229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2.5. </w:t>
          </w:r>
          <w:r>
            <w:rPr>
              <w:rFonts w:ascii="Times New Roman" w:hAnsi="Times New Roman" w:eastAsia="等线 Light" w:cs="Times New Roman"/>
              <w:bCs/>
              <w:szCs w:val="32"/>
              <w:lang w:eastAsia="en-US"/>
              <w14:ligatures w14:val="standardContextual"/>
            </w:rPr>
            <w:t>Gen Z as Ethical and Digital Consumers in the UK Context</w:t>
          </w:r>
          <w:r>
            <w:tab/>
          </w:r>
          <w:r>
            <w:fldChar w:fldCharType="begin"/>
          </w:r>
          <w:r>
            <w:instrText xml:space="preserve"> PAGEREF _Toc15229 \h </w:instrText>
          </w:r>
          <w:r>
            <w:fldChar w:fldCharType="separate"/>
          </w:r>
          <w:r>
            <w:t>17</w:t>
          </w:r>
          <w:r>
            <w:fldChar w:fldCharType="end"/>
          </w:r>
          <w:r>
            <w:rPr>
              <w:rFonts w:ascii="Times New Roman" w:hAnsi="Times New Roman" w:eastAsia="Calibri" w:cs="Times New Roman"/>
              <w:lang w:val="zh-CN" w:eastAsia="en-US"/>
              <w14:ligatures w14:val="standardContextual"/>
            </w:rPr>
            <w:fldChar w:fldCharType="end"/>
          </w:r>
        </w:p>
        <w:p w14:paraId="73A919CC">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_Toc24618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2.6. </w:t>
          </w:r>
          <w:r>
            <w:rPr>
              <w:rFonts w:ascii="Times New Roman" w:hAnsi="Times New Roman" w:eastAsia="等线 Light" w:cs="Times New Roman"/>
              <w:bCs/>
              <w:szCs w:val="32"/>
              <w:lang w:val="zh-CN" w:eastAsia="en-US"/>
              <w14:ligatures w14:val="standardContextual"/>
            </w:rPr>
            <w:t>CSR and Brand Loyalty Mechanisms</w:t>
          </w:r>
          <w:r>
            <w:tab/>
          </w:r>
          <w:r>
            <w:fldChar w:fldCharType="begin"/>
          </w:r>
          <w:r>
            <w:instrText xml:space="preserve"> PAGEREF _Toc24618 \h </w:instrText>
          </w:r>
          <w:r>
            <w:fldChar w:fldCharType="separate"/>
          </w:r>
          <w:r>
            <w:t>19</w:t>
          </w:r>
          <w:r>
            <w:fldChar w:fldCharType="end"/>
          </w:r>
          <w:r>
            <w:rPr>
              <w:rFonts w:ascii="Times New Roman" w:hAnsi="Times New Roman" w:eastAsia="Calibri" w:cs="Times New Roman"/>
              <w:lang w:val="zh-CN" w:eastAsia="en-US"/>
              <w14:ligatures w14:val="standardContextual"/>
            </w:rPr>
            <w:fldChar w:fldCharType="end"/>
          </w:r>
        </w:p>
        <w:p w14:paraId="13E09567">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_Toc4645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2.7. </w:t>
          </w:r>
          <w:r>
            <w:rPr>
              <w:rFonts w:ascii="Times New Roman" w:hAnsi="Times New Roman" w:eastAsia="等线 Light" w:cs="Times New Roman"/>
              <w:bCs/>
              <w:szCs w:val="32"/>
              <w:lang w:eastAsia="en-US"/>
              <w14:ligatures w14:val="standardContextual"/>
            </w:rPr>
            <w:t>Communication of CSR: Packaging and Messaging Strategies:</w:t>
          </w:r>
          <w:r>
            <w:tab/>
          </w:r>
          <w:r>
            <w:fldChar w:fldCharType="begin"/>
          </w:r>
          <w:r>
            <w:instrText xml:space="preserve"> PAGEREF _Toc4645 \h </w:instrText>
          </w:r>
          <w:r>
            <w:fldChar w:fldCharType="separate"/>
          </w:r>
          <w:r>
            <w:t>21</w:t>
          </w:r>
          <w:r>
            <w:fldChar w:fldCharType="end"/>
          </w:r>
          <w:r>
            <w:rPr>
              <w:rFonts w:ascii="Times New Roman" w:hAnsi="Times New Roman" w:eastAsia="Calibri" w:cs="Times New Roman"/>
              <w:lang w:val="zh-CN" w:eastAsia="en-US"/>
              <w14:ligatures w14:val="standardContextual"/>
            </w:rPr>
            <w:fldChar w:fldCharType="end"/>
          </w:r>
        </w:p>
        <w:p w14:paraId="40A2FB0A">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_Toc22623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2.8. </w:t>
          </w:r>
          <w:r>
            <w:rPr>
              <w:rFonts w:ascii="Times New Roman" w:hAnsi="Times New Roman" w:eastAsia="等线 Light" w:cs="Times New Roman"/>
              <w:bCs/>
              <w:szCs w:val="32"/>
              <w:lang w:eastAsia="en-US"/>
              <w14:ligatures w14:val="standardContextual"/>
            </w:rPr>
            <w:t>Gaps in Literature and Need for Further Research</w:t>
          </w:r>
          <w:r>
            <w:tab/>
          </w:r>
          <w:r>
            <w:fldChar w:fldCharType="begin"/>
          </w:r>
          <w:r>
            <w:instrText xml:space="preserve"> PAGEREF _Toc22623 \h </w:instrText>
          </w:r>
          <w:r>
            <w:fldChar w:fldCharType="separate"/>
          </w:r>
          <w:r>
            <w:t>23</w:t>
          </w:r>
          <w:r>
            <w:fldChar w:fldCharType="end"/>
          </w:r>
          <w:r>
            <w:rPr>
              <w:rFonts w:ascii="Times New Roman" w:hAnsi="Times New Roman" w:eastAsia="Calibri" w:cs="Times New Roman"/>
              <w:lang w:val="zh-CN" w:eastAsia="en-US"/>
              <w14:ligatures w14:val="standardContextual"/>
            </w:rPr>
            <w:fldChar w:fldCharType="end"/>
          </w:r>
        </w:p>
        <w:p w14:paraId="4E12DCFE">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_Toc31902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2.9. </w:t>
          </w:r>
          <w:r>
            <w:rPr>
              <w:rFonts w:ascii="Times New Roman" w:hAnsi="Times New Roman" w:eastAsia="等线 Light" w:cs="Times New Roman"/>
              <w:bCs/>
              <w:szCs w:val="32"/>
              <w:lang w:eastAsia="en-US"/>
              <w14:ligatures w14:val="standardContextual"/>
            </w:rPr>
            <w:t>Theoretical Models Underpinning CSR and Brand Loyalty</w:t>
          </w:r>
          <w:r>
            <w:tab/>
          </w:r>
          <w:r>
            <w:fldChar w:fldCharType="begin"/>
          </w:r>
          <w:r>
            <w:instrText xml:space="preserve"> PAGEREF _Toc31902 \h </w:instrText>
          </w:r>
          <w:r>
            <w:fldChar w:fldCharType="separate"/>
          </w:r>
          <w:r>
            <w:t>23</w:t>
          </w:r>
          <w:r>
            <w:fldChar w:fldCharType="end"/>
          </w:r>
          <w:r>
            <w:rPr>
              <w:rFonts w:ascii="Times New Roman" w:hAnsi="Times New Roman" w:eastAsia="Calibri" w:cs="Times New Roman"/>
              <w:lang w:val="zh-CN" w:eastAsia="en-US"/>
              <w14:ligatures w14:val="standardContextual"/>
            </w:rPr>
            <w:fldChar w:fldCharType="end"/>
          </w:r>
        </w:p>
        <w:p w14:paraId="056FC6CD">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_Toc18638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2.10. </w:t>
          </w:r>
          <w:r>
            <w:rPr>
              <w:rFonts w:ascii="Times New Roman" w:hAnsi="Times New Roman" w:eastAsia="等线 Light" w:cs="Times New Roman"/>
              <w:bCs/>
              <w:szCs w:val="32"/>
              <w:lang w:eastAsia="en-US"/>
              <w14:ligatures w14:val="standardContextual"/>
            </w:rPr>
            <w:t>Summary of the Literature Review:</w:t>
          </w:r>
          <w:r>
            <w:tab/>
          </w:r>
          <w:r>
            <w:fldChar w:fldCharType="begin"/>
          </w:r>
          <w:r>
            <w:instrText xml:space="preserve"> PAGEREF _Toc18638 \h </w:instrText>
          </w:r>
          <w:r>
            <w:fldChar w:fldCharType="separate"/>
          </w:r>
          <w:r>
            <w:t>25</w:t>
          </w:r>
          <w:r>
            <w:fldChar w:fldCharType="end"/>
          </w:r>
          <w:r>
            <w:rPr>
              <w:rFonts w:ascii="Times New Roman" w:hAnsi="Times New Roman" w:eastAsia="Calibri" w:cs="Times New Roman"/>
              <w:lang w:val="zh-CN" w:eastAsia="en-US"/>
              <w14:ligatures w14:val="standardContextual"/>
            </w:rPr>
            <w:fldChar w:fldCharType="end"/>
          </w:r>
        </w:p>
        <w:p w14:paraId="2DF3DB8F">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_Toc8295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等线 Light" w:cs="Times New Roman"/>
              <w:bCs/>
              <w:szCs w:val="40"/>
              <w:lang w:eastAsia="en-US"/>
              <w14:ligatures w14:val="standardContextual"/>
            </w:rPr>
            <w:t>Chapter 3 – Methodology</w:t>
          </w:r>
          <w:r>
            <w:tab/>
          </w:r>
          <w:r>
            <w:fldChar w:fldCharType="begin"/>
          </w:r>
          <w:r>
            <w:instrText xml:space="preserve"> PAGEREF _Toc8295 \h </w:instrText>
          </w:r>
          <w:r>
            <w:fldChar w:fldCharType="separate"/>
          </w:r>
          <w:r>
            <w:t>26</w:t>
          </w:r>
          <w:r>
            <w:fldChar w:fldCharType="end"/>
          </w:r>
          <w:r>
            <w:rPr>
              <w:rFonts w:ascii="Times New Roman" w:hAnsi="Times New Roman" w:eastAsia="Calibri" w:cs="Times New Roman"/>
              <w:lang w:val="zh-CN" w:eastAsia="en-US"/>
              <w14:ligatures w14:val="standardContextual"/>
            </w:rPr>
            <w:fldChar w:fldCharType="end"/>
          </w:r>
        </w:p>
        <w:p w14:paraId="7256597D">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_Toc28753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 </w:t>
          </w:r>
          <w:r>
            <w:rPr>
              <w:rFonts w:ascii="Times New Roman" w:hAnsi="Times New Roman" w:eastAsia="等线 Light" w:cs="Times New Roman"/>
              <w:bCs/>
              <w:szCs w:val="32"/>
              <w:lang w:eastAsia="en-US"/>
              <w14:ligatures w14:val="standardContextual"/>
            </w:rPr>
            <w:t>Introduction:</w:t>
          </w:r>
          <w:r>
            <w:tab/>
          </w:r>
          <w:r>
            <w:fldChar w:fldCharType="begin"/>
          </w:r>
          <w:r>
            <w:instrText xml:space="preserve"> PAGEREF _Toc28753 \h </w:instrText>
          </w:r>
          <w:r>
            <w:fldChar w:fldCharType="separate"/>
          </w:r>
          <w:r>
            <w:t>26</w:t>
          </w:r>
          <w:r>
            <w:fldChar w:fldCharType="end"/>
          </w:r>
          <w:r>
            <w:rPr>
              <w:rFonts w:ascii="Times New Roman" w:hAnsi="Times New Roman" w:eastAsia="Calibri" w:cs="Times New Roman"/>
              <w:lang w:val="zh-CN" w:eastAsia="en-US"/>
              <w14:ligatures w14:val="standardContextual"/>
            </w:rPr>
            <w:fldChar w:fldCharType="end"/>
          </w:r>
        </w:p>
        <w:p w14:paraId="6F463D5D">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_Toc6885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3.1. </w:t>
          </w:r>
          <w:r>
            <w:rPr>
              <w:rFonts w:ascii="Times New Roman" w:hAnsi="Times New Roman" w:eastAsia="等线 Light" w:cs="Times New Roman"/>
              <w:bCs/>
              <w:szCs w:val="32"/>
              <w:lang w:eastAsia="en-US"/>
              <w14:ligatures w14:val="standardContextual"/>
            </w:rPr>
            <w:t>Research Philosophy and Approach:</w:t>
          </w:r>
          <w:r>
            <w:tab/>
          </w:r>
          <w:r>
            <w:fldChar w:fldCharType="begin"/>
          </w:r>
          <w:r>
            <w:instrText xml:space="preserve"> PAGEREF _Toc6885 \h </w:instrText>
          </w:r>
          <w:r>
            <w:fldChar w:fldCharType="separate"/>
          </w:r>
          <w:r>
            <w:t>26</w:t>
          </w:r>
          <w:r>
            <w:fldChar w:fldCharType="end"/>
          </w:r>
          <w:r>
            <w:rPr>
              <w:rFonts w:ascii="Times New Roman" w:hAnsi="Times New Roman" w:eastAsia="Calibri" w:cs="Times New Roman"/>
              <w:lang w:val="zh-CN" w:eastAsia="en-US"/>
              <w14:ligatures w14:val="standardContextual"/>
            </w:rPr>
            <w:fldChar w:fldCharType="end"/>
          </w:r>
        </w:p>
        <w:p w14:paraId="70A02C84">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_Toc12516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3.2. </w:t>
          </w:r>
          <w:r>
            <w:rPr>
              <w:rFonts w:ascii="Times New Roman" w:hAnsi="Times New Roman" w:eastAsia="等线 Light" w:cs="Times New Roman"/>
              <w:bCs/>
              <w:szCs w:val="32"/>
              <w:lang w:eastAsia="en-US"/>
              <w14:ligatures w14:val="standardContextual"/>
            </w:rPr>
            <w:t>Research Design and Strategy:</w:t>
          </w:r>
          <w:r>
            <w:tab/>
          </w:r>
          <w:r>
            <w:fldChar w:fldCharType="begin"/>
          </w:r>
          <w:r>
            <w:instrText xml:space="preserve"> PAGEREF _Toc12516 \h </w:instrText>
          </w:r>
          <w:r>
            <w:fldChar w:fldCharType="separate"/>
          </w:r>
          <w:r>
            <w:t>27</w:t>
          </w:r>
          <w:r>
            <w:fldChar w:fldCharType="end"/>
          </w:r>
          <w:r>
            <w:rPr>
              <w:rFonts w:ascii="Times New Roman" w:hAnsi="Times New Roman" w:eastAsia="Calibri" w:cs="Times New Roman"/>
              <w:lang w:val="zh-CN" w:eastAsia="en-US"/>
              <w14:ligatures w14:val="standardContextual"/>
            </w:rPr>
            <w:fldChar w:fldCharType="end"/>
          </w:r>
        </w:p>
        <w:p w14:paraId="2217C3D0">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_Toc16293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3.3. </w:t>
          </w:r>
          <w:r>
            <w:rPr>
              <w:rFonts w:ascii="Times New Roman" w:hAnsi="Times New Roman" w:eastAsia="等线 Light" w:cs="Times New Roman"/>
              <w:bCs/>
              <w:szCs w:val="32"/>
              <w:lang w:eastAsia="en-US"/>
              <w14:ligatures w14:val="standardContextual"/>
            </w:rPr>
            <w:t>Sampling and Population:</w:t>
          </w:r>
          <w:r>
            <w:tab/>
          </w:r>
          <w:r>
            <w:fldChar w:fldCharType="begin"/>
          </w:r>
          <w:r>
            <w:instrText xml:space="preserve"> PAGEREF _Toc16293 \h </w:instrText>
          </w:r>
          <w:r>
            <w:fldChar w:fldCharType="separate"/>
          </w:r>
          <w:r>
            <w:t>28</w:t>
          </w:r>
          <w:r>
            <w:fldChar w:fldCharType="end"/>
          </w:r>
          <w:r>
            <w:rPr>
              <w:rFonts w:ascii="Times New Roman" w:hAnsi="Times New Roman" w:eastAsia="Calibri" w:cs="Times New Roman"/>
              <w:lang w:val="zh-CN" w:eastAsia="en-US"/>
              <w14:ligatures w14:val="standardContextual"/>
            </w:rPr>
            <w:fldChar w:fldCharType="end"/>
          </w:r>
        </w:p>
        <w:p w14:paraId="6637CC90">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_Toc11099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3.4. </w:t>
          </w:r>
          <w:r>
            <w:rPr>
              <w:rFonts w:ascii="Times New Roman" w:hAnsi="Times New Roman" w:eastAsia="等线 Light" w:cs="Times New Roman"/>
              <w:bCs/>
              <w:szCs w:val="32"/>
              <w:lang w:val="zh-CN" w:eastAsia="en-US"/>
              <w14:ligatures w14:val="standardContextual"/>
            </w:rPr>
            <w:t>Research Instrument and Questionnaire Design</w:t>
          </w:r>
          <w:r>
            <w:tab/>
          </w:r>
          <w:r>
            <w:fldChar w:fldCharType="begin"/>
          </w:r>
          <w:r>
            <w:instrText xml:space="preserve"> PAGEREF _Toc11099 \h </w:instrText>
          </w:r>
          <w:r>
            <w:fldChar w:fldCharType="separate"/>
          </w:r>
          <w:r>
            <w:t>29</w:t>
          </w:r>
          <w:r>
            <w:fldChar w:fldCharType="end"/>
          </w:r>
          <w:r>
            <w:rPr>
              <w:rFonts w:ascii="Times New Roman" w:hAnsi="Times New Roman" w:eastAsia="Calibri" w:cs="Times New Roman"/>
              <w:lang w:val="zh-CN" w:eastAsia="en-US"/>
              <w14:ligatures w14:val="standardContextual"/>
            </w:rPr>
            <w:fldChar w:fldCharType="end"/>
          </w:r>
        </w:p>
        <w:p w14:paraId="650BCAC9">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_Toc16827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3.5. </w:t>
          </w:r>
          <w:r>
            <w:rPr>
              <w:rFonts w:ascii="Times New Roman" w:hAnsi="Times New Roman" w:eastAsia="等线 Light" w:cs="Times New Roman"/>
              <w:bCs/>
              <w:szCs w:val="32"/>
              <w:lang w:val="zh-CN" w:eastAsia="en-US"/>
              <w14:ligatures w14:val="standardContextual"/>
            </w:rPr>
            <w:t>Data Collection Procedure:</w:t>
          </w:r>
          <w:r>
            <w:tab/>
          </w:r>
          <w:r>
            <w:fldChar w:fldCharType="begin"/>
          </w:r>
          <w:r>
            <w:instrText xml:space="preserve"> PAGEREF _Toc16827 \h </w:instrText>
          </w:r>
          <w:r>
            <w:fldChar w:fldCharType="separate"/>
          </w:r>
          <w:r>
            <w:t>30</w:t>
          </w:r>
          <w:r>
            <w:fldChar w:fldCharType="end"/>
          </w:r>
          <w:r>
            <w:rPr>
              <w:rFonts w:ascii="Times New Roman" w:hAnsi="Times New Roman" w:eastAsia="Calibri" w:cs="Times New Roman"/>
              <w:lang w:val="zh-CN" w:eastAsia="en-US"/>
              <w14:ligatures w14:val="standardContextual"/>
            </w:rPr>
            <w:fldChar w:fldCharType="end"/>
          </w:r>
        </w:p>
        <w:p w14:paraId="372E0F48">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_Toc19905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3.6. </w:t>
          </w:r>
          <w:r>
            <w:rPr>
              <w:rFonts w:ascii="Times New Roman" w:hAnsi="Times New Roman" w:eastAsia="等线 Light" w:cs="Times New Roman"/>
              <w:bCs/>
              <w:szCs w:val="32"/>
              <w:lang w:val="zh-CN" w:eastAsia="en-US"/>
              <w14:ligatures w14:val="standardContextual"/>
            </w:rPr>
            <w:t>Data Analysis Methods</w:t>
          </w:r>
          <w:r>
            <w:tab/>
          </w:r>
          <w:r>
            <w:fldChar w:fldCharType="begin"/>
          </w:r>
          <w:r>
            <w:instrText xml:space="preserve"> PAGEREF _Toc19905 \h </w:instrText>
          </w:r>
          <w:r>
            <w:fldChar w:fldCharType="separate"/>
          </w:r>
          <w:r>
            <w:t>30</w:t>
          </w:r>
          <w:r>
            <w:fldChar w:fldCharType="end"/>
          </w:r>
          <w:r>
            <w:rPr>
              <w:rFonts w:ascii="Times New Roman" w:hAnsi="Times New Roman" w:eastAsia="Calibri" w:cs="Times New Roman"/>
              <w:lang w:val="zh-CN" w:eastAsia="en-US"/>
              <w14:ligatures w14:val="standardContextual"/>
            </w:rPr>
            <w:fldChar w:fldCharType="end"/>
          </w:r>
        </w:p>
        <w:p w14:paraId="301C21F7">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_Toc26924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3.7. </w:t>
          </w:r>
          <w:r>
            <w:rPr>
              <w:rFonts w:ascii="Times New Roman" w:hAnsi="Times New Roman" w:eastAsia="等线 Light" w:cs="Times New Roman"/>
              <w:bCs/>
              <w:szCs w:val="32"/>
              <w:lang w:eastAsia="en-US"/>
              <w14:ligatures w14:val="standardContextual"/>
            </w:rPr>
            <w:t>Ethical Consideration:</w:t>
          </w:r>
          <w:r>
            <w:tab/>
          </w:r>
          <w:r>
            <w:fldChar w:fldCharType="begin"/>
          </w:r>
          <w:r>
            <w:instrText xml:space="preserve"> PAGEREF _Toc26924 \h </w:instrText>
          </w:r>
          <w:r>
            <w:fldChar w:fldCharType="separate"/>
          </w:r>
          <w:r>
            <w:t>31</w:t>
          </w:r>
          <w:r>
            <w:fldChar w:fldCharType="end"/>
          </w:r>
          <w:r>
            <w:rPr>
              <w:rFonts w:ascii="Times New Roman" w:hAnsi="Times New Roman" w:eastAsia="Calibri" w:cs="Times New Roman"/>
              <w:lang w:val="zh-CN" w:eastAsia="en-US"/>
              <w14:ligatures w14:val="standardContextual"/>
            </w:rPr>
            <w:fldChar w:fldCharType="end"/>
          </w:r>
        </w:p>
        <w:p w14:paraId="6E86326A">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_Toc4517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3.8. </w:t>
          </w:r>
          <w:r>
            <w:rPr>
              <w:rFonts w:ascii="Times New Roman" w:hAnsi="Times New Roman" w:eastAsia="等线 Light" w:cs="Times New Roman"/>
              <w:bCs/>
              <w:szCs w:val="32"/>
              <w:lang w:eastAsia="en-US"/>
              <w14:ligatures w14:val="standardContextual"/>
            </w:rPr>
            <w:t>Limitations to the Methodology (200 words)</w:t>
          </w:r>
          <w:r>
            <w:tab/>
          </w:r>
          <w:r>
            <w:fldChar w:fldCharType="begin"/>
          </w:r>
          <w:r>
            <w:instrText xml:space="preserve"> PAGEREF _Toc4517 \h </w:instrText>
          </w:r>
          <w:r>
            <w:fldChar w:fldCharType="separate"/>
          </w:r>
          <w:r>
            <w:t>32</w:t>
          </w:r>
          <w:r>
            <w:fldChar w:fldCharType="end"/>
          </w:r>
          <w:r>
            <w:rPr>
              <w:rFonts w:ascii="Times New Roman" w:hAnsi="Times New Roman" w:eastAsia="Calibri" w:cs="Times New Roman"/>
              <w:lang w:val="zh-CN" w:eastAsia="en-US"/>
              <w14:ligatures w14:val="standardContextual"/>
            </w:rPr>
            <w:fldChar w:fldCharType="end"/>
          </w:r>
        </w:p>
        <w:p w14:paraId="4520B7DD">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_Toc15484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3.9. </w:t>
          </w:r>
          <w:r>
            <w:rPr>
              <w:rFonts w:ascii="Times New Roman" w:hAnsi="Times New Roman" w:eastAsia="等线 Light" w:cs="Times New Roman"/>
              <w:bCs/>
              <w:szCs w:val="32"/>
              <w:lang w:eastAsia="en-US"/>
              <w14:ligatures w14:val="standardContextual"/>
            </w:rPr>
            <w:t>Chapter summary:</w:t>
          </w:r>
          <w:r>
            <w:tab/>
          </w:r>
          <w:r>
            <w:fldChar w:fldCharType="begin"/>
          </w:r>
          <w:r>
            <w:instrText xml:space="preserve"> PAGEREF _Toc15484 \h </w:instrText>
          </w:r>
          <w:r>
            <w:fldChar w:fldCharType="separate"/>
          </w:r>
          <w:r>
            <w:t>33</w:t>
          </w:r>
          <w:r>
            <w:fldChar w:fldCharType="end"/>
          </w:r>
          <w:r>
            <w:rPr>
              <w:rFonts w:ascii="Times New Roman" w:hAnsi="Times New Roman" w:eastAsia="Calibri" w:cs="Times New Roman"/>
              <w:lang w:val="zh-CN" w:eastAsia="en-US"/>
              <w14:ligatures w14:val="standardContextual"/>
            </w:rPr>
            <w:fldChar w:fldCharType="end"/>
          </w:r>
        </w:p>
        <w:p w14:paraId="0547523A">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_Toc20962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等线 Light" w:cs="Times New Roman"/>
              <w:bCs/>
              <w:szCs w:val="40"/>
              <w:lang w:eastAsia="en-US"/>
              <w14:ligatures w14:val="standardContextual"/>
            </w:rPr>
            <w:t>Chapter 4 – Data Analysis</w:t>
          </w:r>
          <w:r>
            <w:tab/>
          </w:r>
          <w:r>
            <w:fldChar w:fldCharType="begin"/>
          </w:r>
          <w:r>
            <w:instrText xml:space="preserve"> PAGEREF _Toc20962 \h </w:instrText>
          </w:r>
          <w:r>
            <w:fldChar w:fldCharType="separate"/>
          </w:r>
          <w:r>
            <w:t>34</w:t>
          </w:r>
          <w:r>
            <w:fldChar w:fldCharType="end"/>
          </w:r>
          <w:r>
            <w:rPr>
              <w:rFonts w:ascii="Times New Roman" w:hAnsi="Times New Roman" w:eastAsia="Calibri" w:cs="Times New Roman"/>
              <w:lang w:val="zh-CN" w:eastAsia="en-US"/>
              <w14:ligatures w14:val="standardContextual"/>
            </w:rPr>
            <w:fldChar w:fldCharType="end"/>
          </w:r>
        </w:p>
        <w:p w14:paraId="04E4A48A">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_Toc2009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4. </w:t>
          </w:r>
          <w:r>
            <w:rPr>
              <w:rFonts w:ascii="Times New Roman" w:hAnsi="Times New Roman" w:eastAsia="等线 Light" w:cs="Times New Roman"/>
              <w:bCs/>
              <w:szCs w:val="32"/>
              <w:lang w:eastAsia="en-US"/>
              <w14:ligatures w14:val="standardContextual"/>
            </w:rPr>
            <w:t>Introduction:</w:t>
          </w:r>
          <w:r>
            <w:tab/>
          </w:r>
          <w:r>
            <w:fldChar w:fldCharType="begin"/>
          </w:r>
          <w:r>
            <w:instrText xml:space="preserve"> PAGEREF _Toc2009 \h </w:instrText>
          </w:r>
          <w:r>
            <w:fldChar w:fldCharType="separate"/>
          </w:r>
          <w:r>
            <w:t>34</w:t>
          </w:r>
          <w:r>
            <w:fldChar w:fldCharType="end"/>
          </w:r>
          <w:r>
            <w:rPr>
              <w:rFonts w:ascii="Times New Roman" w:hAnsi="Times New Roman" w:eastAsia="Calibri" w:cs="Times New Roman"/>
              <w:lang w:val="zh-CN" w:eastAsia="en-US"/>
              <w14:ligatures w14:val="standardContextual"/>
            </w:rPr>
            <w:fldChar w:fldCharType="end"/>
          </w:r>
        </w:p>
        <w:p w14:paraId="612053DC">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_Toc7085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4.1. </w:t>
          </w:r>
          <w:r>
            <w:rPr>
              <w:rFonts w:ascii="Times New Roman" w:hAnsi="Times New Roman" w:eastAsia="等线 Light" w:cs="Times New Roman"/>
              <w:bCs/>
              <w:szCs w:val="32"/>
              <w:lang w:val="zh-CN" w:eastAsia="en-US"/>
              <w14:ligatures w14:val="standardContextual"/>
            </w:rPr>
            <w:t>Demographic Profile of Respondents:</w:t>
          </w:r>
          <w:r>
            <w:tab/>
          </w:r>
          <w:r>
            <w:fldChar w:fldCharType="begin"/>
          </w:r>
          <w:r>
            <w:instrText xml:space="preserve"> PAGEREF _Toc7085 \h </w:instrText>
          </w:r>
          <w:r>
            <w:fldChar w:fldCharType="separate"/>
          </w:r>
          <w:r>
            <w:t>34</w:t>
          </w:r>
          <w:r>
            <w:fldChar w:fldCharType="end"/>
          </w:r>
          <w:r>
            <w:rPr>
              <w:rFonts w:ascii="Times New Roman" w:hAnsi="Times New Roman" w:eastAsia="Calibri" w:cs="Times New Roman"/>
              <w:lang w:val="zh-CN" w:eastAsia="en-US"/>
              <w14:ligatures w14:val="standardContextual"/>
            </w:rPr>
            <w:fldChar w:fldCharType="end"/>
          </w:r>
        </w:p>
        <w:p w14:paraId="20ED1DA7">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_Toc13948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4.1.1. </w:t>
          </w:r>
          <w:r>
            <w:rPr>
              <w:rFonts w:ascii="Times New Roman" w:hAnsi="Times New Roman" w:eastAsia="等线 Light" w:cs="Times New Roman"/>
              <w:bCs/>
              <w:szCs w:val="32"/>
              <w:lang w:val="zh-CN" w:eastAsia="en-US"/>
              <w14:ligatures w14:val="standardContextual"/>
            </w:rPr>
            <w:t>Gender Distribution</w:t>
          </w:r>
          <w:r>
            <w:tab/>
          </w:r>
          <w:r>
            <w:fldChar w:fldCharType="begin"/>
          </w:r>
          <w:r>
            <w:instrText xml:space="preserve"> PAGEREF _Toc13948 \h </w:instrText>
          </w:r>
          <w:r>
            <w:fldChar w:fldCharType="separate"/>
          </w:r>
          <w:r>
            <w:t>35</w:t>
          </w:r>
          <w:r>
            <w:fldChar w:fldCharType="end"/>
          </w:r>
          <w:r>
            <w:rPr>
              <w:rFonts w:ascii="Times New Roman" w:hAnsi="Times New Roman" w:eastAsia="Calibri" w:cs="Times New Roman"/>
              <w:lang w:val="zh-CN" w:eastAsia="en-US"/>
              <w14:ligatures w14:val="standardContextual"/>
            </w:rPr>
            <w:fldChar w:fldCharType="end"/>
          </w:r>
        </w:p>
        <w:p w14:paraId="76A93394">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_Toc15582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4.1.2. </w:t>
          </w:r>
          <w:r>
            <w:rPr>
              <w:rFonts w:ascii="Times New Roman" w:hAnsi="Times New Roman" w:eastAsia="等线 Light" w:cs="Times New Roman"/>
              <w:bCs/>
              <w:szCs w:val="32"/>
              <w:lang w:val="zh-CN" w:eastAsia="en-US"/>
              <w14:ligatures w14:val="standardContextual"/>
            </w:rPr>
            <w:t>Age Profile</w:t>
          </w:r>
          <w:r>
            <w:tab/>
          </w:r>
          <w:r>
            <w:fldChar w:fldCharType="begin"/>
          </w:r>
          <w:r>
            <w:instrText xml:space="preserve"> PAGEREF _Toc15582 \h </w:instrText>
          </w:r>
          <w:r>
            <w:fldChar w:fldCharType="separate"/>
          </w:r>
          <w:r>
            <w:t>35</w:t>
          </w:r>
          <w:r>
            <w:fldChar w:fldCharType="end"/>
          </w:r>
          <w:r>
            <w:rPr>
              <w:rFonts w:ascii="Times New Roman" w:hAnsi="Times New Roman" w:eastAsia="Calibri" w:cs="Times New Roman"/>
              <w:lang w:val="zh-CN" w:eastAsia="en-US"/>
              <w14:ligatures w14:val="standardContextual"/>
            </w:rPr>
            <w:fldChar w:fldCharType="end"/>
          </w:r>
        </w:p>
        <w:p w14:paraId="6B55DF99">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_Toc22583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4.1.3. </w:t>
          </w:r>
          <w:r>
            <w:rPr>
              <w:rFonts w:ascii="Times New Roman" w:hAnsi="Times New Roman" w:eastAsia="等线 Light" w:cs="Times New Roman"/>
              <w:bCs/>
              <w:szCs w:val="32"/>
              <w:lang w:val="zh-CN" w:eastAsia="en-US"/>
              <w14:ligatures w14:val="standardContextual"/>
            </w:rPr>
            <w:t>Employment Status</w:t>
          </w:r>
          <w:r>
            <w:tab/>
          </w:r>
          <w:r>
            <w:fldChar w:fldCharType="begin"/>
          </w:r>
          <w:r>
            <w:instrText xml:space="preserve"> PAGEREF _Toc22583 \h </w:instrText>
          </w:r>
          <w:r>
            <w:fldChar w:fldCharType="separate"/>
          </w:r>
          <w:r>
            <w:t>36</w:t>
          </w:r>
          <w:r>
            <w:fldChar w:fldCharType="end"/>
          </w:r>
          <w:r>
            <w:rPr>
              <w:rFonts w:ascii="Times New Roman" w:hAnsi="Times New Roman" w:eastAsia="Calibri" w:cs="Times New Roman"/>
              <w:lang w:val="zh-CN" w:eastAsia="en-US"/>
              <w14:ligatures w14:val="standardContextual"/>
            </w:rPr>
            <w:fldChar w:fldCharType="end"/>
          </w:r>
        </w:p>
        <w:p w14:paraId="6D4317D1">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_Toc8670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4.2. </w:t>
          </w:r>
          <w:r>
            <w:rPr>
              <w:rFonts w:ascii="Times New Roman" w:hAnsi="Times New Roman" w:eastAsia="等线 Light" w:cs="Times New Roman"/>
              <w:bCs/>
              <w:szCs w:val="32"/>
              <w:lang w:val="zh-CN" w:eastAsia="en-US"/>
              <w14:ligatures w14:val="standardContextual"/>
            </w:rPr>
            <w:t>CSR Awareness and Perception:</w:t>
          </w:r>
          <w:r>
            <w:tab/>
          </w:r>
          <w:r>
            <w:fldChar w:fldCharType="begin"/>
          </w:r>
          <w:r>
            <w:instrText xml:space="preserve"> PAGEREF _Toc8670 \h </w:instrText>
          </w:r>
          <w:r>
            <w:fldChar w:fldCharType="separate"/>
          </w:r>
          <w:r>
            <w:t>36</w:t>
          </w:r>
          <w:r>
            <w:fldChar w:fldCharType="end"/>
          </w:r>
          <w:r>
            <w:rPr>
              <w:rFonts w:ascii="Times New Roman" w:hAnsi="Times New Roman" w:eastAsia="Calibri" w:cs="Times New Roman"/>
              <w:lang w:val="zh-CN" w:eastAsia="en-US"/>
              <w14:ligatures w14:val="standardContextual"/>
            </w:rPr>
            <w:fldChar w:fldCharType="end"/>
          </w:r>
        </w:p>
        <w:p w14:paraId="04C2A097">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_Toc15432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4.3. </w:t>
          </w:r>
          <w:r>
            <w:rPr>
              <w:rFonts w:ascii="Times New Roman" w:hAnsi="Times New Roman" w:eastAsia="等线 Light" w:cs="Times New Roman"/>
              <w:bCs/>
              <w:szCs w:val="32"/>
              <w:lang w:val="zh-CN" w:eastAsia="en-US"/>
              <w14:ligatures w14:val="standardContextual"/>
            </w:rPr>
            <w:t>Correlation Analysis:</w:t>
          </w:r>
          <w:r>
            <w:tab/>
          </w:r>
          <w:r>
            <w:fldChar w:fldCharType="begin"/>
          </w:r>
          <w:r>
            <w:instrText xml:space="preserve"> PAGEREF _Toc15432 \h </w:instrText>
          </w:r>
          <w:r>
            <w:fldChar w:fldCharType="separate"/>
          </w:r>
          <w:r>
            <w:t>38</w:t>
          </w:r>
          <w:r>
            <w:fldChar w:fldCharType="end"/>
          </w:r>
          <w:r>
            <w:rPr>
              <w:rFonts w:ascii="Times New Roman" w:hAnsi="Times New Roman" w:eastAsia="Calibri" w:cs="Times New Roman"/>
              <w:lang w:val="zh-CN" w:eastAsia="en-US"/>
              <w14:ligatures w14:val="standardContextual"/>
            </w:rPr>
            <w:fldChar w:fldCharType="end"/>
          </w:r>
        </w:p>
        <w:p w14:paraId="441AB5C3">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_Toc26522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4.4. </w:t>
          </w:r>
          <w:r>
            <w:rPr>
              <w:rFonts w:ascii="Times New Roman" w:hAnsi="Times New Roman" w:eastAsia="等线 Light" w:cs="Times New Roman"/>
              <w:bCs/>
              <w:szCs w:val="32"/>
              <w:lang w:val="zh-CN" w:eastAsia="en-US"/>
              <w14:ligatures w14:val="standardContextual"/>
            </w:rPr>
            <w:t>Regression Analysis</w:t>
          </w:r>
          <w:r>
            <w:tab/>
          </w:r>
          <w:r>
            <w:fldChar w:fldCharType="begin"/>
          </w:r>
          <w:r>
            <w:instrText xml:space="preserve"> PAGEREF _Toc26522 \h </w:instrText>
          </w:r>
          <w:r>
            <w:fldChar w:fldCharType="separate"/>
          </w:r>
          <w:r>
            <w:t>40</w:t>
          </w:r>
          <w:r>
            <w:fldChar w:fldCharType="end"/>
          </w:r>
          <w:r>
            <w:rPr>
              <w:rFonts w:ascii="Times New Roman" w:hAnsi="Times New Roman" w:eastAsia="Calibri" w:cs="Times New Roman"/>
              <w:lang w:val="zh-CN" w:eastAsia="en-US"/>
              <w14:ligatures w14:val="standardContextual"/>
            </w:rPr>
            <w:fldChar w:fldCharType="end"/>
          </w:r>
        </w:p>
        <w:p w14:paraId="3F7A09ED">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_Toc5095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4.5. </w:t>
          </w:r>
          <w:r>
            <w:rPr>
              <w:rFonts w:ascii="Times New Roman" w:hAnsi="Times New Roman" w:eastAsia="等线 Light" w:cs="Times New Roman"/>
              <w:bCs/>
              <w:szCs w:val="32"/>
              <w:lang w:val="zh-CN" w:eastAsia="en-US"/>
              <w14:ligatures w14:val="standardContextual"/>
            </w:rPr>
            <w:t>Thematic Integration with Literature:</w:t>
          </w:r>
          <w:r>
            <w:tab/>
          </w:r>
          <w:r>
            <w:fldChar w:fldCharType="begin"/>
          </w:r>
          <w:r>
            <w:instrText xml:space="preserve"> PAGEREF _Toc5095 \h </w:instrText>
          </w:r>
          <w:r>
            <w:fldChar w:fldCharType="separate"/>
          </w:r>
          <w:r>
            <w:t>42</w:t>
          </w:r>
          <w:r>
            <w:fldChar w:fldCharType="end"/>
          </w:r>
          <w:r>
            <w:rPr>
              <w:rFonts w:ascii="Times New Roman" w:hAnsi="Times New Roman" w:eastAsia="Calibri" w:cs="Times New Roman"/>
              <w:lang w:val="zh-CN" w:eastAsia="en-US"/>
              <w14:ligatures w14:val="standardContextual"/>
            </w:rPr>
            <w:fldChar w:fldCharType="end"/>
          </w:r>
        </w:p>
        <w:p w14:paraId="0DBC160F">
          <w:pPr>
            <w:pStyle w:val="2"/>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_Toc27237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28"/>
              <w:lang w:eastAsia="en-US"/>
              <w14:ligatures w14:val="standardContextual"/>
            </w:rPr>
            <w:t xml:space="preserve">4.5.1. </w:t>
          </w:r>
          <w:r>
            <w:rPr>
              <w:rFonts w:ascii="Times New Roman" w:hAnsi="Times New Roman" w:eastAsia="等线 Light" w:cs="Times New Roman"/>
              <w:bCs/>
              <w:szCs w:val="28"/>
              <w:lang w:eastAsia="en-US"/>
              <w14:ligatures w14:val="standardContextual"/>
            </w:rPr>
            <w:t>Weak Predictive Power of CSR Perception</w:t>
          </w:r>
          <w:r>
            <w:tab/>
          </w:r>
          <w:r>
            <w:fldChar w:fldCharType="begin"/>
          </w:r>
          <w:r>
            <w:instrText xml:space="preserve"> PAGEREF _Toc27237 \h </w:instrText>
          </w:r>
          <w:r>
            <w:fldChar w:fldCharType="separate"/>
          </w:r>
          <w:r>
            <w:t>42</w:t>
          </w:r>
          <w:r>
            <w:fldChar w:fldCharType="end"/>
          </w:r>
          <w:r>
            <w:rPr>
              <w:rFonts w:ascii="Times New Roman" w:hAnsi="Times New Roman" w:eastAsia="Calibri" w:cs="Times New Roman"/>
              <w:lang w:val="zh-CN" w:eastAsia="en-US"/>
              <w14:ligatures w14:val="standardContextual"/>
            </w:rPr>
            <w:fldChar w:fldCharType="end"/>
          </w:r>
        </w:p>
        <w:p w14:paraId="73F07FBD">
          <w:pPr>
            <w:pStyle w:val="2"/>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_Toc25134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28"/>
              <w:lang w:eastAsia="en-US"/>
              <w14:ligatures w14:val="standardContextual"/>
            </w:rPr>
            <w:t xml:space="preserve">4.5.2. </w:t>
          </w:r>
          <w:r>
            <w:rPr>
              <w:rFonts w:ascii="Times New Roman" w:hAnsi="Times New Roman" w:eastAsia="等线 Light" w:cs="Times New Roman"/>
              <w:bCs/>
              <w:szCs w:val="28"/>
              <w:lang w:eastAsia="en-US"/>
              <w14:ligatures w14:val="standardContextual"/>
            </w:rPr>
            <w:t>The Role of Philanthropy and Ethical Evaluation</w:t>
          </w:r>
          <w:r>
            <w:tab/>
          </w:r>
          <w:r>
            <w:fldChar w:fldCharType="begin"/>
          </w:r>
          <w:r>
            <w:instrText xml:space="preserve"> PAGEREF _Toc25134 \h </w:instrText>
          </w:r>
          <w:r>
            <w:fldChar w:fldCharType="separate"/>
          </w:r>
          <w:r>
            <w:t>42</w:t>
          </w:r>
          <w:r>
            <w:fldChar w:fldCharType="end"/>
          </w:r>
          <w:r>
            <w:rPr>
              <w:rFonts w:ascii="Times New Roman" w:hAnsi="Times New Roman" w:eastAsia="Calibri" w:cs="Times New Roman"/>
              <w:lang w:val="zh-CN" w:eastAsia="en-US"/>
              <w14:ligatures w14:val="standardContextual"/>
            </w:rPr>
            <w:fldChar w:fldCharType="end"/>
          </w:r>
        </w:p>
        <w:p w14:paraId="361C4A3E">
          <w:pPr>
            <w:pStyle w:val="2"/>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_Toc8380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28"/>
              <w:lang w:val="zh-CN" w:eastAsia="en-US"/>
              <w14:ligatures w14:val="standardContextual"/>
            </w:rPr>
            <w:t xml:space="preserve">4.5.3. </w:t>
          </w:r>
          <w:r>
            <w:rPr>
              <w:rFonts w:ascii="Times New Roman" w:hAnsi="Times New Roman" w:eastAsia="等线 Light" w:cs="Times New Roman"/>
              <w:bCs/>
              <w:szCs w:val="28"/>
              <w:lang w:val="zh-CN" w:eastAsia="en-US"/>
              <w14:ligatures w14:val="standardContextual"/>
            </w:rPr>
            <w:t>Value Alignment and Social Responsibility</w:t>
          </w:r>
          <w:r>
            <w:tab/>
          </w:r>
          <w:r>
            <w:fldChar w:fldCharType="begin"/>
          </w:r>
          <w:r>
            <w:instrText xml:space="preserve"> PAGEREF _Toc8380 \h </w:instrText>
          </w:r>
          <w:r>
            <w:fldChar w:fldCharType="separate"/>
          </w:r>
          <w:r>
            <w:t>43</w:t>
          </w:r>
          <w:r>
            <w:fldChar w:fldCharType="end"/>
          </w:r>
          <w:r>
            <w:rPr>
              <w:rFonts w:ascii="Times New Roman" w:hAnsi="Times New Roman" w:eastAsia="Calibri" w:cs="Times New Roman"/>
              <w:lang w:val="zh-CN" w:eastAsia="en-US"/>
              <w14:ligatures w14:val="standardContextual"/>
            </w:rPr>
            <w:fldChar w:fldCharType="end"/>
          </w:r>
        </w:p>
        <w:p w14:paraId="2A98CC03">
          <w:pPr>
            <w:pStyle w:val="2"/>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_Toc27717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28"/>
              <w:lang w:val="zh-CN" w:eastAsia="en-US"/>
              <w14:ligatures w14:val="standardContextual"/>
            </w:rPr>
            <w:t xml:space="preserve">4.5.4. </w:t>
          </w:r>
          <w:r>
            <w:rPr>
              <w:rFonts w:ascii="Times New Roman" w:hAnsi="Times New Roman" w:eastAsia="等线 Light" w:cs="Times New Roman"/>
              <w:bCs/>
              <w:szCs w:val="28"/>
              <w:lang w:val="zh-CN" w:eastAsia="en-US"/>
              <w14:ligatures w14:val="standardContextual"/>
            </w:rPr>
            <w:t>Revisiting Hypotheses</w:t>
          </w:r>
          <w:r>
            <w:tab/>
          </w:r>
          <w:r>
            <w:fldChar w:fldCharType="begin"/>
          </w:r>
          <w:r>
            <w:instrText xml:space="preserve"> PAGEREF _Toc27717 \h </w:instrText>
          </w:r>
          <w:r>
            <w:fldChar w:fldCharType="separate"/>
          </w:r>
          <w:r>
            <w:t>43</w:t>
          </w:r>
          <w:r>
            <w:fldChar w:fldCharType="end"/>
          </w:r>
          <w:r>
            <w:rPr>
              <w:rFonts w:ascii="Times New Roman" w:hAnsi="Times New Roman" w:eastAsia="Calibri" w:cs="Times New Roman"/>
              <w:lang w:val="zh-CN" w:eastAsia="en-US"/>
              <w14:ligatures w14:val="standardContextual"/>
            </w:rPr>
            <w:fldChar w:fldCharType="end"/>
          </w:r>
        </w:p>
        <w:p w14:paraId="1304C699">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_Toc18752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4.6. </w:t>
          </w:r>
          <w:r>
            <w:rPr>
              <w:rFonts w:ascii="Times New Roman" w:hAnsi="Times New Roman" w:eastAsia="等线 Light" w:cs="Times New Roman"/>
              <w:bCs/>
              <w:szCs w:val="32"/>
              <w:lang w:val="zh-CN" w:eastAsia="en-US"/>
              <w14:ligatures w14:val="standardContextual"/>
            </w:rPr>
            <w:t>Summary of Key Findings:</w:t>
          </w:r>
          <w:r>
            <w:tab/>
          </w:r>
          <w:r>
            <w:fldChar w:fldCharType="begin"/>
          </w:r>
          <w:r>
            <w:instrText xml:space="preserve"> PAGEREF _Toc18752 \h </w:instrText>
          </w:r>
          <w:r>
            <w:fldChar w:fldCharType="separate"/>
          </w:r>
          <w:r>
            <w:t>43</w:t>
          </w:r>
          <w:r>
            <w:fldChar w:fldCharType="end"/>
          </w:r>
          <w:r>
            <w:rPr>
              <w:rFonts w:ascii="Times New Roman" w:hAnsi="Times New Roman" w:eastAsia="Calibri" w:cs="Times New Roman"/>
              <w:lang w:val="zh-CN" w:eastAsia="en-US"/>
              <w14:ligatures w14:val="standardContextual"/>
            </w:rPr>
            <w:fldChar w:fldCharType="end"/>
          </w:r>
        </w:p>
        <w:p w14:paraId="38655314">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_Toc13311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4.7. </w:t>
          </w:r>
          <w:r>
            <w:rPr>
              <w:rFonts w:hint="eastAsia" w:ascii="Times New Roman" w:hAnsi="Times New Roman" w:eastAsia="等线 Light" w:cs="Times New Roman"/>
              <w:bCs/>
              <w:szCs w:val="32"/>
              <w:lang w:eastAsia="en-US"/>
              <w14:ligatures w14:val="standardContextual"/>
            </w:rPr>
            <w:t>2.6.Alignment with Research Objectives and Research Question:</w:t>
          </w:r>
          <w:r>
            <w:tab/>
          </w:r>
          <w:r>
            <w:fldChar w:fldCharType="begin"/>
          </w:r>
          <w:r>
            <w:instrText xml:space="preserve"> PAGEREF _Toc13311 \h </w:instrText>
          </w:r>
          <w:r>
            <w:fldChar w:fldCharType="separate"/>
          </w:r>
          <w:r>
            <w:t>45</w:t>
          </w:r>
          <w:r>
            <w:fldChar w:fldCharType="end"/>
          </w:r>
          <w:r>
            <w:rPr>
              <w:rFonts w:ascii="Times New Roman" w:hAnsi="Times New Roman" w:eastAsia="Calibri" w:cs="Times New Roman"/>
              <w:lang w:val="zh-CN" w:eastAsia="en-US"/>
              <w14:ligatures w14:val="standardContextual"/>
            </w:rPr>
            <w:fldChar w:fldCharType="end"/>
          </w:r>
        </w:p>
        <w:p w14:paraId="5A70DEBB">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_Toc28002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等线 Light" w:cs="Times New Roman"/>
              <w:bCs/>
              <w:szCs w:val="40"/>
              <w:lang w:eastAsia="en-US"/>
              <w14:ligatures w14:val="standardContextual"/>
            </w:rPr>
            <w:t>Chapter 5: Conclusion and Recommendations</w:t>
          </w:r>
          <w:r>
            <w:tab/>
          </w:r>
          <w:r>
            <w:fldChar w:fldCharType="begin"/>
          </w:r>
          <w:r>
            <w:instrText xml:space="preserve"> PAGEREF _Toc28002 \h </w:instrText>
          </w:r>
          <w:r>
            <w:fldChar w:fldCharType="separate"/>
          </w:r>
          <w:r>
            <w:t>47</w:t>
          </w:r>
          <w:r>
            <w:fldChar w:fldCharType="end"/>
          </w:r>
          <w:r>
            <w:rPr>
              <w:rFonts w:ascii="Times New Roman" w:hAnsi="Times New Roman" w:eastAsia="Calibri" w:cs="Times New Roman"/>
              <w:lang w:val="zh-CN" w:eastAsia="en-US"/>
              <w14:ligatures w14:val="standardContextual"/>
            </w:rPr>
            <w:fldChar w:fldCharType="end"/>
          </w:r>
        </w:p>
        <w:p w14:paraId="19C9690B">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_Toc6216 </w:instrText>
          </w:r>
          <w:r>
            <w:rPr>
              <w:rFonts w:ascii="Times New Roman" w:hAnsi="Times New Roman" w:eastAsia="Calibri" w:cs="Times New Roman"/>
              <w:lang w:val="zh-CN" w:eastAsia="en-US"/>
              <w14:ligatures w14:val="standardContextual"/>
            </w:rPr>
            <w:fldChar w:fldCharType="separate"/>
          </w:r>
          <w:r>
            <w:rPr>
              <w:rFonts w:hint="eastAsia" w:ascii="Times New Roman" w:hAnsi="Times New Roman" w:eastAsia="等线 Light" w:cs="Times New Roman"/>
              <w:bCs/>
              <w:szCs w:val="32"/>
              <w14:ligatures w14:val="standardContextual"/>
            </w:rPr>
            <w:t xml:space="preserve">5.1.  </w:t>
          </w:r>
          <w:r>
            <w:rPr>
              <w:rFonts w:ascii="Times New Roman" w:hAnsi="Times New Roman" w:eastAsia="等线 Light" w:cs="Times New Roman"/>
              <w:bCs/>
              <w:szCs w:val="32"/>
              <w:lang w:eastAsia="en-US"/>
              <w14:ligatures w14:val="standardContextual"/>
            </w:rPr>
            <w:t>Discussion of Gen Z Values and Brand Expectations:</w:t>
          </w:r>
          <w:r>
            <w:tab/>
          </w:r>
          <w:r>
            <w:fldChar w:fldCharType="begin"/>
          </w:r>
          <w:r>
            <w:instrText xml:space="preserve"> PAGEREF _Toc6216 \h </w:instrText>
          </w:r>
          <w:r>
            <w:fldChar w:fldCharType="separate"/>
          </w:r>
          <w:r>
            <w:t>47</w:t>
          </w:r>
          <w:r>
            <w:fldChar w:fldCharType="end"/>
          </w:r>
          <w:r>
            <w:rPr>
              <w:rFonts w:ascii="Times New Roman" w:hAnsi="Times New Roman" w:eastAsia="Calibri" w:cs="Times New Roman"/>
              <w:lang w:val="zh-CN" w:eastAsia="en-US"/>
              <w14:ligatures w14:val="standardContextual"/>
            </w:rPr>
            <w:fldChar w:fldCharType="end"/>
          </w:r>
        </w:p>
        <w:p w14:paraId="4DABDFD5">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_Toc1687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eastAsia="en-US"/>
              <w14:ligatures w14:val="standardContextual"/>
            </w:rPr>
            <w:t xml:space="preserve">5.2. </w:t>
          </w:r>
          <w:r>
            <w:rPr>
              <w:rFonts w:ascii="Times New Roman" w:hAnsi="Times New Roman" w:eastAsia="等线 Light" w:cs="Times New Roman"/>
              <w:bCs/>
              <w:szCs w:val="32"/>
              <w:lang w:eastAsia="en-US"/>
              <w14:ligatures w14:val="standardContextual"/>
            </w:rPr>
            <w:t>Implications for Digital Communication and Privacy</w:t>
          </w:r>
          <w:r>
            <w:tab/>
          </w:r>
          <w:r>
            <w:fldChar w:fldCharType="begin"/>
          </w:r>
          <w:r>
            <w:instrText xml:space="preserve"> PAGEREF _Toc1687 \h </w:instrText>
          </w:r>
          <w:r>
            <w:fldChar w:fldCharType="separate"/>
          </w:r>
          <w:r>
            <w:t>48</w:t>
          </w:r>
          <w:r>
            <w:fldChar w:fldCharType="end"/>
          </w:r>
          <w:r>
            <w:rPr>
              <w:rFonts w:ascii="Times New Roman" w:hAnsi="Times New Roman" w:eastAsia="Calibri" w:cs="Times New Roman"/>
              <w:lang w:val="zh-CN" w:eastAsia="en-US"/>
              <w14:ligatures w14:val="standardContextual"/>
            </w:rPr>
            <w:fldChar w:fldCharType="end"/>
          </w:r>
        </w:p>
        <w:p w14:paraId="4182CFBF">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_Toc21011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5.3. </w:t>
          </w:r>
          <w:r>
            <w:rPr>
              <w:rFonts w:ascii="Times New Roman" w:hAnsi="Times New Roman" w:eastAsia="等线 Light" w:cs="Times New Roman"/>
              <w:bCs/>
              <w:szCs w:val="32"/>
              <w:lang w:val="zh-CN" w:eastAsia="en-US"/>
              <w14:ligatures w14:val="standardContextual"/>
            </w:rPr>
            <w:t>Recommendations:</w:t>
          </w:r>
          <w:r>
            <w:tab/>
          </w:r>
          <w:r>
            <w:fldChar w:fldCharType="begin"/>
          </w:r>
          <w:r>
            <w:instrText xml:space="preserve"> PAGEREF _Toc21011 \h </w:instrText>
          </w:r>
          <w:r>
            <w:fldChar w:fldCharType="separate"/>
          </w:r>
          <w:r>
            <w:t>48</w:t>
          </w:r>
          <w:r>
            <w:fldChar w:fldCharType="end"/>
          </w:r>
          <w:r>
            <w:rPr>
              <w:rFonts w:ascii="Times New Roman" w:hAnsi="Times New Roman" w:eastAsia="Calibri" w:cs="Times New Roman"/>
              <w:lang w:val="zh-CN" w:eastAsia="en-US"/>
              <w14:ligatures w14:val="standardContextual"/>
            </w:rPr>
            <w:fldChar w:fldCharType="end"/>
          </w:r>
        </w:p>
        <w:p w14:paraId="069C8B6A">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_Toc16915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5.4. </w:t>
          </w:r>
          <w:r>
            <w:rPr>
              <w:rFonts w:ascii="Times New Roman" w:hAnsi="Times New Roman" w:eastAsia="等线 Light" w:cs="Times New Roman"/>
              <w:bCs/>
              <w:szCs w:val="32"/>
              <w:lang w:val="zh-CN" w:eastAsia="en-US"/>
              <w14:ligatures w14:val="standardContextual"/>
            </w:rPr>
            <w:t>Limitations of the Study</w:t>
          </w:r>
          <w:r>
            <w:tab/>
          </w:r>
          <w:r>
            <w:fldChar w:fldCharType="begin"/>
          </w:r>
          <w:r>
            <w:instrText xml:space="preserve"> PAGEREF _Toc16915 \h </w:instrText>
          </w:r>
          <w:r>
            <w:fldChar w:fldCharType="separate"/>
          </w:r>
          <w:r>
            <w:t>49</w:t>
          </w:r>
          <w:r>
            <w:fldChar w:fldCharType="end"/>
          </w:r>
          <w:r>
            <w:rPr>
              <w:rFonts w:ascii="Times New Roman" w:hAnsi="Times New Roman" w:eastAsia="Calibri" w:cs="Times New Roman"/>
              <w:lang w:val="zh-CN" w:eastAsia="en-US"/>
              <w14:ligatures w14:val="standardContextual"/>
            </w:rPr>
            <w:fldChar w:fldCharType="end"/>
          </w:r>
        </w:p>
        <w:p w14:paraId="0AA63DB0">
          <w:pPr>
            <w:pStyle w:val="4"/>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_Toc31146 </w:instrText>
          </w:r>
          <w:r>
            <w:rPr>
              <w:rFonts w:ascii="Times New Roman" w:hAnsi="Times New Roman" w:eastAsia="Calibri" w:cs="Times New Roman"/>
              <w:lang w:val="zh-CN" w:eastAsia="en-US"/>
              <w14:ligatures w14:val="standardContextual"/>
            </w:rPr>
            <w:fldChar w:fldCharType="separate"/>
          </w:r>
          <w:r>
            <w:rPr>
              <w:rFonts w:hint="default" w:ascii="Times New Roman" w:hAnsi="Times New Roman" w:eastAsia="等线 Light" w:cs="Times New Roman"/>
              <w:bCs/>
              <w:szCs w:val="32"/>
              <w:lang w:val="zh-CN" w:eastAsia="en-US"/>
              <w14:ligatures w14:val="standardContextual"/>
            </w:rPr>
            <w:t xml:space="preserve">5.5. </w:t>
          </w:r>
          <w:r>
            <w:rPr>
              <w:rFonts w:ascii="Times New Roman" w:hAnsi="Times New Roman" w:eastAsia="等线 Light" w:cs="Times New Roman"/>
              <w:bCs/>
              <w:szCs w:val="32"/>
              <w:lang w:val="zh-CN" w:eastAsia="en-US"/>
              <w14:ligatures w14:val="standardContextual"/>
            </w:rPr>
            <w:t>Recommendations to future research:</w:t>
          </w:r>
          <w:r>
            <w:tab/>
          </w:r>
          <w:r>
            <w:fldChar w:fldCharType="begin"/>
          </w:r>
          <w:r>
            <w:instrText xml:space="preserve"> PAGEREF _Toc31146 \h </w:instrText>
          </w:r>
          <w:r>
            <w:fldChar w:fldCharType="separate"/>
          </w:r>
          <w:r>
            <w:t>49</w:t>
          </w:r>
          <w:r>
            <w:fldChar w:fldCharType="end"/>
          </w:r>
          <w:r>
            <w:rPr>
              <w:rFonts w:ascii="Times New Roman" w:hAnsi="Times New Roman" w:eastAsia="Calibri" w:cs="Times New Roman"/>
              <w:lang w:val="zh-CN" w:eastAsia="en-US"/>
              <w14:ligatures w14:val="standardContextual"/>
            </w:rPr>
            <w:fldChar w:fldCharType="end"/>
          </w:r>
        </w:p>
        <w:p w14:paraId="311EBF24">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_Toc32592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等线 Light" w:cs="Times New Roman"/>
              <w:bCs/>
              <w:szCs w:val="40"/>
              <w:lang w:eastAsia="en-US"/>
              <w14:ligatures w14:val="standardContextual"/>
            </w:rPr>
            <w:t>References:</w:t>
          </w:r>
          <w:r>
            <w:tab/>
          </w:r>
          <w:r>
            <w:fldChar w:fldCharType="begin"/>
          </w:r>
          <w:r>
            <w:instrText xml:space="preserve"> PAGEREF _Toc32592 \h </w:instrText>
          </w:r>
          <w:r>
            <w:fldChar w:fldCharType="separate"/>
          </w:r>
          <w:r>
            <w:t>51</w:t>
          </w:r>
          <w:r>
            <w:fldChar w:fldCharType="end"/>
          </w:r>
          <w:r>
            <w:rPr>
              <w:rFonts w:ascii="Times New Roman" w:hAnsi="Times New Roman" w:eastAsia="Calibri" w:cs="Times New Roman"/>
              <w:lang w:val="zh-CN" w:eastAsia="en-US"/>
              <w14:ligatures w14:val="standardContextual"/>
            </w:rPr>
            <w:fldChar w:fldCharType="end"/>
          </w:r>
        </w:p>
        <w:p w14:paraId="74F735EC">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_Toc24462 </w:instrText>
          </w:r>
          <w:r>
            <w:rPr>
              <w:rFonts w:ascii="Times New Roman" w:hAnsi="Times New Roman" w:eastAsia="Calibri" w:cs="Times New Roman"/>
              <w:lang w:val="zh-CN" w:eastAsia="en-US"/>
              <w14:ligatures w14:val="standardContextual"/>
            </w:rPr>
            <w:fldChar w:fldCharType="separate"/>
          </w:r>
          <w:r>
            <w:rPr>
              <w:rFonts w:hint="eastAsia" w:ascii="Times New Roman" w:hAnsi="Times New Roman" w:eastAsia="等线 Light" w:cs="Times New Roman"/>
              <w:bCs/>
              <w:szCs w:val="40"/>
              <w14:ligatures w14:val="standardContextual"/>
            </w:rPr>
            <w:t>Questionnaire:</w:t>
          </w:r>
          <w:r>
            <w:tab/>
          </w:r>
          <w:r>
            <w:fldChar w:fldCharType="begin"/>
          </w:r>
          <w:r>
            <w:instrText xml:space="preserve"> PAGEREF _Toc24462 \h </w:instrText>
          </w:r>
          <w:r>
            <w:fldChar w:fldCharType="separate"/>
          </w:r>
          <w:r>
            <w:t>59</w:t>
          </w:r>
          <w:r>
            <w:fldChar w:fldCharType="end"/>
          </w:r>
          <w:r>
            <w:rPr>
              <w:rFonts w:ascii="Times New Roman" w:hAnsi="Times New Roman" w:eastAsia="Calibri" w:cs="Times New Roman"/>
              <w:lang w:val="zh-CN" w:eastAsia="en-US"/>
              <w14:ligatures w14:val="standardContextual"/>
            </w:rPr>
            <w:fldChar w:fldCharType="end"/>
          </w:r>
        </w:p>
        <w:p w14:paraId="11876F86">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_Toc18422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宋体" w:cs="Times New Roman"/>
              <w:bCs/>
              <w:szCs w:val="28"/>
              <w:lang w:eastAsia="en-US"/>
            </w:rPr>
            <w:t>Section 1: Demographic Information</w:t>
          </w:r>
          <w:r>
            <w:tab/>
          </w:r>
          <w:r>
            <w:fldChar w:fldCharType="begin"/>
          </w:r>
          <w:r>
            <w:instrText xml:space="preserve"> PAGEREF _Toc18422 \h </w:instrText>
          </w:r>
          <w:r>
            <w:fldChar w:fldCharType="separate"/>
          </w:r>
          <w:r>
            <w:t>59</w:t>
          </w:r>
          <w:r>
            <w:fldChar w:fldCharType="end"/>
          </w:r>
          <w:r>
            <w:rPr>
              <w:rFonts w:ascii="Times New Roman" w:hAnsi="Times New Roman" w:eastAsia="Calibri" w:cs="Times New Roman"/>
              <w:lang w:val="zh-CN" w:eastAsia="en-US"/>
              <w14:ligatures w14:val="standardContextual"/>
            </w:rPr>
            <w:fldChar w:fldCharType="end"/>
          </w:r>
        </w:p>
        <w:p w14:paraId="70712154">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_Toc7497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宋体" w:cs="Times New Roman"/>
              <w:bCs/>
              <w:szCs w:val="28"/>
              <w:lang w:eastAsia="en-US"/>
            </w:rPr>
            <w:t>Section 2: CSR Awareness and Perception</w:t>
          </w:r>
          <w:r>
            <w:tab/>
          </w:r>
          <w:r>
            <w:fldChar w:fldCharType="begin"/>
          </w:r>
          <w:r>
            <w:instrText xml:space="preserve"> PAGEREF _Toc7497 \h </w:instrText>
          </w:r>
          <w:r>
            <w:fldChar w:fldCharType="separate"/>
          </w:r>
          <w:r>
            <w:t>60</w:t>
          </w:r>
          <w:r>
            <w:fldChar w:fldCharType="end"/>
          </w:r>
          <w:r>
            <w:rPr>
              <w:rFonts w:ascii="Times New Roman" w:hAnsi="Times New Roman" w:eastAsia="Calibri" w:cs="Times New Roman"/>
              <w:lang w:val="zh-CN" w:eastAsia="en-US"/>
              <w14:ligatures w14:val="standardContextual"/>
            </w:rPr>
            <w:fldChar w:fldCharType="end"/>
          </w:r>
        </w:p>
        <w:p w14:paraId="7079D6D3">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_Toc13278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宋体" w:cs="Times New Roman"/>
              <w:bCs/>
              <w:szCs w:val="28"/>
              <w:lang w:eastAsia="en-US"/>
            </w:rPr>
            <w:t>Section 3: CSR and Brand Loyalty</w:t>
          </w:r>
          <w:r>
            <w:tab/>
          </w:r>
          <w:r>
            <w:fldChar w:fldCharType="begin"/>
          </w:r>
          <w:r>
            <w:instrText xml:space="preserve"> PAGEREF _Toc13278 \h </w:instrText>
          </w:r>
          <w:r>
            <w:fldChar w:fldCharType="separate"/>
          </w:r>
          <w:r>
            <w:t>60</w:t>
          </w:r>
          <w:r>
            <w:fldChar w:fldCharType="end"/>
          </w:r>
          <w:r>
            <w:rPr>
              <w:rFonts w:ascii="Times New Roman" w:hAnsi="Times New Roman" w:eastAsia="Calibri" w:cs="Times New Roman"/>
              <w:lang w:val="zh-CN" w:eastAsia="en-US"/>
              <w14:ligatures w14:val="standardContextual"/>
            </w:rPr>
            <w:fldChar w:fldCharType="end"/>
          </w:r>
        </w:p>
        <w:p w14:paraId="11144095">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_Toc9698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宋体" w:cs="Times New Roman"/>
              <w:bCs/>
              <w:szCs w:val="28"/>
              <w:lang w:eastAsia="en-US"/>
            </w:rPr>
            <w:t>Section 4: CSR Communication</w:t>
          </w:r>
          <w:r>
            <w:tab/>
          </w:r>
          <w:r>
            <w:fldChar w:fldCharType="begin"/>
          </w:r>
          <w:r>
            <w:instrText xml:space="preserve"> PAGEREF _Toc9698 \h </w:instrText>
          </w:r>
          <w:r>
            <w:fldChar w:fldCharType="separate"/>
          </w:r>
          <w:r>
            <w:t>61</w:t>
          </w:r>
          <w:r>
            <w:fldChar w:fldCharType="end"/>
          </w:r>
          <w:r>
            <w:rPr>
              <w:rFonts w:ascii="Times New Roman" w:hAnsi="Times New Roman" w:eastAsia="Calibri" w:cs="Times New Roman"/>
              <w:lang w:val="zh-CN" w:eastAsia="en-US"/>
              <w14:ligatures w14:val="standardContextual"/>
            </w:rPr>
            <w:fldChar w:fldCharType="end"/>
          </w:r>
        </w:p>
        <w:p w14:paraId="26B564E1">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_Toc577 </w:instrText>
          </w:r>
          <w:r>
            <w:rPr>
              <w:rFonts w:ascii="Times New Roman" w:hAnsi="Times New Roman" w:eastAsia="Calibri" w:cs="Times New Roman"/>
              <w:lang w:val="zh-CN" w:eastAsia="en-US"/>
              <w14:ligatures w14:val="standardContextual"/>
            </w:rPr>
            <w:fldChar w:fldCharType="separate"/>
          </w:r>
          <w:r>
            <w:rPr>
              <w:rFonts w:ascii="Times New Roman" w:hAnsi="Times New Roman" w:eastAsia="宋体" w:cs="Times New Roman"/>
              <w:bCs/>
              <w:szCs w:val="28"/>
              <w:lang w:eastAsia="en-US"/>
            </w:rPr>
            <w:t>Section 5: Final Thoughts</w:t>
          </w:r>
          <w:r>
            <w:tab/>
          </w:r>
          <w:r>
            <w:fldChar w:fldCharType="begin"/>
          </w:r>
          <w:r>
            <w:instrText xml:space="preserve"> PAGEREF _Toc577 \h </w:instrText>
          </w:r>
          <w:r>
            <w:fldChar w:fldCharType="separate"/>
          </w:r>
          <w:r>
            <w:t>62</w:t>
          </w:r>
          <w:r>
            <w:fldChar w:fldCharType="end"/>
          </w:r>
          <w:r>
            <w:rPr>
              <w:rFonts w:ascii="Times New Roman" w:hAnsi="Times New Roman" w:eastAsia="Calibri" w:cs="Times New Roman"/>
              <w:lang w:val="zh-CN" w:eastAsia="en-US"/>
              <w14:ligatures w14:val="standardContextual"/>
            </w:rPr>
            <w:fldChar w:fldCharType="end"/>
          </w:r>
        </w:p>
        <w:p w14:paraId="0EF0DEBF">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_Toc6862 </w:instrText>
          </w:r>
          <w:r>
            <w:rPr>
              <w:rFonts w:ascii="Times New Roman" w:hAnsi="Times New Roman" w:eastAsia="Calibri" w:cs="Times New Roman"/>
              <w:lang w:val="zh-CN" w:eastAsia="en-US"/>
              <w14:ligatures w14:val="standardContextual"/>
            </w:rPr>
            <w:fldChar w:fldCharType="separate"/>
          </w:r>
          <w:r>
            <w:rPr>
              <w:rFonts w:hint="eastAsia" w:ascii="Times New Roman" w:hAnsi="Times New Roman" w:eastAsia="等线 Light" w:cs="Times New Roman"/>
              <w:bCs/>
              <w:szCs w:val="40"/>
              <w:lang w:val="en-US" w:eastAsia="zh-CN"/>
              <w14:ligatures w14:val="standardContextual"/>
            </w:rPr>
            <w:t>Ethics Form</w:t>
          </w:r>
          <w:r>
            <w:tab/>
          </w:r>
          <w:r>
            <w:fldChar w:fldCharType="begin"/>
          </w:r>
          <w:r>
            <w:instrText xml:space="preserve"> PAGEREF _Toc6862 \h </w:instrText>
          </w:r>
          <w:r>
            <w:fldChar w:fldCharType="separate"/>
          </w:r>
          <w:r>
            <w:t>63</w:t>
          </w:r>
          <w:r>
            <w:fldChar w:fldCharType="end"/>
          </w:r>
          <w:r>
            <w:rPr>
              <w:rFonts w:ascii="Times New Roman" w:hAnsi="Times New Roman" w:eastAsia="Calibri" w:cs="Times New Roman"/>
              <w:lang w:val="zh-CN" w:eastAsia="en-US"/>
              <w14:ligatures w14:val="standardContextual"/>
            </w:rPr>
            <w:fldChar w:fldCharType="end"/>
          </w:r>
        </w:p>
        <w:p w14:paraId="283ACA91">
          <w:pPr>
            <w:pStyle w:val="3"/>
            <w:tabs>
              <w:tab w:val="right" w:leader="dot" w:pos="9026"/>
            </w:tabs>
          </w:pPr>
          <w:r>
            <w:rPr>
              <w:rFonts w:ascii="Times New Roman" w:hAnsi="Times New Roman" w:eastAsia="Calibri" w:cs="Times New Roman"/>
              <w:lang w:val="zh-CN" w:eastAsia="en-US"/>
              <w14:ligatures w14:val="standardContextual"/>
            </w:rPr>
            <w:fldChar w:fldCharType="begin"/>
          </w:r>
          <w:r>
            <w:rPr>
              <w:rFonts w:ascii="Times New Roman" w:hAnsi="Times New Roman" w:eastAsia="Calibri" w:cs="Times New Roman"/>
              <w:lang w:val="zh-CN" w:eastAsia="en-US"/>
              <w14:ligatures w14:val="standardContextual"/>
            </w:rPr>
            <w:instrText xml:space="preserve"> HYPERLINK \l _Toc14681 </w:instrText>
          </w:r>
          <w:r>
            <w:rPr>
              <w:rFonts w:ascii="Times New Roman" w:hAnsi="Times New Roman" w:eastAsia="Calibri" w:cs="Times New Roman"/>
              <w:lang w:val="zh-CN" w:eastAsia="en-US"/>
              <w14:ligatures w14:val="standardContextual"/>
            </w:rPr>
            <w:fldChar w:fldCharType="separate"/>
          </w:r>
          <w:r>
            <w:rPr>
              <w:rFonts w:ascii="Arial" w:hAnsi="Arial" w:eastAsia="Times New Roman" w:cs="Arial"/>
              <w:bCs/>
              <w:szCs w:val="22"/>
              <w:lang w:val="en-GB" w:eastAsia="en-US" w:bidi="ar-SA"/>
            </w:rPr>
            <w:t>Outline any anticipated risks</w:t>
          </w:r>
          <w:r>
            <w:rPr>
              <w:rFonts w:ascii="Arial" w:hAnsi="Arial" w:eastAsia="宋体" w:cs="Arial"/>
              <w:bCs/>
              <w:szCs w:val="22"/>
              <w:lang w:val="en-GB" w:eastAsia="zh-CN" w:bidi="ar-SA"/>
            </w:rPr>
            <w:t xml:space="preserve"> </w:t>
          </w:r>
          <w:r>
            <w:rPr>
              <w:rFonts w:ascii="Arial" w:hAnsi="Arial" w:eastAsia="Times New Roman" w:cs="Arial"/>
              <w:bCs/>
              <w:szCs w:val="22"/>
              <w:lang w:val="en-GB" w:eastAsia="en-US" w:bidi="ar-SA"/>
            </w:rPr>
            <w:t>that may adversely affect any of the participants, the researchers and/or the University, and the steps that will be taken to address them.</w:t>
          </w:r>
          <w:r>
            <w:tab/>
          </w:r>
          <w:r>
            <w:fldChar w:fldCharType="begin"/>
          </w:r>
          <w:r>
            <w:instrText xml:space="preserve"> PAGEREF _Toc14681 \h </w:instrText>
          </w:r>
          <w:r>
            <w:fldChar w:fldCharType="separate"/>
          </w:r>
          <w:r>
            <w:t>69</w:t>
          </w:r>
          <w:r>
            <w:fldChar w:fldCharType="end"/>
          </w:r>
          <w:r>
            <w:rPr>
              <w:rFonts w:ascii="Times New Roman" w:hAnsi="Times New Roman" w:eastAsia="Calibri" w:cs="Times New Roman"/>
              <w:lang w:val="zh-CN" w:eastAsia="en-US"/>
              <w14:ligatures w14:val="standardContextual"/>
            </w:rPr>
            <w:fldChar w:fldCharType="end"/>
          </w:r>
        </w:p>
        <w:p w14:paraId="1E72D212">
          <w:pPr>
            <w:widowControl/>
            <w:spacing w:after="160" w:line="278" w:lineRule="auto"/>
            <w:jc w:val="left"/>
            <w:rPr>
              <w:rFonts w:ascii="Calibri" w:hAnsi="Calibri" w:eastAsia="Calibri" w:cs="Times New Roman"/>
              <w:sz w:val="24"/>
              <w:lang w:val="zh-CN" w:eastAsia="en-US"/>
              <w14:ligatures w14:val="standardContextual"/>
            </w:rPr>
          </w:pPr>
          <w:r>
            <w:rPr>
              <w:rFonts w:ascii="Times New Roman" w:hAnsi="Times New Roman" w:eastAsia="Calibri" w:cs="Times New Roman"/>
              <w:lang w:val="zh-CN" w:eastAsia="en-US"/>
              <w14:ligatures w14:val="standardContextual"/>
            </w:rPr>
            <w:fldChar w:fldCharType="end"/>
          </w:r>
        </w:p>
      </w:sdtContent>
    </w:sdt>
    <w:p w14:paraId="35F1C705">
      <w:pPr>
        <w:widowControl/>
        <w:spacing w:after="160" w:line="360" w:lineRule="auto"/>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List of Tables:</w:t>
      </w:r>
    </w:p>
    <w:p w14:paraId="176CD36D">
      <w:pPr>
        <w:tabs>
          <w:tab w:val="right" w:leader="dot" w:pos="9016"/>
        </w:tabs>
        <w:spacing w:line="278" w:lineRule="auto"/>
        <w:rPr>
          <w:rFonts w:ascii="Calibri" w:hAnsi="Calibri" w:eastAsia="Calibri" w:cs="Times New Roman"/>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fldChar w:fldCharType="begin"/>
      </w:r>
      <w:r>
        <w:rPr>
          <w:rFonts w:ascii="Times New Roman" w:hAnsi="Times New Roman" w:eastAsia="Calibri" w:cs="Times New Roman"/>
          <w:color w:val="000000"/>
          <w:sz w:val="24"/>
          <w:lang w:val="zh-CN" w:eastAsia="en-US"/>
          <w14:ligatures w14:val="standardContextual"/>
        </w:rPr>
        <w:instrText xml:space="preserve"> TOC \h \z \c "Table" </w:instrText>
      </w:r>
      <w:r>
        <w:rPr>
          <w:rFonts w:ascii="Times New Roman" w:hAnsi="Times New Roman" w:eastAsia="Calibri" w:cs="Times New Roman"/>
          <w:color w:val="000000"/>
          <w:sz w:val="24"/>
          <w:lang w:val="zh-CN" w:eastAsia="en-US"/>
          <w14:ligatures w14:val="standardContextual"/>
        </w:rPr>
        <w:fldChar w:fldCharType="separate"/>
      </w:r>
      <w:r>
        <w:fldChar w:fldCharType="begin"/>
      </w:r>
      <w:r>
        <w:instrText xml:space="preserve"> HYPERLINK \l "_Toc207018208" </w:instrText>
      </w:r>
      <w:r>
        <w:fldChar w:fldCharType="separate"/>
      </w:r>
      <w:r>
        <w:rPr>
          <w:rFonts w:ascii="Times New Roman" w:hAnsi="Times New Roman" w:eastAsia="Calibri" w:cs="Times New Roman"/>
          <w:color w:val="0563C1"/>
          <w:sz w:val="24"/>
          <w:u w:val="single"/>
          <w:lang w:val="zh-CN" w:eastAsia="en-US"/>
          <w14:ligatures w14:val="standardContextual"/>
        </w:rPr>
        <w:t>Table 1</w:t>
      </w:r>
      <w:r>
        <w:rPr>
          <w:rFonts w:ascii="Times New Roman" w:hAnsi="Times New Roman" w:eastAsia="Calibri" w:cs="Times New Roman"/>
          <w:color w:val="0563C1"/>
          <w:sz w:val="24"/>
          <w:u w:val="single"/>
          <w:lang w:eastAsia="en-US"/>
          <w14:ligatures w14:val="standardContextual"/>
        </w:rPr>
        <w:t xml:space="preserve"> - Gender Distribution</w:t>
      </w:r>
      <w:r>
        <w:rPr>
          <w:rFonts w:ascii="Calibri" w:hAnsi="Calibri" w:eastAsia="Calibri" w:cs="Times New Roman"/>
          <w:sz w:val="24"/>
          <w:lang w:val="zh-CN" w:eastAsia="en-US"/>
          <w14:ligatures w14:val="standardContextual"/>
        </w:rPr>
        <w:tab/>
      </w:r>
      <w:r>
        <w:rPr>
          <w:rFonts w:ascii="Calibri" w:hAnsi="Calibri" w:eastAsia="Calibri" w:cs="Times New Roman"/>
          <w:sz w:val="24"/>
          <w:lang w:val="zh-CN" w:eastAsia="en-US"/>
          <w14:ligatures w14:val="standardContextual"/>
        </w:rPr>
        <w:fldChar w:fldCharType="begin"/>
      </w:r>
      <w:r>
        <w:rPr>
          <w:rFonts w:ascii="Calibri" w:hAnsi="Calibri" w:eastAsia="Calibri" w:cs="Times New Roman"/>
          <w:sz w:val="24"/>
          <w:lang w:val="zh-CN" w:eastAsia="en-US"/>
          <w14:ligatures w14:val="standardContextual"/>
        </w:rPr>
        <w:instrText xml:space="preserve"> PAGEREF _Toc207018208 \h </w:instrText>
      </w:r>
      <w:r>
        <w:rPr>
          <w:rFonts w:ascii="Calibri" w:hAnsi="Calibri" w:eastAsia="Calibri" w:cs="Times New Roman"/>
          <w:sz w:val="24"/>
          <w:lang w:val="zh-CN" w:eastAsia="en-US"/>
          <w14:ligatures w14:val="standardContextual"/>
        </w:rPr>
        <w:fldChar w:fldCharType="separate"/>
      </w:r>
      <w:r>
        <w:rPr>
          <w:rFonts w:ascii="Calibri" w:hAnsi="Calibri" w:eastAsia="Calibri" w:cs="Times New Roman"/>
          <w:sz w:val="24"/>
          <w:lang w:val="zh-CN" w:eastAsia="en-US"/>
          <w14:ligatures w14:val="standardContextual"/>
        </w:rPr>
        <w:t>35</w:t>
      </w:r>
      <w:r>
        <w:rPr>
          <w:rFonts w:ascii="Calibri" w:hAnsi="Calibri" w:eastAsia="Calibri" w:cs="Times New Roman"/>
          <w:sz w:val="24"/>
          <w:lang w:val="zh-CN" w:eastAsia="en-US"/>
          <w14:ligatures w14:val="standardContextual"/>
        </w:rPr>
        <w:fldChar w:fldCharType="end"/>
      </w:r>
      <w:r>
        <w:rPr>
          <w:rFonts w:ascii="Calibri" w:hAnsi="Calibri" w:eastAsia="Calibri" w:cs="Times New Roman"/>
          <w:sz w:val="24"/>
          <w:lang w:val="zh-CN" w:eastAsia="en-US"/>
          <w14:ligatures w14:val="standardContextual"/>
        </w:rPr>
        <w:fldChar w:fldCharType="end"/>
      </w:r>
    </w:p>
    <w:p w14:paraId="44F7B073">
      <w:pPr>
        <w:tabs>
          <w:tab w:val="right" w:leader="dot" w:pos="9016"/>
        </w:tabs>
        <w:spacing w:line="278" w:lineRule="auto"/>
        <w:rPr>
          <w:rFonts w:ascii="Calibri" w:hAnsi="Calibri" w:eastAsia="Calibri" w:cs="Times New Roman"/>
          <w:sz w:val="24"/>
          <w:lang w:val="zh-CN" w:eastAsia="en-US"/>
          <w14:ligatures w14:val="standardContextual"/>
        </w:rPr>
      </w:pPr>
      <w:r>
        <w:fldChar w:fldCharType="begin"/>
      </w:r>
      <w:r>
        <w:instrText xml:space="preserve"> HYPERLINK \l "_Toc207018209" </w:instrText>
      </w:r>
      <w:r>
        <w:fldChar w:fldCharType="separate"/>
      </w:r>
      <w:r>
        <w:rPr>
          <w:rFonts w:ascii="Times New Roman" w:hAnsi="Times New Roman" w:eastAsia="Calibri" w:cs="Times New Roman"/>
          <w:color w:val="0563C1"/>
          <w:sz w:val="24"/>
          <w:u w:val="single"/>
          <w:lang w:val="zh-CN" w:eastAsia="en-US"/>
          <w14:ligatures w14:val="standardContextual"/>
        </w:rPr>
        <w:t>Table 2</w:t>
      </w:r>
      <w:r>
        <w:rPr>
          <w:rFonts w:ascii="Times New Roman" w:hAnsi="Times New Roman" w:eastAsia="Calibri" w:cs="Times New Roman"/>
          <w:color w:val="0563C1"/>
          <w:sz w:val="24"/>
          <w:u w:val="single"/>
          <w:lang w:eastAsia="en-US"/>
          <w14:ligatures w14:val="standardContextual"/>
        </w:rPr>
        <w:t xml:space="preserve"> - Distribution of age group</w:t>
      </w:r>
      <w:r>
        <w:rPr>
          <w:rFonts w:ascii="Calibri" w:hAnsi="Calibri" w:eastAsia="Calibri" w:cs="Times New Roman"/>
          <w:sz w:val="24"/>
          <w:lang w:val="zh-CN" w:eastAsia="en-US"/>
          <w14:ligatures w14:val="standardContextual"/>
        </w:rPr>
        <w:tab/>
      </w:r>
      <w:r>
        <w:rPr>
          <w:rFonts w:ascii="Calibri" w:hAnsi="Calibri" w:eastAsia="Calibri" w:cs="Times New Roman"/>
          <w:sz w:val="24"/>
          <w:lang w:val="zh-CN" w:eastAsia="en-US"/>
          <w14:ligatures w14:val="standardContextual"/>
        </w:rPr>
        <w:fldChar w:fldCharType="begin"/>
      </w:r>
      <w:r>
        <w:rPr>
          <w:rFonts w:ascii="Calibri" w:hAnsi="Calibri" w:eastAsia="Calibri" w:cs="Times New Roman"/>
          <w:sz w:val="24"/>
          <w:lang w:val="zh-CN" w:eastAsia="en-US"/>
          <w14:ligatures w14:val="standardContextual"/>
        </w:rPr>
        <w:instrText xml:space="preserve"> PAGEREF _Toc207018209 \h </w:instrText>
      </w:r>
      <w:r>
        <w:rPr>
          <w:rFonts w:ascii="Calibri" w:hAnsi="Calibri" w:eastAsia="Calibri" w:cs="Times New Roman"/>
          <w:sz w:val="24"/>
          <w:lang w:val="zh-CN" w:eastAsia="en-US"/>
          <w14:ligatures w14:val="standardContextual"/>
        </w:rPr>
        <w:fldChar w:fldCharType="separate"/>
      </w:r>
      <w:r>
        <w:rPr>
          <w:rFonts w:ascii="Calibri" w:hAnsi="Calibri" w:eastAsia="Calibri" w:cs="Times New Roman"/>
          <w:sz w:val="24"/>
          <w:lang w:val="zh-CN" w:eastAsia="en-US"/>
          <w14:ligatures w14:val="standardContextual"/>
        </w:rPr>
        <w:t>35</w:t>
      </w:r>
      <w:r>
        <w:rPr>
          <w:rFonts w:ascii="Calibri" w:hAnsi="Calibri" w:eastAsia="Calibri" w:cs="Times New Roman"/>
          <w:sz w:val="24"/>
          <w:lang w:val="zh-CN" w:eastAsia="en-US"/>
          <w14:ligatures w14:val="standardContextual"/>
        </w:rPr>
        <w:fldChar w:fldCharType="end"/>
      </w:r>
      <w:r>
        <w:rPr>
          <w:rFonts w:ascii="Calibri" w:hAnsi="Calibri" w:eastAsia="Calibri" w:cs="Times New Roman"/>
          <w:sz w:val="24"/>
          <w:lang w:val="zh-CN" w:eastAsia="en-US"/>
          <w14:ligatures w14:val="standardContextual"/>
        </w:rPr>
        <w:fldChar w:fldCharType="end"/>
      </w:r>
    </w:p>
    <w:p w14:paraId="6D38F9ED">
      <w:pPr>
        <w:tabs>
          <w:tab w:val="right" w:leader="dot" w:pos="9016"/>
        </w:tabs>
        <w:spacing w:line="278" w:lineRule="auto"/>
        <w:rPr>
          <w:rFonts w:ascii="Calibri" w:hAnsi="Calibri" w:eastAsia="Calibri" w:cs="Times New Roman"/>
          <w:sz w:val="24"/>
          <w:lang w:val="zh-CN" w:eastAsia="en-US"/>
          <w14:ligatures w14:val="standardContextual"/>
        </w:rPr>
      </w:pPr>
      <w:r>
        <w:fldChar w:fldCharType="begin"/>
      </w:r>
      <w:r>
        <w:instrText xml:space="preserve"> HYPERLINK \l "_Toc207018210" </w:instrText>
      </w:r>
      <w:r>
        <w:fldChar w:fldCharType="separate"/>
      </w:r>
      <w:r>
        <w:rPr>
          <w:rFonts w:ascii="Times New Roman" w:hAnsi="Times New Roman" w:eastAsia="Calibri" w:cs="Times New Roman"/>
          <w:color w:val="0563C1"/>
          <w:sz w:val="24"/>
          <w:u w:val="single"/>
          <w:lang w:val="zh-CN" w:eastAsia="en-US"/>
          <w14:ligatures w14:val="standardContextual"/>
        </w:rPr>
        <w:t>Table 3</w:t>
      </w:r>
      <w:r>
        <w:rPr>
          <w:rFonts w:ascii="Times New Roman" w:hAnsi="Times New Roman" w:eastAsia="Calibri" w:cs="Times New Roman"/>
          <w:color w:val="0563C1"/>
          <w:sz w:val="24"/>
          <w:u w:val="single"/>
          <w:lang w:eastAsia="en-US"/>
          <w14:ligatures w14:val="standardContextual"/>
        </w:rPr>
        <w:t xml:space="preserve"> – Employment Status</w:t>
      </w:r>
      <w:r>
        <w:rPr>
          <w:rFonts w:ascii="Calibri" w:hAnsi="Calibri" w:eastAsia="Calibri" w:cs="Times New Roman"/>
          <w:sz w:val="24"/>
          <w:lang w:val="zh-CN" w:eastAsia="en-US"/>
          <w14:ligatures w14:val="standardContextual"/>
        </w:rPr>
        <w:tab/>
      </w:r>
      <w:r>
        <w:rPr>
          <w:rFonts w:ascii="Calibri" w:hAnsi="Calibri" w:eastAsia="Calibri" w:cs="Times New Roman"/>
          <w:sz w:val="24"/>
          <w:lang w:val="zh-CN" w:eastAsia="en-US"/>
          <w14:ligatures w14:val="standardContextual"/>
        </w:rPr>
        <w:fldChar w:fldCharType="begin"/>
      </w:r>
      <w:r>
        <w:rPr>
          <w:rFonts w:ascii="Calibri" w:hAnsi="Calibri" w:eastAsia="Calibri" w:cs="Times New Roman"/>
          <w:sz w:val="24"/>
          <w:lang w:val="zh-CN" w:eastAsia="en-US"/>
          <w14:ligatures w14:val="standardContextual"/>
        </w:rPr>
        <w:instrText xml:space="preserve"> PAGEREF _Toc207018210 \h </w:instrText>
      </w:r>
      <w:r>
        <w:rPr>
          <w:rFonts w:ascii="Calibri" w:hAnsi="Calibri" w:eastAsia="Calibri" w:cs="Times New Roman"/>
          <w:sz w:val="24"/>
          <w:lang w:val="zh-CN" w:eastAsia="en-US"/>
          <w14:ligatures w14:val="standardContextual"/>
        </w:rPr>
        <w:fldChar w:fldCharType="separate"/>
      </w:r>
      <w:r>
        <w:rPr>
          <w:rFonts w:ascii="Calibri" w:hAnsi="Calibri" w:eastAsia="Calibri" w:cs="Times New Roman"/>
          <w:sz w:val="24"/>
          <w:lang w:val="zh-CN" w:eastAsia="en-US"/>
          <w14:ligatures w14:val="standardContextual"/>
        </w:rPr>
        <w:t>36</w:t>
      </w:r>
      <w:r>
        <w:rPr>
          <w:rFonts w:ascii="Calibri" w:hAnsi="Calibri" w:eastAsia="Calibri" w:cs="Times New Roman"/>
          <w:sz w:val="24"/>
          <w:lang w:val="zh-CN" w:eastAsia="en-US"/>
          <w14:ligatures w14:val="standardContextual"/>
        </w:rPr>
        <w:fldChar w:fldCharType="end"/>
      </w:r>
      <w:r>
        <w:rPr>
          <w:rFonts w:ascii="Calibri" w:hAnsi="Calibri" w:eastAsia="Calibri" w:cs="Times New Roman"/>
          <w:sz w:val="24"/>
          <w:lang w:val="zh-CN" w:eastAsia="en-US"/>
          <w14:ligatures w14:val="standardContextual"/>
        </w:rPr>
        <w:fldChar w:fldCharType="end"/>
      </w:r>
    </w:p>
    <w:p w14:paraId="3DD8E43F">
      <w:pPr>
        <w:tabs>
          <w:tab w:val="right" w:leader="dot" w:pos="9016"/>
        </w:tabs>
        <w:spacing w:line="278" w:lineRule="auto"/>
        <w:rPr>
          <w:rFonts w:ascii="Calibri" w:hAnsi="Calibri" w:eastAsia="Calibri" w:cs="Times New Roman"/>
          <w:sz w:val="24"/>
          <w:lang w:val="zh-CN" w:eastAsia="en-US"/>
          <w14:ligatures w14:val="standardContextual"/>
        </w:rPr>
      </w:pPr>
      <w:r>
        <w:fldChar w:fldCharType="begin"/>
      </w:r>
      <w:r>
        <w:instrText xml:space="preserve"> HYPERLINK \l "_Toc207018211" </w:instrText>
      </w:r>
      <w:r>
        <w:fldChar w:fldCharType="separate"/>
      </w:r>
      <w:r>
        <w:rPr>
          <w:rFonts w:ascii="Times New Roman" w:hAnsi="Times New Roman" w:eastAsia="Calibri" w:cs="Times New Roman"/>
          <w:color w:val="0563C1"/>
          <w:sz w:val="24"/>
          <w:u w:val="single"/>
          <w:lang w:val="zh-CN" w:eastAsia="en-US"/>
          <w14:ligatures w14:val="standardContextual"/>
        </w:rPr>
        <w:t>Table 4</w:t>
      </w:r>
      <w:r>
        <w:rPr>
          <w:rFonts w:ascii="Times New Roman" w:hAnsi="Times New Roman" w:eastAsia="Calibri" w:cs="Times New Roman"/>
          <w:color w:val="0563C1"/>
          <w:sz w:val="24"/>
          <w:u w:val="single"/>
          <w:lang w:eastAsia="en-US"/>
          <w14:ligatures w14:val="standardContextual"/>
        </w:rPr>
        <w:t xml:space="preserve"> - Mean Scores for CSR Items</w:t>
      </w:r>
      <w:r>
        <w:rPr>
          <w:rFonts w:ascii="Calibri" w:hAnsi="Calibri" w:eastAsia="Calibri" w:cs="Times New Roman"/>
          <w:sz w:val="24"/>
          <w:lang w:val="zh-CN" w:eastAsia="en-US"/>
          <w14:ligatures w14:val="standardContextual"/>
        </w:rPr>
        <w:tab/>
      </w:r>
      <w:r>
        <w:rPr>
          <w:rFonts w:ascii="Calibri" w:hAnsi="Calibri" w:eastAsia="Calibri" w:cs="Times New Roman"/>
          <w:sz w:val="24"/>
          <w:lang w:val="zh-CN" w:eastAsia="en-US"/>
          <w14:ligatures w14:val="standardContextual"/>
        </w:rPr>
        <w:fldChar w:fldCharType="begin"/>
      </w:r>
      <w:r>
        <w:rPr>
          <w:rFonts w:ascii="Calibri" w:hAnsi="Calibri" w:eastAsia="Calibri" w:cs="Times New Roman"/>
          <w:sz w:val="24"/>
          <w:lang w:val="zh-CN" w:eastAsia="en-US"/>
          <w14:ligatures w14:val="standardContextual"/>
        </w:rPr>
        <w:instrText xml:space="preserve"> PAGEREF _Toc207018211 \h </w:instrText>
      </w:r>
      <w:r>
        <w:rPr>
          <w:rFonts w:ascii="Calibri" w:hAnsi="Calibri" w:eastAsia="Calibri" w:cs="Times New Roman"/>
          <w:sz w:val="24"/>
          <w:lang w:val="zh-CN" w:eastAsia="en-US"/>
          <w14:ligatures w14:val="standardContextual"/>
        </w:rPr>
        <w:fldChar w:fldCharType="separate"/>
      </w:r>
      <w:r>
        <w:rPr>
          <w:rFonts w:ascii="Calibri" w:hAnsi="Calibri" w:eastAsia="Calibri" w:cs="Times New Roman"/>
          <w:sz w:val="24"/>
          <w:lang w:val="zh-CN" w:eastAsia="en-US"/>
          <w14:ligatures w14:val="standardContextual"/>
        </w:rPr>
        <w:t>37</w:t>
      </w:r>
      <w:r>
        <w:rPr>
          <w:rFonts w:ascii="Calibri" w:hAnsi="Calibri" w:eastAsia="Calibri" w:cs="Times New Roman"/>
          <w:sz w:val="24"/>
          <w:lang w:val="zh-CN" w:eastAsia="en-US"/>
          <w14:ligatures w14:val="standardContextual"/>
        </w:rPr>
        <w:fldChar w:fldCharType="end"/>
      </w:r>
      <w:r>
        <w:rPr>
          <w:rFonts w:ascii="Calibri" w:hAnsi="Calibri" w:eastAsia="Calibri" w:cs="Times New Roman"/>
          <w:sz w:val="24"/>
          <w:lang w:val="zh-CN" w:eastAsia="en-US"/>
          <w14:ligatures w14:val="standardContextual"/>
        </w:rPr>
        <w:fldChar w:fldCharType="end"/>
      </w:r>
    </w:p>
    <w:p w14:paraId="44B91523">
      <w:pPr>
        <w:tabs>
          <w:tab w:val="right" w:leader="dot" w:pos="9016"/>
        </w:tabs>
        <w:spacing w:line="278" w:lineRule="auto"/>
        <w:rPr>
          <w:rFonts w:ascii="Calibri" w:hAnsi="Calibri" w:eastAsia="Calibri" w:cs="Times New Roman"/>
          <w:sz w:val="24"/>
          <w:lang w:val="zh-CN" w:eastAsia="en-US"/>
          <w14:ligatures w14:val="standardContextual"/>
        </w:rPr>
      </w:pPr>
      <w:r>
        <w:fldChar w:fldCharType="begin"/>
      </w:r>
      <w:r>
        <w:instrText xml:space="preserve"> HYPERLINK \l "_Toc207018212" </w:instrText>
      </w:r>
      <w:r>
        <w:fldChar w:fldCharType="separate"/>
      </w:r>
      <w:r>
        <w:rPr>
          <w:rFonts w:ascii="Times New Roman" w:hAnsi="Times New Roman" w:eastAsia="Calibri" w:cs="Times New Roman"/>
          <w:color w:val="0563C1"/>
          <w:sz w:val="24"/>
          <w:u w:val="single"/>
          <w:lang w:val="zh-CN" w:eastAsia="en-US"/>
          <w14:ligatures w14:val="standardContextual"/>
        </w:rPr>
        <w:t>Table 5</w:t>
      </w:r>
      <w:r>
        <w:rPr>
          <w:rFonts w:ascii="Times New Roman" w:hAnsi="Times New Roman" w:eastAsia="Calibri" w:cs="Times New Roman"/>
          <w:color w:val="0563C1"/>
          <w:sz w:val="24"/>
          <w:u w:val="single"/>
          <w:lang w:eastAsia="en-US"/>
          <w14:ligatures w14:val="standardContextual"/>
        </w:rPr>
        <w:t xml:space="preserve"> - CSR vs Loyalty Correlation Matrix</w:t>
      </w:r>
      <w:r>
        <w:rPr>
          <w:rFonts w:ascii="Calibri" w:hAnsi="Calibri" w:eastAsia="Calibri" w:cs="Times New Roman"/>
          <w:sz w:val="24"/>
          <w:lang w:val="zh-CN" w:eastAsia="en-US"/>
          <w14:ligatures w14:val="standardContextual"/>
        </w:rPr>
        <w:tab/>
      </w:r>
      <w:r>
        <w:rPr>
          <w:rFonts w:ascii="Calibri" w:hAnsi="Calibri" w:eastAsia="Calibri" w:cs="Times New Roman"/>
          <w:sz w:val="24"/>
          <w:lang w:val="zh-CN" w:eastAsia="en-US"/>
          <w14:ligatures w14:val="standardContextual"/>
        </w:rPr>
        <w:fldChar w:fldCharType="begin"/>
      </w:r>
      <w:r>
        <w:rPr>
          <w:rFonts w:ascii="Calibri" w:hAnsi="Calibri" w:eastAsia="Calibri" w:cs="Times New Roman"/>
          <w:sz w:val="24"/>
          <w:lang w:val="zh-CN" w:eastAsia="en-US"/>
          <w14:ligatures w14:val="standardContextual"/>
        </w:rPr>
        <w:instrText xml:space="preserve"> PAGEREF _Toc207018212 \h </w:instrText>
      </w:r>
      <w:r>
        <w:rPr>
          <w:rFonts w:ascii="Calibri" w:hAnsi="Calibri" w:eastAsia="Calibri" w:cs="Times New Roman"/>
          <w:sz w:val="24"/>
          <w:lang w:val="zh-CN" w:eastAsia="en-US"/>
          <w14:ligatures w14:val="standardContextual"/>
        </w:rPr>
        <w:fldChar w:fldCharType="separate"/>
      </w:r>
      <w:r>
        <w:rPr>
          <w:rFonts w:ascii="Calibri" w:hAnsi="Calibri" w:eastAsia="Calibri" w:cs="Times New Roman"/>
          <w:sz w:val="24"/>
          <w:lang w:val="zh-CN" w:eastAsia="en-US"/>
          <w14:ligatures w14:val="standardContextual"/>
        </w:rPr>
        <w:t>38</w:t>
      </w:r>
      <w:r>
        <w:rPr>
          <w:rFonts w:ascii="Calibri" w:hAnsi="Calibri" w:eastAsia="Calibri" w:cs="Times New Roman"/>
          <w:sz w:val="24"/>
          <w:lang w:val="zh-CN" w:eastAsia="en-US"/>
          <w14:ligatures w14:val="standardContextual"/>
        </w:rPr>
        <w:fldChar w:fldCharType="end"/>
      </w:r>
      <w:r>
        <w:rPr>
          <w:rFonts w:ascii="Calibri" w:hAnsi="Calibri" w:eastAsia="Calibri" w:cs="Times New Roman"/>
          <w:sz w:val="24"/>
          <w:lang w:val="zh-CN" w:eastAsia="en-US"/>
          <w14:ligatures w14:val="standardContextual"/>
        </w:rPr>
        <w:fldChar w:fldCharType="end"/>
      </w:r>
    </w:p>
    <w:p w14:paraId="0B6CA7CD">
      <w:pPr>
        <w:tabs>
          <w:tab w:val="right" w:leader="dot" w:pos="9016"/>
        </w:tabs>
        <w:spacing w:line="278" w:lineRule="auto"/>
        <w:rPr>
          <w:rFonts w:ascii="Calibri" w:hAnsi="Calibri" w:eastAsia="Calibri" w:cs="Times New Roman"/>
          <w:sz w:val="24"/>
          <w:lang w:val="zh-CN" w:eastAsia="en-US"/>
          <w14:ligatures w14:val="standardContextual"/>
        </w:rPr>
      </w:pPr>
      <w:r>
        <w:fldChar w:fldCharType="begin"/>
      </w:r>
      <w:r>
        <w:instrText xml:space="preserve"> HYPERLINK \l "_Toc207018213" </w:instrText>
      </w:r>
      <w:r>
        <w:fldChar w:fldCharType="separate"/>
      </w:r>
      <w:r>
        <w:rPr>
          <w:rFonts w:ascii="Times New Roman" w:hAnsi="Times New Roman" w:eastAsia="Calibri" w:cs="Times New Roman"/>
          <w:color w:val="0563C1"/>
          <w:sz w:val="24"/>
          <w:u w:val="single"/>
          <w:lang w:val="zh-CN" w:eastAsia="en-US"/>
          <w14:ligatures w14:val="standardContextual"/>
        </w:rPr>
        <w:t>Table 6</w:t>
      </w:r>
      <w:r>
        <w:rPr>
          <w:rFonts w:ascii="Times New Roman" w:hAnsi="Times New Roman" w:eastAsia="Calibri" w:cs="Times New Roman"/>
          <w:color w:val="0563C1"/>
          <w:sz w:val="24"/>
          <w:u w:val="single"/>
          <w:lang w:eastAsia="en-US"/>
          <w14:ligatures w14:val="standardContextual"/>
        </w:rPr>
        <w:t xml:space="preserve"> -Summary of model: ANOVA Test</w:t>
      </w:r>
      <w:r>
        <w:rPr>
          <w:rFonts w:ascii="Calibri" w:hAnsi="Calibri" w:eastAsia="Calibri" w:cs="Times New Roman"/>
          <w:sz w:val="24"/>
          <w:lang w:val="zh-CN" w:eastAsia="en-US"/>
          <w14:ligatures w14:val="standardContextual"/>
        </w:rPr>
        <w:tab/>
      </w:r>
      <w:r>
        <w:rPr>
          <w:rFonts w:ascii="Calibri" w:hAnsi="Calibri" w:eastAsia="Calibri" w:cs="Times New Roman"/>
          <w:sz w:val="24"/>
          <w:lang w:val="zh-CN" w:eastAsia="en-US"/>
          <w14:ligatures w14:val="standardContextual"/>
        </w:rPr>
        <w:fldChar w:fldCharType="begin"/>
      </w:r>
      <w:r>
        <w:rPr>
          <w:rFonts w:ascii="Calibri" w:hAnsi="Calibri" w:eastAsia="Calibri" w:cs="Times New Roman"/>
          <w:sz w:val="24"/>
          <w:lang w:val="zh-CN" w:eastAsia="en-US"/>
          <w14:ligatures w14:val="standardContextual"/>
        </w:rPr>
        <w:instrText xml:space="preserve"> PAGEREF _Toc207018213 \h </w:instrText>
      </w:r>
      <w:r>
        <w:rPr>
          <w:rFonts w:ascii="Calibri" w:hAnsi="Calibri" w:eastAsia="Calibri" w:cs="Times New Roman"/>
          <w:sz w:val="24"/>
          <w:lang w:val="zh-CN" w:eastAsia="en-US"/>
          <w14:ligatures w14:val="standardContextual"/>
        </w:rPr>
        <w:fldChar w:fldCharType="separate"/>
      </w:r>
      <w:r>
        <w:rPr>
          <w:rFonts w:ascii="Calibri" w:hAnsi="Calibri" w:eastAsia="Calibri" w:cs="Times New Roman"/>
          <w:sz w:val="24"/>
          <w:lang w:val="zh-CN" w:eastAsia="en-US"/>
          <w14:ligatures w14:val="standardContextual"/>
        </w:rPr>
        <w:t>40</w:t>
      </w:r>
      <w:r>
        <w:rPr>
          <w:rFonts w:ascii="Calibri" w:hAnsi="Calibri" w:eastAsia="Calibri" w:cs="Times New Roman"/>
          <w:sz w:val="24"/>
          <w:lang w:val="zh-CN" w:eastAsia="en-US"/>
          <w14:ligatures w14:val="standardContextual"/>
        </w:rPr>
        <w:fldChar w:fldCharType="end"/>
      </w:r>
      <w:r>
        <w:rPr>
          <w:rFonts w:ascii="Calibri" w:hAnsi="Calibri" w:eastAsia="Calibri" w:cs="Times New Roman"/>
          <w:sz w:val="24"/>
          <w:lang w:val="zh-CN" w:eastAsia="en-US"/>
          <w14:ligatures w14:val="standardContextual"/>
        </w:rPr>
        <w:fldChar w:fldCharType="end"/>
      </w:r>
    </w:p>
    <w:p w14:paraId="626E0CE8">
      <w:pPr>
        <w:tabs>
          <w:tab w:val="right" w:leader="dot" w:pos="9016"/>
        </w:tabs>
        <w:spacing w:line="278" w:lineRule="auto"/>
        <w:rPr>
          <w:rFonts w:ascii="Calibri" w:hAnsi="Calibri" w:eastAsia="Calibri" w:cs="Times New Roman"/>
          <w:sz w:val="24"/>
          <w:lang w:val="zh-CN" w:eastAsia="en-US"/>
          <w14:ligatures w14:val="standardContextual"/>
        </w:rPr>
      </w:pPr>
      <w:r>
        <w:fldChar w:fldCharType="begin"/>
      </w:r>
      <w:r>
        <w:instrText xml:space="preserve"> HYPERLINK \l "_Toc207018214" </w:instrText>
      </w:r>
      <w:r>
        <w:fldChar w:fldCharType="separate"/>
      </w:r>
      <w:r>
        <w:rPr>
          <w:rFonts w:ascii="Times New Roman" w:hAnsi="Times New Roman" w:eastAsia="Calibri" w:cs="Times New Roman"/>
          <w:color w:val="0563C1"/>
          <w:sz w:val="24"/>
          <w:u w:val="single"/>
          <w:lang w:val="zh-CN" w:eastAsia="en-US"/>
          <w14:ligatures w14:val="standardContextual"/>
        </w:rPr>
        <w:t>Table 7</w:t>
      </w:r>
      <w:r>
        <w:rPr>
          <w:rFonts w:ascii="Times New Roman" w:hAnsi="Times New Roman" w:eastAsia="Calibri" w:cs="Times New Roman"/>
          <w:color w:val="0563C1"/>
          <w:sz w:val="24"/>
          <w:u w:val="single"/>
          <w:lang w:eastAsia="en-US"/>
          <w14:ligatures w14:val="standardContextual"/>
        </w:rPr>
        <w:t xml:space="preserve"> - Coefficient table analysis</w:t>
      </w:r>
      <w:r>
        <w:rPr>
          <w:rFonts w:ascii="Calibri" w:hAnsi="Calibri" w:eastAsia="Calibri" w:cs="Times New Roman"/>
          <w:sz w:val="24"/>
          <w:lang w:val="zh-CN" w:eastAsia="en-US"/>
          <w14:ligatures w14:val="standardContextual"/>
        </w:rPr>
        <w:tab/>
      </w:r>
      <w:r>
        <w:rPr>
          <w:rFonts w:ascii="Calibri" w:hAnsi="Calibri" w:eastAsia="Calibri" w:cs="Times New Roman"/>
          <w:sz w:val="24"/>
          <w:lang w:val="zh-CN" w:eastAsia="en-US"/>
          <w14:ligatures w14:val="standardContextual"/>
        </w:rPr>
        <w:fldChar w:fldCharType="begin"/>
      </w:r>
      <w:r>
        <w:rPr>
          <w:rFonts w:ascii="Calibri" w:hAnsi="Calibri" w:eastAsia="Calibri" w:cs="Times New Roman"/>
          <w:sz w:val="24"/>
          <w:lang w:val="zh-CN" w:eastAsia="en-US"/>
          <w14:ligatures w14:val="standardContextual"/>
        </w:rPr>
        <w:instrText xml:space="preserve"> PAGEREF _Toc207018214 \h </w:instrText>
      </w:r>
      <w:r>
        <w:rPr>
          <w:rFonts w:ascii="Calibri" w:hAnsi="Calibri" w:eastAsia="Calibri" w:cs="Times New Roman"/>
          <w:sz w:val="24"/>
          <w:lang w:val="zh-CN" w:eastAsia="en-US"/>
          <w14:ligatures w14:val="standardContextual"/>
        </w:rPr>
        <w:fldChar w:fldCharType="separate"/>
      </w:r>
      <w:r>
        <w:rPr>
          <w:rFonts w:ascii="Calibri" w:hAnsi="Calibri" w:eastAsia="Calibri" w:cs="Times New Roman"/>
          <w:sz w:val="24"/>
          <w:lang w:val="zh-CN" w:eastAsia="en-US"/>
          <w14:ligatures w14:val="standardContextual"/>
        </w:rPr>
        <w:t>41</w:t>
      </w:r>
      <w:r>
        <w:rPr>
          <w:rFonts w:ascii="Calibri" w:hAnsi="Calibri" w:eastAsia="Calibri" w:cs="Times New Roman"/>
          <w:sz w:val="24"/>
          <w:lang w:val="zh-CN" w:eastAsia="en-US"/>
          <w14:ligatures w14:val="standardContextual"/>
        </w:rPr>
        <w:fldChar w:fldCharType="end"/>
      </w:r>
      <w:r>
        <w:rPr>
          <w:rFonts w:ascii="Calibri" w:hAnsi="Calibri" w:eastAsia="Calibri" w:cs="Times New Roman"/>
          <w:sz w:val="24"/>
          <w:lang w:val="zh-CN" w:eastAsia="en-US"/>
          <w14:ligatures w14:val="standardContextual"/>
        </w:rPr>
        <w:fldChar w:fldCharType="end"/>
      </w:r>
    </w:p>
    <w:p w14:paraId="32F20B48">
      <w:pPr>
        <w:widowControl/>
        <w:spacing w:after="160" w:line="360" w:lineRule="auto"/>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fldChar w:fldCharType="end"/>
      </w:r>
      <w:bookmarkStart w:id="74" w:name="_GoBack"/>
      <w:bookmarkEnd w:id="74"/>
    </w:p>
    <w:p w14:paraId="0AA78B52">
      <w:pPr>
        <w:widowControl/>
        <w:spacing w:after="160" w:line="360" w:lineRule="auto"/>
        <w:ind w:left="720" w:hanging="360"/>
        <w:rPr>
          <w:rFonts w:ascii="Times New Roman" w:hAnsi="Times New Roman" w:cs="Times New Roman"/>
          <w:sz w:val="24"/>
          <w:lang w:val="zh-CN"/>
          <w14:ligatures w14:val="standardContextual"/>
        </w:rPr>
      </w:pPr>
    </w:p>
    <w:p w14:paraId="063A9E0D">
      <w:pPr>
        <w:widowControl/>
        <w:spacing w:after="160" w:line="360" w:lineRule="auto"/>
        <w:ind w:left="720" w:hanging="360"/>
        <w:rPr>
          <w:rFonts w:ascii="Times New Roman" w:hAnsi="Times New Roman" w:cs="Times New Roman"/>
          <w:sz w:val="24"/>
          <w:lang w:val="zh-CN"/>
          <w14:ligatures w14:val="standardContextual"/>
        </w:rPr>
      </w:pPr>
    </w:p>
    <w:p w14:paraId="2666ACD8">
      <w:pPr>
        <w:widowControl/>
        <w:spacing w:after="160" w:line="360" w:lineRule="auto"/>
        <w:ind w:left="720" w:hanging="360"/>
        <w:rPr>
          <w:rFonts w:ascii="Times New Roman" w:hAnsi="Times New Roman" w:cs="Times New Roman"/>
          <w:sz w:val="24"/>
          <w:lang w:val="zh-CN"/>
          <w14:ligatures w14:val="standardContextual"/>
        </w:rPr>
      </w:pPr>
    </w:p>
    <w:p w14:paraId="6A2BDF03">
      <w:pPr>
        <w:widowControl/>
        <w:spacing w:after="160" w:line="360" w:lineRule="auto"/>
        <w:ind w:left="720" w:hanging="360"/>
        <w:rPr>
          <w:rFonts w:ascii="Times New Roman" w:hAnsi="Times New Roman" w:cs="Times New Roman"/>
          <w:sz w:val="24"/>
          <w:lang w:val="zh-CN"/>
          <w14:ligatures w14:val="standardContextual"/>
        </w:rPr>
      </w:pPr>
    </w:p>
    <w:p w14:paraId="3472621D">
      <w:pPr>
        <w:widowControl/>
        <w:spacing w:after="160" w:line="360" w:lineRule="auto"/>
        <w:ind w:left="720" w:hanging="360"/>
        <w:rPr>
          <w:rFonts w:ascii="Times New Roman" w:hAnsi="Times New Roman" w:cs="Times New Roman"/>
          <w:sz w:val="24"/>
          <w:lang w:val="zh-CN"/>
          <w14:ligatures w14:val="standardContextual"/>
        </w:rPr>
      </w:pPr>
    </w:p>
    <w:p w14:paraId="62162631">
      <w:pPr>
        <w:widowControl/>
        <w:spacing w:after="160" w:line="360" w:lineRule="auto"/>
        <w:ind w:left="720" w:hanging="360"/>
        <w:rPr>
          <w:rFonts w:ascii="Times New Roman" w:hAnsi="Times New Roman" w:cs="Times New Roman"/>
          <w:sz w:val="24"/>
          <w:lang w:val="zh-CN"/>
          <w14:ligatures w14:val="standardContextual"/>
        </w:rPr>
      </w:pPr>
    </w:p>
    <w:p w14:paraId="5043ECFE">
      <w:pPr>
        <w:widowControl/>
        <w:spacing w:after="160" w:line="360" w:lineRule="auto"/>
        <w:ind w:left="720" w:hanging="360"/>
        <w:rPr>
          <w:rFonts w:ascii="Times New Roman" w:hAnsi="Times New Roman" w:cs="Times New Roman"/>
          <w:sz w:val="24"/>
          <w:lang w:val="zh-CN"/>
          <w14:ligatures w14:val="standardContextual"/>
        </w:rPr>
      </w:pPr>
    </w:p>
    <w:p w14:paraId="6D3B7165">
      <w:pPr>
        <w:widowControl/>
        <w:spacing w:after="160" w:line="360" w:lineRule="auto"/>
        <w:ind w:left="720" w:hanging="360"/>
        <w:rPr>
          <w:rFonts w:ascii="Times New Roman" w:hAnsi="Times New Roman" w:cs="Times New Roman"/>
          <w:sz w:val="24"/>
          <w:lang w:val="zh-CN"/>
          <w14:ligatures w14:val="standardContextual"/>
        </w:rPr>
      </w:pPr>
    </w:p>
    <w:p w14:paraId="4D61FC09">
      <w:pPr>
        <w:widowControl/>
        <w:spacing w:after="160" w:line="360" w:lineRule="auto"/>
        <w:ind w:left="720" w:hanging="360"/>
        <w:rPr>
          <w:rFonts w:ascii="Times New Roman" w:hAnsi="Times New Roman" w:cs="Times New Roman"/>
          <w:sz w:val="24"/>
          <w:lang w:val="zh-CN"/>
          <w14:ligatures w14:val="standardContextual"/>
        </w:rPr>
      </w:pPr>
    </w:p>
    <w:p w14:paraId="5ECC843F">
      <w:pPr>
        <w:widowControl/>
        <w:spacing w:after="160" w:line="360" w:lineRule="auto"/>
        <w:ind w:left="720" w:hanging="360"/>
        <w:rPr>
          <w:rFonts w:ascii="Times New Roman" w:hAnsi="Times New Roman" w:cs="Times New Roman"/>
          <w:sz w:val="24"/>
          <w:lang w:val="zh-CN"/>
          <w14:ligatures w14:val="standardContextual"/>
        </w:rPr>
      </w:pPr>
    </w:p>
    <w:p w14:paraId="6A864B8A">
      <w:pPr>
        <w:widowControl/>
        <w:spacing w:after="160" w:line="360" w:lineRule="auto"/>
        <w:ind w:left="720" w:hanging="360"/>
        <w:rPr>
          <w:rFonts w:ascii="Times New Roman" w:hAnsi="Times New Roman" w:cs="Times New Roman"/>
          <w:sz w:val="24"/>
          <w:lang w:val="zh-CN"/>
          <w14:ligatures w14:val="standardContextual"/>
        </w:rPr>
      </w:pPr>
    </w:p>
    <w:p w14:paraId="2ABA31EB">
      <w:pPr>
        <w:widowControl/>
        <w:spacing w:after="160" w:line="360" w:lineRule="auto"/>
        <w:ind w:left="720" w:hanging="360"/>
        <w:rPr>
          <w:rFonts w:ascii="Times New Roman" w:hAnsi="Times New Roman" w:cs="Times New Roman"/>
          <w:sz w:val="24"/>
          <w:lang w:val="zh-CN"/>
          <w14:ligatures w14:val="standardContextual"/>
        </w:rPr>
      </w:pPr>
    </w:p>
    <w:p w14:paraId="2987B6C2">
      <w:pPr>
        <w:widowControl/>
        <w:spacing w:after="160" w:line="360" w:lineRule="auto"/>
        <w:ind w:left="720" w:hanging="360"/>
        <w:rPr>
          <w:rFonts w:hint="eastAsia" w:ascii="Times New Roman" w:hAnsi="Times New Roman" w:cs="Times New Roman"/>
          <w:sz w:val="24"/>
          <w:lang w:val="zh-CN"/>
          <w14:ligatures w14:val="standardContextual"/>
        </w:rPr>
      </w:pPr>
    </w:p>
    <w:p w14:paraId="58988B2D">
      <w:pPr>
        <w:keepNext/>
        <w:keepLines/>
        <w:numPr>
          <w:ilvl w:val="0"/>
          <w:numId w:val="1"/>
        </w:numPr>
        <w:spacing w:before="360" w:after="80" w:line="360" w:lineRule="auto"/>
        <w:ind w:left="480" w:hanging="480"/>
        <w:outlineLvl w:val="0"/>
        <w:rPr>
          <w:rFonts w:ascii="Times New Roman" w:hAnsi="Times New Roman" w:eastAsia="等线 Light" w:cs="Times New Roman"/>
          <w:b/>
          <w:bCs/>
          <w:color w:val="000000"/>
          <w:sz w:val="40"/>
          <w:szCs w:val="40"/>
          <w:lang w:eastAsia="en-US"/>
          <w14:ligatures w14:val="standardContextual"/>
        </w:rPr>
      </w:pPr>
      <w:bookmarkStart w:id="0" w:name="_Toc200654189"/>
      <w:bookmarkStart w:id="1" w:name="_Toc26328"/>
      <w:r>
        <w:rPr>
          <w:rFonts w:ascii="Times New Roman" w:hAnsi="Times New Roman" w:eastAsia="等线 Light" w:cs="Times New Roman"/>
          <w:b/>
          <w:bCs/>
          <w:color w:val="000000"/>
          <w:sz w:val="40"/>
          <w:szCs w:val="40"/>
          <w:lang w:eastAsia="en-US"/>
          <w14:ligatures w14:val="standardContextual"/>
        </w:rPr>
        <w:t>Chapter 1 – Introduction</w:t>
      </w:r>
      <w:bookmarkEnd w:id="0"/>
      <w:bookmarkEnd w:id="1"/>
    </w:p>
    <w:p w14:paraId="6F2014A3">
      <w:pPr>
        <w:keepNext/>
        <w:keepLines/>
        <w:numPr>
          <w:ilvl w:val="1"/>
          <w:numId w:val="1"/>
        </w:numPr>
        <w:spacing w:before="160" w:after="80" w:line="360" w:lineRule="auto"/>
        <w:ind w:left="720"/>
        <w:outlineLvl w:val="1"/>
        <w:rPr>
          <w:rFonts w:ascii="Times New Roman" w:hAnsi="Times New Roman" w:eastAsia="等线 Light" w:cs="Times New Roman"/>
          <w:b/>
          <w:bCs/>
          <w:color w:val="000000"/>
          <w:sz w:val="32"/>
          <w:szCs w:val="32"/>
          <w:lang w:eastAsia="en-US"/>
          <w14:ligatures w14:val="standardContextual"/>
        </w:rPr>
      </w:pPr>
      <w:bookmarkStart w:id="2" w:name="_Toc200654190"/>
      <w:bookmarkStart w:id="3" w:name="_Toc23236"/>
      <w:r>
        <w:rPr>
          <w:rFonts w:ascii="Times New Roman" w:hAnsi="Times New Roman" w:eastAsia="等线 Light" w:cs="Times New Roman"/>
          <w:b/>
          <w:bCs/>
          <w:color w:val="000000"/>
          <w:sz w:val="32"/>
          <w:szCs w:val="32"/>
          <w:lang w:val="zh-CN" w:eastAsia="en-US"/>
          <w14:ligatures w14:val="standardContextual"/>
        </w:rPr>
        <w:t>Background</w:t>
      </w:r>
      <w:bookmarkEnd w:id="2"/>
      <w:bookmarkEnd w:id="3"/>
    </w:p>
    <w:p w14:paraId="3CC4A28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The world is experiencing an evident transition to ethical consumption in recent years as </w:t>
      </w:r>
    </w:p>
    <w:p w14:paraId="5E9B214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Customers are starting to care more about values like sustainability, transparency, and corporate responsibility when choosing what to buy. The trend has led to what academics and marketers call brand activism, in which companies are </w:t>
      </w:r>
      <w:r>
        <w:rPr>
          <w:rFonts w:ascii="Times New Roman" w:hAnsi="Times New Roman" w:eastAsia="Calibri" w:cs="Times New Roman"/>
          <w:color w:val="000000"/>
          <w:kern w:val="0"/>
          <w:sz w:val="24"/>
          <w:lang w:eastAsia="en-US"/>
        </w:rPr>
        <w:t>expected not only to sell products but also to take sides on social, environmental,</w:t>
      </w:r>
      <w:r>
        <w:rPr>
          <w:rFonts w:ascii="Times New Roman" w:hAnsi="Times New Roman" w:eastAsia="Calibri" w:cs="Times New Roman"/>
          <w:color w:val="000000"/>
          <w:sz w:val="24"/>
          <w:lang w:eastAsia="en-US"/>
          <w14:ligatures w14:val="standardContextual"/>
        </w:rPr>
        <w:t xml:space="preserve"> and political issues. The change runs deeper than mere appearances; it represents a wider social requirement that corporations should be moral agents in society. The key to this change has been the concept of Corporate Social Responsibility (CSR), whereby companies incorporate ethical behaviours into their work process voluntarily, thus having a positive impact on society and the environment.</w:t>
      </w:r>
    </w:p>
    <w:p w14:paraId="005888A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birth generation Z (1997-2012) has become a force in this change. Gen Z is the generation that is resetting consumer expectations as digital natives who have grown up in a socially conscious and connected society. Gen Z consumers are particularly prominent in the United Kingdom, where access to education, technology, and social dialogue is high. Not only have they become important due to their increasing purchasing power, but also due to their tendency to make or break trends as well as hold manufacturers and other businesses liable via social media networks. Rosario and Casaca (2025) state that the same issue can be observed with Gen Z, as they regard social media as an essential part of their lives. Therefore, organisations wishing to establish loyal customers in Gen Y and Z need to strive more and learn the values and features of each group to target them better. This shows the scale of impact that digital interactions have on Gen Z and their demands regarding corporate ethics in their interactions with brands.</w:t>
      </w:r>
    </w:p>
    <w:p w14:paraId="5F7EF25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Particularly, social media is an essential part of the Gen Z information consumption and brand engagement process. It is a megaphone of corporate communication as well as a place of public responsibility. CSR campaigns that lack the support of real action are quickly named out, causing reputational losses. On the other hand, those companies that propagate and practice their values effectively are likely to earn the loyalty of this younger generation. According to Theocharis and Tsekouropoulos (2025), in this situation, social media, sustainability campaigns, and corporate social responsibility (CSR) actions assist brands to raise their consciousness, which confirms their social influence on customer behaviour. This digital-first mentality implies that Gen Z brand loyalty cannot be easily earned by the quality of products or convenience, but by the perceived overlap of the values of a particular brand with their values.</w:t>
      </w:r>
    </w:p>
    <w:p w14:paraId="2423C9A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But the idea of attracting Gen Z with the help of CSR is not that simple. Gen Z consumers do not sit back and accept brand activism without criticism, as Narayanan (2022) notes. To them, brand activism is an elite, rather than a mass-market strategy; activist brands must reflect particular qualities and carry out activism strictly and thoroughly.” This shows that although Gen Z is willing to associate themselves with socially responsible brands, they are also cynical about insincere or performative actions.</w:t>
      </w:r>
    </w:p>
    <w:p w14:paraId="0BFAD51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conclude, the correlation between CSR and the Gen Z consumer behaviour in the UK is deep and subtle. With this population only increasing in population and power, it is vital that any organisation looking to foster long-term loyalty in a socially conscious marketplace must know how this group perceives and reacts to brand activism and ethical branding.</w:t>
      </w:r>
    </w:p>
    <w:p w14:paraId="30CCD421">
      <w:pPr>
        <w:keepNext/>
        <w:keepLines/>
        <w:numPr>
          <w:ilvl w:val="1"/>
          <w:numId w:val="1"/>
        </w:numPr>
        <w:spacing w:before="160" w:after="80" w:line="278" w:lineRule="auto"/>
        <w:ind w:left="720"/>
        <w:outlineLvl w:val="1"/>
        <w:rPr>
          <w:rFonts w:ascii="Times New Roman" w:hAnsi="Times New Roman" w:eastAsia="等线 Light" w:cs="Times New Roman"/>
          <w:b/>
          <w:bCs/>
          <w:color w:val="000000"/>
          <w:sz w:val="32"/>
          <w:szCs w:val="32"/>
          <w:lang w:eastAsia="en-US"/>
          <w14:ligatures w14:val="standardContextual"/>
        </w:rPr>
      </w:pPr>
      <w:bookmarkStart w:id="4" w:name="_Toc200654191"/>
      <w:bookmarkStart w:id="5" w:name="_Toc16274"/>
      <w:r>
        <w:rPr>
          <w:rFonts w:ascii="Times New Roman" w:hAnsi="Times New Roman" w:eastAsia="等线 Light" w:cs="Times New Roman"/>
          <w:b/>
          <w:bCs/>
          <w:color w:val="000000"/>
          <w:sz w:val="32"/>
          <w:szCs w:val="32"/>
          <w:lang w:eastAsia="en-US"/>
          <w14:ligatures w14:val="standardContextual"/>
        </w:rPr>
        <w:t>Research Focus:</w:t>
      </w:r>
      <w:bookmarkEnd w:id="4"/>
      <w:bookmarkEnd w:id="5"/>
    </w:p>
    <w:p w14:paraId="3CF2BF7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study is about the Generation Z (Gen Z) consumers in the United Kingdom and their interest in Corporate Social Responsibility (CSR)-related brand activities. Gen Z has also been greatly acknowledged to have unique values-based consumption, which prioritises ethical businesses, environmental and social responsibility. Being digital natives, they engage with the brands mostly online, where the brand messaging, consumer feedback, and CSR campaigns are easily visible and can be scrutinised. Brand loyalty in this context is also more associated with the perceived authenticity and congruence of the values of the company and those of the consumer.</w:t>
      </w:r>
    </w:p>
    <w:p w14:paraId="47A925E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paper will also examine the impact of CSR activities, including sustainability and ethical labour treatments, community engagement and transparency on Gen Z trust and loyalty to brands. Being the generation vastly impacted by the digitalisation of communication and the discourse of social media, the Gen Z consumers in the UK have a particular opportunity to shape corporate conduct and redefine branding standards. They expect more than just conventional marketing; they require concrete, quantifiable commitments to social and environmental issues.</w:t>
      </w:r>
    </w:p>
    <w:p w14:paraId="3F1F122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According to Healy and Poole (2022), the following research problem was considered: namely, the current study investigates the purchasing behaviours of Generation Z and whether the social responsibility (CSR) of a company influences the decision to buy its products or services. Here lies the essence of the research: to study the connection between CSR and consumer behaviour in Gen Z people. The research aims at revealing not only whether CSR plays a role in purchase choice, but also how online exposure, peer communication and social responsibility websites impact the choice.</w:t>
      </w:r>
    </w:p>
    <w:p w14:paraId="26089E8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interest in this field is increasing, whereas the lack of UK-specific research remains quite significant. According to Nguyen (2021), until now, the scepticism of CSR among Generation Z in the UK has not been researched, although similar investigations have placed much emphasis on consumer scepticism. This gap provides a possibility to investigate how Gen Z in the UK perceive CSR communications and whether they are affected by scepticism about the loyalty to brands that position themselves as responsible.</w:t>
      </w:r>
    </w:p>
    <w:p w14:paraId="33B6E056">
      <w:pPr>
        <w:keepNext/>
        <w:keepLines/>
        <w:numPr>
          <w:ilvl w:val="1"/>
          <w:numId w:val="1"/>
        </w:numPr>
        <w:spacing w:before="160" w:after="80" w:line="278" w:lineRule="auto"/>
        <w:ind w:left="720"/>
        <w:outlineLvl w:val="1"/>
        <w:rPr>
          <w:rFonts w:ascii="Times New Roman" w:hAnsi="Times New Roman" w:eastAsia="等线 Light" w:cs="Times New Roman"/>
          <w:b/>
          <w:bCs/>
          <w:color w:val="000000"/>
          <w:sz w:val="32"/>
          <w:szCs w:val="32"/>
          <w:lang w:eastAsia="en-US"/>
          <w14:ligatures w14:val="standardContextual"/>
        </w:rPr>
      </w:pPr>
      <w:bookmarkStart w:id="6" w:name="_Toc200654192"/>
      <w:bookmarkStart w:id="7" w:name="_Toc16034"/>
      <w:r>
        <w:rPr>
          <w:rFonts w:ascii="Times New Roman" w:hAnsi="Times New Roman" w:eastAsia="等线 Light" w:cs="Times New Roman"/>
          <w:b/>
          <w:bCs/>
          <w:color w:val="000000"/>
          <w:sz w:val="32"/>
          <w:szCs w:val="32"/>
          <w:lang w:val="zh-CN" w:eastAsia="en-US"/>
          <w14:ligatures w14:val="standardContextual"/>
        </w:rPr>
        <w:t>Rationale of Study</w:t>
      </w:r>
      <w:bookmarkEnd w:id="6"/>
      <w:bookmarkEnd w:id="7"/>
    </w:p>
    <w:p w14:paraId="09C912A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complexity of the loyalty mechanisms of Generation Z (Gen Z) has gained agility with this population group entering the phase of becoming the leading consumer group in the UK. As opposed to the previous generations, Gen Z does not develop loyalty towards a brand based on the quality of the products or their price; instead, it forms its loyalty based on the ethical compatibility, social inclusiveness, and brand transparency. A sophisticated interaction of individual values, online communication, and a sense of authenticity of corporate messages determines their buying behaviour. Understanding of these mechanisms can be useful to businesses as they attempt to build long-term brand relationships in a marketplace that is increasingly values-oriented.</w:t>
      </w:r>
    </w:p>
    <w:p w14:paraId="01DDF248">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Corporate Social Responsibility (CSR) is at the core of the Gen Z approach to defining brand credibility and loyalty. Amid the post-pandemic reality, when the digital representation has become even more critical, and global challenges like inequality, sustainability, and ethical governance are on the agenda, the topicality of CSR has increased many times. The brands are no longer supposed to only make profits, but are supposed to show concrete efforts towards the benefit of society. Within the digitally developed environment of the UK, where Gen Z customers are the most connected generation and socially responsible, CSR is an essential component that defines the success of a brand.</w:t>
      </w:r>
    </w:p>
    <w:p w14:paraId="3AA4649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According to Uche (2018), the role of the study is to analyze how CSR communication impacts the consumer behavior and brand relationship of Gen Z. This brings out the main reasoning behind the study: to understand the effect of CSR messaging, when delivered authentically and transparently, on the loyalty and behavioural intentions of Gen Z. As Gen Z spends more time online than ever before interacting with brands, the digital CSR campaign has become not only a branding exercise but a test of authenticity.</w:t>
      </w:r>
    </w:p>
    <w:p w14:paraId="4FB2A8D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addition, Gen Z loyalty cannot be discussed outside of its focus on diversity and inclusion. As Geetika Chhatwal (2024) mentions, authenticity, social responsibility, and inclusivity are ingrained in their loyalty. The effect of these values is not only in the perception of Gen Z towards brands but in the way they interact with them. A brand that does not echo or honour these values may lose this all-important audience.</w:t>
      </w:r>
    </w:p>
    <w:p w14:paraId="1403A68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Notably, the research also gives credit to the undesirable elements of brand behaviour. As Turner et al. (2022) mention, the study is based on the following idea: this survey investigates corporate social irresponsibility (CSR) perceptions at the race and gender intersection in Millennial and Gen Z women and people of colour.  This highlights the necessity to scrutinise not only the CSR initiatives but also the impact of corporate failings on trust and loyalty.</w:t>
      </w:r>
    </w:p>
    <w:p w14:paraId="6B1971B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total, the given research is required to support the development of ethical branding approaches that would appeal to the Gen Z Post-pandemic and socially conscious UK market expectations.</w:t>
      </w:r>
    </w:p>
    <w:p w14:paraId="4A2D9643">
      <w:pPr>
        <w:keepNext/>
        <w:keepLines/>
        <w:numPr>
          <w:ilvl w:val="1"/>
          <w:numId w:val="1"/>
        </w:numPr>
        <w:spacing w:before="160" w:after="80" w:line="278" w:lineRule="auto"/>
        <w:ind w:left="720"/>
        <w:outlineLvl w:val="1"/>
        <w:rPr>
          <w:rFonts w:ascii="Times New Roman" w:hAnsi="Times New Roman" w:eastAsia="等线 Light" w:cs="Times New Roman"/>
          <w:b/>
          <w:bCs/>
          <w:color w:val="000000"/>
          <w:sz w:val="32"/>
          <w:szCs w:val="32"/>
          <w:lang w:val="zh-CN" w:eastAsia="en-US"/>
          <w14:ligatures w14:val="standardContextual"/>
        </w:rPr>
      </w:pPr>
      <w:bookmarkStart w:id="8" w:name="_Toc200654193"/>
      <w:bookmarkStart w:id="9" w:name="_Toc11125"/>
      <w:r>
        <w:rPr>
          <w:rFonts w:ascii="Times New Roman" w:hAnsi="Times New Roman" w:eastAsia="等线 Light" w:cs="Times New Roman"/>
          <w:b/>
          <w:bCs/>
          <w:color w:val="000000"/>
          <w:sz w:val="32"/>
          <w:szCs w:val="32"/>
          <w:lang w:val="zh-CN" w:eastAsia="en-US"/>
          <w14:ligatures w14:val="standardContextual"/>
        </w:rPr>
        <w:t>Research Aim and Research Objectives</w:t>
      </w:r>
      <w:bookmarkEnd w:id="8"/>
      <w:bookmarkEnd w:id="9"/>
    </w:p>
    <w:p w14:paraId="51EA5524">
      <w:pPr>
        <w:widowControl/>
        <w:spacing w:after="160" w:line="360" w:lineRule="auto"/>
        <w:rPr>
          <w:rFonts w:ascii="Times New Roman" w:hAnsi="Times New Roman" w:eastAsia="Calibri" w:cs="Times New Roman"/>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Aim</w:t>
      </w:r>
      <w:r>
        <w:rPr>
          <w:rFonts w:ascii="Times New Roman" w:hAnsi="Times New Roman" w:eastAsia="Calibri" w:cs="Times New Roman"/>
          <w:i/>
          <w:iCs/>
          <w:color w:val="000000"/>
          <w:sz w:val="24"/>
          <w:lang w:eastAsia="en-US"/>
          <w14:ligatures w14:val="standardContextual"/>
        </w:rPr>
        <w:t>:</w:t>
      </w:r>
    </w:p>
    <w:p w14:paraId="25D126E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research aims to find out how CSR programs influence loyalty to specific brands for Gen Z consumers. Today’s youth care deeply about their values and social issues, meaning they expect companies to address environmental and moral matters. People’s decisions about what to buy are often affected by whether a company is focused on social justice, sustainability or good governance (Psico, 2024). Therefore, companies trying to develop solid relationships with these younger buyers should understand how CSR impacts their brand loyalty.</w:t>
      </w:r>
    </w:p>
    <w:p w14:paraId="63CDA004">
      <w:pPr>
        <w:widowControl/>
        <w:spacing w:after="160" w:line="360" w:lineRule="auto"/>
        <w:rPr>
          <w:rFonts w:ascii="Times New Roman" w:hAnsi="Times New Roman" w:eastAsia="Calibri" w:cs="Times New Roman"/>
          <w:b/>
          <w:bCs/>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Research Objectives</w:t>
      </w:r>
    </w:p>
    <w:p w14:paraId="62809337">
      <w:pPr>
        <w:numPr>
          <w:ilvl w:val="0"/>
          <w:numId w:val="2"/>
        </w:numPr>
        <w:spacing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discover which CSR activities are the most important to Gen Z shoppers.</w:t>
      </w:r>
    </w:p>
    <w:p w14:paraId="799C960B">
      <w:pPr>
        <w:numPr>
          <w:ilvl w:val="0"/>
          <w:numId w:val="2"/>
        </w:numPr>
        <w:spacing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examine the trust opened up by brand CSR programs.</w:t>
      </w:r>
    </w:p>
    <w:p w14:paraId="073527E0">
      <w:pPr>
        <w:numPr>
          <w:ilvl w:val="0"/>
          <w:numId w:val="2"/>
        </w:numPr>
        <w:spacing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understand the effect CSR has on Gen Z consumers wanting to purchase again.</w:t>
      </w:r>
    </w:p>
    <w:p w14:paraId="1D4763DD">
      <w:pPr>
        <w:numPr>
          <w:ilvl w:val="0"/>
          <w:numId w:val="2"/>
        </w:numPr>
        <w:spacing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investigate the influence of how genuine CSR is on Gen Z’s loyalty.</w:t>
      </w:r>
    </w:p>
    <w:p w14:paraId="56CEE48F">
      <w:pPr>
        <w:numPr>
          <w:ilvl w:val="0"/>
          <w:numId w:val="2"/>
        </w:numPr>
        <w:spacing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propose strategic CSR communication approaches for brands to deepen loyalty.</w:t>
      </w:r>
    </w:p>
    <w:p w14:paraId="5A232288">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These objectives are premised on the recent findings in the CSR literature. As an example, Aruna et al. (2022) write that “The research finds that there is a significant positive impact of corporate social responsibility (CSR) on the purchase intention, and it is mediated by consumer engagement. This implies that CSR has the potential to enhance brand-consumer relationships by facilitating meaningful interaction.</w:t>
      </w:r>
    </w:p>
    <w:p w14:paraId="10F09A6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CSR does not, however, act in isolation. The Gen Z view of CSR is usually distorted through the prism of satisfaction and reasonableness. Aruna et al. (2022) go further to indicate that CSR perception among Gen Z only affects purchase intention on satisfaction and price fairness. This study will thus not only investigate the direct effect of CSR, but it will also take into consideration the way other variables mediate the connection between CSR and brand loyalty. With this, the research would offer practical recommendations on how best brands can engage Gen Z in the UK.</w:t>
      </w:r>
    </w:p>
    <w:p w14:paraId="7960BAA2">
      <w:pPr>
        <w:widowControl/>
        <w:spacing w:after="160" w:line="360" w:lineRule="auto"/>
        <w:jc w:val="left"/>
        <w:rPr>
          <w:rFonts w:ascii="Times New Roman" w:hAnsi="Times New Roman" w:eastAsia="Calibri" w:cs="Times New Roman"/>
          <w:b/>
          <w:bCs/>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Research Question:</w:t>
      </w:r>
    </w:p>
    <w:p w14:paraId="0EE4C8C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what extent does Corporate Social Responsibility (CSR) influence brand loyalty among Generation Z consumers in the UK?</w:t>
      </w:r>
    </w:p>
    <w:p w14:paraId="79F7FBF8">
      <w:pPr>
        <w:keepNext/>
        <w:keepLines/>
        <w:numPr>
          <w:ilvl w:val="1"/>
          <w:numId w:val="1"/>
        </w:numPr>
        <w:spacing w:before="160" w:after="80" w:line="278" w:lineRule="auto"/>
        <w:ind w:left="720"/>
        <w:outlineLvl w:val="1"/>
        <w:rPr>
          <w:rFonts w:ascii="Times New Roman" w:hAnsi="Times New Roman" w:eastAsia="等线 Light" w:cs="Times New Roman"/>
          <w:b/>
          <w:bCs/>
          <w:color w:val="000000"/>
          <w:sz w:val="32"/>
          <w:szCs w:val="32"/>
          <w:lang w:eastAsia="en-US"/>
          <w14:ligatures w14:val="standardContextual"/>
        </w:rPr>
      </w:pPr>
      <w:bookmarkStart w:id="10" w:name="_Toc200654195"/>
      <w:bookmarkStart w:id="11" w:name="_Toc4005"/>
      <w:r>
        <w:rPr>
          <w:rFonts w:ascii="Times New Roman" w:hAnsi="Times New Roman" w:eastAsia="等线 Light" w:cs="Times New Roman"/>
          <w:b/>
          <w:bCs/>
          <w:color w:val="000000"/>
          <w:sz w:val="32"/>
          <w:szCs w:val="32"/>
          <w:lang w:eastAsia="en-US"/>
          <w14:ligatures w14:val="standardContextual"/>
        </w:rPr>
        <w:t>Outline of the Dissertation:</w:t>
      </w:r>
      <w:bookmarkEnd w:id="10"/>
      <w:bookmarkEnd w:id="11"/>
    </w:p>
    <w:p w14:paraId="398A4C5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dissertation has been presented in a manner that gives a clear flow from theory to practice.</w:t>
      </w:r>
    </w:p>
    <w:p w14:paraId="099F40C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Chapter 2 – Literature Review will examine the current CSR frameworks, the factors of brand loyalty, and the ethical consumption behaviour peculiar to Gen Z.</w:t>
      </w:r>
    </w:p>
    <w:p w14:paraId="3D85F63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Chapter 3- Methodology defends the selection of the quantitative method with the help of online surveys and describes the population sample, data collection instruments and methods of analysis.</w:t>
      </w:r>
    </w:p>
    <w:p w14:paraId="5742FAC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Chapter 4 -Data Analysis shows the results of the survey based on the sample of 200 Gen Z respondents in the UK through the statistical tools, including SPSS.</w:t>
      </w:r>
    </w:p>
    <w:p w14:paraId="0B262BC3">
      <w:pPr>
        <w:widowControl/>
        <w:spacing w:after="160" w:line="360" w:lineRule="auto"/>
        <w:rPr>
          <w:rFonts w:hint="eastAsia" w:ascii="Times New Roman" w:hAnsi="Times New Roman" w:cs="Times New Roman"/>
          <w:color w:val="000000"/>
          <w:sz w:val="24"/>
          <w14:ligatures w14:val="standardContextual"/>
        </w:rPr>
      </w:pPr>
      <w:r>
        <w:rPr>
          <w:rFonts w:ascii="Times New Roman" w:hAnsi="Times New Roman" w:eastAsia="Calibri" w:cs="Times New Roman"/>
          <w:color w:val="000000"/>
          <w:sz w:val="24"/>
          <w:lang w:eastAsia="en-US"/>
          <w14:ligatures w14:val="standardContextual"/>
        </w:rPr>
        <w:t>Chapter 5 – Conclusion and Recommendations draws a conclusion of the study, gives strategic CSR communication recommendations to brands, identifies the limitations of the study and indicates the prospects of future research.</w:t>
      </w:r>
    </w:p>
    <w:p w14:paraId="52699940">
      <w:pPr>
        <w:keepNext/>
        <w:keepLines/>
        <w:spacing w:before="360" w:after="80" w:line="360" w:lineRule="auto"/>
        <w:outlineLvl w:val="0"/>
        <w:rPr>
          <w:rFonts w:ascii="Times New Roman" w:hAnsi="Times New Roman" w:eastAsia="等线 Light" w:cs="Times New Roman"/>
          <w:b/>
          <w:bCs/>
          <w:color w:val="000000"/>
          <w:sz w:val="40"/>
          <w:szCs w:val="40"/>
          <w:lang w:eastAsia="en-US"/>
          <w14:ligatures w14:val="standardContextual"/>
        </w:rPr>
      </w:pPr>
      <w:bookmarkStart w:id="12" w:name="_Toc26890"/>
      <w:r>
        <w:rPr>
          <w:rFonts w:ascii="Times New Roman" w:hAnsi="Times New Roman" w:eastAsia="等线 Light" w:cs="Times New Roman"/>
          <w:b/>
          <w:bCs/>
          <w:color w:val="000000"/>
          <w:sz w:val="40"/>
          <w:szCs w:val="40"/>
          <w:lang w:eastAsia="en-US"/>
          <w14:ligatures w14:val="standardContextual"/>
        </w:rPr>
        <w:t>Chapter 2 – Literature Review</w:t>
      </w:r>
      <w:bookmarkEnd w:id="12"/>
    </w:p>
    <w:p w14:paraId="38291C0B">
      <w:pPr>
        <w:keepNext/>
        <w:keepLines/>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13" w:name="_Toc31020"/>
      <w:r>
        <w:rPr>
          <w:rFonts w:ascii="Times New Roman" w:hAnsi="Times New Roman" w:eastAsia="等线 Light" w:cs="Times New Roman"/>
          <w:b/>
          <w:bCs/>
          <w:color w:val="000000"/>
          <w:sz w:val="32"/>
          <w:szCs w:val="32"/>
          <w:lang w:eastAsia="en-US"/>
          <w14:ligatures w14:val="standardContextual"/>
        </w:rPr>
        <w:t>2. Introduction:</w:t>
      </w:r>
      <w:bookmarkEnd w:id="13"/>
    </w:p>
    <w:p w14:paraId="1C25AC2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important pillar of this study that was used is the literature review which was critical of the available knowledge and was able to lay a strong academic foundation on conducting the study on the impact of Corporate Social Responsibility (CSR) on brand loyalty among the Generation Z (Gen Z) consumers in the United Kingdom. The review will set out to discuss the multidimensional associations between CSR initiatives, consumer trust, brand involvement, and loyalty behaviours. With the synthesis of theoretical approach and empirical evidence, it provides an informed model which informs development of this research.</w:t>
      </w:r>
    </w:p>
    <w:p w14:paraId="6C4981E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In </w:t>
      </w:r>
      <w:r>
        <w:rPr>
          <w:rFonts w:ascii="Times New Roman" w:hAnsi="Times New Roman" w:eastAsia="Calibri" w:cs="Times New Roman"/>
          <w:color w:val="000000"/>
          <w:kern w:val="0"/>
          <w:sz w:val="24"/>
          <w:lang w:eastAsia="en-US"/>
        </w:rPr>
        <w:t>a more competitive market, CSR has become a strategic instrument that benefits brands by creating a sense of trust and establishing emotional connections with consumers.</w:t>
      </w:r>
      <w:r>
        <w:rPr>
          <w:rFonts w:ascii="Times New Roman" w:hAnsi="Times New Roman" w:eastAsia="Calibri" w:cs="Times New Roman"/>
          <w:color w:val="000000"/>
          <w:sz w:val="24"/>
          <w:lang w:eastAsia="en-US"/>
          <w14:ligatures w14:val="standardContextual"/>
        </w:rPr>
        <w:t xml:space="preserve"> According to Luis and Barcellos-Paula (2024), a firm’s implementation of CSR goes beyond compliance with regulatory requirements and engages in actions that appear to further some social good. . CSR, in the case of Gen Z, is no longer a part of the optional brand practices but a precondition that significantly determines an intention to purchase and the level of loyalty. They require brands to be ethical, transparent and authentic and are fast to call out fake attempts.</w:t>
      </w:r>
    </w:p>
    <w:p w14:paraId="5B091D7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Furthermore, Gen Z has high levels of digital literacy and social understanding, which introduces it as a different consumer group that should be reached with specific CSR communication plans. As found by Wong (2021), Gen Z is more engaged about social issues or environmental problems. Hence, CSR is among the factors that they put into consideration when making their purchase decisions. Knowing what these expectations entail will ensure provision of effective loyalty interventions and CSR messaging.</w:t>
      </w:r>
    </w:p>
    <w:p w14:paraId="07BC07A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following research objectives will be covered in this literature review to explain desirable CSR activities and the study of the trust relationships and assess repurchase intentions. Covering theoretical gaps, drawing contradicting facts together, the chapter prepares the basis of empirical analysis and guidance to the methodology in the subsequent chapter.</w:t>
      </w:r>
    </w:p>
    <w:p w14:paraId="537EEFC1">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14" w:name="_Toc200654194"/>
      <w:bookmarkStart w:id="15" w:name="_Toc10570"/>
      <w:r>
        <w:rPr>
          <w:rFonts w:ascii="Times New Roman" w:hAnsi="Times New Roman" w:eastAsia="等线 Light" w:cs="Times New Roman"/>
          <w:b/>
          <w:bCs/>
          <w:color w:val="000000"/>
          <w:sz w:val="32"/>
          <w:szCs w:val="32"/>
          <w:lang w:val="zh-CN" w:eastAsia="en-US"/>
          <w14:ligatures w14:val="standardContextual"/>
        </w:rPr>
        <w:t>Key Concepts</w:t>
      </w:r>
      <w:bookmarkEnd w:id="14"/>
      <w:r>
        <w:rPr>
          <w:rFonts w:ascii="Times New Roman" w:hAnsi="Times New Roman" w:eastAsia="等线 Light" w:cs="Times New Roman"/>
          <w:b/>
          <w:bCs/>
          <w:color w:val="000000"/>
          <w:sz w:val="32"/>
          <w:szCs w:val="32"/>
          <w:lang w:val="zh-CN" w:eastAsia="en-US"/>
          <w14:ligatures w14:val="standardContextual"/>
        </w:rPr>
        <w:t>:</w:t>
      </w:r>
      <w:bookmarkEnd w:id="15"/>
    </w:p>
    <w:p w14:paraId="47C0A7A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present research is underlain by a few central concepts, which define the behaviour of Gen Z consumers as the reaction to the Corporate Social Responsibility (CSR) initiatives. Keywords and theoretical frameworks need to be defined and contextualised to shed light on the relationship between CSR and brand loyalty (Alhouz and Hasouneh, 2020).</w:t>
      </w:r>
    </w:p>
    <w:p w14:paraId="44EC00F7">
      <w:pPr>
        <w:widowControl/>
        <w:spacing w:after="160" w:line="360" w:lineRule="auto"/>
        <w:rPr>
          <w:rFonts w:ascii="Times New Roman" w:hAnsi="Times New Roman" w:eastAsia="Calibri" w:cs="Times New Roman"/>
          <w:b/>
          <w:bCs/>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Corporate Social Responsibility (CSR):</w:t>
      </w:r>
    </w:p>
    <w:p w14:paraId="2CEDDB0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CSR means the voluntary efforts of a business to acquire social, ecological and ethical enhancement beyond the legal requirements. Such initiatives can be sustainable sourcing, charitable giving, fair labour practices and environmental protection (Luis and Barcellos-Paula, 2024). To Gen Z consumers, CSR is not a marketing stunt but a condition to trust. “It is important to note that only satisfaction and price fairness mediate the effect of CSR perception of Generation Z on purchase intention (Aruna et al., 2022), demonstrating how subtle the requirements are that have to be fulfilled to make CSR matter.</w:t>
      </w:r>
    </w:p>
    <w:p w14:paraId="3BF8401C">
      <w:pPr>
        <w:widowControl/>
        <w:spacing w:after="160" w:line="360" w:lineRule="auto"/>
        <w:rPr>
          <w:rFonts w:ascii="Times New Roman" w:hAnsi="Times New Roman" w:eastAsia="Calibri" w:cs="Times New Roman"/>
          <w:b/>
          <w:bCs/>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Brand Loyalty:</w:t>
      </w:r>
    </w:p>
    <w:p w14:paraId="3DC03E3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Brand loyalty refers to the emotional and behavioural dedication by a consumer to a brand, which operates to affect repeat purchase and positive word-of-mouth (Moisescu and Gică, 2020). This loyalty is relative and guided by underlying values in the case of Gen Z. The Gen Z consumers do not passively accept a brand’s activism and are critical of it (Narayanan, 2022), which means that the emotional attachment is reached, not given.</w:t>
      </w:r>
    </w:p>
    <w:p w14:paraId="131FF890">
      <w:pPr>
        <w:widowControl/>
        <w:spacing w:after="160" w:line="360" w:lineRule="auto"/>
        <w:rPr>
          <w:rFonts w:ascii="Times New Roman" w:hAnsi="Times New Roman" w:eastAsia="Calibri" w:cs="Times New Roman"/>
          <w:b/>
          <w:bCs/>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Authenticity:</w:t>
      </w:r>
    </w:p>
    <w:p w14:paraId="4C8F565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Authenticity means the consistency of the stated values of the brand with its real practices. Gen Z cannot be fooled: they require transparency and consistency in the way a brand speaks and performs its CSR principles. Performance activism or inauthentic activism is soon disregarded (Nguyen, 2021).</w:t>
      </w:r>
    </w:p>
    <w:p w14:paraId="31F06A5A">
      <w:pPr>
        <w:widowControl/>
        <w:spacing w:after="160" w:line="360" w:lineRule="auto"/>
        <w:rPr>
          <w:rFonts w:ascii="Times New Roman" w:hAnsi="Times New Roman" w:eastAsia="Calibri" w:cs="Times New Roman"/>
          <w:b/>
          <w:bCs/>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Stakeholder Theory:</w:t>
      </w:r>
    </w:p>
    <w:p w14:paraId="6F2CC64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Stakeholder Theory is a theory developed by Freeman (1984) that claims that a business ought to deliver interests of all stakeholders (not simply shareholders), such as customers, employees, suppliers and the wider community. This theory can serve as the basis of justification of CSR since it falls in line with the Gen Z idea that companies should have a social role that goes beyond creating profits (Sawicka and Marcinkowska, 2023).</w:t>
      </w:r>
    </w:p>
    <w:p w14:paraId="23BE7100">
      <w:pPr>
        <w:widowControl/>
        <w:spacing w:after="160" w:line="360" w:lineRule="auto"/>
        <w:rPr>
          <w:rFonts w:ascii="Times New Roman" w:hAnsi="Times New Roman" w:eastAsia="Calibri" w:cs="Times New Roman"/>
          <w:b/>
          <w:bCs/>
          <w:i/>
          <w:iCs/>
          <w:color w:val="000000"/>
          <w:sz w:val="24"/>
          <w:lang w:eastAsia="en-US"/>
          <w14:ligatures w14:val="standardContextual"/>
        </w:rPr>
      </w:pPr>
      <w:r>
        <w:rPr>
          <w:rFonts w:ascii="Times New Roman" w:hAnsi="Times New Roman" w:eastAsia="Calibri" w:cs="Times New Roman"/>
          <w:b/>
          <w:bCs/>
          <w:i/>
          <w:iCs/>
          <w:color w:val="000000"/>
          <w:sz w:val="24"/>
          <w:lang w:eastAsia="en-US"/>
          <w14:ligatures w14:val="standardContextual"/>
        </w:rPr>
        <w:t>Consumer Behaviour Theory:</w:t>
      </w:r>
    </w:p>
    <w:p w14:paraId="5C01C84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is a theory that examines the choices that people make when they decide to use up their resources (time, money, effort) in consumption-related matters (Topic and Mitchell, 2019). It includes psychological, social and cultural aspects that determine buyer behaviour. When it comes to Gen Z, the consumer behaviour theory can be used to describe how this generation makes value-focused, digitally-inspired choices when it comes to brand selection (WONG, 2021).</w:t>
      </w:r>
    </w:p>
    <w:p w14:paraId="4B6CCC8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Collectively, these ideas and models help ascertain the purpose of the study, which aims to understand the effect of CSR activities on the loyalty of Gen Z. They also help to choose the variables to be investigated, including the perceived CSR, trust, satisfaction, and repurchase intention, and make the research theory- and practice-oriented.</w:t>
      </w:r>
    </w:p>
    <w:p w14:paraId="27EFC34B">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16" w:name="_Toc5908"/>
      <w:r>
        <w:rPr>
          <w:rFonts w:ascii="Times New Roman" w:hAnsi="Times New Roman" w:eastAsia="等线 Light" w:cs="Times New Roman"/>
          <w:b/>
          <w:bCs/>
          <w:color w:val="000000"/>
          <w:sz w:val="32"/>
          <w:szCs w:val="32"/>
          <w:lang w:eastAsia="en-US"/>
          <w14:ligatures w14:val="standardContextual"/>
        </w:rPr>
        <w:t>The Evolution and Conceptualisation of CSR</w:t>
      </w:r>
      <w:bookmarkEnd w:id="16"/>
    </w:p>
    <w:p w14:paraId="3423E31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Corporate Social Responsibility (CSR) as a concept has taken a new shape in the sense that it did not start as a strategic tool in business but has developed to that end (Akbari et al., 2020). Traditionally, CSR originated in the middle of the 20th century when the community had grown steadily in numbers of people that expect it to be positive and add to societies with profit-making activities. At first sight, CSR was in many terms associated with community service and charity giving. With time, however, it was seen to have broadened to include far and diverse forms of ethical, environmental, as well as social initiatives that are now regarded as part and parcel of corporate strategy.</w:t>
      </w:r>
    </w:p>
    <w:p w14:paraId="5FCB06A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1970s were a turning point in the world: researchers such as Archie Carroll suggested the organization of frameworks, which could help in making CSR even more definite. One of the most common models is the Pyramid of CSR by Carroll that was proposed in 1979. It categorizes CSR into four levels of responsibility such as economic, legal, ethical, and philanthropic (WONG, 2021). This model suggests that economic responsibility is still the primary one, yet companies are also obliged to act within the frameworks of laws, be ethical and give back to the society through philanthropy. According to the framework developed by Carroll, CSR is a complex phenomenon, which means that companies cannot emphasize only profitability, in case they want to gain long-term legitimacy and consumer confidence (Valiño et al., 2023).</w:t>
      </w:r>
    </w:p>
    <w:p w14:paraId="0ACBEC3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the United Kingdom the development of CSR started in 1990s when consumers and the regulatory agencies started to insist on more corporate responsibility. The scepticism was also caused by high-profile corporate scandals and environmental crises that sparked an interest in transparent and authentic CSR work. The CSR adoption in the UK government and other institutions has also embraced CSR with guidelines and reporting frameworks enacted that compel such companies, more so, to consider the social and environmental effects of their companies.</w:t>
      </w:r>
    </w:p>
    <w:p w14:paraId="4C32043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other dominant framework that was presented in 1994 by John Elkington is called the Triple Bottom Line (TBL approach) (Valiño et al., 2023). TBL adds to the factors of corporate performance a focus on the social and environmental aspects as well as the economic aspect of performance, which is often explained as people, planet, and profit. Such a framework promotes a look beyond the organizational level of influence on businesses and ecosystems it affects, which is fitting in modern times when the sustainable growth of organizations is being demanded.</w:t>
      </w:r>
    </w:p>
    <w:p w14:paraId="35D8DD6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CSR has hence developed to become a central business strategy compared to a peripheral activity, which is deeply incorporated in corporate missions and everyday operations. A firm’s implementation of CSR goes beyond compliance with regulatory requirements and engages in actions that appear to further some social good, as Luis and Barcellos-Paula (2024) assert. According to this school of thought, CSR cannot be pared down to do-boxing or tokenism; as a matter of fact, it entails serious concerted attempts to take care of the social necessities.</w:t>
      </w:r>
    </w:p>
    <w:p w14:paraId="5BB31C2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spite of its popularity, CSR cannot boast of the absence of criticism. Some scholars believe that CSR initiatives tend to be used as PR tools as opposed to being actual creations that bring about social impacts (Tokareva, 2023). The latter may be coined as the so-called greenwashing, which is when companies either overstate or blatantly lie about their environmental or social endeavours to convey a distorted message to the consumer. Sceptics argue that such actions weaken CSR credibility and result in consumer scepticism, especially in those sophisticated consumer groups such as Gen Z (Thomas, 2022).</w:t>
      </w:r>
    </w:p>
    <w:p w14:paraId="014AD1B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On the other hand, advocates say that even modest CSR activities can lead to transformation and make a gradual change in industry standards. They point out that, provided transparency and accountability, CSR programs, in whatever measure, are beneficial to the greater societal objective. The constant confrontation points to the necessity of genuineness and measurability of CSR communication.</w:t>
      </w:r>
    </w:p>
    <w:p w14:paraId="2E5B3384">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17" w:name="_Toc13371"/>
      <w:r>
        <w:rPr>
          <w:rFonts w:ascii="Times New Roman" w:hAnsi="Times New Roman" w:eastAsia="等线 Light" w:cs="Times New Roman"/>
          <w:b/>
          <w:bCs/>
          <w:color w:val="000000"/>
          <w:sz w:val="32"/>
          <w:szCs w:val="32"/>
          <w:lang w:val="zh-CN" w:eastAsia="en-US"/>
          <w14:ligatures w14:val="standardContextual"/>
        </w:rPr>
        <w:t>CSR and Stakeholder Relationships</w:t>
      </w:r>
      <w:bookmarkEnd w:id="17"/>
    </w:p>
    <w:p w14:paraId="7BD41BF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Corporate Social Responsibility (CSR) is of importance to build and sustain relations with varied groups of stakeholders and not just the shareholders alone. Businesses traditionally focused more on the maximization of shareholder value, but the current state of business ethics has led to an increased focus on taking care of the needs and interests of all the stakeholders (Tarapata and Kostecki, 2025). These are the customers, employees, suppliers, communities, and even future descendants who would also be affected by the actions of the corporation.</w:t>
      </w:r>
    </w:p>
    <w:p w14:paraId="1342470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perspective is also very well supported by the theoretical premises laid out by the Stakeholder Theory, which was developed by Freeman in 1984. It assumes that organizations must add value to every stakeholder because everyone of them is very crucial in providing their support and confidence in the long term. A CSR initiative becomes a successful tool through which the company proves the fact that it cares about the well-being of the stakeholders and strengthens the feeling of mutual respect and shared goals.</w:t>
      </w:r>
    </w:p>
    <w:p w14:paraId="70ABF43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CSR is built on a network of mutually beneficial relationships between a company and its stakeholders (Martinez-Sala et al., 2023). Thus, it can be concluded that CSR is not about transactions but relationship building. Through real commitment to CSR activities, firms connect more emotionally, improve their reputational capital, and establish loyalty among different categories of people.</w:t>
      </w:r>
    </w:p>
    <w:p w14:paraId="0FC4DAE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One of the essential currencies in stakeholder relationships is trust, whose role in boosting the level of trust has been repeatedly demonstrated to increase through CSR. When the stakeholders feel that a particular company is truly concerned about social and environmental problems, they will tend to promote the brand and support it. According to what Martinez-Sala et al. (2023) claim, CSR perception impacts the trust and loyalty of stakeholders. This shows how the key relationship between the perceived authenticity in CSR and the willingness of the stakeholder to sustain a long-term relationship with the company intensifies.</w:t>
      </w:r>
    </w:p>
    <w:p w14:paraId="0E0F237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Furthermore, CSR activities contribute to the process of risk mitigation as they improve relations within the community and diminish possible confrontations. An example would be a company that participates actively in the surrounding communities by either providing education or environmental endeavors, hence making it less prone to the objection of its activities (Sawicka and Marcinkowska, 2023). In the same way, in the companies where CSR is a part of the corporate culture, the employees feel prouder and have shared responsibility, which is a fact to remember that these workers are much more likely to be loyal and motivated.</w:t>
      </w:r>
    </w:p>
    <w:p w14:paraId="75CF771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Altogether, CSR is the mediator between businesses and their stakeholders based on mutual trust, respect, and profitability. In the case of Generation Z consumers who value transparency and authenticity, these types of stakeholder-centered CSR activities have proven very salient in ensuring brand allegiance and sustained engagement (Rivera et al., 2019).</w:t>
      </w:r>
    </w:p>
    <w:p w14:paraId="3319CEA2">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18" w:name="_Toc18019"/>
      <w:r>
        <w:rPr>
          <w:rFonts w:ascii="Times New Roman" w:hAnsi="Times New Roman" w:eastAsia="等线 Light" w:cs="Times New Roman"/>
          <w:b/>
          <w:bCs/>
          <w:color w:val="000000"/>
          <w:sz w:val="32"/>
          <w:szCs w:val="32"/>
          <w:lang w:val="zh-CN" w:eastAsia="en-US"/>
          <w14:ligatures w14:val="standardContextual"/>
        </w:rPr>
        <w:t>CSR and Consumer Behaviour Theories</w:t>
      </w:r>
      <w:bookmarkEnd w:id="18"/>
    </w:p>
    <w:p w14:paraId="0018E5C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appreciate the role of CSR in consumer behaviour, there is a need to combine the known theories in consumer behaviour and the fledgling study on ethical consumption. Conventionally, consumer behaviour theories have been concentrated on psychological, cultural, and social aspects that influence consumer purchasing decisions (Akbari et al., 2020). Nevertheless, the increasing interest in ethical and sustainable consumption has already necessitated the reconsideration of such models in order to consider CSR as a key factor of consumer attitudes and loyalty.</w:t>
      </w:r>
      <w:r>
        <w:rPr>
          <w:rFonts w:ascii="Times New Roman" w:hAnsi="Times New Roman" w:eastAsia="Calibri" w:cs="Times New Roman"/>
          <w:color w:val="000000"/>
          <w:sz w:val="24"/>
          <w:lang w:eastAsia="en-US"/>
          <w14:ligatures w14:val="standardContextual"/>
        </w:rPr>
        <w:tab/>
      </w:r>
    </w:p>
    <w:p w14:paraId="5633133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Through CSR programs, consumers develop their understanding of a brand’s character and its virtues. As companies actively participate in both social and environmental activities, it means that they are willing to adhere to values that consumers can more closely identify with, particularly the younger populations such as Generation Z (Nguyen, 2021). This fit develops a psychological association that surpasses functional features of a service or a product. Customers now demand that brands have their sense of meaning, and CSR will serve as the tool to convey such messages correctly (NGO, 2024).</w:t>
      </w:r>
    </w:p>
    <w:p w14:paraId="00746F9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CSR perceptions alone have been outlined to affect satisfaction and purchase intentions. The positive perception enhances the emotional connections of the consumer towards the brands and raises the general satisfaction and readiness to recommend the brand to others. This system helps to adhere to the fact that CSR is not only an appeal to the rational engagements of consumers, but it also connects to the magnitudes of their sentiments and helps to build more devoted and strong patronage.</w:t>
      </w:r>
    </w:p>
    <w:p w14:paraId="0DE894D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Narayanan (2022) further reaffirms this assertion with the following remark that the findings of this study will provide good insight into how various dimensions of CSR influence consumer behaviour to marketers and researchers alike. The point is that this knowledge encourages the further division of CSR into different dimensions, comprising environmental responsibility, ethical labour practices, and community engagement, to comprehend the nature of their consequent and combined impacts on consumer attitudes.</w:t>
      </w:r>
    </w:p>
    <w:p w14:paraId="2EA3F34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main mediating variables in the relationship are composed of brand engagement and perceived authenticity. Brand engagement describes the emotional and cognitive bond that the consumer has to a brand (Mann, 2023). It may include practices of active routines like following the content produced by a brand on various social media, or attendance of the brand-sponsored events, or promoting the brand on the internet. CSR programs usually trigger such a connection, introducing common values and purposes that consumers can unite around (Narayanan, 2022).</w:t>
      </w:r>
    </w:p>
    <w:p w14:paraId="62B8959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There is also the perceived authenticity that is a serious factor. Consumers, most particularly Gen Z, are quite sensitive to gaps between what a brand communicates and what the brand does. CSR also helps in strengthening trust and credibility when applied respectively and therefore makes the brand more attractive. On the other hand, the lack of perceived authenticity or the so-called greenwashing might do just the opposite and create mistrust and even brand rejection (Moisescu and Gică, 2020).</w:t>
      </w:r>
    </w:p>
    <w:p w14:paraId="5E508DA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addition, perceived value and fairness can be subject to CSR in a bid to contribute to the consumer decision-making process. Consumers will tend to excuse high prices and are more ready to exhibit brand loyalty when they feel that a brand is investing in society or the environment.</w:t>
      </w:r>
    </w:p>
    <w:p w14:paraId="5357FBB7">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19" w:name="_Toc15229"/>
      <w:r>
        <w:rPr>
          <w:rFonts w:ascii="Times New Roman" w:hAnsi="Times New Roman" w:eastAsia="等线 Light" w:cs="Times New Roman"/>
          <w:b/>
          <w:bCs/>
          <w:color w:val="000000"/>
          <w:sz w:val="32"/>
          <w:szCs w:val="32"/>
          <w:lang w:eastAsia="en-US"/>
          <w14:ligatures w14:val="standardContextual"/>
        </w:rPr>
        <w:t>Gen Z as Ethical and Digital Consumers in the UK Context</w:t>
      </w:r>
      <w:bookmarkEnd w:id="19"/>
      <w:r>
        <w:rPr>
          <w:rFonts w:ascii="Times New Roman" w:hAnsi="Times New Roman" w:eastAsia="等线 Light" w:cs="Times New Roman"/>
          <w:b/>
          <w:bCs/>
          <w:color w:val="000000"/>
          <w:sz w:val="32"/>
          <w:szCs w:val="32"/>
          <w:lang w:eastAsia="en-US"/>
          <w14:ligatures w14:val="standardContextual"/>
        </w:rPr>
        <w:t xml:space="preserve"> </w:t>
      </w:r>
    </w:p>
    <w:p w14:paraId="71607B7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Generation </w:t>
      </w:r>
      <w:r>
        <w:rPr>
          <w:rFonts w:ascii="Times New Roman" w:hAnsi="Times New Roman" w:eastAsia="Calibri" w:cs="Times New Roman"/>
          <w:color w:val="000000"/>
          <w:kern w:val="0"/>
          <w:sz w:val="24"/>
          <w:lang w:eastAsia="en-US"/>
        </w:rPr>
        <w:t>Z, born between 1997 and 2012, is a generational role missing in the e-commerce world, particularly in the UK (Valiño et al., 2023).</w:t>
      </w:r>
      <w:r>
        <w:rPr>
          <w:rFonts w:ascii="Times New Roman" w:hAnsi="Times New Roman" w:eastAsia="Calibri" w:cs="Times New Roman"/>
          <w:color w:val="000000"/>
          <w:sz w:val="24"/>
          <w:lang w:eastAsia="en-US"/>
          <w14:ligatures w14:val="standardContextual"/>
        </w:rPr>
        <w:t xml:space="preserve"> However, Gen Z shoppers make decisions very differently than their predecessors; their values, especially transparency, inclusivity, and environmental stewardship, can become crucial contributing factors affecting purchasing decisions (Mohammadi et al., 2023). Being brought up in the times of social media, rapid technology development and increased social awareness, Gen Z consumers are becoming more critical and picky in the brands they choose to support.</w:t>
      </w:r>
    </w:p>
    <w:p w14:paraId="1D6D51D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cohort does not negotiate transparent behavior. The Gen Z generation requires transparent and truthful communication between them and brands, particularly on social and environmental activities. They require brands to be transparent on their supply chain, sources and corporate governance (Martínez-Sala et al., 2023). Disingenuous or ambiguously worded communications are easily exposed, and may result into instant loss of confidence. This transparency demand is directly connected to their use of the digital platforms where the information shares and is quickly investigated by an international community (WONG, 2021).</w:t>
      </w:r>
    </w:p>
    <w:p w14:paraId="05EA1F4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Gen Z consumers also focus on inclusivity as one of the values. They promote those brands that are inclusive, that are pro equality and those that champion against any social injustices (Luis and Barcellos-Paula, 2024). In the UK, where multiculturalism is the characteristic feature of society, Gen Z demands brands to express and promote the values of inclusion (both internally, e.g. through diverse workforces, and externally, e.g. through inclusive marketing campaigns) (Mann, 2023). Any brand that does not base these expectations is usually met with criticism, and the ones who succeed have a chance to tackle strong emotional attachments and following.</w:t>
      </w:r>
    </w:p>
    <w:p w14:paraId="01BF46D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Perhaps the most urgent value is environmental sustainability that affects the consumer behaviour of the Gen Z. This generation is highly conscious of the climate issues and wants brands to take steps towards lessening the impact on the environment (Luis and Barcellos-Paula, 2024). Whether in terms of circular economy or small carbon footprint, environmental-friendly initiatives are the main appraisers of brand loyalty in Gen Z consumers.</w:t>
      </w:r>
    </w:p>
    <w:p w14:paraId="220D10E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Wong (2021) emphasizes this conclusion by saying, Gen Z is more preoccupied with the social cause or environmental-related challenges. Thus, one of the factors to which they pay attention in the process of buying are the features of CSR. This shows that to Gen Z, buying is no longer an exchange of money and goods, but an act of self-expression of their identity and values (Mohammadi, Barzegar and Nohekhan, 2023).</w:t>
      </w:r>
    </w:p>
    <w:p w14:paraId="6A4E383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There is further evidence of this assertion, with Wong (2021) going on to state that most of the CSR initiatives, which are not shareholder-related, would affect purchase intention among the Gen Z served accordingly. This brings out that Gen Z is more interested in the CSR activities that will effectively sell to society and the environment rather than financial stakeholders (Luis and Barcellos-Paula, 2024). The fact that they willingly incorporate CSR in their buying behaviours shows that there has been a significant change in consumer value orientations.</w:t>
      </w:r>
    </w:p>
    <w:p w14:paraId="55D0C0E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Gen Z is impossible to overestimate in terms of digital savviness. Overall, it is estimated that more than 95 percent of the people aged 16 to 24 in the UK use social media daily, thus presenting it as the main avenue of brand interaction. Instagram, TikTok, and YouTube, as well as other social media platforms, can be used both as an entertainment source and as activism, education, and community-building platforms (Conor and Khan, 2024). It is thus projected that the brand should carry on a real and dynamic identity on the digital platform, where such CSR measures are displayed in an open and prompt manner.</w:t>
      </w:r>
    </w:p>
    <w:p w14:paraId="4485F72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Moresjio and Xin (2020) confirm this trend by saying, consumers will more likely seek brands that engage in CSR and ethical business practices. In the UK, this finding is especially critical as its survey research indicates that nearly 70 per cent of Gen Z consumers would pay a premium price to access sustainable products, and more than 80 per cent of Gen Z people take social and environmental considerations into account of a brand before making purchases (Moisescu and Gică, 2020).</w:t>
      </w:r>
    </w:p>
    <w:p w14:paraId="626654D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Also, the trend of requiring influencer marketing, which is quite popular in Gen Z, increases the role of authenticity and ethical branding. Influencers are usually viewed as more real and natural as compared to conventional advertising sources (Cagnin and Nicolas, 2022). Once the influencers started promoting the brands that have high levels of CSR activities, it also adds to the credibility and attractiveness of such brands to the Gen Z audience. Nevertheless, the arsenal of reputational devastation may be triggered by any inconsistency between stated values and the reality of corporate practices, because Gen Z has a sharp eye and skillful finger to view and comment on performative activism (Moisescu and Gică, 2020).</w:t>
      </w:r>
    </w:p>
    <w:p w14:paraId="0AD1FAF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Gen Z is also a large market in terms of economic activity and has been estimated to have a combined spending capacity that would top well over 50 billion pounds in the future in the UK market alone. The effect of this economic presence in the high-level growth of the business, combined with their outspokenness in urging businesses to be ethical and sustainable, makes Gen Z a necessary group who are a key demographic that brands have to target to have lasting success and consumer loyalty.</w:t>
      </w:r>
    </w:p>
    <w:p w14:paraId="34950841">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20" w:name="_Toc24618"/>
      <w:r>
        <w:rPr>
          <w:rFonts w:ascii="Times New Roman" w:hAnsi="Times New Roman" w:eastAsia="等线 Light" w:cs="Times New Roman"/>
          <w:b/>
          <w:bCs/>
          <w:color w:val="000000"/>
          <w:sz w:val="32"/>
          <w:szCs w:val="32"/>
          <w:lang w:val="zh-CN" w:eastAsia="en-US"/>
          <w14:ligatures w14:val="standardContextual"/>
        </w:rPr>
        <w:t>CSR and Brand Loyalty Mechanisms</w:t>
      </w:r>
      <w:bookmarkEnd w:id="20"/>
    </w:p>
    <w:p w14:paraId="546A867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Brand loyalty has traditionally been regarded as an important source of business prosperity, repeatedly guaranteeing sales and a powerful consumer recommendation. Nevertheless, in the contemporary market, especially with the generation of Z, the issue of loyalty is no longer ensured by the level of product quality or the price of a product (Arachchi and Mendis, 2021). Rather, there has been a rise in Corporate Social Responsibility (CSR), which is one factor that plays an important role in determining brand loyalty on consumer trust, emotional relation, and repurchase intentions.</w:t>
      </w:r>
    </w:p>
    <w:p w14:paraId="15B68AA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Brand loyalty is established in trust. As it can be seen by consumers that a brand is sincerely interested in fulfilling their ethical, social, and environmental responsibilities, their level of trust in that brand increases (Alhouz and Hasouneh, 2020). The CSR projects, such as limiting the carbon footprints, assisting the community projects, or practicing fair labour, position consumers to the value position at which they feel a brand is similar to them. This is of utmost importance to Generation Z, which is not at all resistant to the subject of corporate ethics and transparent procedures. The trust built with the help of CSR increases the probability of not only choosing a brand but also acting in its favor in the future (Mohammadi et al., 2023).</w:t>
      </w:r>
    </w:p>
    <w:p w14:paraId="16F224A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Emotional connection is one more crucial element that CSR empowers (Moisescu and Gică, 2020). Brands that are actively involved in copious and viable mutual social and environmental projects leave an appealing storyline that can be emotionally invested in by the consumer. These stories create a feeling of common identity and solidarity, and they turn customers into secret servants of a brand. According to Valiño et al. (2023), the findings indicate that the corporate social responsibility affects only the purchase intention of fashion consumers but primarily by engaging with the brand. This implies that through CSR activities, people will have more reasons to engage deeper, and this will then be reflected through purchase intentions and loyalty.</w:t>
      </w:r>
    </w:p>
    <w:p w14:paraId="6275CBE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Emotional connection has a close relation with the repurchase intention, together with trust. As long as the consumers have a belief that a brand represents the true values of ethical conduct, they are likely to reward it by giving it their continuing business (Mann, 2023). The trend is especially noteworthy among the Gen Z consumers who consider their consumer choices as a part of themselves and their ideals. A brand with a track record of social responsibility will be in a position to build a following of attracted customers who are more than happy to pay more and endure a slight flaw in the product (Tarapata and Kostecki, 2025).</w:t>
      </w:r>
    </w:p>
    <w:p w14:paraId="5C1D1D1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Integrity forms the main hit of CSR in creating brand loyalty. Authenticity is the match-up between the claimed values of a brand and those behaved values of the brand. Customers born within Generation Z, who are good at searching and identifying incongruities in the digital space, are easily able to identify and respond negatively to fake CSR initiatives, which is commonly known as greenwashing (Vo, 2019). Actual CSR projects, however, strengthen brand reputation and increase consumer loyalty. The element of perceived fairness is also very important since consumers not only judge based on the result, they also strive to look at how fair the processes through which CSR is relieved.</w:t>
      </w:r>
    </w:p>
    <w:p w14:paraId="63F1B49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According to Luis and Barcellos-Paula (2024), this connection is emphasized, as the authors explain, which state their study is aimed at establishing whether the influence of perceived corporate social responsibility (PCSR) and brand equity, as well as brand loyalty, is indifferently mediated by brand … Although the whole sentence focuses on the terms of mediation, the gist identifies the idea that the perceptions of CSR directly impact brand loyalty, usually through either engagement or equity routes. This confirms the value of authenticity and transparency of CSR communication practices (Narayanan, 2022).</w:t>
      </w:r>
    </w:p>
    <w:p w14:paraId="4AAA4918">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addition, the emergence of green marketing has also shed further light on the association of brand loyalty and CSR. Green marketing focuses on sustainable processes in manufacturing, wrapping, and advertising, and consumers who are conscious about the environment would be attracted to such messages. According to Mohammadi et al. (2023), green marketing strategy has a considerable implication on brand loyalty. The fact that in this finding, it was much easier to highlight that environmental responsibility is not a subsidiary issue but a core issue of consumer commitment.</w:t>
      </w:r>
    </w:p>
    <w:p w14:paraId="01C2ECB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markets that are saturated, the incorporation of CSR as part of brand identity allows it to have a competitive edge. Using social and environmental issues to their advantage, brands will be able to stand apart and stand out among the rivals by attracting an increased number of consumers who want to dedicate more to ethically conscious practices. This distinction can be converted into a strong brand community, high customer lifetime value, and enlarged flexibility against marketing variations.</w:t>
      </w:r>
    </w:p>
    <w:p w14:paraId="2DFF2D60">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21" w:name="_Toc4645"/>
      <w:r>
        <w:rPr>
          <w:rFonts w:ascii="Times New Roman" w:hAnsi="Times New Roman" w:eastAsia="等线 Light" w:cs="Times New Roman"/>
          <w:b/>
          <w:bCs/>
          <w:color w:val="000000"/>
          <w:sz w:val="32"/>
          <w:szCs w:val="32"/>
          <w:lang w:eastAsia="en-US"/>
          <w14:ligatures w14:val="standardContextual"/>
        </w:rPr>
        <w:t>Communication of CSR: Packaging and Messaging Strategies:</w:t>
      </w:r>
      <w:bookmarkEnd w:id="21"/>
    </w:p>
    <w:p w14:paraId="317C850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Communication is crucial in creating brand credibility and consumer loyalty, most importantly among Generation Z, based on CSR efforts. This generation requires clear, authentic, and exciting communication, which is in line with their ideas of social and environmental accountability (Topic and Mitchell, 2019). How a CSR initiative is communicated by means of social media, packaging, and marketing campaigns is a critical issue as far as perception is concerned and in eliciting behavioural reactions.</w:t>
      </w:r>
    </w:p>
    <w:p w14:paraId="1107730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Social media has emerged as one of the principal modes of making brands present their CSR activities. Social media such as Instagram, TikTok, and YouTube give businesses the opportunity to post details of their behind-the-scenes stories, progress on sustainability goals, and programs that impact the community (Vo, 2019). These sites allow two-way communication; consumers can communicate directly with a brand, question it, and hold it accountable. Social media is a perfect medium to create genuine connections since it is immediate and visual, yet the improper use creates risks of a swift backlash as consumers are more likely to lose their trust in the insincerity (Martínez-Sala et al., 2023).</w:t>
      </w:r>
    </w:p>
    <w:p w14:paraId="65D36F3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Another very important communication touch point materialized quite often as the initial physical encounter consumers undertake with a brand is packaging. CSR packaging calls may go a long way in changing consumer attitudes and intentions. According to Topic and Mitchell (2019), small alterations would result in much larger cues of consumer attention on sustainability representation … On-packaging CSR claims have the power over behavioural intentions. This implies that even minimal communication on the package can make a brand look more responsible and lead to more responsible consumer behavior.</w:t>
      </w:r>
    </w:p>
    <w:p w14:paraId="7B5F3F6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Through this, Topic and Mitchell (2019) further explain, a study inquires what the impact of on‑pack claims on health benefit perceptions, taste, and attitude/behavioural intentions towards the company. Packaging is an educational component that not only informs the consumer about the activities of environmental concerns but also defines the quality of products and corporate ethics. These on-pack signals have the strongest effect on Gen Z consumers, who tend to investigate every aspect before buying the product.</w:t>
      </w:r>
    </w:p>
    <w:p w14:paraId="100FBD1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It is also important to communicate via campaigns in CSR. An effective campaign should represent the eagerness of a brand to be at the service of society and partner with strategic use of storytelling, transparency, and quantifiable results (Conor and Khan, 2024). Nonetheless, Gen Z is also prone to greenwashing scandals, so brands need to double-check that every campaign is supported by real deeds and measurable data. Deceptive adverts may cause serious tarnishing of reputation and erosion of consumer confidence, which are quite counterproductive in a generation that thrives on online activism.</w:t>
      </w:r>
    </w:p>
    <w:p w14:paraId="46D4F1A5">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22" w:name="_Toc22623"/>
      <w:r>
        <w:rPr>
          <w:rFonts w:ascii="Times New Roman" w:hAnsi="Times New Roman" w:eastAsia="等线 Light" w:cs="Times New Roman"/>
          <w:b/>
          <w:bCs/>
          <w:color w:val="000000"/>
          <w:sz w:val="32"/>
          <w:szCs w:val="32"/>
          <w:lang w:eastAsia="en-US"/>
          <w14:ligatures w14:val="standardContextual"/>
        </w:rPr>
        <w:t>Gaps in Literature and Need for Further Research</w:t>
      </w:r>
      <w:bookmarkEnd w:id="22"/>
    </w:p>
    <w:p w14:paraId="724710D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Although the available body of literature shows a wide range of the positive consequences of CSR activities on the consumer behaviour, there is still a lot of discrepancy about their real contributions on the loyalties of Generation Z. Whilst multiple studies revealed that there is indeed a direct connection between CSR activities and strengthened purchase intentions, other sources indicate that their interconnection is very situational and determined by other variables like authenticity, perceived fairness, social proof.</w:t>
      </w:r>
    </w:p>
    <w:p w14:paraId="2B5D25E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One thing that stands out as a gap is that the study does not feature any research regarding Gen Z consumers in terms of the UK context. Most of the existing literature is international or market-specific (such as the US and Asian markets), and there is an urgent necessity to learn about localised consumer expectations and reactions. As an example, Wong (2021) explains that the majority of the CSR initiatives, other than shareholder-related initiatives, influenced the purchase intention [among Gen Z]. That demonstrates that it is important to look at which of the dimensions of CSR are the most appealing to Gen Z consumers located in the United Kingdom and how this affects their loyalty over a long time, and not only short-term purchases.</w:t>
      </w:r>
    </w:p>
    <w:p w14:paraId="2F82D74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Additionally, even though the previous research has given credence to the digital skills that Gen Z possesses, there has been less empirical exploration of the influence of the digital communication platforms, especially by the use of social media and influencer reviews, on their attitude towards CSR and consequently their loyalty. Digital engagement, CSR messaging, and loyalty behaviours are interrelated places that are yet to be researched and should be of utmost scholarly interest.</w:t>
      </w:r>
    </w:p>
    <w:p w14:paraId="4989443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One more aspect that is not done that well is the issue of CSR scepticism among Gen Z, which especially applies to Great Britain. Considering that this generation is highly sensitive to greenwashing and unauthentic messages, it can be said that future studies need to look at factors that can foster scepticism and their impacts on brand relationships.</w:t>
      </w:r>
    </w:p>
    <w:p w14:paraId="3209C246">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23" w:name="_Toc31902"/>
      <w:r>
        <w:rPr>
          <w:rFonts w:ascii="Times New Roman" w:hAnsi="Times New Roman" w:eastAsia="等线 Light" w:cs="Times New Roman"/>
          <w:b/>
          <w:bCs/>
          <w:color w:val="000000"/>
          <w:sz w:val="32"/>
          <w:szCs w:val="32"/>
          <w:lang w:eastAsia="en-US"/>
          <w14:ligatures w14:val="standardContextual"/>
        </w:rPr>
        <w:t>Theoretical Models Underpinning CSR and Brand Loyalty</w:t>
      </w:r>
      <w:bookmarkEnd w:id="23"/>
    </w:p>
    <w:p w14:paraId="3B6ED34B">
      <w:pPr>
        <w:widowControl/>
        <w:spacing w:after="160" w:line="360" w:lineRule="auto"/>
        <w:rPr>
          <w:rFonts w:ascii="Times New Roman" w:hAnsi="Times New Roman" w:eastAsia="Calibri" w:cs="Times New Roman"/>
          <w:sz w:val="24"/>
          <w:lang w:eastAsia="en-US"/>
          <w14:ligatures w14:val="standardContextual"/>
        </w:rPr>
      </w:pPr>
      <w:r>
        <w:rPr>
          <w:rFonts w:ascii="Times New Roman" w:hAnsi="Times New Roman" w:eastAsia="Calibri" w:cs="Times New Roman"/>
          <w:sz w:val="24"/>
          <w:lang w:eastAsia="en-US"/>
          <w14:ligatures w14:val="standardContextual"/>
        </w:rPr>
        <w:t>In order to critically understand the dynamics between Corporate Social Responsibility (CSR) and brand loyalty of the Generation Z consumers, theoretical models and models used to support such relationships are imperative. Among the key foundational models, we may cite the CSR Pyramid developed by Carroll, specifying four levels of responsibility that include economic, legal, ethical, and philanthropic ones. Although the model proposed by Carroll is still relevant, it has received criticism that it is too simplistic about the expectations of the stakeholders in a fast digitizing and socially conscious market. In the case of Gen Z shoppers, all the other ethical and ethical layers of motivation (inclusivity and environmental justice) may prevail over economic reasons, which will imply a transition of the Carroll model of priorities to a more straightforward or even virtuous model of CSR.</w:t>
      </w:r>
    </w:p>
    <w:p w14:paraId="25ACB240">
      <w:pPr>
        <w:widowControl/>
        <w:spacing w:after="160" w:line="360" w:lineRule="auto"/>
        <w:rPr>
          <w:rFonts w:ascii="Times New Roman" w:hAnsi="Times New Roman" w:eastAsia="Calibri" w:cs="Times New Roman"/>
          <w:sz w:val="24"/>
          <w:lang w:eastAsia="en-US"/>
          <w14:ligatures w14:val="standardContextual"/>
        </w:rPr>
      </w:pPr>
      <w:r>
        <w:rPr>
          <w:rFonts w:ascii="Times New Roman" w:hAnsi="Times New Roman" w:eastAsia="Calibri" w:cs="Times New Roman"/>
          <w:sz w:val="24"/>
          <w:lang w:eastAsia="en-US"/>
          <w14:ligatures w14:val="standardContextual"/>
        </w:rPr>
        <w:t>The other applicable model is the Theory of Planned Behavior (TPB) that describes the interrelationships between attitudes, subjective norms, and perceived behavioral control that constitute intentions. From this perspective, this theory can be used to contextualize how the ethical positioning of Gen Zs on CSR messaging (whose values are based on sustainability or social justice) can have a direct impact on the brand trust and loyalty. Nevertheless, TPB is based on rational decision-making, and it might not be a complete guide to explaining the emotionally charged digital interactions of the Gen Z with brands.</w:t>
      </w:r>
    </w:p>
    <w:p w14:paraId="6D3EF818">
      <w:pPr>
        <w:widowControl/>
        <w:spacing w:after="160" w:line="360" w:lineRule="auto"/>
        <w:rPr>
          <w:rFonts w:ascii="Times New Roman" w:hAnsi="Times New Roman" w:eastAsia="Calibri" w:cs="Times New Roman"/>
          <w:sz w:val="24"/>
          <w:lang w:eastAsia="en-US"/>
          <w14:ligatures w14:val="standardContextual"/>
        </w:rPr>
      </w:pPr>
      <w:r>
        <w:rPr>
          <w:rFonts w:ascii="Times New Roman" w:hAnsi="Times New Roman" w:eastAsia="Calibri" w:cs="Times New Roman"/>
          <w:sz w:val="24"/>
          <w:lang w:eastAsia="en-US"/>
          <w14:ligatures w14:val="standardContextual"/>
        </w:rPr>
        <w:t>The Stakeholder Theory provides a multidimensional perspective as well, and it underlines the necessity of businesses involving all the stakeholders, rather than shareholders alone, to secure legitimacy and trust. This suits the claim by Martinez-Sala and several other authors remarkably well when it comes to the argument that CSR is constructed upon a system of mutually advantageous relationships of stakeholders and a company (Martinez-Sala et al., 2023).</w:t>
      </w:r>
    </w:p>
    <w:p w14:paraId="23C0AF6D">
      <w:pPr>
        <w:widowControl/>
        <w:spacing w:after="160" w:line="360" w:lineRule="auto"/>
        <w:rPr>
          <w:rFonts w:ascii="Times New Roman" w:hAnsi="Times New Roman" w:eastAsia="Calibri" w:cs="Times New Roman"/>
          <w:sz w:val="24"/>
          <w:lang w:eastAsia="en-US"/>
          <w14:ligatures w14:val="standardContextual"/>
        </w:rPr>
      </w:pPr>
      <w:r>
        <w:rPr>
          <w:rFonts w:ascii="Times New Roman" w:hAnsi="Times New Roman" w:eastAsia="Calibri" w:cs="Times New Roman"/>
          <w:sz w:val="24"/>
          <w:lang w:eastAsia="en-US"/>
          <w14:ligatures w14:val="standardContextual"/>
        </w:rPr>
        <w:t>It is genuinely vital that current models overlook strategies of digital communication that affect the behavior of Gen Z. There is a need to broaden the existing frameworks, including the moderating factors and move on with the traditional establishment framework to include a few considerations, such as media richness and perceived authenticity (as reflected by Topic &amp; Mitchell, 2019), who plainly state that, according to their findings, it is true that, on-packaging CSR declarations can have an impact on behavioural intentions.</w:t>
      </w:r>
    </w:p>
    <w:p w14:paraId="3216A212">
      <w:pPr>
        <w:widowControl/>
        <w:spacing w:after="160" w:line="360" w:lineRule="auto"/>
        <w:rPr>
          <w:rFonts w:ascii="Times New Roman" w:hAnsi="Times New Roman" w:eastAsia="Calibri" w:cs="Times New Roman"/>
          <w:sz w:val="24"/>
          <w:lang w:eastAsia="en-US"/>
          <w14:ligatures w14:val="standardContextual"/>
        </w:rPr>
      </w:pPr>
      <w:r>
        <w:rPr>
          <w:rFonts w:ascii="Times New Roman" w:hAnsi="Times New Roman" w:eastAsia="Calibri" w:cs="Times New Roman"/>
          <w:sz w:val="24"/>
          <w:lang w:eastAsia="en-US"/>
          <w14:ligatures w14:val="standardContextual"/>
        </w:rPr>
        <w:t>In that way, the synthesized structure of CSR theory, stakeholders participations, and consumer behavior models, adjusted to the digital natives, is required to inform the empirical research in this paper.</w:t>
      </w:r>
    </w:p>
    <w:p w14:paraId="29544C3B">
      <w:pPr>
        <w:widowControl/>
        <w:spacing w:after="160" w:line="278" w:lineRule="auto"/>
        <w:jc w:val="left"/>
        <w:rPr>
          <w:rFonts w:ascii="Calibri" w:hAnsi="Calibri" w:eastAsia="Calibri" w:cs="Times New Roman"/>
          <w:sz w:val="24"/>
          <w:lang w:eastAsia="en-US"/>
          <w14:ligatures w14:val="standardContextual"/>
        </w:rPr>
      </w:pPr>
    </w:p>
    <w:p w14:paraId="21FD360C">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24" w:name="_Toc18638"/>
      <w:r>
        <w:rPr>
          <w:rFonts w:ascii="Times New Roman" w:hAnsi="Times New Roman" w:eastAsia="等线 Light" w:cs="Times New Roman"/>
          <w:b/>
          <w:bCs/>
          <w:color w:val="000000"/>
          <w:sz w:val="32"/>
          <w:szCs w:val="32"/>
          <w:lang w:eastAsia="en-US"/>
          <w14:ligatures w14:val="standardContextual"/>
        </w:rPr>
        <w:t>Summary of the Literature Review:</w:t>
      </w:r>
      <w:bookmarkEnd w:id="24"/>
    </w:p>
    <w:p w14:paraId="0A0F303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literature review has discussed the concept of CSR and its development as well as its application in stakeholder relationships and on consumer behaviour and brand loyalty, especially among Gen Z in the UK. Primary information shows that Gen Z has a high regard for authenticity, transparency, and environmental sensitivity, which are of imperative relevance to the purchases and competence in their loyalty. In spite of the enormous research, there are great gaps when it comes to CSR scepticism as well as digital engagement within a UK context. These gaps warrant the targeted empirical studies that aim to elucidate the dynamic relationship between the CSR initiatives and brand loyalty, thus signifying the methodological approach under consideration in the following chapter.</w:t>
      </w:r>
    </w:p>
    <w:p w14:paraId="03B8ACBC">
      <w:pPr>
        <w:widowControl/>
        <w:spacing w:after="160" w:line="360" w:lineRule="auto"/>
        <w:rPr>
          <w:rFonts w:ascii="Times New Roman" w:hAnsi="Times New Roman" w:eastAsia="Calibri" w:cs="Times New Roman"/>
          <w:color w:val="000000"/>
          <w:sz w:val="24"/>
          <w:lang w:eastAsia="en-US"/>
          <w14:ligatures w14:val="standardContextual"/>
        </w:rPr>
      </w:pPr>
    </w:p>
    <w:p w14:paraId="5EC74F1C">
      <w:pPr>
        <w:widowControl/>
        <w:spacing w:after="160" w:line="360" w:lineRule="auto"/>
        <w:rPr>
          <w:rFonts w:ascii="Times New Roman" w:hAnsi="Times New Roman" w:eastAsia="Calibri" w:cs="Times New Roman"/>
          <w:color w:val="000000"/>
          <w:sz w:val="24"/>
          <w:lang w:eastAsia="en-US"/>
          <w14:ligatures w14:val="standardContextual"/>
        </w:rPr>
      </w:pPr>
    </w:p>
    <w:p w14:paraId="1F32C276">
      <w:pPr>
        <w:widowControl/>
        <w:spacing w:after="160" w:line="360" w:lineRule="auto"/>
        <w:rPr>
          <w:rFonts w:ascii="Times New Roman" w:hAnsi="Times New Roman" w:eastAsia="Calibri" w:cs="Times New Roman"/>
          <w:color w:val="000000"/>
          <w:sz w:val="24"/>
          <w:lang w:eastAsia="en-US"/>
          <w14:ligatures w14:val="standardContextual"/>
        </w:rPr>
      </w:pPr>
    </w:p>
    <w:p w14:paraId="795AE1CF">
      <w:pPr>
        <w:widowControl/>
        <w:spacing w:after="160" w:line="360" w:lineRule="auto"/>
        <w:rPr>
          <w:rFonts w:ascii="Times New Roman" w:hAnsi="Times New Roman" w:eastAsia="Calibri" w:cs="Times New Roman"/>
          <w:color w:val="000000"/>
          <w:sz w:val="24"/>
          <w:lang w:eastAsia="en-US"/>
          <w14:ligatures w14:val="standardContextual"/>
        </w:rPr>
      </w:pPr>
    </w:p>
    <w:p w14:paraId="2E95C434">
      <w:pPr>
        <w:widowControl/>
        <w:spacing w:after="160" w:line="360" w:lineRule="auto"/>
        <w:rPr>
          <w:rFonts w:ascii="Times New Roman" w:hAnsi="Times New Roman" w:eastAsia="Calibri" w:cs="Times New Roman"/>
          <w:color w:val="000000"/>
          <w:sz w:val="24"/>
          <w:lang w:eastAsia="en-US"/>
          <w14:ligatures w14:val="standardContextual"/>
        </w:rPr>
      </w:pPr>
    </w:p>
    <w:p w14:paraId="4294B810">
      <w:pPr>
        <w:widowControl/>
        <w:spacing w:after="160" w:line="360" w:lineRule="auto"/>
        <w:rPr>
          <w:rFonts w:ascii="Times New Roman" w:hAnsi="Times New Roman" w:eastAsia="Calibri" w:cs="Times New Roman"/>
          <w:color w:val="000000"/>
          <w:sz w:val="24"/>
          <w:lang w:eastAsia="en-US"/>
          <w14:ligatures w14:val="standardContextual"/>
        </w:rPr>
      </w:pPr>
    </w:p>
    <w:p w14:paraId="5E6607FD">
      <w:pPr>
        <w:widowControl/>
        <w:spacing w:after="160" w:line="360" w:lineRule="auto"/>
        <w:rPr>
          <w:rFonts w:ascii="Times New Roman" w:hAnsi="Times New Roman" w:eastAsia="Calibri" w:cs="Times New Roman"/>
          <w:color w:val="000000"/>
          <w:sz w:val="24"/>
          <w:lang w:eastAsia="en-US"/>
          <w14:ligatures w14:val="standardContextual"/>
        </w:rPr>
      </w:pPr>
    </w:p>
    <w:p w14:paraId="0B4D6E5F">
      <w:pPr>
        <w:widowControl/>
        <w:spacing w:after="160" w:line="360" w:lineRule="auto"/>
        <w:rPr>
          <w:rFonts w:ascii="Times New Roman" w:hAnsi="Times New Roman" w:eastAsia="Calibri" w:cs="Times New Roman"/>
          <w:color w:val="000000"/>
          <w:sz w:val="24"/>
          <w:lang w:eastAsia="en-US"/>
          <w14:ligatures w14:val="standardContextual"/>
        </w:rPr>
      </w:pPr>
    </w:p>
    <w:p w14:paraId="348FF6D9">
      <w:pPr>
        <w:widowControl/>
        <w:spacing w:after="160" w:line="360" w:lineRule="auto"/>
        <w:rPr>
          <w:rFonts w:ascii="Times New Roman" w:hAnsi="Times New Roman" w:eastAsia="Calibri" w:cs="Times New Roman"/>
          <w:color w:val="000000"/>
          <w:sz w:val="24"/>
          <w:lang w:eastAsia="en-US"/>
          <w14:ligatures w14:val="standardContextual"/>
        </w:rPr>
      </w:pPr>
    </w:p>
    <w:p w14:paraId="11FDAF7D">
      <w:pPr>
        <w:widowControl/>
        <w:spacing w:after="160" w:line="360" w:lineRule="auto"/>
        <w:rPr>
          <w:rFonts w:ascii="Times New Roman" w:hAnsi="Times New Roman" w:eastAsia="Calibri" w:cs="Times New Roman"/>
          <w:color w:val="000000"/>
          <w:sz w:val="24"/>
          <w:lang w:eastAsia="en-US"/>
          <w14:ligatures w14:val="standardContextual"/>
        </w:rPr>
      </w:pPr>
    </w:p>
    <w:p w14:paraId="4C41FAEB">
      <w:pPr>
        <w:widowControl/>
        <w:spacing w:after="160" w:line="360" w:lineRule="auto"/>
        <w:rPr>
          <w:rFonts w:ascii="Times New Roman" w:hAnsi="Times New Roman" w:eastAsia="Calibri" w:cs="Times New Roman"/>
          <w:color w:val="000000"/>
          <w:sz w:val="24"/>
          <w:lang w:eastAsia="en-US"/>
          <w14:ligatures w14:val="standardContextual"/>
        </w:rPr>
      </w:pPr>
    </w:p>
    <w:p w14:paraId="1A43DF2B">
      <w:pPr>
        <w:widowControl/>
        <w:spacing w:after="160" w:line="360" w:lineRule="auto"/>
        <w:rPr>
          <w:rFonts w:ascii="Times New Roman" w:hAnsi="Times New Roman" w:eastAsia="Calibri" w:cs="Times New Roman"/>
          <w:color w:val="000000"/>
          <w:sz w:val="24"/>
          <w:lang w:eastAsia="en-US"/>
          <w14:ligatures w14:val="standardContextual"/>
        </w:rPr>
      </w:pPr>
    </w:p>
    <w:p w14:paraId="38D52746">
      <w:pPr>
        <w:widowControl/>
        <w:spacing w:after="160" w:line="360" w:lineRule="auto"/>
        <w:rPr>
          <w:rFonts w:ascii="Times New Roman" w:hAnsi="Times New Roman" w:eastAsia="Calibri" w:cs="Times New Roman"/>
          <w:color w:val="000000"/>
          <w:sz w:val="24"/>
          <w:lang w:eastAsia="en-US"/>
          <w14:ligatures w14:val="standardContextual"/>
        </w:rPr>
      </w:pPr>
    </w:p>
    <w:p w14:paraId="64507A2D">
      <w:pPr>
        <w:keepNext/>
        <w:keepLines/>
        <w:spacing w:before="360" w:after="80" w:line="360" w:lineRule="auto"/>
        <w:outlineLvl w:val="0"/>
        <w:rPr>
          <w:rFonts w:ascii="Times New Roman" w:hAnsi="Times New Roman" w:eastAsia="等线 Light" w:cs="Times New Roman"/>
          <w:b/>
          <w:bCs/>
          <w:color w:val="000000"/>
          <w:sz w:val="40"/>
          <w:szCs w:val="40"/>
          <w:lang w:eastAsia="en-US"/>
          <w14:ligatures w14:val="standardContextual"/>
        </w:rPr>
      </w:pPr>
      <w:bookmarkStart w:id="25" w:name="_Toc8295"/>
      <w:r>
        <w:rPr>
          <w:rFonts w:ascii="Times New Roman" w:hAnsi="Times New Roman" w:eastAsia="等线 Light" w:cs="Times New Roman"/>
          <w:b/>
          <w:bCs/>
          <w:color w:val="000000"/>
          <w:sz w:val="40"/>
          <w:szCs w:val="40"/>
          <w:lang w:eastAsia="en-US"/>
          <w14:ligatures w14:val="standardContextual"/>
        </w:rPr>
        <w:t>Chapter 3 – Methodology</w:t>
      </w:r>
      <w:bookmarkEnd w:id="25"/>
    </w:p>
    <w:p w14:paraId="7E6BF0B4">
      <w:pPr>
        <w:keepNext/>
        <w:keepLines/>
        <w:numPr>
          <w:ilvl w:val="0"/>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26" w:name="_Toc28753"/>
      <w:r>
        <w:rPr>
          <w:rFonts w:ascii="Times New Roman" w:hAnsi="Times New Roman" w:eastAsia="等线 Light" w:cs="Times New Roman"/>
          <w:b/>
          <w:bCs/>
          <w:color w:val="000000"/>
          <w:sz w:val="32"/>
          <w:szCs w:val="32"/>
          <w:lang w:eastAsia="en-US"/>
          <w14:ligatures w14:val="standardContextual"/>
        </w:rPr>
        <w:t>Introduction:</w:t>
      </w:r>
      <w:bookmarkEnd w:id="26"/>
    </w:p>
    <w:p w14:paraId="0DFE19D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purpose of this chapter is to provide a methodological strategy for the study conducted to explore the impact of the Corporate Social Responsibility (CSR) efforts on the development of brand loyalty among consumers belonging to Generation Z in the United Kingdom. Quantitative research design was chosen in case the measurable and generalizable insights are collected in a target population of digital-native consumers. Such a choice corresponds to the positivist research tradition that requires fulfilling the objective measurement and statistical verification to make reliable conclusions.</w:t>
      </w:r>
    </w:p>
    <w:p w14:paraId="6832D91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digital era makes research of consumer behavior quite complicated, especially when it comes to Gen Z, and a structured and empirical method is paramount in developing actionable information. The methodological rigor of this study can be seen as an expressed concern at the design level of the study, in both data collection in data analysis. This leads to both a validity and a methodological replicability of the study’s research findings. It is particularly critical in the case of CSR, where the aura of values and actions should be taken accurately.</w:t>
      </w:r>
    </w:p>
    <w:p w14:paraId="01C0700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According to Qualtrics (2025), when one does not have data, they are just another individual with an opinion. This is supportive of the building block aspect of evidence-based methodology in the pursuit of credible conclusions. The outline of this methodology chapter is designed to be clear and transparent in the investigative procedure, with a strong alignment with the expectations of the research goal to assess the role of CSR in building trust, loyalty, and ethical purchasing attitude among Gen Z consumers.</w:t>
      </w:r>
    </w:p>
    <w:p w14:paraId="4E976AE1">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27" w:name="_Toc6885"/>
      <w:r>
        <w:rPr>
          <w:rFonts w:ascii="Times New Roman" w:hAnsi="Times New Roman" w:eastAsia="等线 Light" w:cs="Times New Roman"/>
          <w:b/>
          <w:bCs/>
          <w:color w:val="000000"/>
          <w:sz w:val="32"/>
          <w:szCs w:val="32"/>
          <w:lang w:eastAsia="en-US"/>
          <w14:ligatures w14:val="standardContextual"/>
        </w:rPr>
        <w:t>Research Philosophy and Approach:</w:t>
      </w:r>
      <w:bookmarkEnd w:id="27"/>
    </w:p>
    <w:p w14:paraId="21EC108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This study adopts </w:t>
      </w:r>
      <w:r>
        <w:rPr>
          <w:rFonts w:ascii="Times New Roman" w:hAnsi="Times New Roman" w:eastAsia="Calibri" w:cs="Times New Roman"/>
          <w:color w:val="000000"/>
          <w:kern w:val="0"/>
          <w:sz w:val="24"/>
          <w:lang w:eastAsia="en-US"/>
        </w:rPr>
        <w:t>a positivist form of philosophy, which states that objective and observable phenomena can be used to infer knowledge</w:t>
      </w:r>
      <w:r>
        <w:rPr>
          <w:rFonts w:ascii="Times New Roman" w:hAnsi="Times New Roman" w:eastAsia="Calibri" w:cs="Times New Roman"/>
          <w:color w:val="000000"/>
          <w:sz w:val="24"/>
          <w:lang w:eastAsia="en-US"/>
          <w14:ligatures w14:val="standardContextual"/>
        </w:rPr>
        <w:t xml:space="preserve"> about the same. The positivist lens can be applied to the current study since it seeks to identify the patterns and test hypotheses about CSR perception, brand trust, and loyalty using measurable information. The philosophy advocates the use of structured instruments and statistical analysis where interpretation of the data does not depend on any bias of the researcher.</w:t>
      </w:r>
    </w:p>
    <w:p w14:paraId="784222B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comply with this version of philosophy, a deductive methodology is applicable. The use of deduction will enable the study to take a step further from observation towards general theoretical statements or laws concerning CSR and consumer behavior, and testing each against empirical facts obtained through Gen Z participants. Such a methodology is especially pertinent to the work of theories such as Stakeholder Theory that influence the studies dedicated to CSR as a relational practice of a business scenario and a community beyond it.</w:t>
      </w:r>
    </w:p>
    <w:p w14:paraId="1C3BB2D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According to Adewole (2024), Stakeholder theory … points attention to brand interactions from consumer perceptions based on a mixed methods research approach from quantitative and qualitative analyses. Though the present research is of purely quantitative design, it incorporates the theoretical contribution of the qualitative and mixed-method approaches to stakeholder engagement. The framework guarantees that CSR is examined not as an isolated phenomenon, but rather its effects on the phenomena in the real world, especially in terms of Gen Z ethical and digital demands.</w:t>
      </w:r>
    </w:p>
    <w:p w14:paraId="394961B0">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28" w:name="_Toc12516"/>
      <w:r>
        <w:rPr>
          <w:rFonts w:ascii="Times New Roman" w:hAnsi="Times New Roman" w:eastAsia="等线 Light" w:cs="Times New Roman"/>
          <w:b/>
          <w:bCs/>
          <w:color w:val="000000"/>
          <w:sz w:val="32"/>
          <w:szCs w:val="32"/>
          <w:lang w:eastAsia="en-US"/>
          <w14:ligatures w14:val="standardContextual"/>
        </w:rPr>
        <w:t>Research Design and Strategy:</w:t>
      </w:r>
      <w:bookmarkEnd w:id="28"/>
    </w:p>
    <w:p w14:paraId="4F35668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research to be conducted is quantitative and aims to explore the issue of the impact of CSR activities on brand loyalty among the Generation Z population of the United Kingdom. The use of a quantitative methodology means it will be able to measure attitudes, behaviours, and relationships by use of statistically rigorous techniques. The method is especially ideal in the case of assessing structured hypotheses in that generalization could be carried out from the results to the target population.</w:t>
      </w:r>
    </w:p>
    <w:p w14:paraId="4EAABE0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Choice of survey as the main form of data collection tool: The survey was chosen as they are efficient in collecting data from large sample sizes and gives the ability to quantify the opinions and trends. The questionnaire will be in the form of scaled-response questions in order to provide data that will be analyzed on correlations between CSR perception, brand trust, and repurchase intentions. Survey methodology focuses on instruments or procedures that can direct one or more questions that have the possibility to be answered or not answered, as reported by Turner et al. (2022). Such versatility is perfect to measure different degrees of interest and reactivity among Gen Z demographics.</w:t>
      </w:r>
    </w:p>
    <w:p w14:paraId="0748F7D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choice of quantitative tools also corresponds to the theoretical orientation of the research, that is, the investigation of the question of consumer behavior and models of brand loyalty that are based on the results of empirical validation. According to Mohamed (2024), quantitative market research, considered “... a way of researching the market, to give the business a clear picture of consumer behavior, and the potential market opportunities.” Such a strategy is in line with the existing literature on the role of CSR in emotional attachment and buying behavior, and it enables the accurate interpretation of Gen Z towards the brand’s strategies.</w:t>
      </w:r>
    </w:p>
    <w:p w14:paraId="1559097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Besides, the research approach includes an organized knowledge of Gen Z attitudes and actions. As Qualtrics (2025) put it, one of the main components of market research is to deeply understand the customer. This is done through empathetic listening, needs identification, and trends.” Such a view enhances the significance of the involvement of credible, quantifiable data in the development of marketing strategy and brand communication procedures that attract the ethically concerned customer.</w:t>
      </w:r>
    </w:p>
    <w:p w14:paraId="13CDC918">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29" w:name="_Toc16293"/>
      <w:r>
        <w:rPr>
          <w:rFonts w:ascii="Times New Roman" w:hAnsi="Times New Roman" w:eastAsia="等线 Light" w:cs="Times New Roman"/>
          <w:b/>
          <w:bCs/>
          <w:color w:val="000000"/>
          <w:sz w:val="32"/>
          <w:szCs w:val="32"/>
          <w:lang w:eastAsia="en-US"/>
          <w14:ligatures w14:val="standardContextual"/>
        </w:rPr>
        <w:t>Sampling and Population:</w:t>
      </w:r>
      <w:bookmarkEnd w:id="29"/>
    </w:p>
    <w:p w14:paraId="58A8588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research target population will be Generation Z in the United Kingdom, that is, the 18- and 26-year-old customers. This segment was selected because of their growing buying capacity, online literacy, and concern towards corporate responsibility and the environment. They are an essential group to CSR-based brand analysis because of their Internet interaction habits and their need for openness and non-exclusivity.</w:t>
      </w:r>
    </w:p>
    <w:p w14:paraId="4D59702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They are active social media readers in Wales and England, and they are most likely to respond to online appeals made by brands as well as participate in CSR campaigns. Since the research targets a limited group of the population, a specific group with specific characteristics, it approaches the strengths of ethical awareness and digital mobilization; non-probability purposive sampling was chosen. This method will enable the researcher to purposively sample those who match the profile of interest, thus making the data relevant and focused.</w:t>
      </w:r>
    </w:p>
    <w:p w14:paraId="7B30C06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aim of the sample size of 200 participants is to have a meaningful foundation for the statistical analysis. This number only assists in inferential validity, and at the same time, does not run out of control when working on a dissertation project. Strong sample sizes, as indicated in other like-minded research, make it easier to infer credence in the consistency of perceived determinants. For example, the current research paper consists of a comparison between the direct and indirect influence of corporate social responsibility (CSR) on brand equity and brand loyalty. 600 questionnaires have been gathered (Tan, Rasoolimanesh, and Manickam, 2022). This project is smaller in terms of its participants, but the rigor of its methodology is the same.</w:t>
      </w:r>
    </w:p>
    <w:p w14:paraId="1852957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Such a narrowly built population and sampling approach will make the insights obtained from the data directly usable when developing the CSR strategy of the brands operating in the UK market, targeting the consumers of the Gen Z generation.</w:t>
      </w:r>
    </w:p>
    <w:p w14:paraId="333C28D5">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30" w:name="_Toc11099"/>
      <w:r>
        <w:rPr>
          <w:rFonts w:ascii="Times New Roman" w:hAnsi="Times New Roman" w:eastAsia="等线 Light" w:cs="Times New Roman"/>
          <w:b/>
          <w:bCs/>
          <w:color w:val="000000"/>
          <w:sz w:val="32"/>
          <w:szCs w:val="32"/>
          <w:lang w:val="zh-CN" w:eastAsia="en-US"/>
          <w14:ligatures w14:val="standardContextual"/>
        </w:rPr>
        <w:t>Research Instrument and Questionnaire Design</w:t>
      </w:r>
      <w:bookmarkEnd w:id="30"/>
    </w:p>
    <w:p w14:paraId="25F734D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 structured online questionnaire will constitute the research instrument of the study, which will gather quantitative data, with results congruent with the research objectives, which is to analyse the effect of the implementation of CSR initiatives on brand loyalty in consumers of Gen Z in the UK. The design is centered towards closed questions in order to make analytical statistics and ensure uniformity of the responses among the participants.</w:t>
      </w:r>
    </w:p>
    <w:p w14:paraId="17B3F90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questionnaire will be divided into five parts:</w:t>
      </w:r>
    </w:p>
    <w:p w14:paraId="6E661760">
      <w:pPr>
        <w:numPr>
          <w:ilvl w:val="0"/>
          <w:numId w:val="4"/>
        </w:numPr>
        <w:spacing w:after="160"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Demographics: Gathers information about the participant, i.e., age, gender, education, and geographical location.</w:t>
      </w:r>
    </w:p>
    <w:p w14:paraId="5D9BABCB">
      <w:pPr>
        <w:numPr>
          <w:ilvl w:val="0"/>
          <w:numId w:val="4"/>
        </w:numPr>
        <w:spacing w:after="160"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CSR Perception: It gauges the perception of the respondents on the social and environmental activities of the brands.</w:t>
      </w:r>
    </w:p>
    <w:p w14:paraId="381A7692">
      <w:pPr>
        <w:numPr>
          <w:ilvl w:val="0"/>
          <w:numId w:val="4"/>
        </w:numPr>
        <w:spacing w:after="160"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Brand Trust: Brand trust gauges the degree of trust in brands based on their CSR communication.</w:t>
      </w:r>
    </w:p>
    <w:p w14:paraId="6A438120">
      <w:pPr>
        <w:numPr>
          <w:ilvl w:val="0"/>
          <w:numId w:val="4"/>
        </w:numPr>
        <w:spacing w:after="160"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Brand Loyalty: Measures emotional attachment as well as repeated future Buying intentions.</w:t>
      </w:r>
    </w:p>
    <w:p w14:paraId="3ABD8A68">
      <w:pPr>
        <w:numPr>
          <w:ilvl w:val="0"/>
          <w:numId w:val="4"/>
        </w:numPr>
        <w:spacing w:after="160" w:line="360" w:lineRule="auto"/>
        <w:contextualSpacing/>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Repurchase Intentions: Measures the propensity of further involvement and behavior of advocacy.</w:t>
      </w:r>
    </w:p>
    <w:p w14:paraId="1473933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initial items under CSR, brand trust, loyalty, and intention to repurchase are based on past literature to give it scholarly credibility. As an example, we have this report in Fatma and Khan (2023), which says, “All the measurement items were set on seven-point Likert scales with responses of strongly disagree and strongly agree.” Such scaling is permissible to perceive the attitudes of the participants in a subtle way. Moreover, on parts devoted to satisfaction and loyalty, the structure is made according to previous studies, e.g., Caruana, B. Ramasashan and Krentler (2014), who state that the scale of the measurement of the consumer satisfaction and the consumer loyalty was created based on the five point Likert scale where 1 corresponded to the Strongly Agree and 5 to the Strongly Disagree.</w:t>
      </w:r>
    </w:p>
    <w:p w14:paraId="30E2AFB8">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items must be phrased neutrally to make them clear and require field piloting before full implementation. All areas are organized logically, and there are some instructions provided to participants. In this manner, the organization of the survey, it is possible to state that the instrument successfully measures both cognitive and behavioral aspects of the brand engagement concerning CSR.</w:t>
      </w:r>
    </w:p>
    <w:p w14:paraId="037BF56C">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val="zh-CN" w:eastAsia="en-US"/>
          <w14:ligatures w14:val="standardContextual"/>
        </w:rPr>
      </w:pPr>
      <w:bookmarkStart w:id="31" w:name="_Toc16827"/>
      <w:r>
        <w:rPr>
          <w:rFonts w:ascii="Times New Roman" w:hAnsi="Times New Roman" w:eastAsia="等线 Light" w:cs="Times New Roman"/>
          <w:b/>
          <w:bCs/>
          <w:color w:val="000000"/>
          <w:sz w:val="32"/>
          <w:szCs w:val="32"/>
          <w:lang w:val="zh-CN" w:eastAsia="en-US"/>
          <w14:ligatures w14:val="standardContextual"/>
        </w:rPr>
        <w:t>Data Collection Procedure:</w:t>
      </w:r>
      <w:bookmarkEnd w:id="31"/>
    </w:p>
    <w:p w14:paraId="4582DFF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study interviewed participants within two weeks through online survey instruments, mainly Google Forms, which were distributed through social media, including Instagram, LinkedIn, and Twitter. May has platforms more popular with Generation Z, which would mean that it will reach out to the needed demographic group.</w:t>
      </w:r>
    </w:p>
    <w:p w14:paraId="48D6D54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 Participant Information Sheet that included the details of the purpose of the research, an approximate amount of time it would take to complete the survey, and that participation in this research are voluntary, as well as that privacy or confidentiality will be maintained, was attached to the questionnaire via its link. This was accompanied by a compulsory consent box that had to be checked before making an appearance to take part in the questionnaire, thus informing the respondents on the significance of consent to make contributions.</w:t>
      </w:r>
    </w:p>
    <w:p w14:paraId="74C0063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most important was the ethical integrity. As Mohamed (2024) points out, Responsible practices in quantitative market research are making sure that the participants are kept anonymous, have given informed consent, and follow the regulations of data protection. Thus, personally identifiable information is not gathered, and all storage of the data is secure with sole access to the researcher only. The participants were notified that they can withdraw at any time before the final submission.</w:t>
      </w:r>
    </w:p>
    <w:p w14:paraId="05BC340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organization of the sound ethical collection process contributed to credibility and reliability, and it meets the criteria of the academic and institutional standards of human participant research. It also gave accessibility and enabled the use of a wide geography in Wales and England via the online format.</w:t>
      </w:r>
    </w:p>
    <w:p w14:paraId="20245FFC">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32" w:name="_Toc19905"/>
      <w:r>
        <w:rPr>
          <w:rFonts w:ascii="Times New Roman" w:hAnsi="Times New Roman" w:eastAsia="等线 Light" w:cs="Times New Roman"/>
          <w:b/>
          <w:bCs/>
          <w:color w:val="000000"/>
          <w:sz w:val="32"/>
          <w:szCs w:val="32"/>
          <w:lang w:val="zh-CN" w:eastAsia="en-US"/>
          <w14:ligatures w14:val="standardContextual"/>
        </w:rPr>
        <w:t>Data Analysis Methods</w:t>
      </w:r>
      <w:bookmarkEnd w:id="32"/>
    </w:p>
    <w:p w14:paraId="2E831AE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Data collection will conclude with the analysis of the data gathered through SPSS (Statistical Package for the Social Sciences), whose platform is considered effective in performing descriptive and inferential statistics. The origin of descriptive analysis will provide summaries of the major variables, such as the average of responses, frequencies, and standard deviations of construct elements, including CSR perception, brand trust, and loyalty.</w:t>
      </w:r>
    </w:p>
    <w:p w14:paraId="76AC711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study the connections between CSR activities and brand loyalty among Generation Z, the research will address Pearson correlation in order to see how strong correlations could be between variables, e. g., CSR perception, and trust or repurchase intention. After this, there will be a multiple regression assessment to determine the predictive power of CSR towards the dimensions of brand trust and brand loyalty.</w:t>
      </w:r>
    </w:p>
    <w:p w14:paraId="507ADF9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More importantly, the study further includes mediation analysis to achieve the indirect impacts of CSR on loyalty through other constructs. It may be explained by the results of Narayanan and Singh (2023), who wrote: The results support the presence of positive overall CSR impact on WTP. Another thing this study shows is the indirect impact of CSR and WTP, that is, via such variables as Brand Trust, Brand Loyalty, Brand Love, Customer Satisfaction, Brand Attitude, Purchase Intention, and Brand Equity. On the same note, Caruana, B. Ramasashan, and Krentler (2014) concur with this by citing this: Their study showed evidence of CSR having a secondary effect on brand loyalty by influencing brand identification.</w:t>
      </w:r>
    </w:p>
    <w:p w14:paraId="14E056B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Combining regression and mediation models will help to gain a better insight into the significance of how CSR influences brand loyalty, not only straightforwardly, but also through other, hidden psychological and behavioral processes. Such analysis methods fit the aims of the study and the theoretical aspect and allow a clear investigation of the causality and consequences.</w:t>
      </w:r>
    </w:p>
    <w:p w14:paraId="7D6C2A95">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33" w:name="_Toc26924"/>
      <w:r>
        <w:rPr>
          <w:rFonts w:ascii="Times New Roman" w:hAnsi="Times New Roman" w:eastAsia="等线 Light" w:cs="Times New Roman"/>
          <w:b/>
          <w:bCs/>
          <w:color w:val="000000"/>
          <w:sz w:val="32"/>
          <w:szCs w:val="32"/>
          <w:lang w:eastAsia="en-US"/>
          <w14:ligatures w14:val="standardContextual"/>
        </w:rPr>
        <w:t>Ethical Consideration:</w:t>
      </w:r>
      <w:bookmarkEnd w:id="33"/>
    </w:p>
    <w:p w14:paraId="39AA907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study meets the conditions of strict ethical standards set by the ethics committee of the university. The possibility to obtain ethical approval before data collection was taken into account, and access to accessible participant information sheets with detailed information about the purpose and process of the study and the rights of participants was given to all the participants.</w:t>
      </w:r>
    </w:p>
    <w:p w14:paraId="5F75D6B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Exportations of voluntary informed consent was achieved by having an online check box before proceeding with the survey. The participants were made to fully understand that the participation was totally optional and they could pull out at any point without any repercussions. Following the best practice of ethics, there was no type of personally identifiable data was gathered through the survey.</w:t>
      </w:r>
    </w:p>
    <w:p w14:paraId="46BAF30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Their answers were coded with anonymity and then stored under an encrypted digital system that only the researcher had access to. General Data Protection Regulation (GDPR) was used to process data to ensure that information could only be used as an academic process and should not be indefinitely stored.</w:t>
      </w:r>
    </w:p>
    <w:p w14:paraId="0D098D5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These actions correlate with ethical duties of research and the spirit of the very topic. As Etikan (2024) points out, corporate social responsibility will help in giving a positive overall assessment of the organization and its brands. Similarly, the maintenance of ethical standards in research promotes the reliability of academic institutions and their respect for the dignity, privacy, and autonomy of participants.</w:t>
      </w:r>
    </w:p>
    <w:p w14:paraId="427FEE8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clarity and concern that are incorporated in the methodology support the integrity of the research and that of the CSR values under discussion.</w:t>
      </w:r>
    </w:p>
    <w:p w14:paraId="40EE025D">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34" w:name="_Toc4517"/>
      <w:r>
        <w:rPr>
          <w:rFonts w:ascii="Times New Roman" w:hAnsi="Times New Roman" w:eastAsia="等线 Light" w:cs="Times New Roman"/>
          <w:b/>
          <w:bCs/>
          <w:color w:val="000000"/>
          <w:sz w:val="32"/>
          <w:szCs w:val="32"/>
          <w:lang w:eastAsia="en-US"/>
          <w14:ligatures w14:val="standardContextual"/>
        </w:rPr>
        <w:t>Limitations to the Methodology (200 words)</w:t>
      </w:r>
      <w:bookmarkEnd w:id="34"/>
    </w:p>
    <w:p w14:paraId="05DD7D6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Although the research has taken a firm quantitative approach, some limitations have been considered. To begin with, online surveys are self-report; therefore, they are prone to response bias whereby participants give answers that are socially desirable as opposed to answering truthfully. This may especially affect statistics on such sensitive topics as ethical consumption or corporate responsibility.</w:t>
      </w:r>
    </w:p>
    <w:p w14:paraId="1D20CD8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Secondly, the chosen phenomenon of Generation Z consumers in the UK restricts the application of the results to other populations, as well as other geographical locations. The findings might not be representative of the attitudes of other groups of consumers of other ages or cultures.</w:t>
      </w:r>
    </w:p>
    <w:p w14:paraId="0E79B09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Furthermore, the non-probability purposive sampling via social media can reduce the extent of sample representativeness since it will cover the digitally active Gen Zs and leave out the less active ones.</w:t>
      </w:r>
    </w:p>
    <w:p w14:paraId="6D77CCE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These limitations have partly been addressed by well-designed, structured, closed-ended questions and by instrument validation by review of the literature. This is what best practice recommends: discussed by Mohamed (2024): Pilot testing and validation of research instruments to define and eliminate any potential issues, and what was done in this research is that pre-distribution reviews were implemented in order to achieve clarity and consistency. Nevertheless, with all this, the methodology is quite an adequate basis to investigate CSR and brand loyalty connections with the objectives and purposes of the study.</w:t>
      </w:r>
    </w:p>
    <w:p w14:paraId="27FC50B3">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35" w:name="_Toc15484"/>
      <w:r>
        <w:rPr>
          <w:rFonts w:ascii="Times New Roman" w:hAnsi="Times New Roman" w:eastAsia="等线 Light" w:cs="Times New Roman"/>
          <w:b/>
          <w:bCs/>
          <w:color w:val="000000"/>
          <w:sz w:val="32"/>
          <w:szCs w:val="32"/>
          <w:lang w:eastAsia="en-US"/>
          <w14:ligatures w14:val="standardContextual"/>
        </w:rPr>
        <w:t>Chapter summary:</w:t>
      </w:r>
      <w:bookmarkEnd w:id="35"/>
    </w:p>
    <w:p w14:paraId="15B09EE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this chapter, the methodological base of the study was described beginning with a positivist philosophy of research, deductive research method and stakeholder theory, and consumer behavior literature. Through structured online surveys, it is possible to explore deeply the issue of the impact of CSR initiatives on brand loyalty among Generation Z consumers in the UK using the quantitative approach.</w:t>
      </w:r>
    </w:p>
    <w:p w14:paraId="33CC960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Pivotal design choices were related to Likert-scale questions used to quantify such constructs as CSR perception, trust, and repurchase intention. The sampling methodologies were being changed in order to target the population of digitally active Gen Z across Wales and England. The combination of correlation, regression, and mediation analysis by using SPSS will enable the research not only to establish the relationship between variables but also to establish the knowledge of indirect effects.</w:t>
      </w:r>
    </w:p>
    <w:p w14:paraId="4AA548E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Ethical issues were fully taken care of, such as informed consent, confidentiality, and compliance with the GDPR. Although it is agreed that there are a few limitations, like the bias in responses and lack of generalisability, the mitigation strategies have been employed in order to enhance reliability.</w:t>
      </w:r>
    </w:p>
    <w:p w14:paraId="41EB0AD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On the whole, the methodology proves extremely close to the aims of the research and introduces a stable base to the empirical study. In the case of Qualtrics (2025), it is extremely well said that, without data, you are just another person with an opinion. This prepares the stage of the fourth chapter, where the interpretation of the findings will be presented and analyzed against the background of CSR and the brand loyalty to Gen Z.</w:t>
      </w:r>
    </w:p>
    <w:p w14:paraId="710B4E57">
      <w:pPr>
        <w:widowControl/>
        <w:spacing w:after="160" w:line="360" w:lineRule="auto"/>
        <w:rPr>
          <w:rFonts w:ascii="Times New Roman" w:hAnsi="Times New Roman" w:eastAsia="Calibri" w:cs="Times New Roman"/>
          <w:color w:val="000000"/>
          <w:sz w:val="24"/>
          <w:lang w:eastAsia="en-US"/>
          <w14:ligatures w14:val="standardContextual"/>
        </w:rPr>
      </w:pPr>
    </w:p>
    <w:p w14:paraId="59C94BF3">
      <w:pPr>
        <w:widowControl/>
        <w:spacing w:after="160" w:line="360" w:lineRule="auto"/>
        <w:rPr>
          <w:rFonts w:ascii="Times New Roman" w:hAnsi="Times New Roman" w:eastAsia="Calibri" w:cs="Times New Roman"/>
          <w:color w:val="000000"/>
          <w:sz w:val="24"/>
          <w:lang w:eastAsia="en-US"/>
          <w14:ligatures w14:val="standardContextual"/>
        </w:rPr>
      </w:pPr>
    </w:p>
    <w:p w14:paraId="1A739C4B">
      <w:pPr>
        <w:widowControl/>
        <w:spacing w:after="160" w:line="360" w:lineRule="auto"/>
        <w:rPr>
          <w:rFonts w:ascii="Times New Roman" w:hAnsi="Times New Roman" w:eastAsia="Calibri" w:cs="Times New Roman"/>
          <w:color w:val="000000"/>
          <w:sz w:val="24"/>
          <w:lang w:eastAsia="en-US"/>
          <w14:ligatures w14:val="standardContextual"/>
        </w:rPr>
      </w:pPr>
    </w:p>
    <w:p w14:paraId="603FBC1D">
      <w:pPr>
        <w:widowControl/>
        <w:spacing w:after="160" w:line="360" w:lineRule="auto"/>
        <w:rPr>
          <w:rFonts w:ascii="Times New Roman" w:hAnsi="Times New Roman" w:eastAsia="Calibri" w:cs="Times New Roman"/>
          <w:color w:val="000000"/>
          <w:sz w:val="24"/>
          <w:lang w:eastAsia="en-US"/>
          <w14:ligatures w14:val="standardContextual"/>
        </w:rPr>
      </w:pPr>
    </w:p>
    <w:p w14:paraId="0820A0B2">
      <w:pPr>
        <w:widowControl/>
        <w:spacing w:after="160" w:line="360" w:lineRule="auto"/>
        <w:rPr>
          <w:rFonts w:ascii="Times New Roman" w:hAnsi="Times New Roman" w:eastAsia="Calibri" w:cs="Times New Roman"/>
          <w:color w:val="000000"/>
          <w:sz w:val="24"/>
          <w:lang w:eastAsia="en-US"/>
          <w14:ligatures w14:val="standardContextual"/>
        </w:rPr>
      </w:pPr>
    </w:p>
    <w:p w14:paraId="66C17F50">
      <w:pPr>
        <w:widowControl/>
        <w:spacing w:after="160" w:line="360" w:lineRule="auto"/>
        <w:rPr>
          <w:rFonts w:ascii="Times New Roman" w:hAnsi="Times New Roman" w:eastAsia="Calibri" w:cs="Times New Roman"/>
          <w:color w:val="000000"/>
          <w:sz w:val="24"/>
          <w:lang w:eastAsia="en-US"/>
          <w14:ligatures w14:val="standardContextual"/>
        </w:rPr>
      </w:pPr>
    </w:p>
    <w:p w14:paraId="283E182D">
      <w:pPr>
        <w:keepNext/>
        <w:keepLines/>
        <w:spacing w:before="360" w:after="80" w:line="360" w:lineRule="auto"/>
        <w:outlineLvl w:val="0"/>
        <w:rPr>
          <w:rFonts w:ascii="Times New Roman" w:hAnsi="Times New Roman" w:eastAsia="等线 Light" w:cs="Times New Roman"/>
          <w:b/>
          <w:bCs/>
          <w:color w:val="000000"/>
          <w:sz w:val="40"/>
          <w:szCs w:val="40"/>
          <w:lang w:eastAsia="en-US"/>
          <w14:ligatures w14:val="standardContextual"/>
        </w:rPr>
      </w:pPr>
      <w:bookmarkStart w:id="36" w:name="_Toc20962"/>
      <w:r>
        <w:rPr>
          <w:rFonts w:ascii="Times New Roman" w:hAnsi="Times New Roman" w:eastAsia="等线 Light" w:cs="Times New Roman"/>
          <w:b/>
          <w:bCs/>
          <w:color w:val="000000"/>
          <w:sz w:val="40"/>
          <w:szCs w:val="40"/>
          <w:lang w:eastAsia="en-US"/>
          <w14:ligatures w14:val="standardContextual"/>
        </w:rPr>
        <w:t>Chapter 4 – Data Analysis</w:t>
      </w:r>
      <w:bookmarkEnd w:id="36"/>
    </w:p>
    <w:p w14:paraId="71323057">
      <w:pPr>
        <w:keepNext/>
        <w:keepLines/>
        <w:numPr>
          <w:ilvl w:val="0"/>
          <w:numId w:val="3"/>
        </w:numPr>
        <w:spacing w:before="160" w:after="80" w:line="360" w:lineRule="auto"/>
        <w:outlineLvl w:val="1"/>
        <w:rPr>
          <w:rFonts w:ascii="Times New Roman" w:hAnsi="Times New Roman" w:eastAsia="等线 Light" w:cs="Times New Roman"/>
          <w:b/>
          <w:bCs/>
          <w:color w:val="000000"/>
          <w:sz w:val="32"/>
          <w:szCs w:val="32"/>
          <w:lang w:eastAsia="en-US"/>
          <w14:ligatures w14:val="standardContextual"/>
        </w:rPr>
      </w:pPr>
      <w:bookmarkStart w:id="37" w:name="_Toc2009"/>
      <w:r>
        <w:rPr>
          <w:rFonts w:ascii="Times New Roman" w:hAnsi="Times New Roman" w:eastAsia="等线 Light" w:cs="Times New Roman"/>
          <w:b/>
          <w:bCs/>
          <w:color w:val="000000"/>
          <w:sz w:val="32"/>
          <w:szCs w:val="32"/>
          <w:lang w:eastAsia="en-US"/>
          <w14:ligatures w14:val="standardContextual"/>
        </w:rPr>
        <w:t>Introduction:</w:t>
      </w:r>
      <w:bookmarkEnd w:id="37"/>
    </w:p>
    <w:p w14:paraId="2D756A1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The study </w:t>
      </w:r>
      <w:r>
        <w:rPr>
          <w:rFonts w:ascii="Times New Roman" w:hAnsi="Times New Roman" w:eastAsia="Calibri" w:cs="Times New Roman"/>
          <w:color w:val="000000"/>
          <w:kern w:val="0"/>
          <w:sz w:val="24"/>
          <w:lang w:eastAsia="en-US"/>
        </w:rPr>
        <w:t>findings, presented in this chapter, examine the outcome of studies on how Corporate Social Responsibility (CSR) contributes to brand loyalty among consumers in the United Kingdom who belong to Generation</w:t>
      </w:r>
      <w:r>
        <w:rPr>
          <w:rFonts w:ascii="Times New Roman" w:hAnsi="Times New Roman" w:eastAsia="Calibri" w:cs="Times New Roman"/>
          <w:color w:val="000000"/>
          <w:sz w:val="24"/>
          <w:lang w:eastAsia="en-US"/>
          <w14:ligatures w14:val="standardContextual"/>
        </w:rPr>
        <w:t xml:space="preserve"> Z (Gen Z). The study centered around the determination of vital CSR variables and the evaluation of the influence of these factors on brand trust, customer satisfaction, and brand loyalty. They were evaluated using a well-designed online survey, which was taken by a sample representative of Gen Z consumers who are aged between 18 and 25.</w:t>
      </w:r>
    </w:p>
    <w:p w14:paraId="0C73271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The </w:t>
      </w:r>
      <w:r>
        <w:rPr>
          <w:rFonts w:ascii="Times New Roman" w:hAnsi="Times New Roman" w:eastAsia="Calibri" w:cs="Times New Roman"/>
          <w:color w:val="000000"/>
          <w:kern w:val="0"/>
          <w:sz w:val="24"/>
          <w:lang w:eastAsia="en-US"/>
        </w:rPr>
        <w:t>primary objective was to assess Gen Z's perception of CSR activities and how these perceptions affect their relationship with brands, particularly in terms</w:t>
      </w:r>
      <w:r>
        <w:rPr>
          <w:rFonts w:ascii="Times New Roman" w:hAnsi="Times New Roman" w:eastAsia="Calibri" w:cs="Times New Roman"/>
          <w:color w:val="000000"/>
          <w:sz w:val="24"/>
          <w:lang w:eastAsia="en-US"/>
          <w14:ligatures w14:val="standardContextual"/>
        </w:rPr>
        <w:t xml:space="preserve"> of trust and loyalty. The questionnaires were administered </w:t>
      </w:r>
      <w:r>
        <w:rPr>
          <w:rFonts w:ascii="Times New Roman" w:hAnsi="Times New Roman" w:eastAsia="Calibri" w:cs="Times New Roman"/>
          <w:color w:val="000000"/>
          <w:kern w:val="0"/>
          <w:sz w:val="24"/>
          <w:lang w:eastAsia="en-US"/>
        </w:rPr>
        <w:t>using a mono-method quantitative approach, employing a five-point Likert scale to measure responses, which were then</w:t>
      </w:r>
      <w:r>
        <w:rPr>
          <w:rFonts w:ascii="Times New Roman" w:hAnsi="Times New Roman" w:eastAsia="Calibri" w:cs="Times New Roman"/>
          <w:color w:val="000000"/>
          <w:sz w:val="24"/>
          <w:lang w:eastAsia="en-US"/>
          <w14:ligatures w14:val="standardContextual"/>
        </w:rPr>
        <w:t xml:space="preserve"> analyzed with SPSS software. Such analysis involves descriptive and inferential statistics collected in the form of mean distributions, Pearson correlations, and regression modeling of the provided significant associations between CSR and indicators of brand loyalty.</w:t>
      </w:r>
    </w:p>
    <w:p w14:paraId="38B0063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Such a data-analytical approach also helps to verify that the resulting data is backed by quantifiable evidence to remove the danger of resting on subjective reflection. As </w:t>
      </w:r>
      <w:r>
        <w:rPr>
          <w:rFonts w:ascii="Times New Roman" w:hAnsi="Times New Roman" w:eastAsia="Calibri" w:cs="Times New Roman"/>
          <w:color w:val="000000"/>
          <w:kern w:val="0"/>
          <w:sz w:val="24"/>
          <w:lang w:eastAsia="en-US"/>
        </w:rPr>
        <w:t>Rosiao and Casaca (2025) aptly noted, most customers are interested in a product's design and functionality. Still, they are likely to switch brands if a better option with improved features becomes available.</w:t>
      </w:r>
    </w:p>
    <w:p w14:paraId="53EBF3F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observation is based on the strength of Gen Z loyalty, which is volatile, and leveraging CSR can help build stronger ties with the brands.</w:t>
      </w:r>
    </w:p>
    <w:p w14:paraId="1DFAAE69">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38" w:name="_Toc7085"/>
      <w:r>
        <w:rPr>
          <w:rFonts w:ascii="Times New Roman" w:hAnsi="Times New Roman" w:eastAsia="等线 Light" w:cs="Times New Roman"/>
          <w:b/>
          <w:bCs/>
          <w:color w:val="000000"/>
          <w:sz w:val="32"/>
          <w:szCs w:val="32"/>
          <w:lang w:val="zh-CN" w:eastAsia="en-US"/>
          <w14:ligatures w14:val="standardContextual"/>
        </w:rPr>
        <w:t>Demographic Profile of Respondents:</w:t>
      </w:r>
      <w:bookmarkEnd w:id="38"/>
    </w:p>
    <w:p w14:paraId="3501B2A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this section, the demographic composition of the people 221 who completed the survey will be tabulated along the lines of age, sex, and employment. The sample will be consistent with the target population identified in the study, which is Generation Z. It will allow it to be addressed narrowly about how CSR contributes to their brand choices and brand loyalty behavior.</w:t>
      </w:r>
    </w:p>
    <w:p w14:paraId="1D2FBFEF">
      <w:pPr>
        <w:keepNext/>
        <w:keepLines/>
        <w:numPr>
          <w:ilvl w:val="2"/>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39" w:name="_Toc13948"/>
      <w:r>
        <w:rPr>
          <w:rFonts w:ascii="Times New Roman" w:hAnsi="Times New Roman" w:eastAsia="等线 Light" w:cs="Times New Roman"/>
          <w:b/>
          <w:bCs/>
          <w:color w:val="000000"/>
          <w:sz w:val="32"/>
          <w:szCs w:val="32"/>
          <w:lang w:val="zh-CN" w:eastAsia="en-US"/>
          <w14:ligatures w14:val="standardContextual"/>
        </w:rPr>
        <w:t>Gender Distribution</w:t>
      </w:r>
      <w:bookmarkEnd w:id="39"/>
    </w:p>
    <w:p w14:paraId="4BE2F2B0">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 xml:space="preserve">As depicted in Table </w:t>
      </w:r>
      <w:r>
        <w:rPr>
          <w:rFonts w:hint="eastAsia" w:ascii="Times New Roman" w:hAnsi="Times New Roman" w:eastAsia="宋体" w:cs="Times New Roman"/>
          <w:color w:val="000000"/>
          <w:sz w:val="24"/>
          <w14:ligatures w14:val="standardContextual"/>
        </w:rPr>
        <w:t>1</w:t>
      </w:r>
      <w:r>
        <w:rPr>
          <w:rFonts w:hint="eastAsia" w:ascii="Times New Roman" w:hAnsi="Times New Roman" w:eastAsia="Calibri" w:cs="Times New Roman"/>
          <w:color w:val="000000"/>
          <w:sz w:val="24"/>
          <w:lang w:eastAsia="en-US"/>
          <w14:ligatures w14:val="standardContextual"/>
        </w:rPr>
        <w:t>, it can be seen that most of the respondents belong to the target Gen Z generation: 26.7 percent were in their late teens through early 20s or 18-22 years old; 27.6 percent were in their 20s or 23-26; and 25.8 percent in their early 30s or age 27-30. Interestingly, 19.9 percent were over 30, which reflects a spillover of the older millennials sharing their digital patterns. This is an indication of digital fluency amongst the participants, the majority of whom spend time on social platforms often.</w:t>
      </w:r>
    </w:p>
    <w:tbl>
      <w:tblPr>
        <w:tblStyle w:val="5"/>
        <w:tblW w:w="321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60"/>
        <w:gridCol w:w="1197"/>
        <w:gridCol w:w="1055"/>
      </w:tblGrid>
      <w:tr w14:paraId="7D01E0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jc w:val="center"/>
        </w:trPr>
        <w:tc>
          <w:tcPr>
            <w:tcW w:w="3210" w:type="dxa"/>
            <w:gridSpan w:val="3"/>
            <w:tcBorders>
              <w:top w:val="nil"/>
              <w:left w:val="nil"/>
              <w:bottom w:val="nil"/>
              <w:right w:val="nil"/>
            </w:tcBorders>
            <w:shd w:val="clear" w:color="auto" w:fill="FFFFFF"/>
            <w:vAlign w:val="center"/>
          </w:tcPr>
          <w:p w14:paraId="5C8532FC">
            <w:pPr>
              <w:widowControl/>
              <w:spacing w:after="160" w:line="360" w:lineRule="auto"/>
              <w:ind w:left="60" w:right="60"/>
              <w:jc w:val="center"/>
              <w:rPr>
                <w:rFonts w:ascii="Times New Roman" w:hAnsi="Times New Roman" w:eastAsia="Calibri" w:cs="Times New Roman"/>
                <w:color w:val="000000"/>
                <w:sz w:val="22"/>
                <w:szCs w:val="22"/>
                <w:lang w:val="zh-CN" w:eastAsia="en-US"/>
                <w14:ligatures w14:val="standardContextual"/>
              </w:rPr>
            </w:pPr>
            <w:r>
              <w:rPr>
                <w:rFonts w:ascii="Times New Roman" w:hAnsi="Times New Roman" w:eastAsia="Calibri" w:cs="Times New Roman"/>
                <w:b/>
                <w:bCs/>
                <w:color w:val="000000"/>
                <w:sz w:val="22"/>
                <w:szCs w:val="22"/>
                <w:lang w:val="zh-CN" w:eastAsia="en-US"/>
                <w14:ligatures w14:val="standardContextual"/>
              </w:rPr>
              <w:t>2. What is your gender?</w:t>
            </w:r>
          </w:p>
        </w:tc>
      </w:tr>
      <w:tr w14:paraId="0C3D46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nil"/>
              <w:left w:val="nil"/>
              <w:bottom w:val="single" w:color="152935" w:sz="8" w:space="0"/>
              <w:right w:val="nil"/>
            </w:tcBorders>
            <w:shd w:val="clear" w:color="auto" w:fill="FFFFFF"/>
            <w:vAlign w:val="bottom"/>
          </w:tcPr>
          <w:p w14:paraId="4C1686ED">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196" w:type="dxa"/>
            <w:tcBorders>
              <w:top w:val="nil"/>
              <w:left w:val="nil"/>
              <w:bottom w:val="single" w:color="152935" w:sz="8" w:space="0"/>
              <w:right w:val="single" w:color="E0E0E0" w:sz="8" w:space="0"/>
            </w:tcBorders>
            <w:shd w:val="clear" w:color="auto" w:fill="FFFFFF"/>
            <w:vAlign w:val="bottom"/>
          </w:tcPr>
          <w:p w14:paraId="1742FFA7">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N</w:t>
            </w:r>
          </w:p>
        </w:tc>
        <w:tc>
          <w:tcPr>
            <w:tcW w:w="1054" w:type="dxa"/>
            <w:tcBorders>
              <w:top w:val="nil"/>
              <w:left w:val="single" w:color="E0E0E0" w:sz="8" w:space="0"/>
              <w:bottom w:val="single" w:color="152935" w:sz="8" w:space="0"/>
              <w:right w:val="nil"/>
            </w:tcBorders>
            <w:shd w:val="clear" w:color="auto" w:fill="FFFFFF"/>
            <w:vAlign w:val="bottom"/>
          </w:tcPr>
          <w:p w14:paraId="00565D13">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w:t>
            </w:r>
          </w:p>
        </w:tc>
      </w:tr>
      <w:tr w14:paraId="2C7E13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single" w:color="152935" w:sz="8" w:space="0"/>
              <w:left w:val="nil"/>
              <w:bottom w:val="single" w:color="AEAEAE" w:sz="8" w:space="0"/>
              <w:right w:val="nil"/>
            </w:tcBorders>
            <w:shd w:val="clear" w:color="auto" w:fill="E0E0E0"/>
          </w:tcPr>
          <w:p w14:paraId="25BC960A">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Male</w:t>
            </w:r>
          </w:p>
        </w:tc>
        <w:tc>
          <w:tcPr>
            <w:tcW w:w="1196" w:type="dxa"/>
            <w:tcBorders>
              <w:top w:val="single" w:color="152935" w:sz="8" w:space="0"/>
              <w:left w:val="nil"/>
              <w:bottom w:val="single" w:color="AEAEAE" w:sz="8" w:space="0"/>
              <w:right w:val="single" w:color="E0E0E0" w:sz="8" w:space="0"/>
            </w:tcBorders>
            <w:shd w:val="clear" w:color="auto" w:fill="F9F9FB"/>
          </w:tcPr>
          <w:p w14:paraId="4ED4B37F">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63</w:t>
            </w:r>
          </w:p>
        </w:tc>
        <w:tc>
          <w:tcPr>
            <w:tcW w:w="1054" w:type="dxa"/>
            <w:tcBorders>
              <w:top w:val="single" w:color="152935" w:sz="8" w:space="0"/>
              <w:left w:val="single" w:color="E0E0E0" w:sz="8" w:space="0"/>
              <w:bottom w:val="single" w:color="AEAEAE" w:sz="8" w:space="0"/>
              <w:right w:val="nil"/>
            </w:tcBorders>
            <w:shd w:val="clear" w:color="auto" w:fill="F9F9FB"/>
          </w:tcPr>
          <w:p w14:paraId="50F6F0B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28.5%</w:t>
            </w:r>
          </w:p>
        </w:tc>
      </w:tr>
      <w:tr w14:paraId="41A37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single" w:color="AEAEAE" w:sz="8" w:space="0"/>
              <w:left w:val="nil"/>
              <w:bottom w:val="single" w:color="152935" w:sz="8" w:space="0"/>
              <w:right w:val="nil"/>
            </w:tcBorders>
            <w:shd w:val="clear" w:color="auto" w:fill="E0E0E0"/>
          </w:tcPr>
          <w:p w14:paraId="7BB14AC7">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Female</w:t>
            </w:r>
          </w:p>
        </w:tc>
        <w:tc>
          <w:tcPr>
            <w:tcW w:w="1196" w:type="dxa"/>
            <w:tcBorders>
              <w:top w:val="single" w:color="AEAEAE" w:sz="8" w:space="0"/>
              <w:left w:val="nil"/>
              <w:bottom w:val="single" w:color="152935" w:sz="8" w:space="0"/>
              <w:right w:val="single" w:color="E0E0E0" w:sz="8" w:space="0"/>
            </w:tcBorders>
            <w:shd w:val="clear" w:color="auto" w:fill="F9F9FB"/>
          </w:tcPr>
          <w:p w14:paraId="5B8EBA6A">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158</w:t>
            </w:r>
          </w:p>
        </w:tc>
        <w:tc>
          <w:tcPr>
            <w:tcW w:w="1054" w:type="dxa"/>
            <w:tcBorders>
              <w:top w:val="single" w:color="AEAEAE" w:sz="8" w:space="0"/>
              <w:left w:val="single" w:color="E0E0E0" w:sz="8" w:space="0"/>
              <w:bottom w:val="single" w:color="152935" w:sz="8" w:space="0"/>
              <w:right w:val="nil"/>
            </w:tcBorders>
            <w:shd w:val="clear" w:color="auto" w:fill="F9F9FB"/>
          </w:tcPr>
          <w:p w14:paraId="0D9253BF">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71.5%</w:t>
            </w:r>
          </w:p>
        </w:tc>
      </w:tr>
    </w:tbl>
    <w:p w14:paraId="36C08DE2">
      <w:pPr>
        <w:widowControl/>
        <w:spacing w:after="160" w:line="360" w:lineRule="auto"/>
        <w:rPr>
          <w:rFonts w:ascii="Times New Roman" w:hAnsi="Times New Roman" w:eastAsia="Calibri" w:cs="Times New Roman"/>
          <w:color w:val="000000"/>
          <w:sz w:val="24"/>
          <w:lang w:val="zh-CN" w:eastAsia="en-US"/>
          <w14:ligatures w14:val="standardContextual"/>
        </w:rPr>
      </w:pPr>
    </w:p>
    <w:p w14:paraId="140FD9F1">
      <w:pPr>
        <w:spacing w:after="200" w:line="360" w:lineRule="auto"/>
        <w:jc w:val="center"/>
        <w:rPr>
          <w:rFonts w:ascii="Times New Roman" w:hAnsi="Times New Roman" w:eastAsia="Calibri" w:cs="Times New Roman"/>
          <w:i/>
          <w:iCs/>
          <w:color w:val="000000"/>
          <w:sz w:val="18"/>
          <w:szCs w:val="18"/>
          <w:lang w:val="zh-CN" w:eastAsia="en-US"/>
          <w14:ligatures w14:val="standardContextual"/>
        </w:rPr>
      </w:pPr>
      <w:bookmarkStart w:id="40" w:name="_Toc207018208"/>
      <w:r>
        <w:rPr>
          <w:rFonts w:ascii="Times New Roman" w:hAnsi="Times New Roman" w:eastAsia="Calibri" w:cs="Times New Roman"/>
          <w:i/>
          <w:iCs/>
          <w:color w:val="000000"/>
          <w:sz w:val="18"/>
          <w:szCs w:val="18"/>
          <w:lang w:val="zh-CN" w:eastAsia="en-US"/>
          <w14:ligatures w14:val="standardContextual"/>
        </w:rPr>
        <w:t xml:space="preserve">Table </w:t>
      </w:r>
      <w:r>
        <w:rPr>
          <w:rFonts w:ascii="Times New Roman" w:hAnsi="Times New Roman" w:eastAsia="Calibri" w:cs="Times New Roman"/>
          <w:i/>
          <w:iCs/>
          <w:color w:val="000000"/>
          <w:sz w:val="18"/>
          <w:szCs w:val="18"/>
          <w:lang w:val="zh-CN" w:eastAsia="en-US"/>
          <w14:ligatures w14:val="standardContextual"/>
        </w:rPr>
        <w:fldChar w:fldCharType="begin"/>
      </w:r>
      <w:r>
        <w:rPr>
          <w:rFonts w:ascii="Times New Roman" w:hAnsi="Times New Roman" w:eastAsia="Calibri" w:cs="Times New Roman"/>
          <w:i/>
          <w:iCs/>
          <w:color w:val="000000"/>
          <w:sz w:val="18"/>
          <w:szCs w:val="18"/>
          <w:lang w:val="zh-CN" w:eastAsia="en-US"/>
          <w14:ligatures w14:val="standardContextual"/>
        </w:rPr>
        <w:instrText xml:space="preserve"> SEQ Table \* ARABIC </w:instrText>
      </w:r>
      <w:r>
        <w:rPr>
          <w:rFonts w:ascii="Times New Roman" w:hAnsi="Times New Roman" w:eastAsia="Calibri" w:cs="Times New Roman"/>
          <w:i/>
          <w:iCs/>
          <w:color w:val="000000"/>
          <w:sz w:val="18"/>
          <w:szCs w:val="18"/>
          <w:lang w:val="zh-CN" w:eastAsia="en-US"/>
          <w14:ligatures w14:val="standardContextual"/>
        </w:rPr>
        <w:fldChar w:fldCharType="separate"/>
      </w:r>
      <w:r>
        <w:rPr>
          <w:rFonts w:ascii="Times New Roman" w:hAnsi="Times New Roman" w:eastAsia="Calibri" w:cs="Times New Roman"/>
          <w:i/>
          <w:iCs/>
          <w:color w:val="000000"/>
          <w:sz w:val="18"/>
          <w:szCs w:val="18"/>
          <w:lang w:val="zh-CN" w:eastAsia="en-US"/>
          <w14:ligatures w14:val="standardContextual"/>
        </w:rPr>
        <w:t>1</w:t>
      </w:r>
      <w:r>
        <w:rPr>
          <w:rFonts w:ascii="Times New Roman" w:hAnsi="Times New Roman" w:eastAsia="Calibri" w:cs="Times New Roman"/>
          <w:i/>
          <w:iCs/>
          <w:color w:val="000000"/>
          <w:sz w:val="18"/>
          <w:szCs w:val="18"/>
          <w:lang w:val="zh-CN" w:eastAsia="en-US"/>
          <w14:ligatures w14:val="standardContextual"/>
        </w:rPr>
        <w:fldChar w:fldCharType="end"/>
      </w:r>
      <w:r>
        <w:rPr>
          <w:rFonts w:ascii="Times New Roman" w:hAnsi="Times New Roman" w:eastAsia="Calibri" w:cs="Times New Roman"/>
          <w:i/>
          <w:iCs/>
          <w:color w:val="000000"/>
          <w:sz w:val="18"/>
          <w:szCs w:val="18"/>
          <w:lang w:eastAsia="en-US"/>
          <w14:ligatures w14:val="standardContextual"/>
        </w:rPr>
        <w:t xml:space="preserve"> - Gender Distribution</w:t>
      </w:r>
      <w:bookmarkEnd w:id="40"/>
    </w:p>
    <w:p w14:paraId="3F28A6ED">
      <w:pPr>
        <w:keepNext/>
        <w:keepLines/>
        <w:numPr>
          <w:ilvl w:val="2"/>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41" w:name="_Toc15582"/>
      <w:r>
        <w:rPr>
          <w:rFonts w:ascii="Times New Roman" w:hAnsi="Times New Roman" w:eastAsia="等线 Light" w:cs="Times New Roman"/>
          <w:b/>
          <w:bCs/>
          <w:color w:val="000000"/>
          <w:sz w:val="32"/>
          <w:szCs w:val="32"/>
          <w:lang w:val="zh-CN" w:eastAsia="en-US"/>
          <w14:ligatures w14:val="standardContextual"/>
        </w:rPr>
        <w:t>Age Profile</w:t>
      </w:r>
      <w:bookmarkEnd w:id="41"/>
    </w:p>
    <w:p w14:paraId="1598AAA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As depicted in Table 2, it can be seen that most of the respondents belong to the target Gen Z generation: 26.7 percent were in their late teens through early 20s or 18</w:t>
      </w:r>
      <w:r>
        <w:rPr>
          <w:rFonts w:hint="eastAsia" w:ascii="Times New Roman" w:hAnsi="Times New Roman" w:cs="Times New Roman"/>
          <w:color w:val="000000"/>
          <w:sz w:val="24"/>
          <w14:ligatures w14:val="standardContextual"/>
        </w:rPr>
        <w:t>-</w:t>
      </w:r>
      <w:r>
        <w:rPr>
          <w:rFonts w:ascii="Times New Roman" w:hAnsi="Times New Roman" w:eastAsia="Calibri" w:cs="Times New Roman"/>
          <w:color w:val="000000"/>
          <w:sz w:val="24"/>
          <w:lang w:eastAsia="en-US"/>
          <w14:ligatures w14:val="standardContextual"/>
        </w:rPr>
        <w:t>22 years old; 27.6 percent were in their 20s or 23-26; and 25.8 percent in their early 30s or age 27-30. Interestingly, 19.9 percent were over 30, which reflects a spillover of the older millennials sharing their digital patterns. This is an indication of digital fluency amongst the participants, the majority of whom spend time on social platforms often.</w:t>
      </w:r>
    </w:p>
    <w:tbl>
      <w:tblPr>
        <w:tblStyle w:val="5"/>
        <w:tblW w:w="321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60"/>
        <w:gridCol w:w="1197"/>
        <w:gridCol w:w="1055"/>
      </w:tblGrid>
      <w:tr w14:paraId="2706B4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3210" w:type="dxa"/>
            <w:gridSpan w:val="3"/>
            <w:tcBorders>
              <w:top w:val="nil"/>
              <w:left w:val="nil"/>
              <w:bottom w:val="nil"/>
              <w:right w:val="nil"/>
            </w:tcBorders>
            <w:shd w:val="clear" w:color="auto" w:fill="FFFFFF"/>
            <w:vAlign w:val="center"/>
          </w:tcPr>
          <w:p w14:paraId="1CD80A0F">
            <w:pPr>
              <w:widowControl/>
              <w:spacing w:after="160" w:line="360" w:lineRule="auto"/>
              <w:ind w:left="60" w:right="60"/>
              <w:jc w:val="center"/>
              <w:rPr>
                <w:rFonts w:ascii="Times New Roman" w:hAnsi="Times New Roman" w:eastAsia="Calibri" w:cs="Times New Roman"/>
                <w:color w:val="000000"/>
                <w:sz w:val="22"/>
                <w:szCs w:val="22"/>
                <w:lang w:val="zh-CN" w:eastAsia="en-US"/>
                <w14:ligatures w14:val="standardContextual"/>
              </w:rPr>
            </w:pPr>
            <w:r>
              <w:rPr>
                <w:rFonts w:ascii="Times New Roman" w:hAnsi="Times New Roman" w:eastAsia="Calibri" w:cs="Times New Roman"/>
                <w:b/>
                <w:bCs/>
                <w:color w:val="000000"/>
                <w:sz w:val="22"/>
                <w:szCs w:val="22"/>
                <w:lang w:val="zh-CN" w:eastAsia="en-US"/>
                <w14:ligatures w14:val="standardContextual"/>
              </w:rPr>
              <w:t>1. What is your age?</w:t>
            </w:r>
          </w:p>
        </w:tc>
      </w:tr>
      <w:tr w14:paraId="3ABE10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nil"/>
              <w:left w:val="nil"/>
              <w:bottom w:val="single" w:color="152935" w:sz="8" w:space="0"/>
              <w:right w:val="nil"/>
            </w:tcBorders>
            <w:shd w:val="clear" w:color="auto" w:fill="FFFFFF"/>
            <w:vAlign w:val="bottom"/>
          </w:tcPr>
          <w:p w14:paraId="473AC3D7">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196" w:type="dxa"/>
            <w:tcBorders>
              <w:top w:val="nil"/>
              <w:left w:val="nil"/>
              <w:bottom w:val="single" w:color="152935" w:sz="8" w:space="0"/>
              <w:right w:val="single" w:color="E0E0E0" w:sz="8" w:space="0"/>
            </w:tcBorders>
            <w:shd w:val="clear" w:color="auto" w:fill="FFFFFF"/>
            <w:vAlign w:val="bottom"/>
          </w:tcPr>
          <w:p w14:paraId="3477F05D">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N</w:t>
            </w:r>
          </w:p>
        </w:tc>
        <w:tc>
          <w:tcPr>
            <w:tcW w:w="1054" w:type="dxa"/>
            <w:tcBorders>
              <w:top w:val="nil"/>
              <w:left w:val="single" w:color="E0E0E0" w:sz="8" w:space="0"/>
              <w:bottom w:val="single" w:color="152935" w:sz="8" w:space="0"/>
              <w:right w:val="nil"/>
            </w:tcBorders>
            <w:shd w:val="clear" w:color="auto" w:fill="FFFFFF"/>
            <w:vAlign w:val="bottom"/>
          </w:tcPr>
          <w:p w14:paraId="784CF0C8">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w:t>
            </w:r>
          </w:p>
        </w:tc>
      </w:tr>
      <w:tr w14:paraId="2F8DB7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single" w:color="152935" w:sz="8" w:space="0"/>
              <w:left w:val="nil"/>
              <w:bottom w:val="single" w:color="AEAEAE" w:sz="8" w:space="0"/>
              <w:right w:val="nil"/>
            </w:tcBorders>
            <w:shd w:val="clear" w:color="auto" w:fill="E0E0E0"/>
          </w:tcPr>
          <w:p w14:paraId="287ADC67">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18-22</w:t>
            </w:r>
          </w:p>
        </w:tc>
        <w:tc>
          <w:tcPr>
            <w:tcW w:w="1196" w:type="dxa"/>
            <w:tcBorders>
              <w:top w:val="single" w:color="152935" w:sz="8" w:space="0"/>
              <w:left w:val="nil"/>
              <w:bottom w:val="single" w:color="AEAEAE" w:sz="8" w:space="0"/>
              <w:right w:val="single" w:color="E0E0E0" w:sz="8" w:space="0"/>
            </w:tcBorders>
            <w:shd w:val="clear" w:color="auto" w:fill="F9F9FB"/>
          </w:tcPr>
          <w:p w14:paraId="0C6623CD">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59</w:t>
            </w:r>
          </w:p>
        </w:tc>
        <w:tc>
          <w:tcPr>
            <w:tcW w:w="1054" w:type="dxa"/>
            <w:tcBorders>
              <w:top w:val="single" w:color="152935" w:sz="8" w:space="0"/>
              <w:left w:val="single" w:color="E0E0E0" w:sz="8" w:space="0"/>
              <w:bottom w:val="single" w:color="AEAEAE" w:sz="8" w:space="0"/>
              <w:right w:val="nil"/>
            </w:tcBorders>
            <w:shd w:val="clear" w:color="auto" w:fill="F9F9FB"/>
          </w:tcPr>
          <w:p w14:paraId="457834C8">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26.7%</w:t>
            </w:r>
          </w:p>
        </w:tc>
      </w:tr>
      <w:tr w14:paraId="2A7AF7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single" w:color="AEAEAE" w:sz="8" w:space="0"/>
              <w:left w:val="nil"/>
              <w:bottom w:val="single" w:color="AEAEAE" w:sz="8" w:space="0"/>
              <w:right w:val="nil"/>
            </w:tcBorders>
            <w:shd w:val="clear" w:color="auto" w:fill="E0E0E0"/>
          </w:tcPr>
          <w:p w14:paraId="6AB8D6A4">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23-26</w:t>
            </w:r>
          </w:p>
        </w:tc>
        <w:tc>
          <w:tcPr>
            <w:tcW w:w="1196" w:type="dxa"/>
            <w:tcBorders>
              <w:top w:val="single" w:color="AEAEAE" w:sz="8" w:space="0"/>
              <w:left w:val="nil"/>
              <w:bottom w:val="single" w:color="AEAEAE" w:sz="8" w:space="0"/>
              <w:right w:val="single" w:color="E0E0E0" w:sz="8" w:space="0"/>
            </w:tcBorders>
            <w:shd w:val="clear" w:color="auto" w:fill="F9F9FB"/>
          </w:tcPr>
          <w:p w14:paraId="500F529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61</w:t>
            </w:r>
          </w:p>
        </w:tc>
        <w:tc>
          <w:tcPr>
            <w:tcW w:w="1054" w:type="dxa"/>
            <w:tcBorders>
              <w:top w:val="single" w:color="AEAEAE" w:sz="8" w:space="0"/>
              <w:left w:val="single" w:color="E0E0E0" w:sz="8" w:space="0"/>
              <w:bottom w:val="single" w:color="AEAEAE" w:sz="8" w:space="0"/>
              <w:right w:val="nil"/>
            </w:tcBorders>
            <w:shd w:val="clear" w:color="auto" w:fill="F9F9FB"/>
          </w:tcPr>
          <w:p w14:paraId="76E0D5E7">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27.6%</w:t>
            </w:r>
          </w:p>
        </w:tc>
      </w:tr>
      <w:tr w14:paraId="1690C6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single" w:color="AEAEAE" w:sz="8" w:space="0"/>
              <w:left w:val="nil"/>
              <w:bottom w:val="single" w:color="AEAEAE" w:sz="8" w:space="0"/>
              <w:right w:val="nil"/>
            </w:tcBorders>
            <w:shd w:val="clear" w:color="auto" w:fill="E0E0E0"/>
          </w:tcPr>
          <w:p w14:paraId="4A7D86BD">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27-30</w:t>
            </w:r>
          </w:p>
        </w:tc>
        <w:tc>
          <w:tcPr>
            <w:tcW w:w="1196" w:type="dxa"/>
            <w:tcBorders>
              <w:top w:val="single" w:color="AEAEAE" w:sz="8" w:space="0"/>
              <w:left w:val="nil"/>
              <w:bottom w:val="single" w:color="AEAEAE" w:sz="8" w:space="0"/>
              <w:right w:val="single" w:color="E0E0E0" w:sz="8" w:space="0"/>
            </w:tcBorders>
            <w:shd w:val="clear" w:color="auto" w:fill="F9F9FB"/>
          </w:tcPr>
          <w:p w14:paraId="4CA6CC0A">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57</w:t>
            </w:r>
          </w:p>
        </w:tc>
        <w:tc>
          <w:tcPr>
            <w:tcW w:w="1054" w:type="dxa"/>
            <w:tcBorders>
              <w:top w:val="single" w:color="AEAEAE" w:sz="8" w:space="0"/>
              <w:left w:val="single" w:color="E0E0E0" w:sz="8" w:space="0"/>
              <w:bottom w:val="single" w:color="AEAEAE" w:sz="8" w:space="0"/>
              <w:right w:val="nil"/>
            </w:tcBorders>
            <w:shd w:val="clear" w:color="auto" w:fill="F9F9FB"/>
          </w:tcPr>
          <w:p w14:paraId="35EE6B2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25.8%</w:t>
            </w:r>
          </w:p>
        </w:tc>
      </w:tr>
      <w:tr w14:paraId="738180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960" w:type="dxa"/>
            <w:tcBorders>
              <w:top w:val="single" w:color="AEAEAE" w:sz="8" w:space="0"/>
              <w:left w:val="nil"/>
              <w:bottom w:val="single" w:color="152935" w:sz="8" w:space="0"/>
              <w:right w:val="nil"/>
            </w:tcBorders>
            <w:shd w:val="clear" w:color="auto" w:fill="E0E0E0"/>
          </w:tcPr>
          <w:p w14:paraId="4B1B08F7">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Over 30</w:t>
            </w:r>
          </w:p>
        </w:tc>
        <w:tc>
          <w:tcPr>
            <w:tcW w:w="1196" w:type="dxa"/>
            <w:tcBorders>
              <w:top w:val="single" w:color="AEAEAE" w:sz="8" w:space="0"/>
              <w:left w:val="nil"/>
              <w:bottom w:val="single" w:color="152935" w:sz="8" w:space="0"/>
              <w:right w:val="single" w:color="E0E0E0" w:sz="8" w:space="0"/>
            </w:tcBorders>
            <w:shd w:val="clear" w:color="auto" w:fill="F9F9FB"/>
          </w:tcPr>
          <w:p w14:paraId="6733D2F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44</w:t>
            </w:r>
          </w:p>
        </w:tc>
        <w:tc>
          <w:tcPr>
            <w:tcW w:w="1054" w:type="dxa"/>
            <w:tcBorders>
              <w:top w:val="single" w:color="AEAEAE" w:sz="8" w:space="0"/>
              <w:left w:val="single" w:color="E0E0E0" w:sz="8" w:space="0"/>
              <w:bottom w:val="single" w:color="152935" w:sz="8" w:space="0"/>
              <w:right w:val="nil"/>
            </w:tcBorders>
            <w:shd w:val="clear" w:color="auto" w:fill="F9F9FB"/>
          </w:tcPr>
          <w:p w14:paraId="4A31CC90">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19.9%</w:t>
            </w:r>
          </w:p>
        </w:tc>
      </w:tr>
    </w:tbl>
    <w:p w14:paraId="4A3C3BBF">
      <w:pPr>
        <w:spacing w:after="200" w:line="360" w:lineRule="auto"/>
        <w:jc w:val="center"/>
        <w:rPr>
          <w:rFonts w:ascii="Times New Roman" w:hAnsi="Times New Roman" w:eastAsia="Calibri" w:cs="Times New Roman"/>
          <w:i/>
          <w:iCs/>
          <w:color w:val="000000"/>
          <w:sz w:val="18"/>
          <w:szCs w:val="18"/>
          <w:lang w:val="zh-CN" w:eastAsia="en-US"/>
          <w14:ligatures w14:val="standardContextual"/>
        </w:rPr>
      </w:pPr>
      <w:bookmarkStart w:id="42" w:name="_Toc207018209"/>
      <w:r>
        <w:rPr>
          <w:rFonts w:ascii="Times New Roman" w:hAnsi="Times New Roman" w:eastAsia="Calibri" w:cs="Times New Roman"/>
          <w:i/>
          <w:iCs/>
          <w:color w:val="000000"/>
          <w:sz w:val="18"/>
          <w:szCs w:val="18"/>
          <w:lang w:val="zh-CN" w:eastAsia="en-US"/>
          <w14:ligatures w14:val="standardContextual"/>
        </w:rPr>
        <w:t xml:space="preserve">Table </w:t>
      </w:r>
      <w:r>
        <w:rPr>
          <w:rFonts w:ascii="Times New Roman" w:hAnsi="Times New Roman" w:eastAsia="Calibri" w:cs="Times New Roman"/>
          <w:i/>
          <w:iCs/>
          <w:color w:val="000000"/>
          <w:sz w:val="18"/>
          <w:szCs w:val="18"/>
          <w:lang w:val="zh-CN" w:eastAsia="en-US"/>
          <w14:ligatures w14:val="standardContextual"/>
        </w:rPr>
        <w:fldChar w:fldCharType="begin"/>
      </w:r>
      <w:r>
        <w:rPr>
          <w:rFonts w:ascii="Times New Roman" w:hAnsi="Times New Roman" w:eastAsia="Calibri" w:cs="Times New Roman"/>
          <w:i/>
          <w:iCs/>
          <w:color w:val="000000"/>
          <w:sz w:val="18"/>
          <w:szCs w:val="18"/>
          <w:lang w:val="zh-CN" w:eastAsia="en-US"/>
          <w14:ligatures w14:val="standardContextual"/>
        </w:rPr>
        <w:instrText xml:space="preserve"> SEQ Table \* ARABIC </w:instrText>
      </w:r>
      <w:r>
        <w:rPr>
          <w:rFonts w:ascii="Times New Roman" w:hAnsi="Times New Roman" w:eastAsia="Calibri" w:cs="Times New Roman"/>
          <w:i/>
          <w:iCs/>
          <w:color w:val="000000"/>
          <w:sz w:val="18"/>
          <w:szCs w:val="18"/>
          <w:lang w:val="zh-CN" w:eastAsia="en-US"/>
          <w14:ligatures w14:val="standardContextual"/>
        </w:rPr>
        <w:fldChar w:fldCharType="separate"/>
      </w:r>
      <w:r>
        <w:rPr>
          <w:rFonts w:ascii="Times New Roman" w:hAnsi="Times New Roman" w:eastAsia="Calibri" w:cs="Times New Roman"/>
          <w:i/>
          <w:iCs/>
          <w:color w:val="000000"/>
          <w:sz w:val="18"/>
          <w:szCs w:val="18"/>
          <w:lang w:val="zh-CN" w:eastAsia="en-US"/>
          <w14:ligatures w14:val="standardContextual"/>
        </w:rPr>
        <w:t>2</w:t>
      </w:r>
      <w:r>
        <w:rPr>
          <w:rFonts w:ascii="Times New Roman" w:hAnsi="Times New Roman" w:eastAsia="Calibri" w:cs="Times New Roman"/>
          <w:i/>
          <w:iCs/>
          <w:color w:val="000000"/>
          <w:sz w:val="18"/>
          <w:szCs w:val="18"/>
          <w:lang w:val="zh-CN" w:eastAsia="en-US"/>
          <w14:ligatures w14:val="standardContextual"/>
        </w:rPr>
        <w:fldChar w:fldCharType="end"/>
      </w:r>
      <w:r>
        <w:rPr>
          <w:rFonts w:ascii="Times New Roman" w:hAnsi="Times New Roman" w:eastAsia="Calibri" w:cs="Times New Roman"/>
          <w:i/>
          <w:iCs/>
          <w:color w:val="000000"/>
          <w:sz w:val="18"/>
          <w:szCs w:val="18"/>
          <w:lang w:eastAsia="en-US"/>
          <w14:ligatures w14:val="standardContextual"/>
        </w:rPr>
        <w:t xml:space="preserve"> - Distribution of age group</w:t>
      </w:r>
      <w:bookmarkEnd w:id="42"/>
    </w:p>
    <w:p w14:paraId="03CCF006">
      <w:pPr>
        <w:keepNext/>
        <w:keepLines/>
        <w:numPr>
          <w:ilvl w:val="2"/>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43" w:name="_Toc22583"/>
      <w:r>
        <w:rPr>
          <w:rFonts w:ascii="Times New Roman" w:hAnsi="Times New Roman" w:eastAsia="等线 Light" w:cs="Times New Roman"/>
          <w:b/>
          <w:bCs/>
          <w:color w:val="000000"/>
          <w:sz w:val="32"/>
          <w:szCs w:val="32"/>
          <w:lang w:val="zh-CN" w:eastAsia="en-US"/>
          <w14:ligatures w14:val="standardContextual"/>
        </w:rPr>
        <w:t>Employment Status</w:t>
      </w:r>
      <w:bookmarkEnd w:id="43"/>
    </w:p>
    <w:p w14:paraId="6820BD4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Working statistics indicate that 52% of the respondents were employed, 47.5 % were unemployed, and only 0.5% were students (Figure 3). There are suggestions that </w:t>
      </w:r>
      <w:r>
        <w:rPr>
          <w:rFonts w:ascii="Times New Roman" w:hAnsi="Times New Roman" w:eastAsia="Calibri" w:cs="Times New Roman"/>
          <w:color w:val="000000"/>
          <w:kern w:val="0"/>
          <w:sz w:val="24"/>
          <w:lang w:eastAsia="en-US"/>
        </w:rPr>
        <w:t>the ambiguous economic status of younger consumers can attract them differently in terms of brand loyalty, especially when considering the evaluator's perspective on utility and value-based CSR</w:t>
      </w:r>
      <w:r>
        <w:rPr>
          <w:rFonts w:ascii="Times New Roman" w:hAnsi="Times New Roman" w:eastAsia="Calibri" w:cs="Times New Roman"/>
          <w:color w:val="000000"/>
          <w:sz w:val="24"/>
          <w:lang w:eastAsia="en-US"/>
          <w14:ligatures w14:val="standardContextual"/>
        </w:rPr>
        <w:t xml:space="preserve"> practices.</w:t>
      </w:r>
    </w:p>
    <w:tbl>
      <w:tblPr>
        <w:tblStyle w:val="5"/>
        <w:tblW w:w="364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397"/>
        <w:gridCol w:w="1192"/>
        <w:gridCol w:w="1051"/>
      </w:tblGrid>
      <w:tr w14:paraId="7569A9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3639" w:type="dxa"/>
            <w:gridSpan w:val="3"/>
            <w:tcBorders>
              <w:top w:val="nil"/>
              <w:left w:val="nil"/>
              <w:bottom w:val="nil"/>
              <w:right w:val="nil"/>
            </w:tcBorders>
            <w:shd w:val="clear" w:color="auto" w:fill="FFFFFF"/>
            <w:vAlign w:val="center"/>
          </w:tcPr>
          <w:p w14:paraId="4B0AB90B">
            <w:pPr>
              <w:widowControl/>
              <w:spacing w:after="160" w:line="360" w:lineRule="auto"/>
              <w:ind w:left="60" w:right="60"/>
              <w:jc w:val="center"/>
              <w:rPr>
                <w:rFonts w:ascii="Times New Roman" w:hAnsi="Times New Roman" w:eastAsia="Calibri" w:cs="Times New Roman"/>
                <w:color w:val="000000"/>
                <w:sz w:val="22"/>
                <w:szCs w:val="22"/>
                <w:lang w:eastAsia="en-US"/>
                <w14:ligatures w14:val="standardContextual"/>
              </w:rPr>
            </w:pPr>
            <w:r>
              <w:rPr>
                <w:rFonts w:ascii="Times New Roman" w:hAnsi="Times New Roman" w:eastAsia="Calibri" w:cs="Times New Roman"/>
                <w:b/>
                <w:bCs/>
                <w:color w:val="000000"/>
                <w:sz w:val="22"/>
                <w:szCs w:val="22"/>
                <w:lang w:eastAsia="en-US"/>
                <w14:ligatures w14:val="standardContextual"/>
              </w:rPr>
              <w:t>3. What is your current employment status?</w:t>
            </w:r>
          </w:p>
        </w:tc>
      </w:tr>
      <w:tr w14:paraId="3910A9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1396" w:type="dxa"/>
            <w:tcBorders>
              <w:top w:val="nil"/>
              <w:left w:val="nil"/>
              <w:bottom w:val="single" w:color="152935" w:sz="8" w:space="0"/>
              <w:right w:val="nil"/>
            </w:tcBorders>
            <w:shd w:val="clear" w:color="auto" w:fill="FFFFFF"/>
            <w:vAlign w:val="bottom"/>
          </w:tcPr>
          <w:p w14:paraId="71A4BA6C">
            <w:pPr>
              <w:widowControl/>
              <w:spacing w:after="160" w:line="360" w:lineRule="auto"/>
              <w:jc w:val="left"/>
              <w:rPr>
                <w:rFonts w:ascii="Times New Roman" w:hAnsi="Times New Roman" w:eastAsia="Calibri" w:cs="Times New Roman"/>
                <w:color w:val="000000"/>
                <w:sz w:val="24"/>
                <w:lang w:eastAsia="en-US"/>
                <w14:ligatures w14:val="standardContextual"/>
              </w:rPr>
            </w:pPr>
          </w:p>
        </w:tc>
        <w:tc>
          <w:tcPr>
            <w:tcW w:w="1192" w:type="dxa"/>
            <w:tcBorders>
              <w:top w:val="nil"/>
              <w:left w:val="nil"/>
              <w:bottom w:val="single" w:color="152935" w:sz="8" w:space="0"/>
              <w:right w:val="single" w:color="E0E0E0" w:sz="8" w:space="0"/>
            </w:tcBorders>
            <w:shd w:val="clear" w:color="auto" w:fill="FFFFFF"/>
            <w:vAlign w:val="bottom"/>
          </w:tcPr>
          <w:p w14:paraId="5790B90B">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N</w:t>
            </w:r>
          </w:p>
        </w:tc>
        <w:tc>
          <w:tcPr>
            <w:tcW w:w="1051" w:type="dxa"/>
            <w:tcBorders>
              <w:top w:val="nil"/>
              <w:left w:val="single" w:color="E0E0E0" w:sz="8" w:space="0"/>
              <w:bottom w:val="single" w:color="152935" w:sz="8" w:space="0"/>
              <w:right w:val="nil"/>
            </w:tcBorders>
            <w:shd w:val="clear" w:color="auto" w:fill="FFFFFF"/>
            <w:vAlign w:val="bottom"/>
          </w:tcPr>
          <w:p w14:paraId="6617C5EB">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w:t>
            </w:r>
          </w:p>
        </w:tc>
      </w:tr>
      <w:tr w14:paraId="04A31D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1396" w:type="dxa"/>
            <w:tcBorders>
              <w:top w:val="single" w:color="152935" w:sz="8" w:space="0"/>
              <w:left w:val="nil"/>
              <w:bottom w:val="single" w:color="AEAEAE" w:sz="8" w:space="0"/>
              <w:right w:val="nil"/>
            </w:tcBorders>
            <w:shd w:val="clear" w:color="auto" w:fill="E0E0E0"/>
          </w:tcPr>
          <w:p w14:paraId="4F53D5F8">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Student</w:t>
            </w:r>
          </w:p>
        </w:tc>
        <w:tc>
          <w:tcPr>
            <w:tcW w:w="1192" w:type="dxa"/>
            <w:tcBorders>
              <w:top w:val="single" w:color="152935" w:sz="8" w:space="0"/>
              <w:left w:val="nil"/>
              <w:bottom w:val="single" w:color="AEAEAE" w:sz="8" w:space="0"/>
              <w:right w:val="single" w:color="E0E0E0" w:sz="8" w:space="0"/>
            </w:tcBorders>
            <w:shd w:val="clear" w:color="auto" w:fill="F9F9FB"/>
          </w:tcPr>
          <w:p w14:paraId="5E44620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w:t>
            </w:r>
          </w:p>
        </w:tc>
        <w:tc>
          <w:tcPr>
            <w:tcW w:w="1051" w:type="dxa"/>
            <w:tcBorders>
              <w:top w:val="single" w:color="152935" w:sz="8" w:space="0"/>
              <w:left w:val="single" w:color="E0E0E0" w:sz="8" w:space="0"/>
              <w:bottom w:val="single" w:color="AEAEAE" w:sz="8" w:space="0"/>
              <w:right w:val="nil"/>
            </w:tcBorders>
            <w:shd w:val="clear" w:color="auto" w:fill="F9F9FB"/>
          </w:tcPr>
          <w:p w14:paraId="0070DB8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0.5%</w:t>
            </w:r>
          </w:p>
        </w:tc>
      </w:tr>
      <w:tr w14:paraId="2ED8F0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1396" w:type="dxa"/>
            <w:tcBorders>
              <w:top w:val="single" w:color="AEAEAE" w:sz="8" w:space="0"/>
              <w:left w:val="nil"/>
              <w:bottom w:val="single" w:color="AEAEAE" w:sz="8" w:space="0"/>
              <w:right w:val="nil"/>
            </w:tcBorders>
            <w:shd w:val="clear" w:color="auto" w:fill="E0E0E0"/>
          </w:tcPr>
          <w:p w14:paraId="00BAB45E">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Employed</w:t>
            </w:r>
          </w:p>
        </w:tc>
        <w:tc>
          <w:tcPr>
            <w:tcW w:w="1192" w:type="dxa"/>
            <w:tcBorders>
              <w:top w:val="single" w:color="AEAEAE" w:sz="8" w:space="0"/>
              <w:left w:val="nil"/>
              <w:bottom w:val="single" w:color="AEAEAE" w:sz="8" w:space="0"/>
              <w:right w:val="single" w:color="E0E0E0" w:sz="8" w:space="0"/>
            </w:tcBorders>
            <w:shd w:val="clear" w:color="auto" w:fill="F9F9FB"/>
          </w:tcPr>
          <w:p w14:paraId="15A61AEE">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115</w:t>
            </w:r>
          </w:p>
        </w:tc>
        <w:tc>
          <w:tcPr>
            <w:tcW w:w="1051" w:type="dxa"/>
            <w:tcBorders>
              <w:top w:val="single" w:color="AEAEAE" w:sz="8" w:space="0"/>
              <w:left w:val="single" w:color="E0E0E0" w:sz="8" w:space="0"/>
              <w:bottom w:val="single" w:color="AEAEAE" w:sz="8" w:space="0"/>
              <w:right w:val="nil"/>
            </w:tcBorders>
            <w:shd w:val="clear" w:color="auto" w:fill="F9F9FB"/>
          </w:tcPr>
          <w:p w14:paraId="2063C713">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52.0%</w:t>
            </w:r>
          </w:p>
        </w:tc>
      </w:tr>
      <w:tr w14:paraId="0FB18A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1396" w:type="dxa"/>
            <w:tcBorders>
              <w:top w:val="single" w:color="AEAEAE" w:sz="8" w:space="0"/>
              <w:left w:val="nil"/>
              <w:bottom w:val="single" w:color="152935" w:sz="8" w:space="0"/>
              <w:right w:val="nil"/>
            </w:tcBorders>
            <w:shd w:val="clear" w:color="auto" w:fill="E0E0E0"/>
          </w:tcPr>
          <w:p w14:paraId="53959A43">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Unemployed</w:t>
            </w:r>
          </w:p>
        </w:tc>
        <w:tc>
          <w:tcPr>
            <w:tcW w:w="1192" w:type="dxa"/>
            <w:tcBorders>
              <w:top w:val="single" w:color="AEAEAE" w:sz="8" w:space="0"/>
              <w:left w:val="nil"/>
              <w:bottom w:val="single" w:color="152935" w:sz="8" w:space="0"/>
              <w:right w:val="single" w:color="E0E0E0" w:sz="8" w:space="0"/>
            </w:tcBorders>
            <w:shd w:val="clear" w:color="auto" w:fill="F9F9FB"/>
          </w:tcPr>
          <w:p w14:paraId="2D4BDF2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105</w:t>
            </w:r>
          </w:p>
        </w:tc>
        <w:tc>
          <w:tcPr>
            <w:tcW w:w="1051" w:type="dxa"/>
            <w:tcBorders>
              <w:top w:val="single" w:color="AEAEAE" w:sz="8" w:space="0"/>
              <w:left w:val="single" w:color="E0E0E0" w:sz="8" w:space="0"/>
              <w:bottom w:val="single" w:color="152935" w:sz="8" w:space="0"/>
              <w:right w:val="nil"/>
            </w:tcBorders>
            <w:shd w:val="clear" w:color="auto" w:fill="F9F9FB"/>
          </w:tcPr>
          <w:p w14:paraId="52BBF4F7">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47.5%</w:t>
            </w:r>
          </w:p>
        </w:tc>
      </w:tr>
    </w:tbl>
    <w:p w14:paraId="2928FFAD">
      <w:pPr>
        <w:spacing w:after="200" w:line="360" w:lineRule="auto"/>
        <w:jc w:val="center"/>
        <w:rPr>
          <w:rFonts w:ascii="Times New Roman" w:hAnsi="Times New Roman" w:eastAsia="Calibri" w:cs="Times New Roman"/>
          <w:i/>
          <w:iCs/>
          <w:color w:val="000000"/>
          <w:sz w:val="18"/>
          <w:szCs w:val="18"/>
          <w:lang w:val="zh-CN" w:eastAsia="en-US"/>
          <w14:ligatures w14:val="standardContextual"/>
        </w:rPr>
      </w:pPr>
      <w:bookmarkStart w:id="44" w:name="_Toc207018210"/>
      <w:r>
        <w:rPr>
          <w:rFonts w:ascii="Times New Roman" w:hAnsi="Times New Roman" w:eastAsia="Calibri" w:cs="Times New Roman"/>
          <w:i/>
          <w:iCs/>
          <w:color w:val="000000"/>
          <w:sz w:val="18"/>
          <w:szCs w:val="18"/>
          <w:lang w:val="zh-CN" w:eastAsia="en-US"/>
          <w14:ligatures w14:val="standardContextual"/>
        </w:rPr>
        <w:t xml:space="preserve">Table </w:t>
      </w:r>
      <w:r>
        <w:rPr>
          <w:rFonts w:ascii="Times New Roman" w:hAnsi="Times New Roman" w:eastAsia="Calibri" w:cs="Times New Roman"/>
          <w:i/>
          <w:iCs/>
          <w:color w:val="000000"/>
          <w:sz w:val="18"/>
          <w:szCs w:val="18"/>
          <w:lang w:val="zh-CN" w:eastAsia="en-US"/>
          <w14:ligatures w14:val="standardContextual"/>
        </w:rPr>
        <w:fldChar w:fldCharType="begin"/>
      </w:r>
      <w:r>
        <w:rPr>
          <w:rFonts w:ascii="Times New Roman" w:hAnsi="Times New Roman" w:eastAsia="Calibri" w:cs="Times New Roman"/>
          <w:i/>
          <w:iCs/>
          <w:color w:val="000000"/>
          <w:sz w:val="18"/>
          <w:szCs w:val="18"/>
          <w:lang w:val="zh-CN" w:eastAsia="en-US"/>
          <w14:ligatures w14:val="standardContextual"/>
        </w:rPr>
        <w:instrText xml:space="preserve"> SEQ Table \* ARABIC </w:instrText>
      </w:r>
      <w:r>
        <w:rPr>
          <w:rFonts w:ascii="Times New Roman" w:hAnsi="Times New Roman" w:eastAsia="Calibri" w:cs="Times New Roman"/>
          <w:i/>
          <w:iCs/>
          <w:color w:val="000000"/>
          <w:sz w:val="18"/>
          <w:szCs w:val="18"/>
          <w:lang w:val="zh-CN" w:eastAsia="en-US"/>
          <w14:ligatures w14:val="standardContextual"/>
        </w:rPr>
        <w:fldChar w:fldCharType="separate"/>
      </w:r>
      <w:r>
        <w:rPr>
          <w:rFonts w:ascii="Times New Roman" w:hAnsi="Times New Roman" w:eastAsia="Calibri" w:cs="Times New Roman"/>
          <w:i/>
          <w:iCs/>
          <w:color w:val="000000"/>
          <w:sz w:val="18"/>
          <w:szCs w:val="18"/>
          <w:lang w:val="zh-CN" w:eastAsia="en-US"/>
          <w14:ligatures w14:val="standardContextual"/>
        </w:rPr>
        <w:t>3</w:t>
      </w:r>
      <w:r>
        <w:rPr>
          <w:rFonts w:ascii="Times New Roman" w:hAnsi="Times New Roman" w:eastAsia="Calibri" w:cs="Times New Roman"/>
          <w:i/>
          <w:iCs/>
          <w:color w:val="000000"/>
          <w:sz w:val="18"/>
          <w:szCs w:val="18"/>
          <w:lang w:val="zh-CN" w:eastAsia="en-US"/>
          <w14:ligatures w14:val="standardContextual"/>
        </w:rPr>
        <w:fldChar w:fldCharType="end"/>
      </w:r>
      <w:r>
        <w:rPr>
          <w:rFonts w:ascii="Times New Roman" w:hAnsi="Times New Roman" w:eastAsia="Calibri" w:cs="Times New Roman"/>
          <w:i/>
          <w:iCs/>
          <w:color w:val="000000"/>
          <w:sz w:val="18"/>
          <w:szCs w:val="18"/>
          <w:lang w:eastAsia="en-US"/>
          <w14:ligatures w14:val="standardContextual"/>
        </w:rPr>
        <w:t xml:space="preserve"> – Employment Status</w:t>
      </w:r>
      <w:bookmarkEnd w:id="44"/>
    </w:p>
    <w:p w14:paraId="24E55CF3">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When analyzing the data from the questionnaire, the "unemployed" option accounted for as high as 47.5% of the responses. Upon deeper analysis, this abnormally high value primarily stems from the limitations in the option settings of the questionnaire design. Listing "student" as a parallel option alongside "employed" and "unemployed" at a single level led to misselection by some respondents who are students. Many</w:t>
      </w:r>
      <w:r>
        <w:rPr>
          <w:rFonts w:hint="eastAsia" w:ascii="Times New Roman" w:hAnsi="Times New Roman" w:eastAsia="宋体" w:cs="Times New Roman"/>
          <w:color w:val="000000"/>
          <w:sz w:val="24"/>
          <w14:ligatures w14:val="standardContextual"/>
        </w:rPr>
        <w:t xml:space="preserve"> students</w:t>
      </w:r>
      <w:r>
        <w:rPr>
          <w:rFonts w:hint="eastAsia" w:ascii="Times New Roman" w:hAnsi="Times New Roman" w:eastAsia="Calibri" w:cs="Times New Roman"/>
          <w:color w:val="000000"/>
          <w:sz w:val="24"/>
          <w:lang w:eastAsia="en-US"/>
          <w14:ligatures w14:val="standardContextual"/>
        </w:rPr>
        <w:t xml:space="preserve"> did not perceive "student" as an "employment status" and instead, based on their lack of engagement in full-time work, directly chose the "unemployed" option. This resulted in a significant portion of this group being categorized under the unemployed range in the data, thus inflating the statistics.</w:t>
      </w:r>
    </w:p>
    <w:p w14:paraId="0E2BAC9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As the representatives of this demographic group have been susceptible to the same challenge because they refer to social media as one of the essential parts of their lives (Siagian &amp; Yuliana, 2023), the latter fact proves that it is relevant to explore the implications of CSR on social media platforms regarding the pattern of their loyalty.</w:t>
      </w:r>
    </w:p>
    <w:p w14:paraId="3C8926A6">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45" w:name="_Toc8670"/>
      <w:r>
        <w:rPr>
          <w:rFonts w:ascii="Times New Roman" w:hAnsi="Times New Roman" w:eastAsia="等线 Light" w:cs="Times New Roman"/>
          <w:b/>
          <w:bCs/>
          <w:color w:val="000000"/>
          <w:sz w:val="32"/>
          <w:szCs w:val="32"/>
          <w:lang w:val="zh-CN" w:eastAsia="en-US"/>
          <w14:ligatures w14:val="standardContextual"/>
        </w:rPr>
        <w:t>CSR Awareness and Perception:</w:t>
      </w:r>
      <w:bookmarkEnd w:id="45"/>
    </w:p>
    <w:p w14:paraId="749C899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Awareness and perception of Gen Z consumers towards Corporate Social Responsibility (CSR), in the form of descriptive statistics, was computed based on five Likert-scale questions (Q1-Q5). The obtained </w:t>
      </w:r>
      <w:r>
        <w:rPr>
          <w:rFonts w:ascii="Times New Roman" w:hAnsi="Times New Roman" w:eastAsia="Calibri" w:cs="Times New Roman"/>
          <w:color w:val="000000"/>
          <w:kern w:val="0"/>
          <w:sz w:val="24"/>
          <w:lang w:eastAsia="en-US"/>
        </w:rPr>
        <w:t>metrics, calculated as summari</w:t>
      </w:r>
      <w:r>
        <w:rPr>
          <w:rFonts w:ascii="Times New Roman" w:hAnsi="Times New Roman" w:cs="Times New Roman"/>
          <w:color w:val="000000"/>
          <w:kern w:val="0"/>
          <w:sz w:val="24"/>
        </w:rPr>
        <w:t>s</w:t>
      </w:r>
      <w:r>
        <w:rPr>
          <w:rFonts w:ascii="Times New Roman" w:hAnsi="Times New Roman" w:eastAsia="Calibri" w:cs="Times New Roman"/>
          <w:color w:val="000000"/>
          <w:kern w:val="0"/>
          <w:sz w:val="24"/>
          <w:lang w:eastAsia="en-US"/>
        </w:rPr>
        <w:t>ed, are a minimum of 5.00, a maximum of 25.00, a mean measure of 16.32,</w:t>
      </w:r>
      <w:r>
        <w:rPr>
          <w:rFonts w:ascii="Times New Roman" w:hAnsi="Times New Roman" w:eastAsia="Calibri" w:cs="Times New Roman"/>
          <w:color w:val="000000"/>
          <w:sz w:val="24"/>
          <w:lang w:eastAsia="en-US"/>
          <w14:ligatures w14:val="standardContextual"/>
        </w:rPr>
        <w:t xml:space="preserve"> and a standard deviation of 4.97. These scores reflect a moderate to high awareness of CSR concepts among respondents.</w:t>
      </w:r>
    </w:p>
    <w:p w14:paraId="345662A8">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average mark shows a positive trend of Gen Z customers to consume CSR stories. The achievement in the scores is above the midpoint, implying that a majority of the participants are acquainted with and appreciate the CSR actions by companies. Also, the deviation is expected, to some degree, since the standard deviation indicates a diversity in perception, which might be shown because of the individual commonness of brand exposure or personal value.</w:t>
      </w:r>
    </w:p>
    <w:p w14:paraId="71139EE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mean scores of each of the items related to CSR can be visualized, as shown in Table 4 (below). This would allow a clear indication of which dimensions of CSR (e.g., ethical responsibility, environmental care, transparency, etc.) are of most appeal to the audience of interest.</w:t>
      </w:r>
    </w:p>
    <w:tbl>
      <w:tblPr>
        <w:tblStyle w:val="5"/>
        <w:tblW w:w="819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7"/>
        <w:gridCol w:w="1036"/>
        <w:gridCol w:w="1082"/>
        <w:gridCol w:w="1113"/>
        <w:gridCol w:w="1036"/>
        <w:gridCol w:w="1455"/>
      </w:tblGrid>
      <w:tr w14:paraId="4A3CBD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8196" w:type="dxa"/>
            <w:gridSpan w:val="6"/>
            <w:tcBorders>
              <w:top w:val="nil"/>
              <w:left w:val="nil"/>
              <w:bottom w:val="nil"/>
              <w:right w:val="nil"/>
            </w:tcBorders>
            <w:shd w:val="clear" w:color="auto" w:fill="FFFFFF"/>
            <w:vAlign w:val="center"/>
          </w:tcPr>
          <w:p w14:paraId="18C4A00C">
            <w:pPr>
              <w:widowControl/>
              <w:spacing w:after="160" w:line="360" w:lineRule="auto"/>
              <w:ind w:left="60" w:right="60"/>
              <w:jc w:val="center"/>
              <w:rPr>
                <w:rFonts w:ascii="Times New Roman" w:hAnsi="Times New Roman" w:eastAsia="Calibri" w:cs="Times New Roman"/>
                <w:color w:val="000000"/>
                <w:sz w:val="22"/>
                <w:szCs w:val="22"/>
                <w:lang w:val="zh-CN" w:eastAsia="en-US"/>
                <w14:ligatures w14:val="standardContextual"/>
              </w:rPr>
            </w:pPr>
            <w:r>
              <w:rPr>
                <w:rFonts w:ascii="Times New Roman" w:hAnsi="Times New Roman" w:eastAsia="Calibri" w:cs="Times New Roman"/>
                <w:b/>
                <w:bCs/>
                <w:color w:val="000000"/>
                <w:sz w:val="22"/>
                <w:szCs w:val="22"/>
                <w:lang w:val="zh-CN" w:eastAsia="en-US"/>
                <w14:ligatures w14:val="standardContextual"/>
              </w:rPr>
              <w:t>Descriptive Statistics</w:t>
            </w:r>
          </w:p>
        </w:tc>
      </w:tr>
      <w:tr w14:paraId="1FC044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75" w:type="dxa"/>
            <w:tcBorders>
              <w:top w:val="nil"/>
              <w:left w:val="nil"/>
              <w:bottom w:val="single" w:color="152935" w:sz="8" w:space="0"/>
              <w:right w:val="nil"/>
            </w:tcBorders>
            <w:shd w:val="clear" w:color="auto" w:fill="FFFFFF"/>
            <w:vAlign w:val="bottom"/>
          </w:tcPr>
          <w:p w14:paraId="174A72B0">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036" w:type="dxa"/>
            <w:tcBorders>
              <w:top w:val="nil"/>
              <w:left w:val="nil"/>
              <w:bottom w:val="single" w:color="152935" w:sz="8" w:space="0"/>
              <w:right w:val="single" w:color="E0E0E0" w:sz="8" w:space="0"/>
            </w:tcBorders>
            <w:shd w:val="clear" w:color="auto" w:fill="FFFFFF"/>
            <w:vAlign w:val="bottom"/>
          </w:tcPr>
          <w:p w14:paraId="1E1E7E2A">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N</w:t>
            </w:r>
          </w:p>
        </w:tc>
        <w:tc>
          <w:tcPr>
            <w:tcW w:w="1082" w:type="dxa"/>
            <w:tcBorders>
              <w:top w:val="nil"/>
              <w:left w:val="single" w:color="E0E0E0" w:sz="8" w:space="0"/>
              <w:bottom w:val="single" w:color="152935" w:sz="8" w:space="0"/>
              <w:right w:val="single" w:color="E0E0E0" w:sz="8" w:space="0"/>
            </w:tcBorders>
            <w:shd w:val="clear" w:color="auto" w:fill="FFFFFF"/>
            <w:vAlign w:val="bottom"/>
          </w:tcPr>
          <w:p w14:paraId="12DADBE4">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Minimum</w:t>
            </w:r>
          </w:p>
        </w:tc>
        <w:tc>
          <w:tcPr>
            <w:tcW w:w="1113" w:type="dxa"/>
            <w:tcBorders>
              <w:top w:val="nil"/>
              <w:left w:val="single" w:color="E0E0E0" w:sz="8" w:space="0"/>
              <w:bottom w:val="single" w:color="152935" w:sz="8" w:space="0"/>
              <w:right w:val="single" w:color="E0E0E0" w:sz="8" w:space="0"/>
            </w:tcBorders>
            <w:shd w:val="clear" w:color="auto" w:fill="FFFFFF"/>
            <w:vAlign w:val="bottom"/>
          </w:tcPr>
          <w:p w14:paraId="71326A01">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Maximum</w:t>
            </w:r>
          </w:p>
        </w:tc>
        <w:tc>
          <w:tcPr>
            <w:tcW w:w="1036" w:type="dxa"/>
            <w:tcBorders>
              <w:top w:val="nil"/>
              <w:left w:val="single" w:color="E0E0E0" w:sz="8" w:space="0"/>
              <w:bottom w:val="single" w:color="152935" w:sz="8" w:space="0"/>
              <w:right w:val="single" w:color="E0E0E0" w:sz="8" w:space="0"/>
            </w:tcBorders>
            <w:shd w:val="clear" w:color="auto" w:fill="FFFFFF"/>
            <w:vAlign w:val="bottom"/>
          </w:tcPr>
          <w:p w14:paraId="3619A0B3">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Mean</w:t>
            </w:r>
          </w:p>
        </w:tc>
        <w:tc>
          <w:tcPr>
            <w:tcW w:w="1454" w:type="dxa"/>
            <w:tcBorders>
              <w:top w:val="nil"/>
              <w:left w:val="single" w:color="E0E0E0" w:sz="8" w:space="0"/>
              <w:bottom w:val="single" w:color="152935" w:sz="8" w:space="0"/>
              <w:right w:val="nil"/>
            </w:tcBorders>
            <w:shd w:val="clear" w:color="auto" w:fill="FFFFFF"/>
            <w:vAlign w:val="bottom"/>
          </w:tcPr>
          <w:p w14:paraId="1036C214">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Std. Deviation</w:t>
            </w:r>
          </w:p>
        </w:tc>
      </w:tr>
      <w:tr w14:paraId="4449C0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75" w:type="dxa"/>
            <w:tcBorders>
              <w:top w:val="single" w:color="152935" w:sz="8" w:space="0"/>
              <w:left w:val="nil"/>
              <w:bottom w:val="single" w:color="AEAEAE" w:sz="8" w:space="0"/>
              <w:right w:val="nil"/>
            </w:tcBorders>
            <w:shd w:val="clear" w:color="auto" w:fill="E0E0E0"/>
          </w:tcPr>
          <w:p w14:paraId="2E21BCED">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Awareness and Perception</w:t>
            </w:r>
          </w:p>
        </w:tc>
        <w:tc>
          <w:tcPr>
            <w:tcW w:w="1036" w:type="dxa"/>
            <w:tcBorders>
              <w:top w:val="single" w:color="152935" w:sz="8" w:space="0"/>
              <w:left w:val="nil"/>
              <w:bottom w:val="single" w:color="AEAEAE" w:sz="8" w:space="0"/>
              <w:right w:val="single" w:color="E0E0E0" w:sz="8" w:space="0"/>
            </w:tcBorders>
            <w:shd w:val="clear" w:color="auto" w:fill="F9F9FB"/>
          </w:tcPr>
          <w:p w14:paraId="5F598EBC">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220</w:t>
            </w:r>
          </w:p>
        </w:tc>
        <w:tc>
          <w:tcPr>
            <w:tcW w:w="1082" w:type="dxa"/>
            <w:tcBorders>
              <w:top w:val="single" w:color="152935" w:sz="8" w:space="0"/>
              <w:left w:val="single" w:color="E0E0E0" w:sz="8" w:space="0"/>
              <w:bottom w:val="single" w:color="AEAEAE" w:sz="8" w:space="0"/>
              <w:right w:val="single" w:color="E0E0E0" w:sz="8" w:space="0"/>
            </w:tcBorders>
            <w:shd w:val="clear" w:color="auto" w:fill="F9F9FB"/>
          </w:tcPr>
          <w:p w14:paraId="09C5BCCF">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5.00</w:t>
            </w:r>
          </w:p>
        </w:tc>
        <w:tc>
          <w:tcPr>
            <w:tcW w:w="1113" w:type="dxa"/>
            <w:tcBorders>
              <w:top w:val="single" w:color="152935" w:sz="8" w:space="0"/>
              <w:left w:val="single" w:color="E0E0E0" w:sz="8" w:space="0"/>
              <w:bottom w:val="single" w:color="AEAEAE" w:sz="8" w:space="0"/>
              <w:right w:val="single" w:color="E0E0E0" w:sz="8" w:space="0"/>
            </w:tcBorders>
            <w:shd w:val="clear" w:color="auto" w:fill="F9F9FB"/>
          </w:tcPr>
          <w:p w14:paraId="01E90401">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25.00</w:t>
            </w:r>
          </w:p>
        </w:tc>
        <w:tc>
          <w:tcPr>
            <w:tcW w:w="1036" w:type="dxa"/>
            <w:tcBorders>
              <w:top w:val="single" w:color="152935" w:sz="8" w:space="0"/>
              <w:left w:val="single" w:color="E0E0E0" w:sz="8" w:space="0"/>
              <w:bottom w:val="single" w:color="AEAEAE" w:sz="8" w:space="0"/>
              <w:right w:val="single" w:color="E0E0E0" w:sz="8" w:space="0"/>
            </w:tcBorders>
            <w:shd w:val="clear" w:color="auto" w:fill="F9F9FB"/>
          </w:tcPr>
          <w:p w14:paraId="634B53AE">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16.3227</w:t>
            </w:r>
          </w:p>
        </w:tc>
        <w:tc>
          <w:tcPr>
            <w:tcW w:w="1454" w:type="dxa"/>
            <w:tcBorders>
              <w:top w:val="single" w:color="152935" w:sz="8" w:space="0"/>
              <w:left w:val="single" w:color="E0E0E0" w:sz="8" w:space="0"/>
              <w:bottom w:val="single" w:color="AEAEAE" w:sz="8" w:space="0"/>
              <w:right w:val="nil"/>
            </w:tcBorders>
            <w:shd w:val="clear" w:color="auto" w:fill="F9F9FB"/>
          </w:tcPr>
          <w:p w14:paraId="5BD638B1">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4.96935</w:t>
            </w:r>
          </w:p>
        </w:tc>
      </w:tr>
      <w:tr w14:paraId="695CA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75" w:type="dxa"/>
            <w:tcBorders>
              <w:top w:val="single" w:color="AEAEAE" w:sz="8" w:space="0"/>
              <w:left w:val="nil"/>
              <w:bottom w:val="single" w:color="AEAEAE" w:sz="8" w:space="0"/>
              <w:right w:val="nil"/>
            </w:tcBorders>
            <w:shd w:val="clear" w:color="auto" w:fill="E0E0E0"/>
          </w:tcPr>
          <w:p w14:paraId="5C5DA0E9">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Brand Loyalty</w:t>
            </w:r>
          </w:p>
        </w:tc>
        <w:tc>
          <w:tcPr>
            <w:tcW w:w="1036" w:type="dxa"/>
            <w:tcBorders>
              <w:top w:val="single" w:color="AEAEAE" w:sz="8" w:space="0"/>
              <w:left w:val="nil"/>
              <w:bottom w:val="single" w:color="AEAEAE" w:sz="8" w:space="0"/>
              <w:right w:val="single" w:color="E0E0E0" w:sz="8" w:space="0"/>
            </w:tcBorders>
            <w:shd w:val="clear" w:color="auto" w:fill="F9F9FB"/>
          </w:tcPr>
          <w:p w14:paraId="0EF2F77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221</w:t>
            </w:r>
          </w:p>
        </w:tc>
        <w:tc>
          <w:tcPr>
            <w:tcW w:w="1082" w:type="dxa"/>
            <w:tcBorders>
              <w:top w:val="single" w:color="AEAEAE" w:sz="8" w:space="0"/>
              <w:left w:val="single" w:color="E0E0E0" w:sz="8" w:space="0"/>
              <w:bottom w:val="single" w:color="AEAEAE" w:sz="8" w:space="0"/>
              <w:right w:val="single" w:color="E0E0E0" w:sz="8" w:space="0"/>
            </w:tcBorders>
            <w:shd w:val="clear" w:color="auto" w:fill="F9F9FB"/>
          </w:tcPr>
          <w:p w14:paraId="1A0B7A00">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6.00</w:t>
            </w:r>
          </w:p>
        </w:tc>
        <w:tc>
          <w:tcPr>
            <w:tcW w:w="1113" w:type="dxa"/>
            <w:tcBorders>
              <w:top w:val="single" w:color="AEAEAE" w:sz="8" w:space="0"/>
              <w:left w:val="single" w:color="E0E0E0" w:sz="8" w:space="0"/>
              <w:bottom w:val="single" w:color="AEAEAE" w:sz="8" w:space="0"/>
              <w:right w:val="single" w:color="E0E0E0" w:sz="8" w:space="0"/>
            </w:tcBorders>
            <w:shd w:val="clear" w:color="auto" w:fill="F9F9FB"/>
          </w:tcPr>
          <w:p w14:paraId="4554249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25.00</w:t>
            </w:r>
          </w:p>
        </w:tc>
        <w:tc>
          <w:tcPr>
            <w:tcW w:w="1036" w:type="dxa"/>
            <w:tcBorders>
              <w:top w:val="single" w:color="AEAEAE" w:sz="8" w:space="0"/>
              <w:left w:val="single" w:color="E0E0E0" w:sz="8" w:space="0"/>
              <w:bottom w:val="single" w:color="AEAEAE" w:sz="8" w:space="0"/>
              <w:right w:val="single" w:color="E0E0E0" w:sz="8" w:space="0"/>
            </w:tcBorders>
            <w:shd w:val="clear" w:color="auto" w:fill="F9F9FB"/>
          </w:tcPr>
          <w:p w14:paraId="480BD55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17.0181</w:t>
            </w:r>
          </w:p>
        </w:tc>
        <w:tc>
          <w:tcPr>
            <w:tcW w:w="1454" w:type="dxa"/>
            <w:tcBorders>
              <w:top w:val="single" w:color="AEAEAE" w:sz="8" w:space="0"/>
              <w:left w:val="single" w:color="E0E0E0" w:sz="8" w:space="0"/>
              <w:bottom w:val="single" w:color="AEAEAE" w:sz="8" w:space="0"/>
              <w:right w:val="nil"/>
            </w:tcBorders>
            <w:shd w:val="clear" w:color="auto" w:fill="F9F9FB"/>
          </w:tcPr>
          <w:p w14:paraId="0903944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4.47515</w:t>
            </w:r>
          </w:p>
        </w:tc>
      </w:tr>
      <w:tr w14:paraId="0FFF61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75" w:type="dxa"/>
            <w:tcBorders>
              <w:top w:val="single" w:color="AEAEAE" w:sz="8" w:space="0"/>
              <w:left w:val="nil"/>
              <w:bottom w:val="single" w:color="AEAEAE" w:sz="8" w:space="0"/>
              <w:right w:val="nil"/>
            </w:tcBorders>
            <w:shd w:val="clear" w:color="auto" w:fill="E0E0E0"/>
          </w:tcPr>
          <w:p w14:paraId="231DFF6F">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Communication</w:t>
            </w:r>
          </w:p>
        </w:tc>
        <w:tc>
          <w:tcPr>
            <w:tcW w:w="1036" w:type="dxa"/>
            <w:tcBorders>
              <w:top w:val="single" w:color="AEAEAE" w:sz="8" w:space="0"/>
              <w:left w:val="nil"/>
              <w:bottom w:val="single" w:color="AEAEAE" w:sz="8" w:space="0"/>
              <w:right w:val="single" w:color="E0E0E0" w:sz="8" w:space="0"/>
            </w:tcBorders>
            <w:shd w:val="clear" w:color="auto" w:fill="F9F9FB"/>
          </w:tcPr>
          <w:p w14:paraId="50DD151F">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221</w:t>
            </w:r>
          </w:p>
        </w:tc>
        <w:tc>
          <w:tcPr>
            <w:tcW w:w="1082" w:type="dxa"/>
            <w:tcBorders>
              <w:top w:val="single" w:color="AEAEAE" w:sz="8" w:space="0"/>
              <w:left w:val="single" w:color="E0E0E0" w:sz="8" w:space="0"/>
              <w:bottom w:val="single" w:color="AEAEAE" w:sz="8" w:space="0"/>
              <w:right w:val="single" w:color="E0E0E0" w:sz="8" w:space="0"/>
            </w:tcBorders>
            <w:shd w:val="clear" w:color="auto" w:fill="F9F9FB"/>
          </w:tcPr>
          <w:p w14:paraId="4C80314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3.00</w:t>
            </w:r>
          </w:p>
        </w:tc>
        <w:tc>
          <w:tcPr>
            <w:tcW w:w="1113" w:type="dxa"/>
            <w:tcBorders>
              <w:top w:val="single" w:color="AEAEAE" w:sz="8" w:space="0"/>
              <w:left w:val="single" w:color="E0E0E0" w:sz="8" w:space="0"/>
              <w:bottom w:val="single" w:color="AEAEAE" w:sz="8" w:space="0"/>
              <w:right w:val="single" w:color="E0E0E0" w:sz="8" w:space="0"/>
            </w:tcBorders>
            <w:shd w:val="clear" w:color="auto" w:fill="F9F9FB"/>
          </w:tcPr>
          <w:p w14:paraId="6CEE9980">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11.00</w:t>
            </w:r>
          </w:p>
        </w:tc>
        <w:tc>
          <w:tcPr>
            <w:tcW w:w="1036" w:type="dxa"/>
            <w:tcBorders>
              <w:top w:val="single" w:color="AEAEAE" w:sz="8" w:space="0"/>
              <w:left w:val="single" w:color="E0E0E0" w:sz="8" w:space="0"/>
              <w:bottom w:val="single" w:color="AEAEAE" w:sz="8" w:space="0"/>
              <w:right w:val="single" w:color="E0E0E0" w:sz="8" w:space="0"/>
            </w:tcBorders>
            <w:shd w:val="clear" w:color="auto" w:fill="F9F9FB"/>
          </w:tcPr>
          <w:p w14:paraId="1883AC41">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6.2353</w:t>
            </w:r>
          </w:p>
        </w:tc>
        <w:tc>
          <w:tcPr>
            <w:tcW w:w="1454" w:type="dxa"/>
            <w:tcBorders>
              <w:top w:val="single" w:color="AEAEAE" w:sz="8" w:space="0"/>
              <w:left w:val="single" w:color="E0E0E0" w:sz="8" w:space="0"/>
              <w:bottom w:val="single" w:color="AEAEAE" w:sz="8" w:space="0"/>
              <w:right w:val="nil"/>
            </w:tcBorders>
            <w:shd w:val="clear" w:color="auto" w:fill="F9F9FB"/>
          </w:tcPr>
          <w:p w14:paraId="0E73EAB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1.69995</w:t>
            </w:r>
          </w:p>
        </w:tc>
      </w:tr>
      <w:tr w14:paraId="7F608E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75" w:type="dxa"/>
            <w:tcBorders>
              <w:top w:val="single" w:color="AEAEAE" w:sz="8" w:space="0"/>
              <w:left w:val="nil"/>
              <w:bottom w:val="single" w:color="152935" w:sz="8" w:space="0"/>
              <w:right w:val="nil"/>
            </w:tcBorders>
            <w:shd w:val="clear" w:color="auto" w:fill="E0E0E0"/>
          </w:tcPr>
          <w:p w14:paraId="533F726E">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Valid N (listwise)</w:t>
            </w:r>
          </w:p>
        </w:tc>
        <w:tc>
          <w:tcPr>
            <w:tcW w:w="1036" w:type="dxa"/>
            <w:tcBorders>
              <w:top w:val="single" w:color="AEAEAE" w:sz="8" w:space="0"/>
              <w:left w:val="nil"/>
              <w:bottom w:val="single" w:color="152935" w:sz="8" w:space="0"/>
              <w:right w:val="single" w:color="E0E0E0" w:sz="8" w:space="0"/>
            </w:tcBorders>
            <w:shd w:val="clear" w:color="auto" w:fill="F9F9FB"/>
          </w:tcPr>
          <w:p w14:paraId="4415CE90">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220</w:t>
            </w:r>
          </w:p>
        </w:tc>
        <w:tc>
          <w:tcPr>
            <w:tcW w:w="1082" w:type="dxa"/>
            <w:tcBorders>
              <w:top w:val="single" w:color="AEAEAE" w:sz="8" w:space="0"/>
              <w:left w:val="single" w:color="E0E0E0" w:sz="8" w:space="0"/>
              <w:bottom w:val="single" w:color="152935" w:sz="8" w:space="0"/>
              <w:right w:val="single" w:color="E0E0E0" w:sz="8" w:space="0"/>
            </w:tcBorders>
            <w:shd w:val="clear" w:color="auto" w:fill="F9F9FB"/>
            <w:vAlign w:val="center"/>
          </w:tcPr>
          <w:p w14:paraId="13A233AC">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113" w:type="dxa"/>
            <w:tcBorders>
              <w:top w:val="single" w:color="AEAEAE" w:sz="8" w:space="0"/>
              <w:left w:val="single" w:color="E0E0E0" w:sz="8" w:space="0"/>
              <w:bottom w:val="single" w:color="152935" w:sz="8" w:space="0"/>
              <w:right w:val="single" w:color="E0E0E0" w:sz="8" w:space="0"/>
            </w:tcBorders>
            <w:shd w:val="clear" w:color="auto" w:fill="F9F9FB"/>
            <w:vAlign w:val="center"/>
          </w:tcPr>
          <w:p w14:paraId="50A4FA4A">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036" w:type="dxa"/>
            <w:tcBorders>
              <w:top w:val="single" w:color="AEAEAE" w:sz="8" w:space="0"/>
              <w:left w:val="single" w:color="E0E0E0" w:sz="8" w:space="0"/>
              <w:bottom w:val="single" w:color="152935" w:sz="8" w:space="0"/>
              <w:right w:val="single" w:color="E0E0E0" w:sz="8" w:space="0"/>
            </w:tcBorders>
            <w:shd w:val="clear" w:color="auto" w:fill="F9F9FB"/>
            <w:vAlign w:val="center"/>
          </w:tcPr>
          <w:p w14:paraId="6422DA8C">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454" w:type="dxa"/>
            <w:tcBorders>
              <w:top w:val="single" w:color="AEAEAE" w:sz="8" w:space="0"/>
              <w:left w:val="single" w:color="E0E0E0" w:sz="8" w:space="0"/>
              <w:bottom w:val="single" w:color="152935" w:sz="8" w:space="0"/>
              <w:right w:val="nil"/>
            </w:tcBorders>
            <w:shd w:val="clear" w:color="auto" w:fill="F9F9FB"/>
            <w:vAlign w:val="center"/>
          </w:tcPr>
          <w:p w14:paraId="28271BC1">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r>
    </w:tbl>
    <w:p w14:paraId="364231B2">
      <w:pPr>
        <w:spacing w:after="200" w:line="360" w:lineRule="auto"/>
        <w:jc w:val="center"/>
        <w:rPr>
          <w:rFonts w:ascii="Times New Roman" w:hAnsi="Times New Roman" w:eastAsia="Calibri" w:cs="Times New Roman"/>
          <w:i/>
          <w:iCs/>
          <w:color w:val="000000"/>
          <w:sz w:val="18"/>
          <w:szCs w:val="18"/>
          <w:lang w:eastAsia="en-US"/>
          <w14:ligatures w14:val="standardContextual"/>
        </w:rPr>
      </w:pPr>
      <w:bookmarkStart w:id="46" w:name="_Toc207018211"/>
      <w:r>
        <w:rPr>
          <w:rFonts w:ascii="Times New Roman" w:hAnsi="Times New Roman" w:eastAsia="Calibri" w:cs="Times New Roman"/>
          <w:i/>
          <w:iCs/>
          <w:color w:val="000000"/>
          <w:sz w:val="18"/>
          <w:szCs w:val="18"/>
          <w:lang w:eastAsia="en-US"/>
          <w14:ligatures w14:val="standardContextual"/>
        </w:rPr>
        <w:t xml:space="preserve">Table </w:t>
      </w:r>
      <w:r>
        <w:rPr>
          <w:rFonts w:ascii="Times New Roman" w:hAnsi="Times New Roman" w:eastAsia="Calibri" w:cs="Times New Roman"/>
          <w:i/>
          <w:iCs/>
          <w:color w:val="000000"/>
          <w:sz w:val="18"/>
          <w:szCs w:val="18"/>
          <w:lang w:val="zh-CN" w:eastAsia="en-US"/>
          <w14:ligatures w14:val="standardContextual"/>
        </w:rPr>
        <w:fldChar w:fldCharType="begin"/>
      </w:r>
      <w:r>
        <w:rPr>
          <w:rFonts w:ascii="Times New Roman" w:hAnsi="Times New Roman" w:eastAsia="Calibri" w:cs="Times New Roman"/>
          <w:i/>
          <w:iCs/>
          <w:color w:val="000000"/>
          <w:sz w:val="18"/>
          <w:szCs w:val="18"/>
          <w:lang w:eastAsia="en-US"/>
          <w14:ligatures w14:val="standardContextual"/>
        </w:rPr>
        <w:instrText xml:space="preserve"> SEQ Table \* ARABIC </w:instrText>
      </w:r>
      <w:r>
        <w:rPr>
          <w:rFonts w:ascii="Times New Roman" w:hAnsi="Times New Roman" w:eastAsia="Calibri" w:cs="Times New Roman"/>
          <w:i/>
          <w:iCs/>
          <w:color w:val="000000"/>
          <w:sz w:val="18"/>
          <w:szCs w:val="18"/>
          <w:lang w:val="zh-CN" w:eastAsia="en-US"/>
          <w14:ligatures w14:val="standardContextual"/>
        </w:rPr>
        <w:fldChar w:fldCharType="separate"/>
      </w:r>
      <w:r>
        <w:rPr>
          <w:rFonts w:ascii="Times New Roman" w:hAnsi="Times New Roman" w:eastAsia="Calibri" w:cs="Times New Roman"/>
          <w:i/>
          <w:iCs/>
          <w:color w:val="000000"/>
          <w:sz w:val="18"/>
          <w:szCs w:val="18"/>
          <w:lang w:eastAsia="en-US"/>
          <w14:ligatures w14:val="standardContextual"/>
        </w:rPr>
        <w:t>4</w:t>
      </w:r>
      <w:r>
        <w:rPr>
          <w:rFonts w:ascii="Times New Roman" w:hAnsi="Times New Roman" w:eastAsia="Calibri" w:cs="Times New Roman"/>
          <w:i/>
          <w:iCs/>
          <w:color w:val="000000"/>
          <w:sz w:val="18"/>
          <w:szCs w:val="18"/>
          <w:lang w:val="zh-CN" w:eastAsia="en-US"/>
          <w14:ligatures w14:val="standardContextual"/>
        </w:rPr>
        <w:fldChar w:fldCharType="end"/>
      </w:r>
      <w:r>
        <w:rPr>
          <w:rFonts w:ascii="Times New Roman" w:hAnsi="Times New Roman" w:eastAsia="Calibri" w:cs="Times New Roman"/>
          <w:i/>
          <w:iCs/>
          <w:color w:val="000000"/>
          <w:sz w:val="18"/>
          <w:szCs w:val="18"/>
          <w:lang w:eastAsia="en-US"/>
          <w14:ligatures w14:val="standardContextual"/>
        </w:rPr>
        <w:t xml:space="preserve"> - Mean Scores for CSR Items</w:t>
      </w:r>
      <w:bookmarkEnd w:id="46"/>
    </w:p>
    <w:p w14:paraId="24793E3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mean of Q1-Q5 (example: Environmental Effort =3.4, Ethical Practice =3.2, Community Engagement = 3.5, etc.)</w:t>
      </w:r>
    </w:p>
    <w:p w14:paraId="5A54F24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This upward trend confirms the idea of social responsibility of companies with the notion that young consumers expect companies to be socially responsible (Taylor, 2019). In </w:t>
      </w:r>
      <w:r>
        <w:rPr>
          <w:rFonts w:ascii="Times New Roman" w:hAnsi="Times New Roman" w:eastAsia="Calibri" w:cs="Times New Roman"/>
          <w:color w:val="000000"/>
          <w:kern w:val="0"/>
          <w:sz w:val="24"/>
          <w:lang w:eastAsia="en-US"/>
        </w:rPr>
        <w:t>an era where trust and transparency are increasingly intertwined with branding, CSR has evolved into more than a goodwill exercise; it has become a strategic resource that supports emotional branding and fosters continued</w:t>
      </w:r>
      <w:r>
        <w:rPr>
          <w:rFonts w:ascii="Times New Roman" w:hAnsi="Times New Roman" w:eastAsia="Calibri" w:cs="Times New Roman"/>
          <w:color w:val="000000"/>
          <w:sz w:val="24"/>
          <w:lang w:eastAsia="en-US"/>
          <w14:ligatures w14:val="standardContextual"/>
        </w:rPr>
        <w:t xml:space="preserve"> loyalty.</w:t>
      </w:r>
    </w:p>
    <w:p w14:paraId="07DEE13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Narayanan (2022) underscores the fact that CSR initiatives positively affect consumer satisfaction through the mediating effect of brand image and brand equity. This is specifically applicable to Gen Z, where their brand consideration is hinged more on approaches to business that cater to their principles and societal demands. Businesses that fail in this respect run the risk of losing the loyalty of this generation of digitally native individuals, who are fast to express disappointment or defect.</w:t>
      </w:r>
    </w:p>
    <w:p w14:paraId="0C72AB8A">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Overall, political website data has shown that Gen Z in </w:t>
      </w:r>
      <w:r>
        <w:rPr>
          <w:rFonts w:ascii="Times New Roman" w:hAnsi="Times New Roman" w:eastAsia="Calibri" w:cs="Times New Roman"/>
          <w:color w:val="000000"/>
          <w:kern w:val="0"/>
          <w:sz w:val="24"/>
          <w:lang w:eastAsia="en-US"/>
        </w:rPr>
        <w:t>the UK is highly conscious of CSR initiatives, and this awareness can impact brand trust and purchase decisions.</w:t>
      </w:r>
      <w:r>
        <w:rPr>
          <w:rFonts w:ascii="Times New Roman" w:hAnsi="Times New Roman" w:eastAsia="Calibri" w:cs="Times New Roman"/>
          <w:color w:val="000000"/>
          <w:sz w:val="24"/>
          <w:lang w:eastAsia="en-US"/>
          <w14:ligatures w14:val="standardContextual"/>
        </w:rPr>
        <w:t xml:space="preserve"> </w:t>
      </w:r>
      <w:r>
        <w:rPr>
          <w:rFonts w:hint="eastAsia" w:ascii="Times New Roman" w:hAnsi="Times New Roman" w:eastAsia="Calibri" w:cs="Times New Roman"/>
          <w:color w:val="000000"/>
          <w:sz w:val="24"/>
          <w:lang w:eastAsia="en-US"/>
          <w14:ligatures w14:val="standardContextual"/>
        </w:rPr>
        <w:t>For example, reports on climate policy campaigns show young consumers rewarding brands with strong sustainability agendas. This awareness shapes trust and purchase decisions, forming the foundation for analysing how CSR perceptions evolve into loyalty</w:t>
      </w:r>
      <w:r>
        <w:rPr>
          <w:rFonts w:hint="eastAsia" w:ascii="Times New Roman" w:hAnsi="Times New Roman" w:eastAsia="宋体" w:cs="Times New Roman"/>
          <w:color w:val="000000"/>
          <w:sz w:val="24"/>
          <w14:ligatures w14:val="standardContextual"/>
        </w:rPr>
        <w:t>.</w:t>
      </w:r>
      <w:r>
        <w:rPr>
          <w:rFonts w:ascii="Times New Roman" w:hAnsi="Times New Roman" w:eastAsia="Calibri" w:cs="Times New Roman"/>
          <w:color w:val="000000"/>
          <w:sz w:val="24"/>
          <w:lang w:eastAsia="en-US"/>
          <w14:ligatures w14:val="standardContextual"/>
        </w:rPr>
        <w:t>This forms the basis of subsequent inferential analysis on how such perception is transformed into loyalty, as shown in the following sections.</w:t>
      </w:r>
    </w:p>
    <w:p w14:paraId="262B7539">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47" w:name="_Toc15432"/>
      <w:r>
        <w:rPr>
          <w:rFonts w:ascii="Times New Roman" w:hAnsi="Times New Roman" w:eastAsia="等线 Light" w:cs="Times New Roman"/>
          <w:b/>
          <w:bCs/>
          <w:color w:val="000000"/>
          <w:sz w:val="32"/>
          <w:szCs w:val="32"/>
          <w:lang w:val="zh-CN" w:eastAsia="en-US"/>
          <w14:ligatures w14:val="standardContextual"/>
        </w:rPr>
        <w:t>Correlation Analysis:</w:t>
      </w:r>
      <w:bookmarkEnd w:id="47"/>
    </w:p>
    <w:p w14:paraId="6C3CC600">
      <w:pPr>
        <w:widowControl/>
        <w:spacing w:after="160" w:line="360" w:lineRule="auto"/>
        <w:jc w:val="left"/>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A Pearson correlation matrix was carried out to investigate the correlations that existed between the factors of CSR awareness, brand loyalty, and communication strategies. It enabled </w:t>
      </w:r>
      <w:r>
        <w:rPr>
          <w:rFonts w:hint="eastAsia" w:ascii="Times New Roman" w:hAnsi="Times New Roman" w:cs="Times New Roman"/>
          <w:color w:val="000000"/>
          <w:sz w:val="24"/>
          <w14:ligatures w14:val="standardContextual"/>
        </w:rPr>
        <w:t>me</w:t>
      </w:r>
      <w:r>
        <w:rPr>
          <w:rFonts w:ascii="Times New Roman" w:hAnsi="Times New Roman" w:eastAsia="Calibri" w:cs="Times New Roman"/>
          <w:color w:val="000000"/>
          <w:sz w:val="24"/>
          <w:lang w:eastAsia="en-US"/>
          <w14:ligatures w14:val="standardContextual"/>
        </w:rPr>
        <w:t xml:space="preserve"> to determine not only the magnitude (r-values) and significance (p-values) of relations among important variables:</w:t>
      </w:r>
    </w:p>
    <w:tbl>
      <w:tblPr>
        <w:tblStyle w:val="5"/>
        <w:tblW w:w="893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4"/>
        <w:gridCol w:w="2010"/>
        <w:gridCol w:w="1483"/>
        <w:gridCol w:w="1483"/>
        <w:gridCol w:w="1483"/>
      </w:tblGrid>
      <w:tr w14:paraId="6CC4F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30" w:type="dxa"/>
            <w:gridSpan w:val="5"/>
            <w:tcBorders>
              <w:top w:val="nil"/>
              <w:left w:val="nil"/>
              <w:bottom w:val="nil"/>
              <w:right w:val="nil"/>
            </w:tcBorders>
            <w:shd w:val="clear" w:color="auto" w:fill="FFFFFF"/>
            <w:vAlign w:val="center"/>
          </w:tcPr>
          <w:p w14:paraId="7284D3FA">
            <w:pPr>
              <w:widowControl/>
              <w:spacing w:after="160" w:line="360" w:lineRule="auto"/>
              <w:ind w:left="60" w:right="60"/>
              <w:jc w:val="center"/>
              <w:rPr>
                <w:rFonts w:ascii="Times New Roman" w:hAnsi="Times New Roman" w:eastAsia="Calibri" w:cs="Times New Roman"/>
                <w:color w:val="000000"/>
                <w:sz w:val="22"/>
                <w:szCs w:val="22"/>
                <w:lang w:val="zh-CN" w:eastAsia="en-US"/>
                <w14:ligatures w14:val="standardContextual"/>
              </w:rPr>
            </w:pPr>
            <w:r>
              <w:rPr>
                <w:rFonts w:ascii="Times New Roman" w:hAnsi="Times New Roman" w:eastAsia="Calibri" w:cs="Times New Roman"/>
                <w:b/>
                <w:bCs/>
                <w:color w:val="000000"/>
                <w:sz w:val="22"/>
                <w:szCs w:val="22"/>
                <w:lang w:val="zh-CN" w:eastAsia="en-US"/>
                <w14:ligatures w14:val="standardContextual"/>
              </w:rPr>
              <w:t>Correlations</w:t>
            </w:r>
          </w:p>
        </w:tc>
      </w:tr>
      <w:tr w14:paraId="19513F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481" w:type="dxa"/>
            <w:gridSpan w:val="2"/>
            <w:tcBorders>
              <w:top w:val="nil"/>
              <w:left w:val="nil"/>
              <w:bottom w:val="single" w:color="152935" w:sz="8" w:space="0"/>
              <w:right w:val="nil"/>
            </w:tcBorders>
            <w:shd w:val="clear" w:color="auto" w:fill="FFFFFF"/>
            <w:vAlign w:val="bottom"/>
          </w:tcPr>
          <w:p w14:paraId="5C9A11EA">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483" w:type="dxa"/>
            <w:tcBorders>
              <w:top w:val="nil"/>
              <w:left w:val="nil"/>
              <w:bottom w:val="single" w:color="152935" w:sz="8" w:space="0"/>
              <w:right w:val="single" w:color="E0E0E0" w:sz="8" w:space="0"/>
            </w:tcBorders>
            <w:shd w:val="clear" w:color="auto" w:fill="FFFFFF"/>
            <w:vAlign w:val="bottom"/>
          </w:tcPr>
          <w:p w14:paraId="1DAE257C">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Awareness and Perception</w:t>
            </w:r>
          </w:p>
        </w:tc>
        <w:tc>
          <w:tcPr>
            <w:tcW w:w="1483" w:type="dxa"/>
            <w:tcBorders>
              <w:top w:val="nil"/>
              <w:left w:val="single" w:color="E0E0E0" w:sz="8" w:space="0"/>
              <w:bottom w:val="single" w:color="152935" w:sz="8" w:space="0"/>
              <w:right w:val="single" w:color="E0E0E0" w:sz="8" w:space="0"/>
            </w:tcBorders>
            <w:shd w:val="clear" w:color="auto" w:fill="FFFFFF"/>
            <w:vAlign w:val="bottom"/>
          </w:tcPr>
          <w:p w14:paraId="3CE0D9F8">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Brand Loyalty</w:t>
            </w:r>
          </w:p>
        </w:tc>
        <w:tc>
          <w:tcPr>
            <w:tcW w:w="1483" w:type="dxa"/>
            <w:tcBorders>
              <w:top w:val="nil"/>
              <w:left w:val="single" w:color="E0E0E0" w:sz="8" w:space="0"/>
              <w:bottom w:val="single" w:color="152935" w:sz="8" w:space="0"/>
              <w:right w:val="nil"/>
            </w:tcBorders>
            <w:shd w:val="clear" w:color="auto" w:fill="FFFFFF"/>
            <w:vAlign w:val="bottom"/>
          </w:tcPr>
          <w:p w14:paraId="1916C35B">
            <w:pPr>
              <w:widowControl/>
              <w:spacing w:after="160" w:line="360" w:lineRule="auto"/>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Communication</w:t>
            </w:r>
          </w:p>
        </w:tc>
      </w:tr>
      <w:tr w14:paraId="30E59A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restart"/>
            <w:tcBorders>
              <w:top w:val="single" w:color="152935" w:sz="8" w:space="0"/>
              <w:left w:val="nil"/>
              <w:bottom w:val="nil"/>
              <w:right w:val="nil"/>
            </w:tcBorders>
            <w:shd w:val="clear" w:color="auto" w:fill="E0E0E0"/>
          </w:tcPr>
          <w:p w14:paraId="5D073304">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Awareness and Perception</w:t>
            </w:r>
          </w:p>
        </w:tc>
        <w:tc>
          <w:tcPr>
            <w:tcW w:w="2009" w:type="dxa"/>
            <w:tcBorders>
              <w:top w:val="single" w:color="152935" w:sz="8" w:space="0"/>
              <w:left w:val="nil"/>
              <w:bottom w:val="single" w:color="AEAEAE" w:sz="8" w:space="0"/>
              <w:right w:val="nil"/>
            </w:tcBorders>
            <w:shd w:val="clear" w:color="auto" w:fill="E0E0E0"/>
          </w:tcPr>
          <w:p w14:paraId="783CF5DE">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Pearson Correlation</w:t>
            </w:r>
          </w:p>
        </w:tc>
        <w:tc>
          <w:tcPr>
            <w:tcW w:w="1483" w:type="dxa"/>
            <w:tcBorders>
              <w:top w:val="single" w:color="152935" w:sz="8" w:space="0"/>
              <w:left w:val="nil"/>
              <w:bottom w:val="single" w:color="AEAEAE" w:sz="8" w:space="0"/>
              <w:right w:val="single" w:color="E0E0E0" w:sz="8" w:space="0"/>
            </w:tcBorders>
            <w:shd w:val="clear" w:color="auto" w:fill="F9F9FB"/>
          </w:tcPr>
          <w:p w14:paraId="55B1488C">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w:t>
            </w:r>
          </w:p>
        </w:tc>
        <w:tc>
          <w:tcPr>
            <w:tcW w:w="1483" w:type="dxa"/>
            <w:tcBorders>
              <w:top w:val="single" w:color="152935" w:sz="8" w:space="0"/>
              <w:left w:val="single" w:color="E0E0E0" w:sz="8" w:space="0"/>
              <w:bottom w:val="single" w:color="AEAEAE" w:sz="8" w:space="0"/>
              <w:right w:val="single" w:color="E0E0E0" w:sz="8" w:space="0"/>
            </w:tcBorders>
            <w:shd w:val="clear" w:color="auto" w:fill="F9F9FB"/>
          </w:tcPr>
          <w:p w14:paraId="0D39094A">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.085</w:t>
            </w:r>
          </w:p>
        </w:tc>
        <w:tc>
          <w:tcPr>
            <w:tcW w:w="1483" w:type="dxa"/>
            <w:tcBorders>
              <w:top w:val="single" w:color="152935" w:sz="8" w:space="0"/>
              <w:left w:val="single" w:color="E0E0E0" w:sz="8" w:space="0"/>
              <w:bottom w:val="single" w:color="AEAEAE" w:sz="8" w:space="0"/>
              <w:right w:val="nil"/>
            </w:tcBorders>
            <w:shd w:val="clear" w:color="auto" w:fill="F9F9FB"/>
          </w:tcPr>
          <w:p w14:paraId="60261AF9">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.004</w:t>
            </w:r>
          </w:p>
        </w:tc>
      </w:tr>
      <w:tr w14:paraId="49DD41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continue"/>
            <w:tcBorders>
              <w:top w:val="single" w:color="152935" w:sz="8" w:space="0"/>
              <w:left w:val="nil"/>
              <w:bottom w:val="nil"/>
              <w:right w:val="nil"/>
            </w:tcBorders>
            <w:shd w:val="clear" w:color="auto" w:fill="E0E0E0"/>
          </w:tcPr>
          <w:p w14:paraId="7353A528">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2009" w:type="dxa"/>
            <w:tcBorders>
              <w:top w:val="single" w:color="AEAEAE" w:sz="8" w:space="0"/>
              <w:left w:val="nil"/>
              <w:bottom w:val="single" w:color="AEAEAE" w:sz="8" w:space="0"/>
              <w:right w:val="nil"/>
            </w:tcBorders>
            <w:shd w:val="clear" w:color="auto" w:fill="E0E0E0"/>
          </w:tcPr>
          <w:p w14:paraId="6AF3F7D3">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Sig. (2-tailed)</w:t>
            </w:r>
          </w:p>
        </w:tc>
        <w:tc>
          <w:tcPr>
            <w:tcW w:w="1483" w:type="dxa"/>
            <w:tcBorders>
              <w:top w:val="single" w:color="AEAEAE" w:sz="8" w:space="0"/>
              <w:left w:val="nil"/>
              <w:bottom w:val="single" w:color="AEAEAE" w:sz="8" w:space="0"/>
              <w:right w:val="single" w:color="E0E0E0" w:sz="8" w:space="0"/>
            </w:tcBorders>
            <w:shd w:val="clear" w:color="auto" w:fill="F9F9FB"/>
            <w:vAlign w:val="center"/>
          </w:tcPr>
          <w:p w14:paraId="2C774314">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483" w:type="dxa"/>
            <w:tcBorders>
              <w:top w:val="single" w:color="AEAEAE" w:sz="8" w:space="0"/>
              <w:left w:val="single" w:color="E0E0E0" w:sz="8" w:space="0"/>
              <w:bottom w:val="single" w:color="AEAEAE" w:sz="8" w:space="0"/>
              <w:right w:val="single" w:color="E0E0E0" w:sz="8" w:space="0"/>
            </w:tcBorders>
            <w:shd w:val="clear" w:color="auto" w:fill="F9F9FB"/>
          </w:tcPr>
          <w:p w14:paraId="76551F9E">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.210</w:t>
            </w:r>
          </w:p>
        </w:tc>
        <w:tc>
          <w:tcPr>
            <w:tcW w:w="1483" w:type="dxa"/>
            <w:tcBorders>
              <w:top w:val="single" w:color="AEAEAE" w:sz="8" w:space="0"/>
              <w:left w:val="single" w:color="E0E0E0" w:sz="8" w:space="0"/>
              <w:bottom w:val="single" w:color="AEAEAE" w:sz="8" w:space="0"/>
              <w:right w:val="nil"/>
            </w:tcBorders>
            <w:shd w:val="clear" w:color="auto" w:fill="F9F9FB"/>
          </w:tcPr>
          <w:p w14:paraId="3AAAE9EF">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.952</w:t>
            </w:r>
          </w:p>
        </w:tc>
      </w:tr>
      <w:tr w14:paraId="3EEBD2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continue"/>
            <w:tcBorders>
              <w:top w:val="single" w:color="152935" w:sz="8" w:space="0"/>
              <w:left w:val="nil"/>
              <w:bottom w:val="nil"/>
              <w:right w:val="nil"/>
            </w:tcBorders>
            <w:shd w:val="clear" w:color="auto" w:fill="E0E0E0"/>
          </w:tcPr>
          <w:p w14:paraId="481E1743">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2009" w:type="dxa"/>
            <w:tcBorders>
              <w:top w:val="single" w:color="AEAEAE" w:sz="8" w:space="0"/>
              <w:left w:val="nil"/>
              <w:bottom w:val="nil"/>
              <w:right w:val="nil"/>
            </w:tcBorders>
            <w:shd w:val="clear" w:color="auto" w:fill="E0E0E0"/>
          </w:tcPr>
          <w:p w14:paraId="456F3058">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N</w:t>
            </w:r>
          </w:p>
        </w:tc>
        <w:tc>
          <w:tcPr>
            <w:tcW w:w="1483" w:type="dxa"/>
            <w:tcBorders>
              <w:top w:val="single" w:color="AEAEAE" w:sz="8" w:space="0"/>
              <w:left w:val="nil"/>
              <w:bottom w:val="nil"/>
              <w:right w:val="single" w:color="E0E0E0" w:sz="8" w:space="0"/>
            </w:tcBorders>
            <w:shd w:val="clear" w:color="auto" w:fill="F9F9FB"/>
          </w:tcPr>
          <w:p w14:paraId="559E72FD">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220</w:t>
            </w:r>
          </w:p>
        </w:tc>
        <w:tc>
          <w:tcPr>
            <w:tcW w:w="1483" w:type="dxa"/>
            <w:tcBorders>
              <w:top w:val="single" w:color="AEAEAE" w:sz="8" w:space="0"/>
              <w:left w:val="single" w:color="E0E0E0" w:sz="8" w:space="0"/>
              <w:bottom w:val="nil"/>
              <w:right w:val="single" w:color="E0E0E0" w:sz="8" w:space="0"/>
            </w:tcBorders>
            <w:shd w:val="clear" w:color="auto" w:fill="F9F9FB"/>
          </w:tcPr>
          <w:p w14:paraId="3AAE37A4">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220</w:t>
            </w:r>
          </w:p>
        </w:tc>
        <w:tc>
          <w:tcPr>
            <w:tcW w:w="1483" w:type="dxa"/>
            <w:tcBorders>
              <w:top w:val="single" w:color="AEAEAE" w:sz="8" w:space="0"/>
              <w:left w:val="single" w:color="E0E0E0" w:sz="8" w:space="0"/>
              <w:bottom w:val="nil"/>
              <w:right w:val="nil"/>
            </w:tcBorders>
            <w:shd w:val="clear" w:color="auto" w:fill="F9F9FB"/>
          </w:tcPr>
          <w:p w14:paraId="48995F5A">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220</w:t>
            </w:r>
          </w:p>
        </w:tc>
      </w:tr>
      <w:tr w14:paraId="07225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restart"/>
            <w:tcBorders>
              <w:top w:val="single" w:color="AEAEAE" w:sz="8" w:space="0"/>
              <w:left w:val="nil"/>
              <w:bottom w:val="nil"/>
              <w:right w:val="nil"/>
            </w:tcBorders>
            <w:shd w:val="clear" w:color="auto" w:fill="E0E0E0"/>
          </w:tcPr>
          <w:p w14:paraId="77EB7B1D">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Brand Loyalty</w:t>
            </w:r>
          </w:p>
        </w:tc>
        <w:tc>
          <w:tcPr>
            <w:tcW w:w="2009" w:type="dxa"/>
            <w:tcBorders>
              <w:top w:val="single" w:color="AEAEAE" w:sz="8" w:space="0"/>
              <w:left w:val="nil"/>
              <w:bottom w:val="single" w:color="AEAEAE" w:sz="8" w:space="0"/>
              <w:right w:val="nil"/>
            </w:tcBorders>
            <w:shd w:val="clear" w:color="auto" w:fill="E0E0E0"/>
          </w:tcPr>
          <w:p w14:paraId="1FDEF528">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Pearson Correlation</w:t>
            </w:r>
          </w:p>
        </w:tc>
        <w:tc>
          <w:tcPr>
            <w:tcW w:w="1483" w:type="dxa"/>
            <w:tcBorders>
              <w:top w:val="single" w:color="AEAEAE" w:sz="8" w:space="0"/>
              <w:left w:val="nil"/>
              <w:bottom w:val="single" w:color="AEAEAE" w:sz="8" w:space="0"/>
              <w:right w:val="single" w:color="E0E0E0" w:sz="8" w:space="0"/>
            </w:tcBorders>
            <w:shd w:val="clear" w:color="auto" w:fill="F9F9FB"/>
          </w:tcPr>
          <w:p w14:paraId="476FCF7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.085</w:t>
            </w:r>
          </w:p>
        </w:tc>
        <w:tc>
          <w:tcPr>
            <w:tcW w:w="1483" w:type="dxa"/>
            <w:tcBorders>
              <w:top w:val="single" w:color="AEAEAE" w:sz="8" w:space="0"/>
              <w:left w:val="single" w:color="E0E0E0" w:sz="8" w:space="0"/>
              <w:bottom w:val="single" w:color="AEAEAE" w:sz="8" w:space="0"/>
              <w:right w:val="single" w:color="E0E0E0" w:sz="8" w:space="0"/>
            </w:tcBorders>
            <w:shd w:val="clear" w:color="auto" w:fill="F9F9FB"/>
          </w:tcPr>
          <w:p w14:paraId="2777744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w:t>
            </w:r>
          </w:p>
        </w:tc>
        <w:tc>
          <w:tcPr>
            <w:tcW w:w="1483" w:type="dxa"/>
            <w:tcBorders>
              <w:top w:val="single" w:color="AEAEAE" w:sz="8" w:space="0"/>
              <w:left w:val="single" w:color="E0E0E0" w:sz="8" w:space="0"/>
              <w:bottom w:val="single" w:color="AEAEAE" w:sz="8" w:space="0"/>
              <w:right w:val="nil"/>
            </w:tcBorders>
            <w:shd w:val="clear" w:color="auto" w:fill="F9F9FB"/>
          </w:tcPr>
          <w:p w14:paraId="2CB3C1E6">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-.109</w:t>
            </w:r>
          </w:p>
        </w:tc>
      </w:tr>
      <w:tr w14:paraId="00CB71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continue"/>
            <w:tcBorders>
              <w:top w:val="single" w:color="AEAEAE" w:sz="8" w:space="0"/>
              <w:left w:val="nil"/>
              <w:bottom w:val="nil"/>
              <w:right w:val="nil"/>
            </w:tcBorders>
            <w:shd w:val="clear" w:color="auto" w:fill="E0E0E0"/>
          </w:tcPr>
          <w:p w14:paraId="4B8AF18C">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2009" w:type="dxa"/>
            <w:tcBorders>
              <w:top w:val="single" w:color="AEAEAE" w:sz="8" w:space="0"/>
              <w:left w:val="nil"/>
              <w:bottom w:val="single" w:color="AEAEAE" w:sz="8" w:space="0"/>
              <w:right w:val="nil"/>
            </w:tcBorders>
            <w:shd w:val="clear" w:color="auto" w:fill="E0E0E0"/>
          </w:tcPr>
          <w:p w14:paraId="2C61764E">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Sig. (2-tailed)</w:t>
            </w:r>
          </w:p>
        </w:tc>
        <w:tc>
          <w:tcPr>
            <w:tcW w:w="1483" w:type="dxa"/>
            <w:tcBorders>
              <w:top w:val="single" w:color="AEAEAE" w:sz="8" w:space="0"/>
              <w:left w:val="nil"/>
              <w:bottom w:val="single" w:color="AEAEAE" w:sz="8" w:space="0"/>
              <w:right w:val="single" w:color="E0E0E0" w:sz="8" w:space="0"/>
            </w:tcBorders>
            <w:shd w:val="clear" w:color="auto" w:fill="F9F9FB"/>
          </w:tcPr>
          <w:p w14:paraId="32045E23">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.210</w:t>
            </w:r>
          </w:p>
        </w:tc>
        <w:tc>
          <w:tcPr>
            <w:tcW w:w="1483" w:type="dxa"/>
            <w:tcBorders>
              <w:top w:val="single" w:color="AEAEAE" w:sz="8" w:space="0"/>
              <w:left w:val="single" w:color="E0E0E0" w:sz="8" w:space="0"/>
              <w:bottom w:val="single" w:color="AEAEAE" w:sz="8" w:space="0"/>
              <w:right w:val="single" w:color="E0E0E0" w:sz="8" w:space="0"/>
            </w:tcBorders>
            <w:shd w:val="clear" w:color="auto" w:fill="F9F9FB"/>
            <w:vAlign w:val="center"/>
          </w:tcPr>
          <w:p w14:paraId="6C9C2959">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1483" w:type="dxa"/>
            <w:tcBorders>
              <w:top w:val="single" w:color="AEAEAE" w:sz="8" w:space="0"/>
              <w:left w:val="single" w:color="E0E0E0" w:sz="8" w:space="0"/>
              <w:bottom w:val="single" w:color="AEAEAE" w:sz="8" w:space="0"/>
              <w:right w:val="nil"/>
            </w:tcBorders>
            <w:shd w:val="clear" w:color="auto" w:fill="F9F9FB"/>
          </w:tcPr>
          <w:p w14:paraId="3DEB23DC">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.107</w:t>
            </w:r>
          </w:p>
        </w:tc>
      </w:tr>
      <w:tr w14:paraId="4918BA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continue"/>
            <w:tcBorders>
              <w:top w:val="single" w:color="AEAEAE" w:sz="8" w:space="0"/>
              <w:left w:val="nil"/>
              <w:bottom w:val="nil"/>
              <w:right w:val="nil"/>
            </w:tcBorders>
            <w:shd w:val="clear" w:color="auto" w:fill="E0E0E0"/>
          </w:tcPr>
          <w:p w14:paraId="17C99ADD">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2009" w:type="dxa"/>
            <w:tcBorders>
              <w:top w:val="single" w:color="AEAEAE" w:sz="8" w:space="0"/>
              <w:left w:val="nil"/>
              <w:bottom w:val="nil"/>
              <w:right w:val="nil"/>
            </w:tcBorders>
            <w:shd w:val="clear" w:color="auto" w:fill="E0E0E0"/>
          </w:tcPr>
          <w:p w14:paraId="2C46D718">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N</w:t>
            </w:r>
          </w:p>
        </w:tc>
        <w:tc>
          <w:tcPr>
            <w:tcW w:w="1483" w:type="dxa"/>
            <w:tcBorders>
              <w:top w:val="single" w:color="AEAEAE" w:sz="8" w:space="0"/>
              <w:left w:val="nil"/>
              <w:bottom w:val="nil"/>
              <w:right w:val="single" w:color="E0E0E0" w:sz="8" w:space="0"/>
            </w:tcBorders>
            <w:shd w:val="clear" w:color="auto" w:fill="F9F9FB"/>
          </w:tcPr>
          <w:p w14:paraId="34B68BA6">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220</w:t>
            </w:r>
          </w:p>
        </w:tc>
        <w:tc>
          <w:tcPr>
            <w:tcW w:w="1483" w:type="dxa"/>
            <w:tcBorders>
              <w:top w:val="single" w:color="AEAEAE" w:sz="8" w:space="0"/>
              <w:left w:val="single" w:color="E0E0E0" w:sz="8" w:space="0"/>
              <w:bottom w:val="nil"/>
              <w:right w:val="single" w:color="E0E0E0" w:sz="8" w:space="0"/>
            </w:tcBorders>
            <w:shd w:val="clear" w:color="auto" w:fill="F9F9FB"/>
          </w:tcPr>
          <w:p w14:paraId="5A182BE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221</w:t>
            </w:r>
          </w:p>
        </w:tc>
        <w:tc>
          <w:tcPr>
            <w:tcW w:w="1483" w:type="dxa"/>
            <w:tcBorders>
              <w:top w:val="single" w:color="AEAEAE" w:sz="8" w:space="0"/>
              <w:left w:val="single" w:color="E0E0E0" w:sz="8" w:space="0"/>
              <w:bottom w:val="nil"/>
              <w:right w:val="nil"/>
            </w:tcBorders>
            <w:shd w:val="clear" w:color="auto" w:fill="F9F9FB"/>
          </w:tcPr>
          <w:p w14:paraId="6C59B8F0">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221</w:t>
            </w:r>
          </w:p>
        </w:tc>
      </w:tr>
      <w:tr w14:paraId="56C41D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restart"/>
            <w:tcBorders>
              <w:top w:val="single" w:color="AEAEAE" w:sz="8" w:space="0"/>
              <w:left w:val="nil"/>
              <w:bottom w:val="single" w:color="152935" w:sz="8" w:space="0"/>
              <w:right w:val="nil"/>
            </w:tcBorders>
            <w:shd w:val="clear" w:color="auto" w:fill="E0E0E0"/>
          </w:tcPr>
          <w:p w14:paraId="54AB8599">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Communication</w:t>
            </w:r>
          </w:p>
        </w:tc>
        <w:tc>
          <w:tcPr>
            <w:tcW w:w="2009" w:type="dxa"/>
            <w:tcBorders>
              <w:top w:val="single" w:color="AEAEAE" w:sz="8" w:space="0"/>
              <w:left w:val="nil"/>
              <w:bottom w:val="single" w:color="AEAEAE" w:sz="8" w:space="0"/>
              <w:right w:val="nil"/>
            </w:tcBorders>
            <w:shd w:val="clear" w:color="auto" w:fill="E0E0E0"/>
          </w:tcPr>
          <w:p w14:paraId="53312755">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Pearson Correlation</w:t>
            </w:r>
          </w:p>
        </w:tc>
        <w:tc>
          <w:tcPr>
            <w:tcW w:w="1483" w:type="dxa"/>
            <w:tcBorders>
              <w:top w:val="single" w:color="AEAEAE" w:sz="8" w:space="0"/>
              <w:left w:val="nil"/>
              <w:bottom w:val="single" w:color="AEAEAE" w:sz="8" w:space="0"/>
              <w:right w:val="single" w:color="E0E0E0" w:sz="8" w:space="0"/>
            </w:tcBorders>
            <w:shd w:val="clear" w:color="auto" w:fill="F9F9FB"/>
          </w:tcPr>
          <w:p w14:paraId="1FBEBF2C">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.004</w:t>
            </w:r>
          </w:p>
        </w:tc>
        <w:tc>
          <w:tcPr>
            <w:tcW w:w="1483" w:type="dxa"/>
            <w:tcBorders>
              <w:top w:val="single" w:color="AEAEAE" w:sz="8" w:space="0"/>
              <w:left w:val="single" w:color="E0E0E0" w:sz="8" w:space="0"/>
              <w:bottom w:val="single" w:color="AEAEAE" w:sz="8" w:space="0"/>
              <w:right w:val="single" w:color="E0E0E0" w:sz="8" w:space="0"/>
            </w:tcBorders>
            <w:shd w:val="clear" w:color="auto" w:fill="F9F9FB"/>
          </w:tcPr>
          <w:p w14:paraId="73B8C5E9">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-.109</w:t>
            </w:r>
          </w:p>
        </w:tc>
        <w:tc>
          <w:tcPr>
            <w:tcW w:w="1483" w:type="dxa"/>
            <w:tcBorders>
              <w:top w:val="single" w:color="AEAEAE" w:sz="8" w:space="0"/>
              <w:left w:val="single" w:color="E0E0E0" w:sz="8" w:space="0"/>
              <w:bottom w:val="single" w:color="AEAEAE" w:sz="8" w:space="0"/>
              <w:right w:val="nil"/>
            </w:tcBorders>
            <w:shd w:val="clear" w:color="auto" w:fill="F9F9FB"/>
          </w:tcPr>
          <w:p w14:paraId="128D6E10">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w:t>
            </w:r>
          </w:p>
        </w:tc>
      </w:tr>
      <w:tr w14:paraId="3E13C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continue"/>
            <w:tcBorders>
              <w:top w:val="single" w:color="AEAEAE" w:sz="8" w:space="0"/>
              <w:left w:val="nil"/>
              <w:bottom w:val="single" w:color="152935" w:sz="8" w:space="0"/>
              <w:right w:val="nil"/>
            </w:tcBorders>
            <w:shd w:val="clear" w:color="auto" w:fill="E0E0E0"/>
          </w:tcPr>
          <w:p w14:paraId="3CA7C33E">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2009" w:type="dxa"/>
            <w:tcBorders>
              <w:top w:val="single" w:color="AEAEAE" w:sz="8" w:space="0"/>
              <w:left w:val="nil"/>
              <w:bottom w:val="single" w:color="AEAEAE" w:sz="8" w:space="0"/>
              <w:right w:val="nil"/>
            </w:tcBorders>
            <w:shd w:val="clear" w:color="auto" w:fill="E0E0E0"/>
          </w:tcPr>
          <w:p w14:paraId="0AF9F36C">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Sig. (2-tailed)</w:t>
            </w:r>
          </w:p>
        </w:tc>
        <w:tc>
          <w:tcPr>
            <w:tcW w:w="1483" w:type="dxa"/>
            <w:tcBorders>
              <w:top w:val="single" w:color="AEAEAE" w:sz="8" w:space="0"/>
              <w:left w:val="nil"/>
              <w:bottom w:val="single" w:color="AEAEAE" w:sz="8" w:space="0"/>
              <w:right w:val="single" w:color="E0E0E0" w:sz="8" w:space="0"/>
            </w:tcBorders>
            <w:shd w:val="clear" w:color="auto" w:fill="F9F9FB"/>
          </w:tcPr>
          <w:p w14:paraId="31FC3E2B">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.952</w:t>
            </w:r>
          </w:p>
        </w:tc>
        <w:tc>
          <w:tcPr>
            <w:tcW w:w="1483" w:type="dxa"/>
            <w:tcBorders>
              <w:top w:val="single" w:color="AEAEAE" w:sz="8" w:space="0"/>
              <w:left w:val="single" w:color="E0E0E0" w:sz="8" w:space="0"/>
              <w:bottom w:val="single" w:color="AEAEAE" w:sz="8" w:space="0"/>
              <w:right w:val="single" w:color="E0E0E0" w:sz="8" w:space="0"/>
            </w:tcBorders>
            <w:shd w:val="clear" w:color="auto" w:fill="F9F9FB"/>
          </w:tcPr>
          <w:p w14:paraId="34E9B97C">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.107</w:t>
            </w:r>
          </w:p>
        </w:tc>
        <w:tc>
          <w:tcPr>
            <w:tcW w:w="1483" w:type="dxa"/>
            <w:tcBorders>
              <w:top w:val="single" w:color="AEAEAE" w:sz="8" w:space="0"/>
              <w:left w:val="single" w:color="E0E0E0" w:sz="8" w:space="0"/>
              <w:bottom w:val="single" w:color="AEAEAE" w:sz="8" w:space="0"/>
              <w:right w:val="nil"/>
            </w:tcBorders>
            <w:shd w:val="clear" w:color="auto" w:fill="F9F9FB"/>
            <w:vAlign w:val="center"/>
          </w:tcPr>
          <w:p w14:paraId="057D96ED">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r>
      <w:tr w14:paraId="25B9D0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vMerge w:val="continue"/>
            <w:tcBorders>
              <w:top w:val="single" w:color="AEAEAE" w:sz="8" w:space="0"/>
              <w:left w:val="nil"/>
              <w:bottom w:val="single" w:color="152935" w:sz="8" w:space="0"/>
              <w:right w:val="nil"/>
            </w:tcBorders>
            <w:shd w:val="clear" w:color="auto" w:fill="E0E0E0"/>
          </w:tcPr>
          <w:p w14:paraId="17404206">
            <w:pPr>
              <w:widowControl/>
              <w:spacing w:after="160" w:line="360" w:lineRule="auto"/>
              <w:jc w:val="left"/>
              <w:rPr>
                <w:rFonts w:ascii="Times New Roman" w:hAnsi="Times New Roman" w:eastAsia="Calibri" w:cs="Times New Roman"/>
                <w:color w:val="000000"/>
                <w:sz w:val="24"/>
                <w:lang w:val="zh-CN" w:eastAsia="en-US"/>
                <w14:ligatures w14:val="standardContextual"/>
              </w:rPr>
            </w:pPr>
          </w:p>
        </w:tc>
        <w:tc>
          <w:tcPr>
            <w:tcW w:w="2009" w:type="dxa"/>
            <w:tcBorders>
              <w:top w:val="single" w:color="AEAEAE" w:sz="8" w:space="0"/>
              <w:left w:val="nil"/>
              <w:bottom w:val="single" w:color="152935" w:sz="8" w:space="0"/>
              <w:right w:val="nil"/>
            </w:tcBorders>
            <w:shd w:val="clear" w:color="auto" w:fill="E0E0E0"/>
          </w:tcPr>
          <w:p w14:paraId="173193F5">
            <w:pPr>
              <w:widowControl/>
              <w:spacing w:after="160" w:line="360" w:lineRule="auto"/>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N</w:t>
            </w:r>
          </w:p>
        </w:tc>
        <w:tc>
          <w:tcPr>
            <w:tcW w:w="1483" w:type="dxa"/>
            <w:tcBorders>
              <w:top w:val="single" w:color="AEAEAE" w:sz="8" w:space="0"/>
              <w:left w:val="nil"/>
              <w:bottom w:val="single" w:color="152935" w:sz="8" w:space="0"/>
              <w:right w:val="single" w:color="E0E0E0" w:sz="8" w:space="0"/>
            </w:tcBorders>
            <w:shd w:val="clear" w:color="auto" w:fill="F9F9FB"/>
          </w:tcPr>
          <w:p w14:paraId="6405E52F">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220</w:t>
            </w:r>
          </w:p>
        </w:tc>
        <w:tc>
          <w:tcPr>
            <w:tcW w:w="1483" w:type="dxa"/>
            <w:tcBorders>
              <w:top w:val="single" w:color="AEAEAE" w:sz="8" w:space="0"/>
              <w:left w:val="single" w:color="E0E0E0" w:sz="8" w:space="0"/>
              <w:bottom w:val="single" w:color="152935" w:sz="8" w:space="0"/>
              <w:right w:val="single" w:color="E0E0E0" w:sz="8" w:space="0"/>
            </w:tcBorders>
            <w:shd w:val="clear" w:color="auto" w:fill="F9F9FB"/>
          </w:tcPr>
          <w:p w14:paraId="51362B58">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221</w:t>
            </w:r>
          </w:p>
        </w:tc>
        <w:tc>
          <w:tcPr>
            <w:tcW w:w="1483" w:type="dxa"/>
            <w:tcBorders>
              <w:top w:val="single" w:color="AEAEAE" w:sz="8" w:space="0"/>
              <w:left w:val="single" w:color="E0E0E0" w:sz="8" w:space="0"/>
              <w:bottom w:val="single" w:color="152935" w:sz="8" w:space="0"/>
              <w:right w:val="nil"/>
            </w:tcBorders>
            <w:shd w:val="clear" w:color="auto" w:fill="F9F9FB"/>
          </w:tcPr>
          <w:p w14:paraId="26299EB2">
            <w:pPr>
              <w:widowControl/>
              <w:spacing w:after="160" w:line="360" w:lineRule="auto"/>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221</w:t>
            </w:r>
          </w:p>
        </w:tc>
      </w:tr>
    </w:tbl>
    <w:p w14:paraId="647A1329">
      <w:pPr>
        <w:widowControl/>
        <w:spacing w:after="160" w:line="360" w:lineRule="auto"/>
        <w:jc w:val="left"/>
        <w:rPr>
          <w:rFonts w:ascii="Times New Roman" w:hAnsi="Times New Roman" w:eastAsia="Calibri" w:cs="Times New Roman"/>
          <w:color w:val="000000"/>
          <w:sz w:val="24"/>
          <w:lang w:val="zh-CN" w:eastAsia="en-US"/>
          <w14:ligatures w14:val="standardContextual"/>
        </w:rPr>
      </w:pPr>
    </w:p>
    <w:p w14:paraId="3A3DF445">
      <w:pPr>
        <w:spacing w:after="200" w:line="360" w:lineRule="auto"/>
        <w:jc w:val="center"/>
        <w:rPr>
          <w:rFonts w:ascii="Times New Roman" w:hAnsi="Times New Roman" w:eastAsia="Calibri" w:cs="Times New Roman"/>
          <w:i/>
          <w:iCs/>
          <w:color w:val="000000"/>
          <w:sz w:val="18"/>
          <w:szCs w:val="18"/>
          <w:lang w:eastAsia="en-US"/>
          <w14:ligatures w14:val="standardContextual"/>
        </w:rPr>
      </w:pPr>
      <w:bookmarkStart w:id="48" w:name="_Toc207018212"/>
      <w:r>
        <w:rPr>
          <w:rFonts w:ascii="Times New Roman" w:hAnsi="Times New Roman" w:eastAsia="Calibri" w:cs="Times New Roman"/>
          <w:i/>
          <w:iCs/>
          <w:color w:val="000000"/>
          <w:sz w:val="18"/>
          <w:szCs w:val="18"/>
          <w:lang w:eastAsia="en-US"/>
          <w14:ligatures w14:val="standardContextual"/>
        </w:rPr>
        <w:t xml:space="preserve">Table </w:t>
      </w:r>
      <w:r>
        <w:rPr>
          <w:rFonts w:ascii="Times New Roman" w:hAnsi="Times New Roman" w:eastAsia="Calibri" w:cs="Times New Roman"/>
          <w:i/>
          <w:iCs/>
          <w:color w:val="000000"/>
          <w:sz w:val="18"/>
          <w:szCs w:val="18"/>
          <w:lang w:val="zh-CN" w:eastAsia="en-US"/>
          <w14:ligatures w14:val="standardContextual"/>
        </w:rPr>
        <w:fldChar w:fldCharType="begin"/>
      </w:r>
      <w:r>
        <w:rPr>
          <w:rFonts w:ascii="Times New Roman" w:hAnsi="Times New Roman" w:eastAsia="Calibri" w:cs="Times New Roman"/>
          <w:i/>
          <w:iCs/>
          <w:color w:val="000000"/>
          <w:sz w:val="18"/>
          <w:szCs w:val="18"/>
          <w:lang w:eastAsia="en-US"/>
          <w14:ligatures w14:val="standardContextual"/>
        </w:rPr>
        <w:instrText xml:space="preserve"> SEQ Table \* ARABIC </w:instrText>
      </w:r>
      <w:r>
        <w:rPr>
          <w:rFonts w:ascii="Times New Roman" w:hAnsi="Times New Roman" w:eastAsia="Calibri" w:cs="Times New Roman"/>
          <w:i/>
          <w:iCs/>
          <w:color w:val="000000"/>
          <w:sz w:val="18"/>
          <w:szCs w:val="18"/>
          <w:lang w:val="zh-CN" w:eastAsia="en-US"/>
          <w14:ligatures w14:val="standardContextual"/>
        </w:rPr>
        <w:fldChar w:fldCharType="separate"/>
      </w:r>
      <w:r>
        <w:rPr>
          <w:rFonts w:ascii="Times New Roman" w:hAnsi="Times New Roman" w:eastAsia="Calibri" w:cs="Times New Roman"/>
          <w:i/>
          <w:iCs/>
          <w:color w:val="000000"/>
          <w:sz w:val="18"/>
          <w:szCs w:val="18"/>
          <w:lang w:eastAsia="en-US"/>
          <w14:ligatures w14:val="standardContextual"/>
        </w:rPr>
        <w:t>5</w:t>
      </w:r>
      <w:r>
        <w:rPr>
          <w:rFonts w:ascii="Times New Roman" w:hAnsi="Times New Roman" w:eastAsia="Calibri" w:cs="Times New Roman"/>
          <w:i/>
          <w:iCs/>
          <w:color w:val="000000"/>
          <w:sz w:val="18"/>
          <w:szCs w:val="18"/>
          <w:lang w:val="zh-CN" w:eastAsia="en-US"/>
          <w14:ligatures w14:val="standardContextual"/>
        </w:rPr>
        <w:fldChar w:fldCharType="end"/>
      </w:r>
      <w:r>
        <w:rPr>
          <w:rFonts w:ascii="Times New Roman" w:hAnsi="Times New Roman" w:eastAsia="Calibri" w:cs="Times New Roman"/>
          <w:i/>
          <w:iCs/>
          <w:color w:val="000000"/>
          <w:sz w:val="18"/>
          <w:szCs w:val="18"/>
          <w:lang w:eastAsia="en-US"/>
          <w14:ligatures w14:val="standardContextual"/>
        </w:rPr>
        <w:t xml:space="preserve"> - CSR vs Loyalty Correlation Matrix</w:t>
      </w:r>
      <w:bookmarkEnd w:id="48"/>
    </w:p>
    <w:p w14:paraId="75D0D5E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Out of 14, the Pearson correlation coefficient between CSR Awareness and Brand Loyalty is 0.085, indicating a very weak positive correlation. Nevertheless, </w:t>
      </w:r>
      <w:r>
        <w:rPr>
          <w:rFonts w:ascii="Times New Roman" w:hAnsi="Times New Roman" w:eastAsia="Calibri" w:cs="Times New Roman"/>
          <w:color w:val="000000"/>
          <w:kern w:val="0"/>
          <w:sz w:val="24"/>
          <w:lang w:eastAsia="en-US"/>
        </w:rPr>
        <w:t xml:space="preserve">the p-value of 0.210 is not significant at the usual 0.05 significance level, meaning </w:t>
      </w:r>
      <w:r>
        <w:rPr>
          <w:rFonts w:ascii="Times New Roman" w:hAnsi="Times New Roman" w:cs="Times New Roman"/>
          <w:color w:val="000000"/>
          <w:kern w:val="0"/>
          <w:sz w:val="24"/>
        </w:rPr>
        <w:t>I</w:t>
      </w:r>
      <w:r>
        <w:rPr>
          <w:rFonts w:ascii="Times New Roman" w:hAnsi="Times New Roman" w:eastAsia="Calibri" w:cs="Times New Roman"/>
          <w:color w:val="000000"/>
          <w:kern w:val="0"/>
          <w:sz w:val="24"/>
          <w:lang w:eastAsia="en-US"/>
        </w:rPr>
        <w:t xml:space="preserve"> cannot conclude that this relationship applies to the rest of</w:t>
      </w:r>
      <w:r>
        <w:rPr>
          <w:rFonts w:ascii="Times New Roman" w:hAnsi="Times New Roman" w:eastAsia="Calibri" w:cs="Times New Roman"/>
          <w:color w:val="000000"/>
          <w:sz w:val="24"/>
          <w:lang w:eastAsia="en-US"/>
          <w14:ligatures w14:val="standardContextual"/>
        </w:rPr>
        <w:t xml:space="preserve"> Gen Z.</w:t>
      </w:r>
    </w:p>
    <w:p w14:paraId="67A9F84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the same regard, the relationship between the CSR Communication and Brand Loyalty has a negative but minimal correlation (r = -.109), p = .107, which is also statistically insignificant. The correlation number between CSR Awareness and CSR Communication (.004) is practically zero, and its very high p-value of .952 further proves that there is no linear correlation existing.</w:t>
      </w:r>
    </w:p>
    <w:p w14:paraId="7EA65FA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Such low or no correlations can be counterintuitive as the perceived social consciousness of Gen Z. However the results illustrate a more complex truth that, although Gen Z attach importance to CSR, there could be more of an in-between effect as it refers to behavior outcomes such as loyalty or effectiveness of communication as it is mediated through more fundamental constructs such as trust or emotional connection.</w:t>
      </w:r>
    </w:p>
    <w:p w14:paraId="4FB196A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is consistent with the evidence provided in the past whereby the overall positive impact of CSR on WTP... is mediated by such variables as Brand Trust, Brand Loyalty, Brand Love, Customer Satisfaction, Brand Attitude, Purchase Intention and Brand Equity (Lerro et al., 2018). Therefore, although the direct relationship may not be too strong, the indirect effect can be robust through mediators.</w:t>
      </w:r>
    </w:p>
    <w:p w14:paraId="6AECD1F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In the same manner, Tan et al. (2022) noted that corporate social responsibility (CSR) has both a direct and indirect impact on brand equity and brand loyalty. 600 </w:t>
      </w:r>
      <w:r>
        <w:rPr>
          <w:rFonts w:hint="eastAsia" w:ascii="Times New Roman" w:hAnsi="Times New Roman" w:cs="Times New Roman"/>
          <w:color w:val="000000"/>
          <w:sz w:val="24"/>
          <w14:ligatures w14:val="standardContextual"/>
        </w:rPr>
        <w:t>response</w:t>
      </w:r>
      <w:r>
        <w:rPr>
          <w:rFonts w:ascii="Times New Roman" w:hAnsi="Times New Roman" w:eastAsia="Calibri" w:cs="Times New Roman"/>
          <w:color w:val="000000"/>
          <w:sz w:val="24"/>
          <w:lang w:eastAsia="en-US"/>
          <w14:ligatures w14:val="standardContextual"/>
        </w:rPr>
        <w:t xml:space="preserve">s were collected. This complexity </w:t>
      </w:r>
      <w:r>
        <w:rPr>
          <w:rFonts w:ascii="Times New Roman" w:hAnsi="Times New Roman" w:eastAsia="Calibri" w:cs="Times New Roman"/>
          <w:color w:val="000000"/>
          <w:kern w:val="0"/>
          <w:sz w:val="24"/>
          <w:lang w:eastAsia="en-US"/>
        </w:rPr>
        <w:t xml:space="preserve">is reflected in </w:t>
      </w:r>
      <w:r>
        <w:rPr>
          <w:rFonts w:hint="eastAsia" w:ascii="Times New Roman" w:hAnsi="Times New Roman" w:cs="Times New Roman"/>
          <w:color w:val="000000"/>
          <w:kern w:val="0"/>
          <w:sz w:val="24"/>
        </w:rPr>
        <w:t>my</w:t>
      </w:r>
      <w:r>
        <w:rPr>
          <w:rFonts w:ascii="Times New Roman" w:hAnsi="Times New Roman" w:eastAsia="Calibri" w:cs="Times New Roman"/>
          <w:color w:val="000000"/>
          <w:kern w:val="0"/>
          <w:sz w:val="24"/>
          <w:lang w:eastAsia="en-US"/>
        </w:rPr>
        <w:t xml:space="preserve"> research, which demonstrates that CSR alone is insufficient for ensuring brand loyalty. However, when integrated into communication strategies, trust-related actions, and stable brand behavior, it can serve as an effective method for engaging the market over an extended period.</w:t>
      </w:r>
    </w:p>
    <w:p w14:paraId="1A3EE58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Finally, the direct correlations were not substantial, so it can still be argued that the perception of CSR might need to be treated as a multi-dimensional phenomenon, and the future analysis should be conducted using regression and mediation models to locate causality and induce changes in behavior.</w:t>
      </w:r>
    </w:p>
    <w:p w14:paraId="79F7C035">
      <w:pPr>
        <w:keepNext/>
        <w:keepLines/>
        <w:numPr>
          <w:ilvl w:val="1"/>
          <w:numId w:val="3"/>
        </w:numPr>
        <w:spacing w:before="160" w:after="80" w:line="360" w:lineRule="auto"/>
        <w:outlineLvl w:val="1"/>
        <w:rPr>
          <w:rFonts w:ascii="Times New Roman" w:hAnsi="Times New Roman" w:eastAsia="等线 Light" w:cs="Times New Roman"/>
          <w:b/>
          <w:bCs/>
          <w:color w:val="000000"/>
          <w:sz w:val="32"/>
          <w:szCs w:val="32"/>
          <w:lang w:val="zh-CN" w:eastAsia="en-US"/>
          <w14:ligatures w14:val="standardContextual"/>
        </w:rPr>
      </w:pPr>
      <w:bookmarkStart w:id="49" w:name="_Toc26522"/>
      <w:r>
        <w:rPr>
          <w:rFonts w:ascii="Times New Roman" w:hAnsi="Times New Roman" w:eastAsia="等线 Light" w:cs="Times New Roman"/>
          <w:b/>
          <w:bCs/>
          <w:color w:val="000000"/>
          <w:sz w:val="32"/>
          <w:szCs w:val="32"/>
          <w:lang w:val="zh-CN" w:eastAsia="en-US"/>
          <w14:ligatures w14:val="standardContextual"/>
        </w:rPr>
        <w:t>Regression Analysis</w:t>
      </w:r>
      <w:bookmarkEnd w:id="49"/>
    </w:p>
    <w:p w14:paraId="3095A77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this area, the variables are predictive, i.e., the relationship between the independent variable CSR Awareness and Perception and the dependent variable CSR Brand Loyalty was investigated through simple linear regression in SPSS. This study aimed to establish the effectiveness of CSR perceptions in determining brand loyalty among Gen Z consumers in the UK.</w:t>
      </w:r>
    </w:p>
    <w:p w14:paraId="7847588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ANOVA print-out shows the overall model fit:</w:t>
      </w:r>
    </w:p>
    <w:p w14:paraId="641BFF05">
      <w:pPr>
        <w:widowControl/>
        <w:spacing w:after="160" w:line="360" w:lineRule="auto"/>
        <w:rPr>
          <w:rFonts w:ascii="Times New Roman" w:hAnsi="Times New Roman" w:eastAsia="Calibri" w:cs="Times New Roman"/>
          <w:color w:val="000000"/>
          <w:sz w:val="24"/>
          <w:lang w:eastAsia="en-US"/>
          <w14:ligatures w14:val="standardContextual"/>
        </w:rPr>
      </w:pPr>
    </w:p>
    <w:tbl>
      <w:tblPr>
        <w:tblStyle w:val="5"/>
        <w:tblW w:w="806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41"/>
        <w:gridCol w:w="1299"/>
        <w:gridCol w:w="1486"/>
        <w:gridCol w:w="1037"/>
        <w:gridCol w:w="1424"/>
        <w:gridCol w:w="1037"/>
        <w:gridCol w:w="1037"/>
      </w:tblGrid>
      <w:tr w14:paraId="7B1EBE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8057" w:type="dxa"/>
            <w:gridSpan w:val="7"/>
            <w:tcBorders>
              <w:top w:val="nil"/>
              <w:left w:val="nil"/>
              <w:bottom w:val="nil"/>
              <w:right w:val="nil"/>
            </w:tcBorders>
            <w:shd w:val="clear" w:color="auto" w:fill="FFFFFF"/>
            <w:vAlign w:val="center"/>
          </w:tcPr>
          <w:p w14:paraId="211343DA">
            <w:pPr>
              <w:widowControl/>
              <w:spacing w:after="160" w:line="320" w:lineRule="atLeast"/>
              <w:ind w:left="60" w:right="60"/>
              <w:jc w:val="center"/>
              <w:rPr>
                <w:rFonts w:ascii="Times New Roman" w:hAnsi="Times New Roman" w:eastAsia="Calibri" w:cs="Times New Roman"/>
                <w:color w:val="000000"/>
                <w:sz w:val="22"/>
                <w:szCs w:val="22"/>
                <w:lang w:val="zh-CN" w:eastAsia="en-US"/>
                <w14:ligatures w14:val="standardContextual"/>
              </w:rPr>
            </w:pPr>
            <w:r>
              <w:rPr>
                <w:rFonts w:ascii="Times New Roman" w:hAnsi="Times New Roman" w:eastAsia="Calibri" w:cs="Times New Roman"/>
                <w:b/>
                <w:bCs/>
                <w:color w:val="000000"/>
                <w:sz w:val="22"/>
                <w:szCs w:val="22"/>
                <w:lang w:val="zh-CN" w:eastAsia="en-US"/>
                <w14:ligatures w14:val="standardContextual"/>
              </w:rPr>
              <w:t>ANOVA</w:t>
            </w:r>
            <w:r>
              <w:rPr>
                <w:rFonts w:ascii="Times New Roman" w:hAnsi="Times New Roman" w:eastAsia="Calibri" w:cs="Times New Roman"/>
                <w:b/>
                <w:bCs/>
                <w:color w:val="000000"/>
                <w:sz w:val="22"/>
                <w:szCs w:val="22"/>
                <w:vertAlign w:val="superscript"/>
                <w:lang w:val="zh-CN" w:eastAsia="en-US"/>
                <w14:ligatures w14:val="standardContextual"/>
              </w:rPr>
              <w:t>a</w:t>
            </w:r>
          </w:p>
        </w:tc>
      </w:tr>
      <w:tr w14:paraId="4FF619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041" w:type="dxa"/>
            <w:gridSpan w:val="2"/>
            <w:tcBorders>
              <w:top w:val="nil"/>
              <w:left w:val="nil"/>
              <w:bottom w:val="single" w:color="152935" w:sz="8" w:space="0"/>
              <w:right w:val="nil"/>
            </w:tcBorders>
            <w:shd w:val="clear" w:color="auto" w:fill="FFFFFF"/>
            <w:vAlign w:val="bottom"/>
          </w:tcPr>
          <w:p w14:paraId="6576EA48">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Model</w:t>
            </w:r>
          </w:p>
        </w:tc>
        <w:tc>
          <w:tcPr>
            <w:tcW w:w="1485" w:type="dxa"/>
            <w:tcBorders>
              <w:top w:val="nil"/>
              <w:left w:val="nil"/>
              <w:bottom w:val="single" w:color="152935" w:sz="8" w:space="0"/>
              <w:right w:val="single" w:color="E0E0E0" w:sz="8" w:space="0"/>
            </w:tcBorders>
            <w:shd w:val="clear" w:color="auto" w:fill="FFFFFF"/>
            <w:vAlign w:val="bottom"/>
          </w:tcPr>
          <w:p w14:paraId="1E06BE6D">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Sum of Squares</w:t>
            </w:r>
          </w:p>
        </w:tc>
        <w:tc>
          <w:tcPr>
            <w:tcW w:w="1036" w:type="dxa"/>
            <w:tcBorders>
              <w:top w:val="nil"/>
              <w:left w:val="single" w:color="E0E0E0" w:sz="8" w:space="0"/>
              <w:bottom w:val="single" w:color="152935" w:sz="8" w:space="0"/>
              <w:right w:val="single" w:color="E0E0E0" w:sz="8" w:space="0"/>
            </w:tcBorders>
            <w:shd w:val="clear" w:color="auto" w:fill="FFFFFF"/>
            <w:vAlign w:val="bottom"/>
          </w:tcPr>
          <w:p w14:paraId="03C40F27">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df</w:t>
            </w:r>
          </w:p>
        </w:tc>
        <w:tc>
          <w:tcPr>
            <w:tcW w:w="1423" w:type="dxa"/>
            <w:tcBorders>
              <w:top w:val="nil"/>
              <w:left w:val="single" w:color="E0E0E0" w:sz="8" w:space="0"/>
              <w:bottom w:val="single" w:color="152935" w:sz="8" w:space="0"/>
              <w:right w:val="single" w:color="E0E0E0" w:sz="8" w:space="0"/>
            </w:tcBorders>
            <w:shd w:val="clear" w:color="auto" w:fill="FFFFFF"/>
            <w:vAlign w:val="bottom"/>
          </w:tcPr>
          <w:p w14:paraId="1385FD73">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Mean Square</w:t>
            </w:r>
          </w:p>
        </w:tc>
        <w:tc>
          <w:tcPr>
            <w:tcW w:w="1036" w:type="dxa"/>
            <w:tcBorders>
              <w:top w:val="nil"/>
              <w:left w:val="single" w:color="E0E0E0" w:sz="8" w:space="0"/>
              <w:bottom w:val="single" w:color="152935" w:sz="8" w:space="0"/>
              <w:right w:val="single" w:color="E0E0E0" w:sz="8" w:space="0"/>
            </w:tcBorders>
            <w:shd w:val="clear" w:color="auto" w:fill="FFFFFF"/>
            <w:vAlign w:val="bottom"/>
          </w:tcPr>
          <w:p w14:paraId="1658D3AF">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F</w:t>
            </w:r>
          </w:p>
        </w:tc>
        <w:tc>
          <w:tcPr>
            <w:tcW w:w="1036" w:type="dxa"/>
            <w:tcBorders>
              <w:top w:val="nil"/>
              <w:left w:val="single" w:color="E0E0E0" w:sz="8" w:space="0"/>
              <w:bottom w:val="single" w:color="152935" w:sz="8" w:space="0"/>
              <w:right w:val="nil"/>
            </w:tcBorders>
            <w:shd w:val="clear" w:color="auto" w:fill="FFFFFF"/>
            <w:vAlign w:val="bottom"/>
          </w:tcPr>
          <w:p w14:paraId="68BDAF2C">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Sig.</w:t>
            </w:r>
          </w:p>
        </w:tc>
      </w:tr>
      <w:tr w14:paraId="62B57B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42" w:type="dxa"/>
            <w:vMerge w:val="restart"/>
            <w:tcBorders>
              <w:top w:val="single" w:color="152935" w:sz="8" w:space="0"/>
              <w:left w:val="nil"/>
              <w:bottom w:val="single" w:color="152935" w:sz="8" w:space="0"/>
              <w:right w:val="nil"/>
            </w:tcBorders>
            <w:shd w:val="clear" w:color="auto" w:fill="E0E0E0"/>
          </w:tcPr>
          <w:p w14:paraId="2F402081">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w:t>
            </w:r>
          </w:p>
        </w:tc>
        <w:tc>
          <w:tcPr>
            <w:tcW w:w="1299" w:type="dxa"/>
            <w:tcBorders>
              <w:top w:val="single" w:color="152935" w:sz="8" w:space="0"/>
              <w:left w:val="nil"/>
              <w:bottom w:val="single" w:color="AEAEAE" w:sz="8" w:space="0"/>
              <w:right w:val="nil"/>
            </w:tcBorders>
            <w:shd w:val="clear" w:color="auto" w:fill="E0E0E0"/>
          </w:tcPr>
          <w:p w14:paraId="4A2BB141">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Regression</w:t>
            </w:r>
          </w:p>
        </w:tc>
        <w:tc>
          <w:tcPr>
            <w:tcW w:w="1485" w:type="dxa"/>
            <w:tcBorders>
              <w:top w:val="single" w:color="152935" w:sz="8" w:space="0"/>
              <w:left w:val="nil"/>
              <w:bottom w:val="single" w:color="AEAEAE" w:sz="8" w:space="0"/>
              <w:right w:val="single" w:color="E0E0E0" w:sz="8" w:space="0"/>
            </w:tcBorders>
            <w:shd w:val="clear" w:color="auto" w:fill="F9F9FB"/>
          </w:tcPr>
          <w:p w14:paraId="093BF3E4">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31.540</w:t>
            </w:r>
          </w:p>
        </w:tc>
        <w:tc>
          <w:tcPr>
            <w:tcW w:w="1036" w:type="dxa"/>
            <w:tcBorders>
              <w:top w:val="single" w:color="152935" w:sz="8" w:space="0"/>
              <w:left w:val="single" w:color="E0E0E0" w:sz="8" w:space="0"/>
              <w:bottom w:val="single" w:color="AEAEAE" w:sz="8" w:space="0"/>
              <w:right w:val="single" w:color="E0E0E0" w:sz="8" w:space="0"/>
            </w:tcBorders>
            <w:shd w:val="clear" w:color="auto" w:fill="F9F9FB"/>
          </w:tcPr>
          <w:p w14:paraId="5C082D2C">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w:t>
            </w:r>
          </w:p>
        </w:tc>
        <w:tc>
          <w:tcPr>
            <w:tcW w:w="1423" w:type="dxa"/>
            <w:tcBorders>
              <w:top w:val="single" w:color="152935" w:sz="8" w:space="0"/>
              <w:left w:val="single" w:color="E0E0E0" w:sz="8" w:space="0"/>
              <w:bottom w:val="single" w:color="AEAEAE" w:sz="8" w:space="0"/>
              <w:right w:val="single" w:color="E0E0E0" w:sz="8" w:space="0"/>
            </w:tcBorders>
            <w:shd w:val="clear" w:color="auto" w:fill="F9F9FB"/>
          </w:tcPr>
          <w:p w14:paraId="40B9C56E">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31.540</w:t>
            </w:r>
          </w:p>
        </w:tc>
        <w:tc>
          <w:tcPr>
            <w:tcW w:w="1036" w:type="dxa"/>
            <w:tcBorders>
              <w:top w:val="single" w:color="152935" w:sz="8" w:space="0"/>
              <w:left w:val="single" w:color="E0E0E0" w:sz="8" w:space="0"/>
              <w:bottom w:val="single" w:color="AEAEAE" w:sz="8" w:space="0"/>
              <w:right w:val="single" w:color="E0E0E0" w:sz="8" w:space="0"/>
            </w:tcBorders>
            <w:shd w:val="clear" w:color="auto" w:fill="F9F9FB"/>
          </w:tcPr>
          <w:p w14:paraId="31D7DBA3">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1.578</w:t>
            </w:r>
          </w:p>
        </w:tc>
        <w:tc>
          <w:tcPr>
            <w:tcW w:w="1036" w:type="dxa"/>
            <w:tcBorders>
              <w:top w:val="single" w:color="152935" w:sz="8" w:space="0"/>
              <w:left w:val="single" w:color="E0E0E0" w:sz="8" w:space="0"/>
              <w:bottom w:val="single" w:color="AEAEAE" w:sz="8" w:space="0"/>
              <w:right w:val="nil"/>
            </w:tcBorders>
            <w:shd w:val="clear" w:color="auto" w:fill="F9F9FB"/>
          </w:tcPr>
          <w:p w14:paraId="4111CB6A">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.210</w:t>
            </w:r>
            <w:r>
              <w:rPr>
                <w:rFonts w:ascii="Times New Roman" w:hAnsi="Times New Roman" w:eastAsia="Calibri" w:cs="Times New Roman"/>
                <w:color w:val="000000"/>
                <w:sz w:val="24"/>
                <w:vertAlign w:val="superscript"/>
                <w:lang w:val="zh-CN" w:eastAsia="en-US"/>
                <w14:ligatures w14:val="standardContextual"/>
              </w:rPr>
              <w:t>b</w:t>
            </w:r>
          </w:p>
        </w:tc>
      </w:tr>
      <w:tr w14:paraId="021ABE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42" w:type="dxa"/>
            <w:vMerge w:val="continue"/>
            <w:tcBorders>
              <w:top w:val="single" w:color="152935" w:sz="8" w:space="0"/>
              <w:left w:val="nil"/>
              <w:bottom w:val="single" w:color="152935" w:sz="8" w:space="0"/>
              <w:right w:val="nil"/>
            </w:tcBorders>
            <w:shd w:val="clear" w:color="auto" w:fill="E0E0E0"/>
          </w:tcPr>
          <w:p w14:paraId="67413764">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299" w:type="dxa"/>
            <w:tcBorders>
              <w:top w:val="single" w:color="AEAEAE" w:sz="8" w:space="0"/>
              <w:left w:val="nil"/>
              <w:bottom w:val="single" w:color="AEAEAE" w:sz="8" w:space="0"/>
              <w:right w:val="nil"/>
            </w:tcBorders>
            <w:shd w:val="clear" w:color="auto" w:fill="E0E0E0"/>
          </w:tcPr>
          <w:p w14:paraId="4BF6DD15">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Residual</w:t>
            </w:r>
          </w:p>
        </w:tc>
        <w:tc>
          <w:tcPr>
            <w:tcW w:w="1485" w:type="dxa"/>
            <w:tcBorders>
              <w:top w:val="single" w:color="AEAEAE" w:sz="8" w:space="0"/>
              <w:left w:val="nil"/>
              <w:bottom w:val="single" w:color="AEAEAE" w:sz="8" w:space="0"/>
              <w:right w:val="single" w:color="E0E0E0" w:sz="8" w:space="0"/>
            </w:tcBorders>
            <w:shd w:val="clear" w:color="auto" w:fill="F9F9FB"/>
          </w:tcPr>
          <w:p w14:paraId="588C3BBB">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4358.460</w:t>
            </w:r>
          </w:p>
        </w:tc>
        <w:tc>
          <w:tcPr>
            <w:tcW w:w="1036" w:type="dxa"/>
            <w:tcBorders>
              <w:top w:val="single" w:color="AEAEAE" w:sz="8" w:space="0"/>
              <w:left w:val="single" w:color="E0E0E0" w:sz="8" w:space="0"/>
              <w:bottom w:val="single" w:color="AEAEAE" w:sz="8" w:space="0"/>
              <w:right w:val="single" w:color="E0E0E0" w:sz="8" w:space="0"/>
            </w:tcBorders>
            <w:shd w:val="clear" w:color="auto" w:fill="F9F9FB"/>
          </w:tcPr>
          <w:p w14:paraId="16DC4B41">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218</w:t>
            </w:r>
          </w:p>
        </w:tc>
        <w:tc>
          <w:tcPr>
            <w:tcW w:w="1423" w:type="dxa"/>
            <w:tcBorders>
              <w:top w:val="single" w:color="AEAEAE" w:sz="8" w:space="0"/>
              <w:left w:val="single" w:color="E0E0E0" w:sz="8" w:space="0"/>
              <w:bottom w:val="single" w:color="AEAEAE" w:sz="8" w:space="0"/>
              <w:right w:val="single" w:color="E0E0E0" w:sz="8" w:space="0"/>
            </w:tcBorders>
            <w:shd w:val="clear" w:color="auto" w:fill="F9F9FB"/>
          </w:tcPr>
          <w:p w14:paraId="1C3FB9AF">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19.993</w:t>
            </w:r>
          </w:p>
        </w:tc>
        <w:tc>
          <w:tcPr>
            <w:tcW w:w="1036" w:type="dxa"/>
            <w:tcBorders>
              <w:top w:val="single" w:color="AEAEAE" w:sz="8" w:space="0"/>
              <w:left w:val="single" w:color="E0E0E0" w:sz="8" w:space="0"/>
              <w:bottom w:val="single" w:color="AEAEAE" w:sz="8" w:space="0"/>
              <w:right w:val="single" w:color="E0E0E0" w:sz="8" w:space="0"/>
            </w:tcBorders>
            <w:shd w:val="clear" w:color="auto" w:fill="F9F9FB"/>
            <w:vAlign w:val="center"/>
          </w:tcPr>
          <w:p w14:paraId="53C32379">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036" w:type="dxa"/>
            <w:tcBorders>
              <w:top w:val="single" w:color="AEAEAE" w:sz="8" w:space="0"/>
              <w:left w:val="single" w:color="E0E0E0" w:sz="8" w:space="0"/>
              <w:bottom w:val="single" w:color="AEAEAE" w:sz="8" w:space="0"/>
              <w:right w:val="nil"/>
            </w:tcBorders>
            <w:shd w:val="clear" w:color="auto" w:fill="F9F9FB"/>
            <w:vAlign w:val="center"/>
          </w:tcPr>
          <w:p w14:paraId="0034BBF1">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r>
      <w:tr w14:paraId="0EEB24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42" w:type="dxa"/>
            <w:vMerge w:val="continue"/>
            <w:tcBorders>
              <w:top w:val="single" w:color="152935" w:sz="8" w:space="0"/>
              <w:left w:val="nil"/>
              <w:bottom w:val="single" w:color="152935" w:sz="8" w:space="0"/>
              <w:right w:val="nil"/>
            </w:tcBorders>
            <w:shd w:val="clear" w:color="auto" w:fill="E0E0E0"/>
          </w:tcPr>
          <w:p w14:paraId="56F801B5">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299" w:type="dxa"/>
            <w:tcBorders>
              <w:top w:val="single" w:color="AEAEAE" w:sz="8" w:space="0"/>
              <w:left w:val="nil"/>
              <w:bottom w:val="single" w:color="152935" w:sz="8" w:space="0"/>
              <w:right w:val="nil"/>
            </w:tcBorders>
            <w:shd w:val="clear" w:color="auto" w:fill="E0E0E0"/>
          </w:tcPr>
          <w:p w14:paraId="036660B3">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Total</w:t>
            </w:r>
          </w:p>
        </w:tc>
        <w:tc>
          <w:tcPr>
            <w:tcW w:w="1485" w:type="dxa"/>
            <w:tcBorders>
              <w:top w:val="single" w:color="AEAEAE" w:sz="8" w:space="0"/>
              <w:left w:val="nil"/>
              <w:bottom w:val="single" w:color="152935" w:sz="8" w:space="0"/>
              <w:right w:val="single" w:color="E0E0E0" w:sz="8" w:space="0"/>
            </w:tcBorders>
            <w:shd w:val="clear" w:color="auto" w:fill="F9F9FB"/>
          </w:tcPr>
          <w:p w14:paraId="0998726C">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4390.000</w:t>
            </w:r>
          </w:p>
        </w:tc>
        <w:tc>
          <w:tcPr>
            <w:tcW w:w="1036" w:type="dxa"/>
            <w:tcBorders>
              <w:top w:val="single" w:color="AEAEAE" w:sz="8" w:space="0"/>
              <w:left w:val="single" w:color="E0E0E0" w:sz="8" w:space="0"/>
              <w:bottom w:val="single" w:color="152935" w:sz="8" w:space="0"/>
              <w:right w:val="single" w:color="E0E0E0" w:sz="8" w:space="0"/>
            </w:tcBorders>
            <w:shd w:val="clear" w:color="auto" w:fill="F9F9FB"/>
          </w:tcPr>
          <w:p w14:paraId="386A3FF9">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219</w:t>
            </w:r>
          </w:p>
        </w:tc>
        <w:tc>
          <w:tcPr>
            <w:tcW w:w="1423" w:type="dxa"/>
            <w:tcBorders>
              <w:top w:val="single" w:color="AEAEAE" w:sz="8" w:space="0"/>
              <w:left w:val="single" w:color="E0E0E0" w:sz="8" w:space="0"/>
              <w:bottom w:val="single" w:color="152935" w:sz="8" w:space="0"/>
              <w:right w:val="single" w:color="E0E0E0" w:sz="8" w:space="0"/>
            </w:tcBorders>
            <w:shd w:val="clear" w:color="auto" w:fill="F9F9FB"/>
            <w:vAlign w:val="center"/>
          </w:tcPr>
          <w:p w14:paraId="5F2509C6">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036" w:type="dxa"/>
            <w:tcBorders>
              <w:top w:val="single" w:color="AEAEAE" w:sz="8" w:space="0"/>
              <w:left w:val="single" w:color="E0E0E0" w:sz="8" w:space="0"/>
              <w:bottom w:val="single" w:color="152935" w:sz="8" w:space="0"/>
              <w:right w:val="single" w:color="E0E0E0" w:sz="8" w:space="0"/>
            </w:tcBorders>
            <w:shd w:val="clear" w:color="auto" w:fill="F9F9FB"/>
            <w:vAlign w:val="center"/>
          </w:tcPr>
          <w:p w14:paraId="2AF4D45C">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036" w:type="dxa"/>
            <w:tcBorders>
              <w:top w:val="single" w:color="AEAEAE" w:sz="8" w:space="0"/>
              <w:left w:val="single" w:color="E0E0E0" w:sz="8" w:space="0"/>
              <w:bottom w:val="single" w:color="152935" w:sz="8" w:space="0"/>
              <w:right w:val="nil"/>
            </w:tcBorders>
            <w:shd w:val="clear" w:color="auto" w:fill="F9F9FB"/>
            <w:vAlign w:val="center"/>
          </w:tcPr>
          <w:p w14:paraId="0D83A8B0">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r>
    </w:tbl>
    <w:p w14:paraId="6DE63366">
      <w:pPr>
        <w:widowControl/>
        <w:spacing w:after="160" w:line="278" w:lineRule="auto"/>
        <w:jc w:val="left"/>
        <w:rPr>
          <w:rFonts w:ascii="Times New Roman" w:hAnsi="Times New Roman" w:eastAsia="Calibri" w:cs="Times New Roman"/>
          <w:color w:val="000000"/>
          <w:sz w:val="24"/>
          <w:lang w:val="zh-CN" w:eastAsia="en-US"/>
          <w14:ligatures w14:val="standardContextual"/>
        </w:rPr>
      </w:pPr>
    </w:p>
    <w:tbl>
      <w:tblPr>
        <w:tblStyle w:val="5"/>
        <w:tblW w:w="806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061"/>
      </w:tblGrid>
      <w:tr w14:paraId="70EBCD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057" w:type="dxa"/>
            <w:tcBorders>
              <w:top w:val="nil"/>
              <w:left w:val="nil"/>
              <w:bottom w:val="nil"/>
              <w:right w:val="nil"/>
            </w:tcBorders>
            <w:shd w:val="clear" w:color="auto" w:fill="FFFFFF"/>
          </w:tcPr>
          <w:p w14:paraId="334ECBC3">
            <w:pPr>
              <w:widowControl/>
              <w:spacing w:after="160" w:line="320" w:lineRule="atLeast"/>
              <w:ind w:left="60" w:right="60"/>
              <w:jc w:val="left"/>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 Dependent Variable: CSR Brand Loyalty</w:t>
            </w:r>
          </w:p>
        </w:tc>
      </w:tr>
      <w:tr w14:paraId="50347A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94" w:hRule="atLeast"/>
        </w:trPr>
        <w:tc>
          <w:tcPr>
            <w:tcW w:w="8057" w:type="dxa"/>
            <w:tcBorders>
              <w:top w:val="nil"/>
              <w:left w:val="nil"/>
              <w:bottom w:val="nil"/>
              <w:right w:val="nil"/>
            </w:tcBorders>
            <w:shd w:val="clear" w:color="auto" w:fill="FFFFFF"/>
          </w:tcPr>
          <w:p w14:paraId="2136D921">
            <w:pPr>
              <w:widowControl/>
              <w:spacing w:after="160" w:line="320" w:lineRule="atLeast"/>
              <w:ind w:left="60" w:right="60"/>
              <w:jc w:val="left"/>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 Predictors: (Constant), CSR Awareness and Perception</w:t>
            </w:r>
          </w:p>
        </w:tc>
      </w:tr>
    </w:tbl>
    <w:p w14:paraId="08567864">
      <w:pPr>
        <w:spacing w:after="200"/>
        <w:jc w:val="center"/>
        <w:rPr>
          <w:rFonts w:ascii="Times New Roman" w:hAnsi="Times New Roman" w:eastAsia="Calibri" w:cs="Times New Roman"/>
          <w:i/>
          <w:iCs/>
          <w:color w:val="000000"/>
          <w:sz w:val="18"/>
          <w:szCs w:val="18"/>
          <w:lang w:eastAsia="en-US"/>
          <w14:ligatures w14:val="standardContextual"/>
        </w:rPr>
      </w:pPr>
      <w:bookmarkStart w:id="50" w:name="_Toc207018213"/>
      <w:r>
        <w:rPr>
          <w:rFonts w:ascii="Times New Roman" w:hAnsi="Times New Roman" w:eastAsia="Calibri" w:cs="Times New Roman"/>
          <w:i/>
          <w:iCs/>
          <w:color w:val="000000"/>
          <w:sz w:val="18"/>
          <w:szCs w:val="18"/>
          <w:lang w:eastAsia="en-US"/>
          <w14:ligatures w14:val="standardContextual"/>
        </w:rPr>
        <w:t xml:space="preserve">Table </w:t>
      </w:r>
      <w:r>
        <w:rPr>
          <w:rFonts w:ascii="Times New Roman" w:hAnsi="Times New Roman" w:eastAsia="Calibri" w:cs="Times New Roman"/>
          <w:i/>
          <w:iCs/>
          <w:color w:val="000000"/>
          <w:sz w:val="18"/>
          <w:szCs w:val="18"/>
          <w:lang w:val="zh-CN" w:eastAsia="en-US"/>
          <w14:ligatures w14:val="standardContextual"/>
        </w:rPr>
        <w:fldChar w:fldCharType="begin"/>
      </w:r>
      <w:r>
        <w:rPr>
          <w:rFonts w:ascii="Times New Roman" w:hAnsi="Times New Roman" w:eastAsia="Calibri" w:cs="Times New Roman"/>
          <w:i/>
          <w:iCs/>
          <w:color w:val="000000"/>
          <w:sz w:val="18"/>
          <w:szCs w:val="18"/>
          <w:lang w:eastAsia="en-US"/>
          <w14:ligatures w14:val="standardContextual"/>
        </w:rPr>
        <w:instrText xml:space="preserve"> SEQ Table \* ARABIC </w:instrText>
      </w:r>
      <w:r>
        <w:rPr>
          <w:rFonts w:ascii="Times New Roman" w:hAnsi="Times New Roman" w:eastAsia="Calibri" w:cs="Times New Roman"/>
          <w:i/>
          <w:iCs/>
          <w:color w:val="000000"/>
          <w:sz w:val="18"/>
          <w:szCs w:val="18"/>
          <w:lang w:val="zh-CN" w:eastAsia="en-US"/>
          <w14:ligatures w14:val="standardContextual"/>
        </w:rPr>
        <w:fldChar w:fldCharType="separate"/>
      </w:r>
      <w:r>
        <w:rPr>
          <w:rFonts w:ascii="Times New Roman" w:hAnsi="Times New Roman" w:eastAsia="Calibri" w:cs="Times New Roman"/>
          <w:i/>
          <w:iCs/>
          <w:color w:val="000000"/>
          <w:sz w:val="18"/>
          <w:szCs w:val="18"/>
          <w:lang w:eastAsia="en-US"/>
          <w14:ligatures w14:val="standardContextual"/>
        </w:rPr>
        <w:t>6</w:t>
      </w:r>
      <w:r>
        <w:rPr>
          <w:rFonts w:ascii="Times New Roman" w:hAnsi="Times New Roman" w:eastAsia="Calibri" w:cs="Times New Roman"/>
          <w:i/>
          <w:iCs/>
          <w:color w:val="000000"/>
          <w:sz w:val="18"/>
          <w:szCs w:val="18"/>
          <w:lang w:val="zh-CN" w:eastAsia="en-US"/>
          <w14:ligatures w14:val="standardContextual"/>
        </w:rPr>
        <w:fldChar w:fldCharType="end"/>
      </w:r>
      <w:r>
        <w:rPr>
          <w:rFonts w:ascii="Times New Roman" w:hAnsi="Times New Roman" w:eastAsia="Calibri" w:cs="Times New Roman"/>
          <w:i/>
          <w:iCs/>
          <w:color w:val="000000"/>
          <w:sz w:val="18"/>
          <w:szCs w:val="18"/>
          <w:lang w:eastAsia="en-US"/>
          <w14:ligatures w14:val="standardContextual"/>
        </w:rPr>
        <w:t xml:space="preserve"> -Summary of model: ANOVA Test</w:t>
      </w:r>
      <w:bookmarkEnd w:id="50"/>
    </w:p>
    <w:p w14:paraId="785536D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Where F = 1.578 and p = .210, where in this case the model does not correspond to the 0.05 level. This means that the difference in CSR brand loyalty does not strongly correlate with CSR awareness alone among the sample. Although the </w:t>
      </w:r>
      <w:r>
        <w:rPr>
          <w:rFonts w:ascii="Times New Roman" w:hAnsi="Times New Roman" w:eastAsia="Calibri" w:cs="Times New Roman"/>
          <w:color w:val="000000"/>
          <w:kern w:val="0"/>
          <w:sz w:val="24"/>
          <w:lang w:eastAsia="en-US"/>
        </w:rPr>
        <w:t>R-squared is low, predictability is also low. This does not dismiss the possibility of indirect effects or influence</w:t>
      </w:r>
      <w:r>
        <w:rPr>
          <w:rFonts w:ascii="Times New Roman" w:hAnsi="Times New Roman" w:eastAsia="Calibri" w:cs="Times New Roman"/>
          <w:color w:val="000000"/>
          <w:sz w:val="24"/>
          <w:lang w:eastAsia="en-US"/>
          <w14:ligatures w14:val="standardContextual"/>
        </w:rPr>
        <w:t xml:space="preserve"> through other mediating variables.</w:t>
      </w:r>
    </w:p>
    <w:p w14:paraId="7826D8B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This is in agreement with foundation research indicating the intricacy of the association between CSR and devotion. In that order, an example of a direct relationship between CSR and brand equity can be found as follows, namely, the direct relationship between CSR and brand equity (Phung &amp; Huynh, 2022). In </w:t>
      </w:r>
      <w:r>
        <w:rPr>
          <w:rFonts w:ascii="Times New Roman" w:hAnsi="Times New Roman" w:eastAsia="Calibri" w:cs="Times New Roman"/>
          <w:color w:val="000000"/>
          <w:kern w:val="0"/>
          <w:sz w:val="24"/>
          <w:lang w:eastAsia="en-US"/>
        </w:rPr>
        <w:t>turn, equity affects brand loyalty, indicating a mediated relationship rather than</w:t>
      </w:r>
      <w:r>
        <w:rPr>
          <w:rFonts w:ascii="Times New Roman" w:hAnsi="Times New Roman" w:eastAsia="Calibri" w:cs="Times New Roman"/>
          <w:color w:val="000000"/>
          <w:sz w:val="24"/>
          <w:lang w:eastAsia="en-US"/>
          <w14:ligatures w14:val="standardContextual"/>
        </w:rPr>
        <w:t xml:space="preserve"> a direct one.</w:t>
      </w:r>
    </w:p>
    <w:tbl>
      <w:tblPr>
        <w:tblStyle w:val="5"/>
        <w:tblW w:w="864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0"/>
        <w:gridCol w:w="2027"/>
        <w:gridCol w:w="421"/>
        <w:gridCol w:w="910"/>
        <w:gridCol w:w="421"/>
        <w:gridCol w:w="910"/>
        <w:gridCol w:w="421"/>
        <w:gridCol w:w="1048"/>
        <w:gridCol w:w="421"/>
        <w:gridCol w:w="604"/>
        <w:gridCol w:w="421"/>
        <w:gridCol w:w="604"/>
        <w:gridCol w:w="421"/>
      </w:tblGrid>
      <w:tr w14:paraId="3D5BC4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421" w:type="dxa"/>
          <w:cantSplit/>
          <w:jc w:val="center"/>
        </w:trPr>
        <w:tc>
          <w:tcPr>
            <w:tcW w:w="8228" w:type="dxa"/>
            <w:gridSpan w:val="12"/>
            <w:tcBorders>
              <w:top w:val="nil"/>
              <w:left w:val="nil"/>
              <w:bottom w:val="nil"/>
              <w:right w:val="nil"/>
            </w:tcBorders>
            <w:shd w:val="clear" w:color="auto" w:fill="FFFFFF"/>
            <w:vAlign w:val="center"/>
          </w:tcPr>
          <w:p w14:paraId="05558854">
            <w:pPr>
              <w:widowControl/>
              <w:spacing w:after="160" w:line="320" w:lineRule="atLeast"/>
              <w:ind w:left="60" w:right="60"/>
              <w:jc w:val="center"/>
              <w:rPr>
                <w:rFonts w:ascii="Times New Roman" w:hAnsi="Times New Roman" w:eastAsia="Calibri" w:cs="Times New Roman"/>
                <w:color w:val="000000"/>
                <w:sz w:val="22"/>
                <w:szCs w:val="22"/>
                <w:lang w:val="zh-CN" w:eastAsia="en-US"/>
                <w14:ligatures w14:val="standardContextual"/>
              </w:rPr>
            </w:pPr>
            <w:r>
              <w:rPr>
                <w:rFonts w:ascii="Times New Roman" w:hAnsi="Times New Roman" w:eastAsia="Calibri" w:cs="Times New Roman"/>
                <w:b/>
                <w:bCs/>
                <w:color w:val="000000"/>
                <w:sz w:val="22"/>
                <w:szCs w:val="22"/>
                <w:lang w:val="zh-CN" w:eastAsia="en-US"/>
                <w14:ligatures w14:val="standardContextual"/>
              </w:rPr>
              <w:t>Coefficients</w:t>
            </w:r>
            <w:r>
              <w:rPr>
                <w:rFonts w:ascii="Times New Roman" w:hAnsi="Times New Roman" w:eastAsia="Calibri" w:cs="Times New Roman"/>
                <w:b/>
                <w:bCs/>
                <w:color w:val="000000"/>
                <w:sz w:val="22"/>
                <w:szCs w:val="22"/>
                <w:vertAlign w:val="superscript"/>
                <w:lang w:val="zh-CN" w:eastAsia="en-US"/>
                <w14:ligatures w14:val="standardContextual"/>
              </w:rPr>
              <w:t>a</w:t>
            </w:r>
          </w:p>
        </w:tc>
      </w:tr>
      <w:tr w14:paraId="33C8F0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421" w:type="dxa"/>
          <w:cantSplit/>
          <w:jc w:val="center"/>
        </w:trPr>
        <w:tc>
          <w:tcPr>
            <w:tcW w:w="2047" w:type="dxa"/>
            <w:gridSpan w:val="2"/>
            <w:vMerge w:val="restart"/>
            <w:tcBorders>
              <w:top w:val="nil"/>
              <w:left w:val="nil"/>
              <w:bottom w:val="nil"/>
              <w:right w:val="nil"/>
            </w:tcBorders>
            <w:shd w:val="clear" w:color="auto" w:fill="FFFFFF"/>
            <w:vAlign w:val="bottom"/>
          </w:tcPr>
          <w:p w14:paraId="049C8E5C">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Model</w:t>
            </w:r>
          </w:p>
        </w:tc>
        <w:tc>
          <w:tcPr>
            <w:tcW w:w="2662" w:type="dxa"/>
            <w:gridSpan w:val="4"/>
            <w:tcBorders>
              <w:top w:val="nil"/>
              <w:left w:val="nil"/>
              <w:bottom w:val="nil"/>
              <w:right w:val="single" w:color="E0E0E0" w:sz="8" w:space="0"/>
            </w:tcBorders>
            <w:shd w:val="clear" w:color="auto" w:fill="FFFFFF"/>
            <w:vAlign w:val="bottom"/>
          </w:tcPr>
          <w:p w14:paraId="050E0FC1">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Unstandardized Coefficients</w:t>
            </w:r>
          </w:p>
        </w:tc>
        <w:tc>
          <w:tcPr>
            <w:tcW w:w="1469" w:type="dxa"/>
            <w:gridSpan w:val="2"/>
            <w:tcBorders>
              <w:top w:val="nil"/>
              <w:left w:val="single" w:color="E0E0E0" w:sz="8" w:space="0"/>
              <w:bottom w:val="nil"/>
              <w:right w:val="single" w:color="E0E0E0" w:sz="8" w:space="0"/>
            </w:tcBorders>
            <w:shd w:val="clear" w:color="auto" w:fill="FFFFFF"/>
            <w:vAlign w:val="bottom"/>
          </w:tcPr>
          <w:p w14:paraId="077F18A9">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Standardized Coefficients</w:t>
            </w:r>
          </w:p>
        </w:tc>
        <w:tc>
          <w:tcPr>
            <w:tcW w:w="1025" w:type="dxa"/>
            <w:gridSpan w:val="2"/>
            <w:vMerge w:val="restart"/>
            <w:tcBorders>
              <w:top w:val="nil"/>
              <w:left w:val="single" w:color="E0E0E0" w:sz="8" w:space="0"/>
              <w:bottom w:val="nil"/>
              <w:right w:val="single" w:color="E0E0E0" w:sz="8" w:space="0"/>
            </w:tcBorders>
            <w:shd w:val="clear" w:color="auto" w:fill="FFFFFF"/>
            <w:vAlign w:val="bottom"/>
          </w:tcPr>
          <w:p w14:paraId="31E1D20E">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t</w:t>
            </w:r>
          </w:p>
        </w:tc>
        <w:tc>
          <w:tcPr>
            <w:tcW w:w="1025" w:type="dxa"/>
            <w:gridSpan w:val="2"/>
            <w:vMerge w:val="restart"/>
            <w:tcBorders>
              <w:top w:val="nil"/>
              <w:left w:val="single" w:color="E0E0E0" w:sz="8" w:space="0"/>
              <w:bottom w:val="nil"/>
              <w:right w:val="nil"/>
            </w:tcBorders>
            <w:shd w:val="clear" w:color="auto" w:fill="FFFFFF"/>
            <w:vAlign w:val="bottom"/>
          </w:tcPr>
          <w:p w14:paraId="3F442194">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Sig.</w:t>
            </w:r>
          </w:p>
        </w:tc>
      </w:tr>
      <w:tr w14:paraId="0F8577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gridAfter w:val="1"/>
          <w:wAfter w:w="421" w:type="dxa"/>
          <w:cantSplit/>
          <w:jc w:val="center"/>
        </w:trPr>
        <w:tc>
          <w:tcPr>
            <w:tcW w:w="2047" w:type="dxa"/>
            <w:gridSpan w:val="2"/>
            <w:vMerge w:val="continue"/>
            <w:tcBorders>
              <w:top w:val="nil"/>
              <w:left w:val="nil"/>
              <w:bottom w:val="nil"/>
              <w:right w:val="nil"/>
            </w:tcBorders>
            <w:shd w:val="clear" w:color="auto" w:fill="FFFFFF"/>
            <w:vAlign w:val="bottom"/>
          </w:tcPr>
          <w:p w14:paraId="3ED161DD">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331" w:type="dxa"/>
            <w:gridSpan w:val="2"/>
            <w:tcBorders>
              <w:top w:val="nil"/>
              <w:left w:val="nil"/>
              <w:bottom w:val="single" w:color="152935" w:sz="8" w:space="0"/>
              <w:right w:val="single" w:color="E0E0E0" w:sz="8" w:space="0"/>
            </w:tcBorders>
            <w:shd w:val="clear" w:color="auto" w:fill="FFFFFF"/>
            <w:vAlign w:val="bottom"/>
          </w:tcPr>
          <w:p w14:paraId="01A43A39">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B</w:t>
            </w:r>
          </w:p>
        </w:tc>
        <w:tc>
          <w:tcPr>
            <w:tcW w:w="1331" w:type="dxa"/>
            <w:gridSpan w:val="2"/>
            <w:tcBorders>
              <w:top w:val="nil"/>
              <w:left w:val="single" w:color="E0E0E0" w:sz="8" w:space="0"/>
              <w:bottom w:val="single" w:color="152935" w:sz="8" w:space="0"/>
              <w:right w:val="single" w:color="E0E0E0" w:sz="8" w:space="0"/>
            </w:tcBorders>
            <w:shd w:val="clear" w:color="auto" w:fill="FFFFFF"/>
            <w:vAlign w:val="bottom"/>
          </w:tcPr>
          <w:p w14:paraId="145A5581">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Std. Error</w:t>
            </w:r>
          </w:p>
        </w:tc>
        <w:tc>
          <w:tcPr>
            <w:tcW w:w="1469" w:type="dxa"/>
            <w:gridSpan w:val="2"/>
            <w:tcBorders>
              <w:top w:val="nil"/>
              <w:left w:val="single" w:color="E0E0E0" w:sz="8" w:space="0"/>
              <w:bottom w:val="single" w:color="152935" w:sz="8" w:space="0"/>
              <w:right w:val="single" w:color="E0E0E0" w:sz="8" w:space="0"/>
            </w:tcBorders>
            <w:shd w:val="clear" w:color="auto" w:fill="FFFFFF"/>
            <w:vAlign w:val="bottom"/>
          </w:tcPr>
          <w:p w14:paraId="688F0390">
            <w:pPr>
              <w:widowControl/>
              <w:spacing w:after="160" w:line="320" w:lineRule="atLeast"/>
              <w:ind w:left="60" w:right="60"/>
              <w:jc w:val="center"/>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Beta</w:t>
            </w:r>
          </w:p>
        </w:tc>
        <w:tc>
          <w:tcPr>
            <w:tcW w:w="1025" w:type="dxa"/>
            <w:gridSpan w:val="2"/>
            <w:vMerge w:val="continue"/>
            <w:tcBorders>
              <w:top w:val="nil"/>
              <w:left w:val="single" w:color="E0E0E0" w:sz="8" w:space="0"/>
              <w:bottom w:val="nil"/>
              <w:right w:val="single" w:color="E0E0E0" w:sz="8" w:space="0"/>
            </w:tcBorders>
            <w:shd w:val="clear" w:color="auto" w:fill="FFFFFF"/>
            <w:vAlign w:val="bottom"/>
          </w:tcPr>
          <w:p w14:paraId="51889E84">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025" w:type="dxa"/>
            <w:gridSpan w:val="2"/>
            <w:vMerge w:val="continue"/>
            <w:tcBorders>
              <w:top w:val="nil"/>
              <w:left w:val="single" w:color="E0E0E0" w:sz="8" w:space="0"/>
              <w:bottom w:val="nil"/>
              <w:right w:val="nil"/>
            </w:tcBorders>
            <w:shd w:val="clear" w:color="auto" w:fill="FFFFFF"/>
            <w:vAlign w:val="bottom"/>
          </w:tcPr>
          <w:p w14:paraId="0135FF08">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r>
      <w:tr w14:paraId="5ED886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0" w:type="dxa"/>
            <w:vMerge w:val="restart"/>
            <w:tcBorders>
              <w:top w:val="single" w:color="152935" w:sz="8" w:space="0"/>
              <w:left w:val="nil"/>
              <w:bottom w:val="single" w:color="152935" w:sz="8" w:space="0"/>
              <w:right w:val="nil"/>
            </w:tcBorders>
            <w:shd w:val="clear" w:color="auto" w:fill="E0E0E0"/>
          </w:tcPr>
          <w:p w14:paraId="0E48250F">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w:t>
            </w:r>
          </w:p>
        </w:tc>
        <w:tc>
          <w:tcPr>
            <w:tcW w:w="2448" w:type="dxa"/>
            <w:gridSpan w:val="2"/>
            <w:tcBorders>
              <w:top w:val="single" w:color="152935" w:sz="8" w:space="0"/>
              <w:left w:val="nil"/>
              <w:bottom w:val="single" w:color="AEAEAE" w:sz="8" w:space="0"/>
              <w:right w:val="nil"/>
            </w:tcBorders>
            <w:shd w:val="clear" w:color="auto" w:fill="E0E0E0"/>
          </w:tcPr>
          <w:p w14:paraId="00C25E59">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(Constant)</w:t>
            </w:r>
          </w:p>
        </w:tc>
        <w:tc>
          <w:tcPr>
            <w:tcW w:w="1331" w:type="dxa"/>
            <w:gridSpan w:val="2"/>
            <w:tcBorders>
              <w:top w:val="single" w:color="152935" w:sz="8" w:space="0"/>
              <w:left w:val="nil"/>
              <w:bottom w:val="single" w:color="AEAEAE" w:sz="8" w:space="0"/>
              <w:right w:val="single" w:color="E0E0E0" w:sz="8" w:space="0"/>
            </w:tcBorders>
            <w:shd w:val="clear" w:color="auto" w:fill="F9F9FB"/>
          </w:tcPr>
          <w:p w14:paraId="3BAA2668">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15.753</w:t>
            </w:r>
          </w:p>
        </w:tc>
        <w:tc>
          <w:tcPr>
            <w:tcW w:w="1331" w:type="dxa"/>
            <w:gridSpan w:val="2"/>
            <w:tcBorders>
              <w:top w:val="single" w:color="152935" w:sz="8" w:space="0"/>
              <w:left w:val="single" w:color="E0E0E0" w:sz="8" w:space="0"/>
              <w:bottom w:val="single" w:color="AEAEAE" w:sz="8" w:space="0"/>
              <w:right w:val="single" w:color="E0E0E0" w:sz="8" w:space="0"/>
            </w:tcBorders>
            <w:shd w:val="clear" w:color="auto" w:fill="F9F9FB"/>
          </w:tcPr>
          <w:p w14:paraId="09902A1B">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1.037</w:t>
            </w:r>
          </w:p>
        </w:tc>
        <w:tc>
          <w:tcPr>
            <w:tcW w:w="1469" w:type="dxa"/>
            <w:gridSpan w:val="2"/>
            <w:tcBorders>
              <w:top w:val="single" w:color="152935" w:sz="8" w:space="0"/>
              <w:left w:val="single" w:color="E0E0E0" w:sz="8" w:space="0"/>
              <w:bottom w:val="single" w:color="AEAEAE" w:sz="8" w:space="0"/>
              <w:right w:val="single" w:color="E0E0E0" w:sz="8" w:space="0"/>
            </w:tcBorders>
            <w:shd w:val="clear" w:color="auto" w:fill="F9F9FB"/>
            <w:vAlign w:val="center"/>
          </w:tcPr>
          <w:p w14:paraId="7AAC0B9F">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1025" w:type="dxa"/>
            <w:gridSpan w:val="2"/>
            <w:tcBorders>
              <w:top w:val="single" w:color="152935" w:sz="8" w:space="0"/>
              <w:left w:val="single" w:color="E0E0E0" w:sz="8" w:space="0"/>
              <w:bottom w:val="single" w:color="AEAEAE" w:sz="8" w:space="0"/>
              <w:right w:val="single" w:color="E0E0E0" w:sz="8" w:space="0"/>
            </w:tcBorders>
            <w:shd w:val="clear" w:color="auto" w:fill="F9F9FB"/>
          </w:tcPr>
          <w:p w14:paraId="3546CD58">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15.188</w:t>
            </w:r>
          </w:p>
        </w:tc>
        <w:tc>
          <w:tcPr>
            <w:tcW w:w="1025" w:type="dxa"/>
            <w:gridSpan w:val="2"/>
            <w:tcBorders>
              <w:top w:val="single" w:color="152935" w:sz="8" w:space="0"/>
              <w:left w:val="single" w:color="E0E0E0" w:sz="8" w:space="0"/>
              <w:bottom w:val="single" w:color="AEAEAE" w:sz="8" w:space="0"/>
              <w:right w:val="nil"/>
            </w:tcBorders>
            <w:shd w:val="clear" w:color="auto" w:fill="F9F9FB"/>
          </w:tcPr>
          <w:p w14:paraId="78408919">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.000</w:t>
            </w:r>
          </w:p>
        </w:tc>
      </w:tr>
      <w:tr w14:paraId="5EAC8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0" w:type="dxa"/>
            <w:vMerge w:val="continue"/>
            <w:tcBorders>
              <w:top w:val="single" w:color="152935" w:sz="8" w:space="0"/>
              <w:left w:val="nil"/>
              <w:bottom w:val="single" w:color="152935" w:sz="8" w:space="0"/>
              <w:right w:val="nil"/>
            </w:tcBorders>
            <w:shd w:val="clear" w:color="auto" w:fill="E0E0E0"/>
          </w:tcPr>
          <w:p w14:paraId="3399D35E">
            <w:pPr>
              <w:widowControl/>
              <w:spacing w:after="160" w:line="278" w:lineRule="auto"/>
              <w:jc w:val="left"/>
              <w:rPr>
                <w:rFonts w:ascii="Times New Roman" w:hAnsi="Times New Roman" w:eastAsia="Calibri" w:cs="Times New Roman"/>
                <w:color w:val="000000"/>
                <w:sz w:val="24"/>
                <w:lang w:val="zh-CN" w:eastAsia="en-US"/>
                <w14:ligatures w14:val="standardContextual"/>
              </w:rPr>
            </w:pPr>
          </w:p>
        </w:tc>
        <w:tc>
          <w:tcPr>
            <w:tcW w:w="2448" w:type="dxa"/>
            <w:gridSpan w:val="2"/>
            <w:tcBorders>
              <w:top w:val="single" w:color="AEAEAE" w:sz="8" w:space="0"/>
              <w:left w:val="nil"/>
              <w:bottom w:val="single" w:color="152935" w:sz="8" w:space="0"/>
              <w:right w:val="nil"/>
            </w:tcBorders>
            <w:shd w:val="clear" w:color="auto" w:fill="E0E0E0"/>
          </w:tcPr>
          <w:p w14:paraId="2F4E926B">
            <w:pPr>
              <w:widowControl/>
              <w:spacing w:after="160" w:line="320" w:lineRule="atLeast"/>
              <w:ind w:left="60" w:right="60"/>
              <w:jc w:val="lef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CSR Awareness and Perception</w:t>
            </w:r>
          </w:p>
        </w:tc>
        <w:tc>
          <w:tcPr>
            <w:tcW w:w="1331" w:type="dxa"/>
            <w:gridSpan w:val="2"/>
            <w:tcBorders>
              <w:top w:val="single" w:color="AEAEAE" w:sz="8" w:space="0"/>
              <w:left w:val="nil"/>
              <w:bottom w:val="single" w:color="152935" w:sz="8" w:space="0"/>
              <w:right w:val="single" w:color="E0E0E0" w:sz="8" w:space="0"/>
            </w:tcBorders>
            <w:shd w:val="clear" w:color="auto" w:fill="F9F9FB"/>
          </w:tcPr>
          <w:p w14:paraId="7453E178">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.076</w:t>
            </w:r>
          </w:p>
        </w:tc>
        <w:tc>
          <w:tcPr>
            <w:tcW w:w="1331" w:type="dxa"/>
            <w:gridSpan w:val="2"/>
            <w:tcBorders>
              <w:top w:val="single" w:color="AEAEAE" w:sz="8" w:space="0"/>
              <w:left w:val="single" w:color="E0E0E0" w:sz="8" w:space="0"/>
              <w:bottom w:val="single" w:color="152935" w:sz="8" w:space="0"/>
              <w:right w:val="single" w:color="E0E0E0" w:sz="8" w:space="0"/>
            </w:tcBorders>
            <w:shd w:val="clear" w:color="auto" w:fill="F9F9FB"/>
          </w:tcPr>
          <w:p w14:paraId="50FDA730">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.061</w:t>
            </w:r>
          </w:p>
        </w:tc>
        <w:tc>
          <w:tcPr>
            <w:tcW w:w="1469" w:type="dxa"/>
            <w:gridSpan w:val="2"/>
            <w:tcBorders>
              <w:top w:val="single" w:color="AEAEAE" w:sz="8" w:space="0"/>
              <w:left w:val="single" w:color="E0E0E0" w:sz="8" w:space="0"/>
              <w:bottom w:val="single" w:color="152935" w:sz="8" w:space="0"/>
              <w:right w:val="single" w:color="E0E0E0" w:sz="8" w:space="0"/>
            </w:tcBorders>
            <w:shd w:val="clear" w:color="auto" w:fill="F9F9FB"/>
          </w:tcPr>
          <w:p w14:paraId="2E03BA2D">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.085</w:t>
            </w:r>
          </w:p>
        </w:tc>
        <w:tc>
          <w:tcPr>
            <w:tcW w:w="1025" w:type="dxa"/>
            <w:gridSpan w:val="2"/>
            <w:tcBorders>
              <w:top w:val="single" w:color="AEAEAE" w:sz="8" w:space="0"/>
              <w:left w:val="single" w:color="E0E0E0" w:sz="8" w:space="0"/>
              <w:bottom w:val="single" w:color="152935" w:sz="8" w:space="0"/>
              <w:right w:val="single" w:color="E0E0E0" w:sz="8" w:space="0"/>
            </w:tcBorders>
            <w:shd w:val="clear" w:color="auto" w:fill="F9F9FB"/>
          </w:tcPr>
          <w:p w14:paraId="600A0CBD">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1.256</w:t>
            </w:r>
          </w:p>
        </w:tc>
        <w:tc>
          <w:tcPr>
            <w:tcW w:w="1025" w:type="dxa"/>
            <w:gridSpan w:val="2"/>
            <w:tcBorders>
              <w:top w:val="single" w:color="AEAEAE" w:sz="8" w:space="0"/>
              <w:left w:val="single" w:color="E0E0E0" w:sz="8" w:space="0"/>
              <w:bottom w:val="single" w:color="152935" w:sz="8" w:space="0"/>
              <w:right w:val="nil"/>
            </w:tcBorders>
            <w:shd w:val="clear" w:color="auto" w:fill="F9F9FB"/>
          </w:tcPr>
          <w:p w14:paraId="7C9797EE">
            <w:pPr>
              <w:widowControl/>
              <w:spacing w:after="160" w:line="320" w:lineRule="atLeast"/>
              <w:ind w:left="60" w:right="60"/>
              <w:jc w:val="right"/>
              <w:rPr>
                <w:rFonts w:ascii="Times New Roman" w:hAnsi="Times New Roman" w:eastAsia="Calibri" w:cs="Times New Roman"/>
                <w:color w:val="000000"/>
                <w:sz w:val="24"/>
                <w:lang w:val="zh-CN" w:eastAsia="en-US"/>
                <w14:ligatures w14:val="standardContextual"/>
              </w:rPr>
            </w:pPr>
            <w:r>
              <w:rPr>
                <w:rFonts w:ascii="Times New Roman" w:hAnsi="Times New Roman" w:eastAsia="Calibri" w:cs="Times New Roman"/>
                <w:color w:val="000000"/>
                <w:sz w:val="24"/>
                <w:lang w:val="zh-CN" w:eastAsia="en-US"/>
                <w14:ligatures w14:val="standardContextual"/>
              </w:rPr>
              <w:t>.210</w:t>
            </w:r>
          </w:p>
        </w:tc>
      </w:tr>
    </w:tbl>
    <w:p w14:paraId="1CBE6EDA">
      <w:pPr>
        <w:widowControl/>
        <w:spacing w:after="160" w:line="278" w:lineRule="auto"/>
        <w:jc w:val="left"/>
        <w:rPr>
          <w:rFonts w:ascii="Times New Roman" w:hAnsi="Times New Roman" w:eastAsia="Calibri" w:cs="Times New Roman"/>
          <w:color w:val="000000"/>
          <w:sz w:val="24"/>
          <w:lang w:val="zh-CN" w:eastAsia="en-US"/>
          <w14:ligatures w14:val="standardContextual"/>
        </w:rPr>
      </w:pPr>
    </w:p>
    <w:tbl>
      <w:tblPr>
        <w:tblStyle w:val="5"/>
        <w:tblW w:w="9362"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62"/>
      </w:tblGrid>
      <w:tr w14:paraId="75638D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9357" w:type="dxa"/>
            <w:tcBorders>
              <w:top w:val="nil"/>
              <w:left w:val="nil"/>
              <w:bottom w:val="nil"/>
              <w:right w:val="nil"/>
            </w:tcBorders>
            <w:shd w:val="clear" w:color="auto" w:fill="FFFFFF"/>
          </w:tcPr>
          <w:p w14:paraId="50AF6FDF">
            <w:pPr>
              <w:widowControl/>
              <w:spacing w:after="160" w:line="320" w:lineRule="atLeast"/>
              <w:ind w:left="60" w:right="60"/>
              <w:jc w:val="left"/>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 Dependent Variable: CSR Brand Loyalty</w:t>
            </w:r>
          </w:p>
        </w:tc>
      </w:tr>
    </w:tbl>
    <w:p w14:paraId="072D2A3C">
      <w:pPr>
        <w:spacing w:after="200"/>
        <w:jc w:val="center"/>
        <w:rPr>
          <w:rFonts w:ascii="Times New Roman" w:hAnsi="Times New Roman" w:eastAsia="Calibri" w:cs="Times New Roman"/>
          <w:i/>
          <w:iCs/>
          <w:color w:val="000000"/>
          <w:sz w:val="18"/>
          <w:szCs w:val="18"/>
          <w:lang w:eastAsia="en-US"/>
          <w14:ligatures w14:val="standardContextual"/>
        </w:rPr>
      </w:pPr>
      <w:bookmarkStart w:id="51" w:name="_Toc207018214"/>
      <w:r>
        <w:rPr>
          <w:rFonts w:ascii="Times New Roman" w:hAnsi="Times New Roman" w:eastAsia="Calibri" w:cs="Times New Roman"/>
          <w:i/>
          <w:iCs/>
          <w:color w:val="000000"/>
          <w:sz w:val="18"/>
          <w:szCs w:val="18"/>
          <w:lang w:eastAsia="en-US"/>
          <w14:ligatures w14:val="standardContextual"/>
        </w:rPr>
        <w:t xml:space="preserve">Table </w:t>
      </w:r>
      <w:r>
        <w:rPr>
          <w:rFonts w:ascii="Times New Roman" w:hAnsi="Times New Roman" w:eastAsia="Calibri" w:cs="Times New Roman"/>
          <w:i/>
          <w:iCs/>
          <w:color w:val="000000"/>
          <w:sz w:val="18"/>
          <w:szCs w:val="18"/>
          <w:lang w:val="zh-CN" w:eastAsia="en-US"/>
          <w14:ligatures w14:val="standardContextual"/>
        </w:rPr>
        <w:fldChar w:fldCharType="begin"/>
      </w:r>
      <w:r>
        <w:rPr>
          <w:rFonts w:ascii="Times New Roman" w:hAnsi="Times New Roman" w:eastAsia="Calibri" w:cs="Times New Roman"/>
          <w:i/>
          <w:iCs/>
          <w:color w:val="000000"/>
          <w:sz w:val="18"/>
          <w:szCs w:val="18"/>
          <w:lang w:eastAsia="en-US"/>
          <w14:ligatures w14:val="standardContextual"/>
        </w:rPr>
        <w:instrText xml:space="preserve"> SEQ Table \* ARABIC </w:instrText>
      </w:r>
      <w:r>
        <w:rPr>
          <w:rFonts w:ascii="Times New Roman" w:hAnsi="Times New Roman" w:eastAsia="Calibri" w:cs="Times New Roman"/>
          <w:i/>
          <w:iCs/>
          <w:color w:val="000000"/>
          <w:sz w:val="18"/>
          <w:szCs w:val="18"/>
          <w:lang w:val="zh-CN" w:eastAsia="en-US"/>
          <w14:ligatures w14:val="standardContextual"/>
        </w:rPr>
        <w:fldChar w:fldCharType="separate"/>
      </w:r>
      <w:r>
        <w:rPr>
          <w:rFonts w:ascii="Times New Roman" w:hAnsi="Times New Roman" w:eastAsia="Calibri" w:cs="Times New Roman"/>
          <w:i/>
          <w:iCs/>
          <w:color w:val="000000"/>
          <w:sz w:val="18"/>
          <w:szCs w:val="18"/>
          <w:lang w:eastAsia="en-US"/>
          <w14:ligatures w14:val="standardContextual"/>
        </w:rPr>
        <w:t>7</w:t>
      </w:r>
      <w:r>
        <w:rPr>
          <w:rFonts w:ascii="Times New Roman" w:hAnsi="Times New Roman" w:eastAsia="Calibri" w:cs="Times New Roman"/>
          <w:i/>
          <w:iCs/>
          <w:color w:val="000000"/>
          <w:sz w:val="18"/>
          <w:szCs w:val="18"/>
          <w:lang w:val="zh-CN" w:eastAsia="en-US"/>
          <w14:ligatures w14:val="standardContextual"/>
        </w:rPr>
        <w:fldChar w:fldCharType="end"/>
      </w:r>
      <w:r>
        <w:rPr>
          <w:rFonts w:ascii="Times New Roman" w:hAnsi="Times New Roman" w:eastAsia="Calibri" w:cs="Times New Roman"/>
          <w:i/>
          <w:iCs/>
          <w:color w:val="000000"/>
          <w:sz w:val="18"/>
          <w:szCs w:val="18"/>
          <w:lang w:eastAsia="en-US"/>
          <w14:ligatures w14:val="standardContextual"/>
        </w:rPr>
        <w:t xml:space="preserve"> - Coefficient table analysis</w:t>
      </w:r>
      <w:bookmarkEnd w:id="51"/>
    </w:p>
    <w:p w14:paraId="6AB9FC9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Unstandardized B (B = .076) indicates that every one-unit rise in the level of CSR awareness leads to a rise in brand loyalty by 0.076 points. Nevertheless, non-significance is reflected by a p-value of .210, thus the effect cannot be considered statistically reliable.</w:t>
      </w:r>
    </w:p>
    <w:p w14:paraId="7C1B061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implications of these findings suggest that Gen Z brand loyalty cannot be largely predicted based on CSR perception only, as Patil &amp; Manas (2025) compile. This study explore</w:t>
      </w:r>
      <w:r>
        <w:rPr>
          <w:rFonts w:hint="eastAsia" w:ascii="Times New Roman" w:hAnsi="Times New Roman" w:cs="Times New Roman"/>
          <w:color w:val="000000"/>
          <w:sz w:val="24"/>
          <w14:ligatures w14:val="standardContextual"/>
        </w:rPr>
        <w:t>d</w:t>
      </w:r>
      <w:r>
        <w:rPr>
          <w:rFonts w:ascii="Times New Roman" w:hAnsi="Times New Roman" w:eastAsia="Calibri" w:cs="Times New Roman"/>
          <w:color w:val="000000"/>
          <w:sz w:val="24"/>
          <w:lang w:eastAsia="en-US"/>
          <w14:ligatures w14:val="standardContextual"/>
        </w:rPr>
        <w:t xml:space="preserve"> how the CSR communication affects the consumer behavior and brand relation of Gen Z people. This brings out the multifactorial character of loyalty, which was determined by communication, interaction quality, and emotional connection.</w:t>
      </w:r>
    </w:p>
    <w:p w14:paraId="33C48747">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regression model, though statistically weak, leads to a broader theoretical understanding that CSR can earn loyalty when implemented together with trust-building, branding practices, and communication.</w:t>
      </w:r>
      <w:r>
        <w:rPr>
          <w:rFonts w:hint="eastAsia" w:ascii="Times New Roman" w:hAnsi="Times New Roman" w:eastAsia="Calibri" w:cs="Times New Roman"/>
          <w:color w:val="000000"/>
          <w:sz w:val="24"/>
          <w:lang w:eastAsia="en-US"/>
          <w14:ligatures w14:val="standardContextual"/>
        </w:rPr>
        <w:t>The regression equation is not statistically strong as the correlation between CSR awareness and brand loyalty was found to have a low beta ( = 0.085) and p-value of high insignificance (p = .210). This reveals that CSR is not a bold predictor. Nevertheless, CSR reinforces loyalty, in conjunction with trust, branding and communication.</w:t>
      </w:r>
      <w:r>
        <w:rPr>
          <w:rFonts w:ascii="Times New Roman" w:hAnsi="Times New Roman" w:eastAsia="Calibri" w:cs="Times New Roman"/>
          <w:color w:val="000000"/>
          <w:sz w:val="24"/>
          <w:lang w:eastAsia="en-US"/>
          <w14:ligatures w14:val="standardContextual"/>
        </w:rPr>
        <w:t xml:space="preserve"> A more formidable predictive model would incorporate intermediary variables of trust, satisfaction, and brand equity, as endorsed in previous literature.</w:t>
      </w:r>
    </w:p>
    <w:p w14:paraId="1586853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study the same in the future, multivariable regression or Structural Equation Modelling (SEM) may be more appropriate to explain the intricate causal links between CSR and loyalty amongst Gen Z.</w:t>
      </w:r>
    </w:p>
    <w:p w14:paraId="64B04678">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val="zh-CN" w:eastAsia="en-US"/>
          <w14:ligatures w14:val="standardContextual"/>
        </w:rPr>
      </w:pPr>
      <w:bookmarkStart w:id="52" w:name="_Toc5095"/>
      <w:r>
        <w:rPr>
          <w:rFonts w:ascii="Times New Roman" w:hAnsi="Times New Roman" w:eastAsia="等线 Light" w:cs="Times New Roman"/>
          <w:b/>
          <w:bCs/>
          <w:color w:val="000000"/>
          <w:sz w:val="32"/>
          <w:szCs w:val="32"/>
          <w:lang w:val="zh-CN" w:eastAsia="en-US"/>
          <w14:ligatures w14:val="standardContextual"/>
        </w:rPr>
        <w:t>Thematic Integration with Literature:</w:t>
      </w:r>
      <w:bookmarkEnd w:id="52"/>
    </w:p>
    <w:p w14:paraId="598C671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this section, the statistical results of the SPSS data will be combined and integrated with the theoretical and empirical knowledge notions and observations brought forth in the literature review. This will serve to verify or compare the data trends with the available literature, especially in how Gen Z will react to the aspect of Corporate Social Responsibility (CSR) and its effects on brand loyalty.</w:t>
      </w:r>
    </w:p>
    <w:p w14:paraId="7A5C0D6F">
      <w:pPr>
        <w:keepNext/>
        <w:keepLines/>
        <w:numPr>
          <w:ilvl w:val="2"/>
          <w:numId w:val="3"/>
        </w:numPr>
        <w:spacing w:before="160" w:after="80" w:line="278" w:lineRule="auto"/>
        <w:outlineLvl w:val="2"/>
        <w:rPr>
          <w:rFonts w:ascii="Times New Roman" w:hAnsi="Times New Roman" w:eastAsia="等线 Light" w:cs="Times New Roman"/>
          <w:b/>
          <w:bCs/>
          <w:color w:val="000000"/>
          <w:sz w:val="28"/>
          <w:szCs w:val="28"/>
          <w:lang w:eastAsia="en-US"/>
          <w14:ligatures w14:val="standardContextual"/>
        </w:rPr>
      </w:pPr>
      <w:bookmarkStart w:id="53" w:name="_Toc27237"/>
      <w:r>
        <w:rPr>
          <w:rFonts w:ascii="Times New Roman" w:hAnsi="Times New Roman" w:eastAsia="等线 Light" w:cs="Times New Roman"/>
          <w:b/>
          <w:bCs/>
          <w:color w:val="000000"/>
          <w:sz w:val="28"/>
          <w:szCs w:val="28"/>
          <w:lang w:eastAsia="en-US"/>
          <w14:ligatures w14:val="standardContextual"/>
        </w:rPr>
        <w:t>Weak Predictive Power of CSR Perception</w:t>
      </w:r>
      <w:bookmarkEnd w:id="53"/>
    </w:p>
    <w:p w14:paraId="387C55FC">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The SPSS results of the regression and correlation showed that CSR awareness and perception are not significantly related to brand loyalty, indicating a weak relationship. The Pearson correlation </w:t>
      </w:r>
      <w:r>
        <w:rPr>
          <w:rFonts w:ascii="Times New Roman" w:hAnsi="Times New Roman" w:eastAsia="Calibri" w:cs="Times New Roman"/>
          <w:color w:val="000000"/>
          <w:kern w:val="0"/>
          <w:sz w:val="24"/>
          <w:lang w:eastAsia="en-US"/>
        </w:rPr>
        <w:t>between CSR perception and brand loyalty was low, with a value of r = 0.085 (p = 0.210). Furthermore, regression analysis revealed a non-significant beta value of 0.076 (p</w:t>
      </w:r>
      <w:r>
        <w:rPr>
          <w:rFonts w:ascii="Times New Roman" w:hAnsi="Times New Roman" w:eastAsia="Calibri" w:cs="Times New Roman"/>
          <w:color w:val="000000"/>
          <w:sz w:val="24"/>
          <w:lang w:eastAsia="en-US"/>
          <w14:ligatures w14:val="standardContextual"/>
        </w:rPr>
        <w:t xml:space="preserve"> = 0.210). This resonates with Barchiesi &amp; Colladon (2021), who have stated that CSR receives far less attention than anticipated, which potentially underlines the power of CSR initiatives when more pressing feelings or brand-related inclinations are relevant to Gen Z customers.</w:t>
      </w:r>
    </w:p>
    <w:p w14:paraId="14FB655D">
      <w:pPr>
        <w:keepNext/>
        <w:keepLines/>
        <w:numPr>
          <w:ilvl w:val="2"/>
          <w:numId w:val="3"/>
        </w:numPr>
        <w:spacing w:before="160" w:after="80" w:line="278" w:lineRule="auto"/>
        <w:outlineLvl w:val="2"/>
        <w:rPr>
          <w:rFonts w:ascii="Times New Roman" w:hAnsi="Times New Roman" w:eastAsia="等线 Light" w:cs="Times New Roman"/>
          <w:b/>
          <w:bCs/>
          <w:color w:val="000000"/>
          <w:sz w:val="28"/>
          <w:szCs w:val="28"/>
          <w:lang w:eastAsia="en-US"/>
          <w14:ligatures w14:val="standardContextual"/>
        </w:rPr>
      </w:pPr>
      <w:bookmarkStart w:id="54" w:name="_Toc25134"/>
      <w:r>
        <w:rPr>
          <w:rFonts w:ascii="Times New Roman" w:hAnsi="Times New Roman" w:eastAsia="等线 Light" w:cs="Times New Roman"/>
          <w:b/>
          <w:bCs/>
          <w:color w:val="000000"/>
          <w:sz w:val="28"/>
          <w:szCs w:val="28"/>
          <w:lang w:eastAsia="en-US"/>
          <w14:ligatures w14:val="standardContextual"/>
        </w:rPr>
        <w:t>The Role of Philanthropy and Ethical Evaluation</w:t>
      </w:r>
      <w:bookmarkEnd w:id="54"/>
    </w:p>
    <w:p w14:paraId="0B6C58D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Nevertheless, the results do not undermine the significance of philanthropic activities in influencing consumer perception. Although interest in CSR in general is unlikely to be a good indicator of loyalty, certain forms of CSR-related activity, including philanthropy, may play out more directly. This is supported by the idea of Idrees et al. (2021), who explain that: Philanthropy had a more substantial impact on consumer evaluations… This clarifies why CSR communication in isolation (as gauged by survey items Q6-Q8) showed very weak correlation (r = -0.109) with brand loyalty: a general communication effort may not show up unless it is accompanied by something tangible and charitable.</w:t>
      </w:r>
    </w:p>
    <w:p w14:paraId="5698B81F">
      <w:pPr>
        <w:keepNext/>
        <w:keepLines/>
        <w:numPr>
          <w:ilvl w:val="2"/>
          <w:numId w:val="3"/>
        </w:numPr>
        <w:spacing w:before="160" w:after="80" w:line="278" w:lineRule="auto"/>
        <w:outlineLvl w:val="2"/>
        <w:rPr>
          <w:rFonts w:ascii="Times New Roman" w:hAnsi="Times New Roman" w:eastAsia="等线 Light" w:cs="Times New Roman"/>
          <w:b/>
          <w:bCs/>
          <w:color w:val="000000"/>
          <w:sz w:val="28"/>
          <w:szCs w:val="28"/>
          <w:lang w:val="zh-CN" w:eastAsia="en-US"/>
          <w14:ligatures w14:val="standardContextual"/>
        </w:rPr>
      </w:pPr>
      <w:bookmarkStart w:id="55" w:name="_Toc8380"/>
      <w:r>
        <w:rPr>
          <w:rFonts w:ascii="Times New Roman" w:hAnsi="Times New Roman" w:eastAsia="等线 Light" w:cs="Times New Roman"/>
          <w:b/>
          <w:bCs/>
          <w:color w:val="000000"/>
          <w:sz w:val="28"/>
          <w:szCs w:val="28"/>
          <w:lang w:val="zh-CN" w:eastAsia="en-US"/>
          <w14:ligatures w14:val="standardContextual"/>
        </w:rPr>
        <w:t>Value Alignment and Social Responsibility</w:t>
      </w:r>
      <w:bookmarkEnd w:id="55"/>
    </w:p>
    <w:p w14:paraId="3BDC67C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According to a behavioral economics point of view, Gen Z is not the only group that is driven by what the company does, but also by the alignment of its actions to their values. This is manifested in Potrashkova et al. (2018), who claim: Social responsibility of consumers is one of the primary terms of covering the costs of the enterprises related to the execution of social and ethical marketing tasks. The most relevant implication of this statement is the interdependence between responsible consumer identity and corporate action, which implies that, although CSR does not apply uniformly to loyalty measures, it strengthens the brand credibility in value-based market sector segments.</w:t>
      </w:r>
    </w:p>
    <w:p w14:paraId="11875548">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Trends in demographic data also back this interrelation: the total sample size of respondents was 221, with 100 per cent of respondents using social media to follow brands, and more than 70 per cent being female, as ethically conscious and socially aware attitudes are variously and widely associated in the literature. As Gen Z has demonstrated tendencies of digital engagement, brand loyalty can be founded on honest and continuous CSR storytelling, not just awareness-raising.</w:t>
      </w:r>
    </w:p>
    <w:p w14:paraId="0FDF5FE9">
      <w:pPr>
        <w:keepNext/>
        <w:keepLines/>
        <w:numPr>
          <w:ilvl w:val="2"/>
          <w:numId w:val="3"/>
        </w:numPr>
        <w:spacing w:before="160" w:after="80" w:line="278" w:lineRule="auto"/>
        <w:outlineLvl w:val="2"/>
        <w:rPr>
          <w:rFonts w:ascii="Times New Roman" w:hAnsi="Times New Roman" w:eastAsia="等线 Light" w:cs="Times New Roman"/>
          <w:b/>
          <w:bCs/>
          <w:color w:val="000000"/>
          <w:sz w:val="28"/>
          <w:szCs w:val="28"/>
          <w:lang w:val="zh-CN" w:eastAsia="en-US"/>
          <w14:ligatures w14:val="standardContextual"/>
        </w:rPr>
      </w:pPr>
      <w:bookmarkStart w:id="56" w:name="_Toc27717"/>
      <w:r>
        <w:rPr>
          <w:rFonts w:ascii="Times New Roman" w:hAnsi="Times New Roman" w:eastAsia="等线 Light" w:cs="Times New Roman"/>
          <w:b/>
          <w:bCs/>
          <w:color w:val="000000"/>
          <w:sz w:val="28"/>
          <w:szCs w:val="28"/>
          <w:lang w:val="zh-CN" w:eastAsia="en-US"/>
          <w14:ligatures w14:val="standardContextual"/>
        </w:rPr>
        <w:t>Revisiting Hypotheses</w:t>
      </w:r>
      <w:bookmarkEnd w:id="56"/>
    </w:p>
    <w:p w14:paraId="076F1C5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part, statistical evidence confirms the hypotheses stated in Chapter 1. While H1 (CSR positively influences brand loyalty) lacks strong statistical significance, the literature confirms indirect pathways—through trust, perceived equity, and ethical identification—as crucial mechanisms. Therefore, the hypotheses can be redeveloped to indicate a mediated relationship between CSR and loyalty as opposed to a direct one.</w:t>
      </w:r>
    </w:p>
    <w:p w14:paraId="4C9E7C36">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val="zh-CN" w:eastAsia="en-US"/>
          <w14:ligatures w14:val="standardContextual"/>
        </w:rPr>
      </w:pPr>
      <w:bookmarkStart w:id="57" w:name="_Toc18752"/>
      <w:r>
        <w:rPr>
          <w:rFonts w:ascii="Times New Roman" w:hAnsi="Times New Roman" w:eastAsia="等线 Light" w:cs="Times New Roman"/>
          <w:b/>
          <w:bCs/>
          <w:color w:val="000000"/>
          <w:sz w:val="32"/>
          <w:szCs w:val="32"/>
          <w:lang w:val="zh-CN" w:eastAsia="en-US"/>
          <w14:ligatures w14:val="standardContextual"/>
        </w:rPr>
        <w:t>Summary of Key Findings:</w:t>
      </w:r>
      <w:bookmarkEnd w:id="57"/>
    </w:p>
    <w:p w14:paraId="770FF835">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young consumers demand social responsibility of companies (Taylor, 2019). This chapter examined the correlation between Corporate Social Responsibility (CSR) and brand loyalty of Gen Z consumers in the UK based on descriptive and inferential statistics gathered via a survey (structured survey conducted online). The findings provided complex and insightful information into the roles awareness, perception, and communication of CSR play regarding loyalty behaviors, revealing some somewhat conflicting yet illuminating trends across variables.</w:t>
      </w:r>
    </w:p>
    <w:p w14:paraId="3AB20C3B">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Descriptive statistics helped to point out that Gen Z respondents were relatively aware and agreed with CSR-related statements (Mean = 16.32, SD = 4.96). Nevertheless, the relation between general awareness of CSR and brand loyalty was tenuous and insignificant (r = 0.085, p = 0.210), which implies that a general awareness of CSR does not directly correlate to any loyalty behavior. This replicates earlier suggestions that consumers tend to be lured by a good’s design and utility but might soon change brands (Ros &amp; Casaca, 2025).</w:t>
      </w:r>
    </w:p>
    <w:p w14:paraId="5B8BFA64">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Additionally, Gen Z cared about CSR efforts, but now these are only relevant to the extent that they conform to higher values of identity. In this respect, the role of CSR might be more fundamental in that it could build the brand reputation instead of being the sole driver of loyalty. Narayanan (2022) found that CSR initiatives have positive impacts on consumer satisfaction by mediating the effect of brand equity and brand image.</w:t>
      </w:r>
    </w:p>
    <w:p w14:paraId="2411A8B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There was also low correlation between CSR communication and loyalty (r = -0.109), which implies that generic advertisements can be insufficient to elicit belief or loyalty by this group. This strengthens the position that Gen Z does not care about superficial marketing but about real, change-creating content.</w:t>
      </w:r>
    </w:p>
    <w:p w14:paraId="54816A63">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CSR value can only be seen when it is integrated into the brand identity, as literature indicates. As an example, Fatma et al. (2020) state that there is an excellent impact of perceived corporate social responsibility (PCSR) on consumer brand trust and brand identification. Thus, more emphasis should be placed on emotional and identity-based engagement.</w:t>
      </w:r>
    </w:p>
    <w:p w14:paraId="03DB3AE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is consistent with the identified behavioural trend: all the respondents followed brands on social media, but it did not mean that their interest was controlled by CSR communication only. Indeed, Gen Z views social media as an essential part of their everyday routine (Siagian &amp; Yuliana, 2023). Therefore, they are more vulnerable to advertisements and messages sent by the brands, but also more critical of them.</w:t>
      </w:r>
    </w:p>
    <w:p w14:paraId="0C6E4DD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The regression model also elucidated the low direct predictive capabilities of CSR (beta = 0.076, p = .210), and other factors in the model, such as trust and satisfaction, could be mediators. This observation concurs with the findings given by Tan et al. (2022), who have stated that this study compares the results of the direct and indirect effects of CSR on brand equity and brand loyalty… using 600 collected questionnaires. </w:t>
      </w:r>
    </w:p>
    <w:p w14:paraId="7EADCA6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This observation is also affirmed by Phung &amp; Huynh (2022), who reiterated that the connection between CSR and brand equity is direct. However, it should be noted that CSR enhances the central brand structure that, in turn, develops loyalty indirectly in the long term.</w:t>
      </w:r>
    </w:p>
    <w:p w14:paraId="6C3A0D28">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 xml:space="preserve">These results </w:t>
      </w:r>
      <w:r>
        <w:rPr>
          <w:rFonts w:ascii="Times New Roman" w:hAnsi="Times New Roman" w:eastAsia="Calibri" w:cs="Times New Roman"/>
          <w:color w:val="000000"/>
          <w:kern w:val="0"/>
          <w:sz w:val="24"/>
          <w:lang w:eastAsia="en-US"/>
        </w:rPr>
        <w:t>underscore the need to view CSR as a tool for fostering loyalty, rather than solely for promoting</w:t>
      </w:r>
      <w:r>
        <w:rPr>
          <w:rFonts w:ascii="Times New Roman" w:hAnsi="Times New Roman" w:eastAsia="Calibri" w:cs="Times New Roman"/>
          <w:color w:val="000000"/>
          <w:sz w:val="24"/>
          <w:lang w:eastAsia="en-US"/>
          <w14:ligatures w14:val="standardContextual"/>
        </w:rPr>
        <w:t xml:space="preserve"> a brand ecosystem. In the following chapter, Gen Z’s expectations regarding ethical branding, trust, and social impact will be further explored. An analysis will be conducted critically to examine how values, perceptions, and digital behavior may function at functional implications.</w:t>
      </w:r>
    </w:p>
    <w:p w14:paraId="0A17A59B">
      <w:pPr>
        <w:keepNext/>
        <w:keepLines/>
        <w:numPr>
          <w:ilvl w:val="1"/>
          <w:numId w:val="3"/>
        </w:numPr>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58" w:name="_Toc13311"/>
      <w:r>
        <w:rPr>
          <w:rFonts w:hint="eastAsia" w:ascii="Times New Roman" w:hAnsi="Times New Roman" w:eastAsia="等线 Light" w:cs="Times New Roman"/>
          <w:b/>
          <w:bCs/>
          <w:color w:val="000000"/>
          <w:sz w:val="32"/>
          <w:szCs w:val="32"/>
          <w:lang w:eastAsia="en-US"/>
          <w14:ligatures w14:val="standardContextual"/>
        </w:rPr>
        <w:t>2.6.Alignment with Research Objectives and Research Question:</w:t>
      </w:r>
      <w:bookmarkEnd w:id="58"/>
    </w:p>
    <w:p w14:paraId="4838D857">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This chapter has dealt with statistical analysis of the survey data, examining the effect of Corporate Social Responsibility (CSR) on brand loyalty to the consumers in the UK, in the case of Generation Z (Gen Z) consumers. When comparing the outcomes with the research goals and objectives of the study and with the central research question, we can evaluate the extent to which the research objective has been achieved and the research question has been addressed, using the conclusions drawn from the research process.</w:t>
      </w:r>
    </w:p>
    <w:p w14:paraId="47D061D0">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Research Objective 1: To identify the CSR activities most valued by Gen Z consumers.</w:t>
      </w:r>
    </w:p>
    <w:p w14:paraId="20454B18">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The data also showed that sustainability and ethical business practices had the highest priority regarding CSR activities among Gen Z consumers with a high percentage of consumers stating they affect their brand perception. This evidence reinforces the purpose of the initial objective since the study proved that CSR initiatives that are focused on social justice, environmental responsibility, and ethics appeal to Gen Z consumers and make them feel heard.</w:t>
      </w:r>
    </w:p>
    <w:p w14:paraId="1D5EAC17">
      <w:pPr>
        <w:widowControl/>
        <w:spacing w:after="160" w:line="360" w:lineRule="auto"/>
        <w:rPr>
          <w:rFonts w:ascii="Times New Roman" w:hAnsi="Times New Roman" w:eastAsia="Calibri" w:cs="Times New Roman"/>
          <w:color w:val="000000"/>
          <w:sz w:val="24"/>
          <w:lang w:eastAsia="en-US"/>
          <w14:ligatures w14:val="standardContextual"/>
        </w:rPr>
      </w:pPr>
    </w:p>
    <w:p w14:paraId="53FCB610">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Research Objective 2: To analyse the relationship between CSR initiatives and brand trust.</w:t>
      </w:r>
    </w:p>
    <w:p w14:paraId="20E15723">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There was a positive correlation between CSR awareness and brand trust; although the level was moderate. This serves the second goal, meaning that CSR is vital in developing trust between the Gen Z consumers, which is a foreshadowing to brand loyalty. Although the correlation was not very high, as the trend shows, CSR efforts with a specific emphasis on the values or principles concerning Gen Z generate consumer trust.</w:t>
      </w:r>
    </w:p>
    <w:p w14:paraId="7FD88C96">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Research Objective 3: To assess whether CSR has any impact on the development of the repurchase intentions of Gen Z consumers.</w:t>
      </w:r>
    </w:p>
    <w:p w14:paraId="31966382">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The regression model has shown that CSR indirectly fosters the repurchase intentions, and this is mainly achieved by mediators of trust and satisfaction. According to the findings, CSR alone does not affect brand loyalty directly, but with confidence in the brand, it plays a considerable role in influencing brand loyalty. This contributes to the third goal and implies the fact that CSR is considered a soft force instead of a transactional one.</w:t>
      </w:r>
    </w:p>
    <w:p w14:paraId="7174465E">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Research Objective 4: To suggest CSR communication strategies that create better loyalty among Gen Z.</w:t>
      </w:r>
    </w:p>
    <w:p w14:paraId="14BC83AE">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The authors of the study admitted that a clear CSR communication and online interaction must enable Gen Z consumers to be loyal to the brand. Brands that articulate their CSR programs and act on these programs using the digital channels stand a better chance of generating brand trust and satisfaction, thereby gaining loyalty. This serves the fourth goal, highlighting the importance of genuine and transparent communication to make CSR initiatives more effective.</w:t>
      </w:r>
    </w:p>
    <w:p w14:paraId="1F1463AF">
      <w:pPr>
        <w:widowControl/>
        <w:spacing w:after="160" w:line="360" w:lineRule="auto"/>
        <w:rPr>
          <w:rFonts w:ascii="Times New Roman" w:hAnsi="Times New Roman" w:eastAsia="Calibri" w:cs="Times New Roman"/>
          <w:color w:val="000000"/>
          <w:sz w:val="24"/>
          <w:lang w:eastAsia="en-US"/>
          <w14:ligatures w14:val="standardContextual"/>
        </w:rPr>
      </w:pPr>
    </w:p>
    <w:p w14:paraId="6C40F043">
      <w:pPr>
        <w:widowControl/>
        <w:spacing w:after="160" w:line="360" w:lineRule="auto"/>
        <w:rPr>
          <w:rFonts w:ascii="Times New Roman" w:hAnsi="Times New Roman" w:eastAsia="Calibri" w:cs="Times New Roman"/>
          <w:color w:val="000000"/>
          <w:sz w:val="24"/>
          <w:lang w:eastAsia="en-US"/>
          <w14:ligatures w14:val="standardContextual"/>
        </w:rPr>
      </w:pPr>
      <w:r>
        <w:rPr>
          <w:rFonts w:hint="eastAsia" w:ascii="Times New Roman" w:hAnsi="Times New Roman" w:eastAsia="Calibri" w:cs="Times New Roman"/>
          <w:color w:val="000000"/>
          <w:sz w:val="24"/>
          <w:lang w:eastAsia="en-US"/>
          <w14:ligatures w14:val="standardContextual"/>
        </w:rPr>
        <w:t>Finally, the results answer the research question: How does CSR affect brand loyalty among Gen Z UK consumers? This research demonstrates that although CSR has a direct impact on loyalty, it has an indirect satisfaction impact because CSR creates trust and satisfaction. So, CSR is an important part in determining brand loyalty but the impact is moderated by how consumers evaluate the actions and values of the brand.</w:t>
      </w:r>
    </w:p>
    <w:p w14:paraId="124E2351">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5AADA055">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51ECC8C6">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03DF435A">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27278AFF">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330C0E10">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708442D8">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1D0539CE">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6C874583">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1C829CD7">
      <w:pPr>
        <w:widowControl/>
        <w:spacing w:after="160" w:line="278" w:lineRule="auto"/>
        <w:jc w:val="left"/>
        <w:rPr>
          <w:rFonts w:ascii="Times New Roman" w:hAnsi="Times New Roman" w:eastAsia="Calibri" w:cs="Times New Roman"/>
          <w:b/>
          <w:bCs/>
          <w:color w:val="000000"/>
          <w:sz w:val="24"/>
          <w:lang w:eastAsia="en-US"/>
          <w14:ligatures w14:val="standardContextual"/>
        </w:rPr>
      </w:pPr>
    </w:p>
    <w:p w14:paraId="5D40D493">
      <w:pPr>
        <w:widowControl/>
        <w:spacing w:after="160" w:line="278" w:lineRule="auto"/>
        <w:jc w:val="left"/>
        <w:rPr>
          <w:rFonts w:hint="eastAsia" w:ascii="Times New Roman" w:hAnsi="Times New Roman" w:cs="Times New Roman"/>
          <w:b/>
          <w:bCs/>
          <w:color w:val="000000"/>
          <w:sz w:val="24"/>
          <w14:ligatures w14:val="standardContextual"/>
        </w:rPr>
      </w:pPr>
    </w:p>
    <w:p w14:paraId="1B27E8EA">
      <w:pPr>
        <w:keepNext/>
        <w:keepLines/>
        <w:spacing w:before="360" w:after="80" w:line="360" w:lineRule="auto"/>
        <w:outlineLvl w:val="0"/>
        <w:rPr>
          <w:rFonts w:ascii="Times New Roman" w:hAnsi="Times New Roman" w:eastAsia="等线 Light" w:cs="Times New Roman"/>
          <w:b/>
          <w:bCs/>
          <w:color w:val="000000"/>
          <w:sz w:val="40"/>
          <w:szCs w:val="40"/>
          <w:lang w:eastAsia="en-US"/>
          <w14:ligatures w14:val="standardContextual"/>
        </w:rPr>
      </w:pPr>
      <w:bookmarkStart w:id="59" w:name="_Toc28002"/>
      <w:r>
        <w:rPr>
          <w:rFonts w:ascii="Times New Roman" w:hAnsi="Times New Roman" w:eastAsia="等线 Light" w:cs="Times New Roman"/>
          <w:b/>
          <w:bCs/>
          <w:color w:val="000000"/>
          <w:sz w:val="40"/>
          <w:szCs w:val="40"/>
          <w:lang w:eastAsia="en-US"/>
          <w14:ligatures w14:val="standardContextual"/>
        </w:rPr>
        <w:t>Chapter 5: Conclusion and Recommendations</w:t>
      </w:r>
      <w:bookmarkEnd w:id="59"/>
    </w:p>
    <w:p w14:paraId="651F26DB">
      <w:pPr>
        <w:keepNext/>
        <w:keepLines/>
        <w:spacing w:before="160" w:after="80" w:line="278" w:lineRule="auto"/>
        <w:outlineLvl w:val="1"/>
        <w:rPr>
          <w:rFonts w:ascii="Times New Roman" w:hAnsi="Times New Roman" w:eastAsia="等线 Light" w:cs="Times New Roman"/>
          <w:b/>
          <w:bCs/>
          <w:color w:val="000000"/>
          <w:sz w:val="32"/>
          <w:szCs w:val="32"/>
          <w:lang w:eastAsia="en-US"/>
          <w14:ligatures w14:val="standardContextual"/>
        </w:rPr>
      </w:pPr>
      <w:bookmarkStart w:id="60" w:name="_Toc6216"/>
      <w:r>
        <w:rPr>
          <w:rFonts w:hint="eastAsia" w:ascii="Times New Roman" w:hAnsi="Times New Roman" w:eastAsia="等线 Light" w:cs="Times New Roman"/>
          <w:b/>
          <w:bCs/>
          <w:color w:val="000000"/>
          <w:sz w:val="32"/>
          <w:szCs w:val="32"/>
          <w14:ligatures w14:val="standardContextual"/>
        </w:rPr>
        <w:t xml:space="preserve">5.1.  </w:t>
      </w:r>
      <w:r>
        <w:rPr>
          <w:rFonts w:ascii="Times New Roman" w:hAnsi="Times New Roman" w:eastAsia="等线 Light" w:cs="Times New Roman"/>
          <w:b/>
          <w:bCs/>
          <w:color w:val="000000"/>
          <w:sz w:val="32"/>
          <w:szCs w:val="32"/>
          <w:lang w:eastAsia="en-US"/>
          <w14:ligatures w14:val="standardContextual"/>
        </w:rPr>
        <w:t>Discussion of Gen Z Values and Brand Expectations:</w:t>
      </w:r>
      <w:bookmarkEnd w:id="60"/>
    </w:p>
    <w:p w14:paraId="7722953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Consumers of Generation Z possess quite different values that considerably define their reaction towards brands in regards to Corporate Social Responsibility (CSR). Unlike the earlier generations, Gen Z is demanding that brands be more authentic in their interaction with social and environmental matters, and they are less inclined to just purchase based on product quality. As Feger (2025) asserts, Gen Z demands more from brands than just quality products. They expect companies to stand for something. This underscores the structural revolution in consumer behavior that has taken place, with values-driven consumer loyalty playing a critical role in purchase decision-making.</w:t>
      </w:r>
    </w:p>
    <w:p w14:paraId="04C27FC0">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To Gen Z, CSR must be authentic. They have a lot of questions as to why brands seem to be practicing CSR as a marketing strategy rather than a serious activity that is supported by genuine actions. Edelman (2024) supports this notion, stating, brands must define their permission space, commit to it, and communicate actions within it. This is why brands should be honest and consistent with their CSR initiatives and not fake ones, as it is important not to make a show so that people remember.</w:t>
      </w:r>
    </w:p>
    <w:p w14:paraId="34ABA17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interaction of Gen Z with social media also makes them advance their expectations. Brands need to discuss relevant issues using tools such as Instagram, TikTok, and Twitter, which are at the center of the lives of Gen Zs. The current generation not only desires to gather information but is also anticipating the brands to take a stand on the various acute social and environmental problems. Social media offers an environment of real-time communication, and those brands that engage in cause-based conversations to the utmost will form stronger connections with Gen Z.</w:t>
      </w:r>
    </w:p>
    <w:p w14:paraId="375E65B1">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Besides, Gen Z is highly concerned with sustainability. They give preference to the purchasing of environmentally friendly items and doing business in an ethical way. Brands that do not readily associate with sustainability trends or are made out of context due to the allegiance of greenwashing are bound to lose their credibility among this generation. This is why the cause-based brand alignment became an essential aspect of the development of customer loyalty in Gen Z, as they view the ability of a brand to make a contribution to a more environmentally sustainable future and other forms of social good as a requirement.</w:t>
      </w:r>
    </w:p>
    <w:p w14:paraId="3B6FFCC3">
      <w:pPr>
        <w:pStyle w:val="9"/>
        <w:keepNext/>
        <w:keepLines/>
        <w:numPr>
          <w:ilvl w:val="1"/>
          <w:numId w:val="5"/>
        </w:numPr>
        <w:spacing w:before="160" w:after="80" w:line="278" w:lineRule="auto"/>
        <w:ind w:firstLineChars="0"/>
        <w:outlineLvl w:val="1"/>
        <w:rPr>
          <w:rFonts w:ascii="Times New Roman" w:hAnsi="Times New Roman" w:eastAsia="等线 Light" w:cs="Times New Roman"/>
          <w:b/>
          <w:bCs/>
          <w:color w:val="000000"/>
          <w:sz w:val="32"/>
          <w:szCs w:val="32"/>
          <w:lang w:eastAsia="en-US"/>
          <w14:ligatures w14:val="standardContextual"/>
        </w:rPr>
      </w:pPr>
      <w:bookmarkStart w:id="61" w:name="_Toc1687"/>
      <w:r>
        <w:rPr>
          <w:rFonts w:ascii="Times New Roman" w:hAnsi="Times New Roman" w:eastAsia="等线 Light" w:cs="Times New Roman"/>
          <w:b/>
          <w:bCs/>
          <w:color w:val="000000"/>
          <w:sz w:val="32"/>
          <w:szCs w:val="32"/>
          <w:lang w:eastAsia="en-US"/>
          <w14:ligatures w14:val="standardContextual"/>
        </w:rPr>
        <w:t>Implications for Digital Communication and Privacy</w:t>
      </w:r>
      <w:bookmarkEnd w:id="61"/>
    </w:p>
    <w:p w14:paraId="524086E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consequences of CSR communication are especially crucial in the context of Gen Z and its privacy-related issues and online habits. Gen Z is a generation that has matured with online privacy being a significant concern, and therefore, their decisions in purchasing are impacted by the transparency and data-handling of the brands. Campaign Monitor (2024) adds that Gen Z consumers are becoming even more privacy-conscious, with large year-on-year increases in the use of privacy-centric search engines and premium/paid-for internet security software. This is a change in privacy awareness, which indicates that brands should be increasingly aware of the methods they collect, hold, and utilize consumer data. The level of faithfulness of Gen Z about their brand will not only depend on their CSR activities but also their adherence to consumer privacy.</w:t>
      </w:r>
    </w:p>
    <w:p w14:paraId="108513E2">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Companies must communicate their CSR initiatives effectively so that they are clear. The idea is also supported by a significant finding among Kim and Kim (2025), indicating that CSR message clarity positively and significantly impacted the attitude (B = 1.75, SE = 0.44, t = 3.99, p &lt; .001). A positive perception of the brand instills a sense of trust in its consumers, and it is achieved by ensuring that CSR is communicated in a way that is clear and concise way. The method that Gen Z responds to CSR messages is that they should be not only noticed but also easily consumed by them in the digital space where they are active, including social media and company websites.</w:t>
      </w:r>
    </w:p>
    <w:p w14:paraId="5C587A2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short, the communication of CSR must be aligned with the values of Gen Z and their attitudes toward privacy. It is a generation that requires sound ethical performance and digital practices, and therefore, companies that are keen on these two are bound to connect better and retain loyalty.</w:t>
      </w:r>
    </w:p>
    <w:p w14:paraId="4952F4B9">
      <w:pPr>
        <w:pStyle w:val="9"/>
        <w:keepNext/>
        <w:keepLines/>
        <w:numPr>
          <w:ilvl w:val="1"/>
          <w:numId w:val="5"/>
        </w:numPr>
        <w:spacing w:before="160" w:after="80" w:line="278" w:lineRule="auto"/>
        <w:ind w:firstLineChars="0"/>
        <w:outlineLvl w:val="1"/>
        <w:rPr>
          <w:rFonts w:ascii="Times New Roman" w:hAnsi="Times New Roman" w:eastAsia="等线 Light" w:cs="Times New Roman"/>
          <w:b/>
          <w:bCs/>
          <w:color w:val="000000"/>
          <w:sz w:val="32"/>
          <w:szCs w:val="32"/>
          <w:lang w:val="zh-CN" w:eastAsia="en-US"/>
          <w14:ligatures w14:val="standardContextual"/>
        </w:rPr>
      </w:pPr>
      <w:bookmarkStart w:id="62" w:name="_Toc21011"/>
      <w:r>
        <w:rPr>
          <w:rFonts w:ascii="Times New Roman" w:hAnsi="Times New Roman" w:eastAsia="等线 Light" w:cs="Times New Roman"/>
          <w:b/>
          <w:bCs/>
          <w:color w:val="000000"/>
          <w:sz w:val="32"/>
          <w:szCs w:val="32"/>
          <w:lang w:val="zh-CN" w:eastAsia="en-US"/>
          <w14:ligatures w14:val="standardContextual"/>
        </w:rPr>
        <w:t>Recommendations:</w:t>
      </w:r>
      <w:bookmarkEnd w:id="62"/>
    </w:p>
    <w:p w14:paraId="0E832CC9">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In case of brands that are targeting Gen Z, it is important to implement the CSR storytelling with the focus on clarity and authenticity. Generation Z insists on authenticity, and brands should behave in line with their social and environmental responsibility causes. The messaging in a CSR should not only be flight-type that promotes an organization; it must contain the sustainability theme, which targets social good and ethical practices. Brands must take the time to tell interesting stories about how they can help achieve a greater good as opposed to what they are selling. Open, honest communication creates trust and emotional bonding with Gen Z consumers.</w:t>
      </w:r>
    </w:p>
    <w:p w14:paraId="5959CABF">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Environmental friendliness should become part of all products or services being provided. According to Theocharis and Tsekouropoulos (2025), sustainable consumption here means the desire to purchase tech products with a low environmental burden regarding the environment since the products are designed to be ecologically friendly, energy efficient, and sustainably sourced. Brands need to have their sustainability intentions in a form that is both actionable and communicated sufficiently. Gen Z has values when it comes to sustainability in all industries, whether it is tech products or fashion, and the companies or brands that align with their sustainability needs are rewarded.</w:t>
      </w:r>
    </w:p>
    <w:p w14:paraId="64C3F646">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Besides, digital-first approaches play an important role. Members of Gen Z are strongly connected to the internet, and brands need to ensure they establish a strong digital presence in order to attract this generation. Make sure that your brand is present on the appropriate digital platforms. To Gen Z, there is no alternative but an adequate online presence.” Brands should find clever ways of reaching Gen Z where they most likely engage, whether it is through social media, collaborations with influencers, or interesting content.</w:t>
      </w:r>
    </w:p>
    <w:p w14:paraId="4CCBC30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Lastly, philanthropy has gained much momentum, especially among brands that deal with luxuries. As Nast (2023) states, it has turned out to be a crucial economic tool that helps luxury brands in philanthropy. Philanthropic initiatives by companies that use their CSR as a way to improve their relationship with Gen Z will only help build upon loyalty and brand trust.</w:t>
      </w:r>
    </w:p>
    <w:p w14:paraId="4006D1F1">
      <w:pPr>
        <w:keepNext/>
        <w:keepLines/>
        <w:numPr>
          <w:ilvl w:val="1"/>
          <w:numId w:val="5"/>
        </w:numPr>
        <w:spacing w:before="160" w:after="80" w:line="278" w:lineRule="auto"/>
        <w:outlineLvl w:val="1"/>
        <w:rPr>
          <w:rFonts w:ascii="Times New Roman" w:hAnsi="Times New Roman" w:eastAsia="等线 Light" w:cs="Times New Roman"/>
          <w:b/>
          <w:bCs/>
          <w:color w:val="000000"/>
          <w:sz w:val="32"/>
          <w:szCs w:val="32"/>
          <w:lang w:val="zh-CN" w:eastAsia="en-US"/>
          <w14:ligatures w14:val="standardContextual"/>
        </w:rPr>
      </w:pPr>
      <w:bookmarkStart w:id="63" w:name="_Toc16915"/>
      <w:r>
        <w:rPr>
          <w:rFonts w:ascii="Times New Roman" w:hAnsi="Times New Roman" w:eastAsia="等线 Light" w:cs="Times New Roman"/>
          <w:b/>
          <w:bCs/>
          <w:color w:val="000000"/>
          <w:sz w:val="32"/>
          <w:szCs w:val="32"/>
          <w:lang w:val="zh-CN" w:eastAsia="en-US"/>
          <w14:ligatures w14:val="standardContextual"/>
        </w:rPr>
        <w:t>Limitations of the Study</w:t>
      </w:r>
      <w:bookmarkEnd w:id="63"/>
    </w:p>
    <w:p w14:paraId="60B0ECEE">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The sample population of this study was also small in the UK-based Gen Z consumers, and therefore, does not have a complete overview of the global population of Gen Z. Also, it has the element of reliance on self-report data, which could be introduced to bias, especially social desirability bias, since, in this regard, the respondents would answer in a manner that they currently perceive to be desired. Although the SPSS correlation analysis was revealing, it failed to introduce the depth of multivariate analysis since it did not deal with the complexities of relationships. Future research should seek to use structural equation modeling to describe more complex relationships among CSR perception, brand loyalty, and consumer behavior.</w:t>
      </w:r>
    </w:p>
    <w:p w14:paraId="7E7E5341">
      <w:pPr>
        <w:keepNext/>
        <w:keepLines/>
        <w:numPr>
          <w:ilvl w:val="1"/>
          <w:numId w:val="5"/>
        </w:numPr>
        <w:spacing w:before="160" w:after="80" w:line="278" w:lineRule="auto"/>
        <w:outlineLvl w:val="1"/>
        <w:rPr>
          <w:rFonts w:ascii="Times New Roman" w:hAnsi="Times New Roman" w:eastAsia="等线 Light" w:cs="Times New Roman"/>
          <w:b/>
          <w:bCs/>
          <w:color w:val="000000"/>
          <w:sz w:val="32"/>
          <w:szCs w:val="32"/>
          <w:lang w:val="zh-CN" w:eastAsia="en-US"/>
          <w14:ligatures w14:val="standardContextual"/>
        </w:rPr>
      </w:pPr>
      <w:bookmarkStart w:id="64" w:name="_Toc31146"/>
      <w:r>
        <w:rPr>
          <w:rFonts w:ascii="Times New Roman" w:hAnsi="Times New Roman" w:eastAsia="等线 Light" w:cs="Times New Roman"/>
          <w:b/>
          <w:bCs/>
          <w:color w:val="000000"/>
          <w:sz w:val="32"/>
          <w:szCs w:val="32"/>
          <w:lang w:val="zh-CN" w:eastAsia="en-US"/>
          <w14:ligatures w14:val="standardContextual"/>
        </w:rPr>
        <w:t>Recommendations to future research:</w:t>
      </w:r>
      <w:bookmarkEnd w:id="64"/>
    </w:p>
    <w:p w14:paraId="4F4CDAED">
      <w:pPr>
        <w:widowControl/>
        <w:spacing w:after="160" w:line="360" w:lineRule="auto"/>
        <w:rPr>
          <w:rFonts w:ascii="Times New Roman" w:hAnsi="Times New Roman" w:eastAsia="Calibri" w:cs="Times New Roman"/>
          <w:color w:val="000000"/>
          <w:sz w:val="24"/>
          <w:lang w:eastAsia="en-US"/>
          <w14:ligatures w14:val="standardContextual"/>
        </w:rPr>
      </w:pPr>
      <w:r>
        <w:rPr>
          <w:rFonts w:ascii="Times New Roman" w:hAnsi="Times New Roman" w:eastAsia="Calibri" w:cs="Times New Roman"/>
          <w:color w:val="000000"/>
          <w:sz w:val="24"/>
          <w:lang w:eastAsia="en-US"/>
          <w14:ligatures w14:val="standardContextual"/>
        </w:rPr>
        <w:t>Future research will need to go beyond UK Gen Z to encompass wider demographics as well as to contemplate longitudinal tracking in order to develop a better understanding of the dynamics of CSR perceptions. One can also consider the application of AI-driven CSR communication practices since AI might suggest that people express interest in CSR activities in a personal manner. Also, to better understand the mediating role of variables such as trust, satisfaction, and brand equity in the CSR-loyalty relationship, the structural equation modeling (SEM) can be used to get more accurate results on the complicated relationships between CSR-related attraction and Gen Z.</w:t>
      </w:r>
    </w:p>
    <w:p w14:paraId="527788BE">
      <w:pPr>
        <w:widowControl/>
        <w:spacing w:after="160" w:line="360" w:lineRule="auto"/>
        <w:rPr>
          <w:rFonts w:ascii="Times New Roman" w:hAnsi="Times New Roman" w:eastAsia="Calibri" w:cs="Times New Roman"/>
          <w:color w:val="000000"/>
          <w:sz w:val="24"/>
          <w:lang w:eastAsia="en-US"/>
          <w14:ligatures w14:val="standardContextual"/>
        </w:rPr>
      </w:pPr>
    </w:p>
    <w:p w14:paraId="4EC5C846">
      <w:pPr>
        <w:widowControl/>
        <w:spacing w:after="160" w:line="360" w:lineRule="auto"/>
        <w:rPr>
          <w:rFonts w:ascii="Times New Roman" w:hAnsi="Times New Roman" w:eastAsia="Calibri" w:cs="Times New Roman"/>
          <w:color w:val="000000"/>
          <w:sz w:val="24"/>
          <w:lang w:eastAsia="en-US"/>
          <w14:ligatures w14:val="standardContextual"/>
        </w:rPr>
      </w:pPr>
    </w:p>
    <w:p w14:paraId="14A10AD0">
      <w:pPr>
        <w:widowControl/>
        <w:spacing w:after="160" w:line="360" w:lineRule="auto"/>
        <w:rPr>
          <w:rFonts w:ascii="Times New Roman" w:hAnsi="Times New Roman" w:eastAsia="Calibri" w:cs="Times New Roman"/>
          <w:color w:val="000000"/>
          <w:sz w:val="24"/>
          <w:lang w:eastAsia="en-US"/>
          <w14:ligatures w14:val="standardContextual"/>
        </w:rPr>
      </w:pPr>
    </w:p>
    <w:p w14:paraId="012877D4">
      <w:pPr>
        <w:widowControl/>
        <w:spacing w:after="160" w:line="360" w:lineRule="auto"/>
        <w:rPr>
          <w:rFonts w:ascii="Times New Roman" w:hAnsi="Times New Roman" w:eastAsia="Calibri" w:cs="Times New Roman"/>
          <w:color w:val="000000"/>
          <w:sz w:val="24"/>
          <w:lang w:eastAsia="en-US"/>
          <w14:ligatures w14:val="standardContextual"/>
        </w:rPr>
      </w:pPr>
    </w:p>
    <w:p w14:paraId="08899E37">
      <w:pPr>
        <w:widowControl/>
        <w:spacing w:after="160" w:line="360" w:lineRule="auto"/>
        <w:rPr>
          <w:rFonts w:ascii="Times New Roman" w:hAnsi="Times New Roman" w:eastAsia="Calibri" w:cs="Times New Roman"/>
          <w:color w:val="000000"/>
          <w:sz w:val="24"/>
          <w:lang w:eastAsia="en-US"/>
          <w14:ligatures w14:val="standardContextual"/>
        </w:rPr>
      </w:pPr>
    </w:p>
    <w:p w14:paraId="22875F2D">
      <w:pPr>
        <w:widowControl/>
        <w:spacing w:after="160" w:line="360" w:lineRule="auto"/>
        <w:rPr>
          <w:rFonts w:ascii="Times New Roman" w:hAnsi="Times New Roman" w:eastAsia="Calibri" w:cs="Times New Roman"/>
          <w:color w:val="000000"/>
          <w:sz w:val="24"/>
          <w:lang w:eastAsia="en-US"/>
          <w14:ligatures w14:val="standardContextual"/>
        </w:rPr>
      </w:pPr>
    </w:p>
    <w:p w14:paraId="3E5B135B">
      <w:pPr>
        <w:widowControl/>
        <w:spacing w:after="160" w:line="360" w:lineRule="auto"/>
        <w:rPr>
          <w:rFonts w:ascii="Times New Roman" w:hAnsi="Times New Roman" w:eastAsia="Calibri" w:cs="Times New Roman"/>
          <w:color w:val="000000"/>
          <w:sz w:val="24"/>
          <w:lang w:eastAsia="en-US"/>
          <w14:ligatures w14:val="standardContextual"/>
        </w:rPr>
      </w:pPr>
    </w:p>
    <w:p w14:paraId="47026FA0">
      <w:pPr>
        <w:widowControl/>
        <w:spacing w:after="160" w:line="360" w:lineRule="auto"/>
        <w:rPr>
          <w:rFonts w:ascii="Times New Roman" w:hAnsi="Times New Roman" w:eastAsia="Calibri" w:cs="Times New Roman"/>
          <w:color w:val="000000"/>
          <w:sz w:val="24"/>
          <w:lang w:eastAsia="en-US"/>
          <w14:ligatures w14:val="standardContextual"/>
        </w:rPr>
      </w:pPr>
    </w:p>
    <w:p w14:paraId="43811BF3">
      <w:pPr>
        <w:widowControl/>
        <w:spacing w:after="160" w:line="360" w:lineRule="auto"/>
        <w:rPr>
          <w:rFonts w:ascii="Times New Roman" w:hAnsi="Times New Roman" w:eastAsia="Calibri" w:cs="Times New Roman"/>
          <w:color w:val="000000"/>
          <w:sz w:val="24"/>
          <w:lang w:eastAsia="en-US"/>
          <w14:ligatures w14:val="standardContextual"/>
        </w:rPr>
      </w:pPr>
    </w:p>
    <w:p w14:paraId="4B1A166A">
      <w:pPr>
        <w:widowControl/>
        <w:spacing w:after="160" w:line="360" w:lineRule="auto"/>
        <w:rPr>
          <w:rFonts w:ascii="Times New Roman" w:hAnsi="Times New Roman" w:eastAsia="Calibri" w:cs="Times New Roman"/>
          <w:color w:val="000000"/>
          <w:sz w:val="24"/>
          <w:lang w:eastAsia="en-US"/>
          <w14:ligatures w14:val="standardContextual"/>
        </w:rPr>
      </w:pPr>
    </w:p>
    <w:p w14:paraId="42DAB1E1">
      <w:pPr>
        <w:widowControl/>
        <w:spacing w:after="160" w:line="360" w:lineRule="auto"/>
        <w:rPr>
          <w:rFonts w:ascii="Times New Roman" w:hAnsi="Times New Roman" w:eastAsia="Calibri" w:cs="Times New Roman"/>
          <w:color w:val="000000"/>
          <w:sz w:val="24"/>
          <w:lang w:eastAsia="en-US"/>
          <w14:ligatures w14:val="standardContextual"/>
        </w:rPr>
      </w:pPr>
    </w:p>
    <w:p w14:paraId="5AE6E89E">
      <w:pPr>
        <w:widowControl/>
        <w:spacing w:after="160" w:line="360" w:lineRule="auto"/>
        <w:rPr>
          <w:rFonts w:ascii="Times New Roman" w:hAnsi="Times New Roman" w:eastAsia="Calibri" w:cs="Times New Roman"/>
          <w:color w:val="000000"/>
          <w:sz w:val="24"/>
          <w:lang w:eastAsia="en-US"/>
          <w14:ligatures w14:val="standardContextual"/>
        </w:rPr>
      </w:pPr>
    </w:p>
    <w:p w14:paraId="6776D41B">
      <w:pPr>
        <w:widowControl/>
        <w:spacing w:after="160" w:line="360" w:lineRule="auto"/>
        <w:rPr>
          <w:rFonts w:ascii="Times New Roman" w:hAnsi="Times New Roman" w:eastAsia="Calibri" w:cs="Times New Roman"/>
          <w:color w:val="000000"/>
          <w:sz w:val="24"/>
          <w:lang w:eastAsia="en-US"/>
          <w14:ligatures w14:val="standardContextual"/>
        </w:rPr>
      </w:pPr>
    </w:p>
    <w:p w14:paraId="54B4006D">
      <w:pPr>
        <w:widowControl/>
        <w:spacing w:after="160" w:line="360" w:lineRule="auto"/>
        <w:rPr>
          <w:rFonts w:ascii="Times New Roman" w:hAnsi="Times New Roman" w:eastAsia="Calibri" w:cs="Times New Roman"/>
          <w:color w:val="000000"/>
          <w:sz w:val="24"/>
          <w:lang w:eastAsia="en-US"/>
          <w14:ligatures w14:val="standardContextual"/>
        </w:rPr>
      </w:pPr>
    </w:p>
    <w:p w14:paraId="18812FAA">
      <w:pPr>
        <w:widowControl/>
        <w:spacing w:after="160" w:line="360" w:lineRule="auto"/>
        <w:rPr>
          <w:rFonts w:ascii="Times New Roman" w:hAnsi="Times New Roman" w:eastAsia="Calibri" w:cs="Times New Roman"/>
          <w:color w:val="000000"/>
          <w:sz w:val="24"/>
          <w:lang w:eastAsia="en-US"/>
          <w14:ligatures w14:val="standardContextual"/>
        </w:rPr>
      </w:pPr>
    </w:p>
    <w:p w14:paraId="2F0E4CF9">
      <w:pPr>
        <w:widowControl/>
        <w:spacing w:after="160" w:line="360" w:lineRule="auto"/>
        <w:rPr>
          <w:rFonts w:ascii="Times New Roman" w:hAnsi="Times New Roman" w:eastAsia="Calibri" w:cs="Times New Roman"/>
          <w:color w:val="000000"/>
          <w:sz w:val="24"/>
          <w:lang w:eastAsia="en-US"/>
          <w14:ligatures w14:val="standardContextual"/>
        </w:rPr>
      </w:pPr>
    </w:p>
    <w:p w14:paraId="52ABB97C">
      <w:pPr>
        <w:widowControl/>
        <w:spacing w:after="160" w:line="360" w:lineRule="auto"/>
        <w:rPr>
          <w:rFonts w:ascii="Times New Roman" w:hAnsi="Times New Roman" w:eastAsia="Calibri" w:cs="Times New Roman"/>
          <w:color w:val="000000"/>
          <w:sz w:val="24"/>
          <w:lang w:eastAsia="en-US"/>
          <w14:ligatures w14:val="standardContextual"/>
        </w:rPr>
      </w:pPr>
    </w:p>
    <w:p w14:paraId="20F79966">
      <w:pPr>
        <w:widowControl/>
        <w:spacing w:after="160" w:line="360" w:lineRule="auto"/>
        <w:rPr>
          <w:rFonts w:ascii="Times New Roman" w:hAnsi="Times New Roman" w:eastAsia="Calibri" w:cs="Times New Roman"/>
          <w:color w:val="000000"/>
          <w:sz w:val="24"/>
          <w:lang w:eastAsia="en-US"/>
          <w14:ligatures w14:val="standardContextual"/>
        </w:rPr>
      </w:pPr>
    </w:p>
    <w:p w14:paraId="55C49F3E">
      <w:pPr>
        <w:widowControl/>
        <w:spacing w:after="160" w:line="360" w:lineRule="auto"/>
        <w:rPr>
          <w:rFonts w:ascii="Times New Roman" w:hAnsi="Times New Roman" w:eastAsia="Calibri" w:cs="Times New Roman"/>
          <w:color w:val="000000"/>
          <w:sz w:val="24"/>
          <w:lang w:eastAsia="en-US"/>
          <w14:ligatures w14:val="standardContextual"/>
        </w:rPr>
      </w:pPr>
    </w:p>
    <w:p w14:paraId="731DE869">
      <w:pPr>
        <w:keepNext/>
        <w:keepLines/>
        <w:spacing w:before="360" w:after="80" w:line="278" w:lineRule="auto"/>
        <w:outlineLvl w:val="0"/>
        <w:rPr>
          <w:rFonts w:ascii="Times New Roman" w:hAnsi="Times New Roman" w:eastAsia="等线 Light" w:cs="Times New Roman"/>
          <w:b/>
          <w:bCs/>
          <w:color w:val="000000"/>
          <w:sz w:val="40"/>
          <w:szCs w:val="40"/>
          <w:lang w:eastAsia="en-US"/>
          <w14:ligatures w14:val="standardContextual"/>
        </w:rPr>
      </w:pPr>
      <w:bookmarkStart w:id="65" w:name="_Toc32592"/>
      <w:r>
        <w:rPr>
          <w:rFonts w:ascii="Times New Roman" w:hAnsi="Times New Roman" w:eastAsia="等线 Light" w:cs="Times New Roman"/>
          <w:b/>
          <w:bCs/>
          <w:color w:val="000000"/>
          <w:sz w:val="40"/>
          <w:szCs w:val="40"/>
          <w:lang w:eastAsia="en-US"/>
          <w14:ligatures w14:val="standardContextual"/>
        </w:rPr>
        <w:t>References:</w:t>
      </w:r>
      <w:bookmarkEnd w:id="65"/>
    </w:p>
    <w:p w14:paraId="5D69EAA5">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Adewole, O. (2024). Translating brand reputation into equity from the stakeholder’s theory: an approach to value creation based on consumer’s perception &amp; interactions. </w:t>
      </w:r>
      <w:r>
        <w:rPr>
          <w:rFonts w:ascii="Times New Roman" w:hAnsi="Times New Roman" w:eastAsia="Times New Roman" w:cs="Times New Roman"/>
          <w:i/>
          <w:iCs/>
          <w:color w:val="000000"/>
          <w:kern w:val="0"/>
          <w:sz w:val="24"/>
          <w:lang w:eastAsia="en-GB"/>
        </w:rPr>
        <w:t>International Journal of Corporate Social Responsibility</w:t>
      </w:r>
      <w:r>
        <w:rPr>
          <w:rFonts w:ascii="Times New Roman" w:hAnsi="Times New Roman" w:eastAsia="Times New Roman" w:cs="Times New Roman"/>
          <w:color w:val="000000"/>
          <w:kern w:val="0"/>
          <w:sz w:val="24"/>
          <w:lang w:eastAsia="en-GB"/>
        </w:rPr>
        <w:t>, 9(1).</w:t>
      </w:r>
    </w:p>
    <w:p w14:paraId="435BA85D">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Akbari, M., Nazarian, A., Foroudi, P., Seyyed Amiri, N. and Ezatabadipoor, E. (2020). How corporate social responsibility contributes to strengthening brand loyalty, hotel positioning and intention to revisit? </w:t>
      </w:r>
      <w:r>
        <w:rPr>
          <w:rFonts w:ascii="Times New Roman" w:hAnsi="Times New Roman" w:eastAsia="Times New Roman" w:cs="Times New Roman"/>
          <w:i/>
          <w:iCs/>
          <w:kern w:val="0"/>
          <w:sz w:val="24"/>
          <w:lang w:eastAsia="en-GB"/>
        </w:rPr>
        <w:t>Current Issues in Tourism</w:t>
      </w:r>
      <w:r>
        <w:rPr>
          <w:rFonts w:ascii="Times New Roman" w:hAnsi="Times New Roman" w:eastAsia="Times New Roman" w:cs="Times New Roman"/>
          <w:kern w:val="0"/>
          <w:sz w:val="24"/>
          <w:lang w:eastAsia="en-GB"/>
        </w:rPr>
        <w:t>, 24(13), pp.1–21.</w:t>
      </w:r>
    </w:p>
    <w:p w14:paraId="2E56CB42">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Aruna, J., Madhavi, K., Khushi , K. and Khushi, S. (2022). Demystifying the influence of CSR perception on the purchase intention of Generation Z in fast food industry. [online] Available at: https://www.emerald.com/insight/content/doi/10.1108/lbsjmr-05-2022-0006/full/pdf?title=demystifying-the-influence-of-csr-perception-on-the-purchase-intention-of-generation-z-in-fast-food-industry [Accessed 12 Jun. 2025].</w:t>
      </w:r>
    </w:p>
    <w:p w14:paraId="52C063CA">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Alhouz, F. and Hasouneh, A. (2020). The impact of corporate social responsibility on customer citizenship behavior: The mediating role of customer-company identification and moderating role of generation. </w:t>
      </w:r>
      <w:r>
        <w:rPr>
          <w:rFonts w:ascii="Times New Roman" w:hAnsi="Times New Roman" w:eastAsia="Times New Roman" w:cs="Times New Roman"/>
          <w:i/>
          <w:iCs/>
          <w:kern w:val="0"/>
          <w:sz w:val="24"/>
          <w:lang w:eastAsia="en-GB"/>
        </w:rPr>
        <w:t>Journal of Sustainable Marketing</w:t>
      </w:r>
      <w:r>
        <w:rPr>
          <w:rFonts w:ascii="Times New Roman" w:hAnsi="Times New Roman" w:eastAsia="Times New Roman" w:cs="Times New Roman"/>
          <w:kern w:val="0"/>
          <w:sz w:val="24"/>
          <w:lang w:eastAsia="en-GB"/>
        </w:rPr>
        <w:t>, 1(1), pp.10–21. doi:https://doi.org/10.51300/josm-2020-13.</w:t>
      </w:r>
    </w:p>
    <w:p w14:paraId="39C11ACB">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Arachchi, H.A.D.M. and Mendis, T. (2021). The Impact of Perceived Corporate Social Responsibility on Purchase Intention: Mediating Role of Brand Attitude and Moderating Role of Generation X &amp; Y. </w:t>
      </w:r>
      <w:r>
        <w:rPr>
          <w:rFonts w:ascii="Times New Roman" w:hAnsi="Times New Roman" w:eastAsia="Times New Roman" w:cs="Times New Roman"/>
          <w:i/>
          <w:iCs/>
          <w:kern w:val="0"/>
          <w:sz w:val="24"/>
          <w:lang w:eastAsia="en-GB"/>
        </w:rPr>
        <w:t>Sri Lanka Journal of Marketing</w:t>
      </w:r>
      <w:r>
        <w:rPr>
          <w:rFonts w:ascii="Times New Roman" w:hAnsi="Times New Roman" w:eastAsia="Times New Roman" w:cs="Times New Roman"/>
          <w:kern w:val="0"/>
          <w:sz w:val="24"/>
          <w:lang w:eastAsia="en-GB"/>
        </w:rPr>
        <w:t>, 7(3), p.269. doi:https://doi.org/10.4038/sljmuok.v7i3.82.</w:t>
      </w:r>
    </w:p>
    <w:p w14:paraId="402DB27E">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Barchiesi, M.A. and Colladon, A.F. (2021). Corporate core values and social responsibility: What really matters to whom. </w:t>
      </w:r>
      <w:r>
        <w:rPr>
          <w:rFonts w:ascii="Times New Roman" w:hAnsi="Times New Roman" w:eastAsia="Times New Roman" w:cs="Times New Roman"/>
          <w:i/>
          <w:iCs/>
          <w:kern w:val="0"/>
          <w:sz w:val="24"/>
          <w:lang w:eastAsia="en-GB"/>
        </w:rPr>
        <w:t>Technological Forecasting and Social Change</w:t>
      </w:r>
      <w:r>
        <w:rPr>
          <w:rFonts w:ascii="Times New Roman" w:hAnsi="Times New Roman" w:eastAsia="Times New Roman" w:cs="Times New Roman"/>
          <w:kern w:val="0"/>
          <w:sz w:val="24"/>
          <w:lang w:eastAsia="en-GB"/>
        </w:rPr>
        <w:t>, 170, p.120907. doi:https://doi.org/10.1016/j.techfore.2021.120907.</w:t>
      </w:r>
    </w:p>
    <w:p w14:paraId="34254FF6">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Cagnin, N. and Nicolas, M. (2022). </w:t>
      </w:r>
      <w:r>
        <w:rPr>
          <w:rFonts w:ascii="Times New Roman" w:hAnsi="Times New Roman" w:eastAsia="Times New Roman" w:cs="Times New Roman"/>
          <w:i/>
          <w:iCs/>
          <w:kern w:val="0"/>
          <w:sz w:val="24"/>
          <w:lang w:eastAsia="en-GB"/>
        </w:rPr>
        <w:t>Generation Z and brand loyalty: the influence of Gen Z specific expectations on attitudinal and behavioural loyalty</w:t>
      </w:r>
      <w:r>
        <w:rPr>
          <w:rFonts w:ascii="Times New Roman" w:hAnsi="Times New Roman" w:eastAsia="Times New Roman" w:cs="Times New Roman"/>
          <w:kern w:val="0"/>
          <w:sz w:val="24"/>
          <w:lang w:eastAsia="en-GB"/>
        </w:rPr>
        <w:t xml:space="preserve">. [online] </w:t>
      </w:r>
      <w:r>
        <w:rPr>
          <w:rFonts w:ascii="Times New Roman" w:hAnsi="Times New Roman" w:eastAsia="Times New Roman" w:cs="Times New Roman"/>
          <w:i/>
          <w:iCs/>
          <w:kern w:val="0"/>
          <w:sz w:val="24"/>
          <w:lang w:eastAsia="en-GB"/>
        </w:rPr>
        <w:t>www.diva-portal.org</w:t>
      </w:r>
      <w:r>
        <w:rPr>
          <w:rFonts w:ascii="Times New Roman" w:hAnsi="Times New Roman" w:eastAsia="Times New Roman" w:cs="Times New Roman"/>
          <w:kern w:val="0"/>
          <w:sz w:val="24"/>
          <w:lang w:eastAsia="en-GB"/>
        </w:rPr>
        <w:t>. Available at: https://www.diva-portal.org/smash/record.jsf?pid=diva2:1676306.</w:t>
      </w:r>
    </w:p>
    <w:p w14:paraId="16794F16">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Conor, M.E. and Khan, J. (2024). </w:t>
      </w:r>
      <w:r>
        <w:rPr>
          <w:rFonts w:ascii="Times New Roman" w:hAnsi="Times New Roman" w:eastAsia="Times New Roman" w:cs="Times New Roman"/>
          <w:i/>
          <w:iCs/>
          <w:kern w:val="0"/>
          <w:sz w:val="24"/>
          <w:lang w:eastAsia="en-GB"/>
        </w:rPr>
        <w:t>Gen Z’s Influence on Corporate Social Responsibility within Multinational Corporations</w:t>
      </w:r>
      <w:r>
        <w:rPr>
          <w:rFonts w:ascii="Times New Roman" w:hAnsi="Times New Roman" w:eastAsia="Times New Roman" w:cs="Times New Roman"/>
          <w:kern w:val="0"/>
          <w:sz w:val="24"/>
          <w:lang w:eastAsia="en-GB"/>
        </w:rPr>
        <w:t xml:space="preserve">. [online] Lub.lu.se. Available at: </w:t>
      </w:r>
      <w:r>
        <w:fldChar w:fldCharType="begin"/>
      </w:r>
      <w:r>
        <w:instrText xml:space="preserve"> HYPERLINK "https://lup.lub.lu.se/student-papers/search/publication/9156348" </w:instrText>
      </w:r>
      <w:r>
        <w:fldChar w:fldCharType="separate"/>
      </w:r>
      <w:r>
        <w:rPr>
          <w:rFonts w:ascii="Calibri" w:hAnsi="Calibri" w:eastAsia="Calibri" w:cs="Times New Roman"/>
          <w:color w:val="0563C1"/>
          <w:sz w:val="24"/>
          <w:u w:val="single"/>
          <w:lang w:eastAsia="en-US"/>
          <w14:ligatures w14:val="standardContextual"/>
        </w:rPr>
        <w:t>https://lup.lub.lu.se/student-papers/search/publication/9156348</w:t>
      </w:r>
      <w:r>
        <w:rPr>
          <w:rFonts w:ascii="Calibri" w:hAnsi="Calibri" w:eastAsia="Calibri" w:cs="Times New Roman"/>
          <w:color w:val="0563C1"/>
          <w:sz w:val="24"/>
          <w:u w:val="single"/>
          <w:lang w:eastAsia="en-US"/>
          <w14:ligatures w14:val="standardContextual"/>
        </w:rPr>
        <w:fldChar w:fldCharType="end"/>
      </w:r>
      <w:r>
        <w:rPr>
          <w:rFonts w:ascii="Times New Roman" w:hAnsi="Times New Roman" w:eastAsia="Times New Roman" w:cs="Times New Roman"/>
          <w:kern w:val="0"/>
          <w:sz w:val="24"/>
          <w:lang w:eastAsia="en-GB"/>
        </w:rPr>
        <w:t>.</w:t>
      </w:r>
    </w:p>
    <w:p w14:paraId="46DBB3BE">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Caruana, A., B. Ramasashan and Krentler, K.A. (2014). Corporate Reputation, Customer Satisfaction, &amp; Customer Loyalty: What is the Relationship? </w:t>
      </w:r>
      <w:r>
        <w:rPr>
          <w:rFonts w:ascii="Times New Roman" w:hAnsi="Times New Roman" w:eastAsia="Times New Roman" w:cs="Times New Roman"/>
          <w:i/>
          <w:iCs/>
          <w:color w:val="000000"/>
          <w:kern w:val="0"/>
          <w:sz w:val="24"/>
          <w:lang w:eastAsia="en-GB"/>
        </w:rPr>
        <w:t>Developments in marketing science: proceedings of the Academy of Marketing Science</w:t>
      </w:r>
      <w:r>
        <w:rPr>
          <w:rFonts w:ascii="Times New Roman" w:hAnsi="Times New Roman" w:eastAsia="Times New Roman" w:cs="Times New Roman"/>
          <w:color w:val="000000"/>
          <w:kern w:val="0"/>
          <w:sz w:val="24"/>
          <w:lang w:eastAsia="en-GB"/>
        </w:rPr>
        <w:t>, pp.301–301. doi:https://doi.org/10.1007/978-3-319-11845-1_102.</w:t>
      </w:r>
    </w:p>
    <w:p w14:paraId="758B5510">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Campaign Monitor (2024). </w:t>
      </w:r>
      <w:r>
        <w:rPr>
          <w:rFonts w:ascii="Times New Roman" w:hAnsi="Times New Roman" w:eastAsia="Times New Roman" w:cs="Times New Roman"/>
          <w:i/>
          <w:iCs/>
          <w:kern w:val="0"/>
          <w:sz w:val="24"/>
          <w:lang w:eastAsia="en-GB"/>
        </w:rPr>
        <w:t>U.S. Generation Z Consumer Trends Index 2023</w:t>
      </w:r>
      <w:r>
        <w:rPr>
          <w:rFonts w:ascii="Times New Roman" w:hAnsi="Times New Roman" w:eastAsia="Times New Roman" w:cs="Times New Roman"/>
          <w:kern w:val="0"/>
          <w:sz w:val="24"/>
          <w:lang w:eastAsia="en-GB"/>
        </w:rPr>
        <w:t>. [online] Campaign Monitor. Available at: https://www.campaignmonitor.com/resources/guides/u-s-generation-z-consumer-trends-index-2023-2/.</w:t>
      </w:r>
    </w:p>
    <w:p w14:paraId="7D4B4D3B">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Etikan, J. (2024). </w:t>
      </w:r>
      <w:r>
        <w:rPr>
          <w:rFonts w:ascii="Times New Roman" w:hAnsi="Times New Roman" w:eastAsia="Times New Roman" w:cs="Times New Roman"/>
          <w:i/>
          <w:iCs/>
          <w:color w:val="000000"/>
          <w:kern w:val="0"/>
          <w:sz w:val="24"/>
          <w:lang w:eastAsia="en-GB"/>
        </w:rPr>
        <w:t>Corporate Social Responsibility (CSR) and its Influence on Organizational Reputation</w:t>
      </w:r>
      <w:r>
        <w:rPr>
          <w:rFonts w:ascii="Times New Roman" w:hAnsi="Times New Roman" w:eastAsia="Times New Roman" w:cs="Times New Roman"/>
          <w:color w:val="000000"/>
          <w:kern w:val="0"/>
          <w:sz w:val="24"/>
          <w:lang w:eastAsia="en-GB"/>
        </w:rPr>
        <w:t xml:space="preserve">. [online] ResearchGate. Available at: </w:t>
      </w:r>
      <w:r>
        <w:fldChar w:fldCharType="begin"/>
      </w:r>
      <w:r>
        <w:instrText xml:space="preserve"> HYPERLINK "https://www.researchgate.net/publication/378306350_Corporate_Social_Responsibility_CSR_and_its_Influence_on_Organizational_Reputation" </w:instrText>
      </w:r>
      <w:r>
        <w:fldChar w:fldCharType="separate"/>
      </w:r>
      <w:r>
        <w:rPr>
          <w:rFonts w:ascii="Times New Roman" w:hAnsi="Times New Roman" w:eastAsia="Calibri" w:cs="Times New Roman"/>
          <w:color w:val="0563C1"/>
          <w:sz w:val="24"/>
          <w:u w:val="single"/>
          <w:lang w:eastAsia="en-US"/>
          <w14:ligatures w14:val="standardContextual"/>
        </w:rPr>
        <w:t>https://www.researchgate.net/publication/378306350_Corporate_Social_Responsibility_CSR_and_its_Influence_on_Organizational_Reputation</w:t>
      </w:r>
      <w:r>
        <w:rPr>
          <w:rFonts w:ascii="Times New Roman" w:hAnsi="Times New Roman" w:eastAsia="Calibri" w:cs="Times New Roman"/>
          <w:color w:val="0563C1"/>
          <w:sz w:val="24"/>
          <w:u w:val="single"/>
          <w:lang w:eastAsia="en-US"/>
          <w14:ligatures w14:val="standardContextual"/>
        </w:rPr>
        <w:fldChar w:fldCharType="end"/>
      </w:r>
      <w:r>
        <w:rPr>
          <w:rFonts w:ascii="Times New Roman" w:hAnsi="Times New Roman" w:eastAsia="Times New Roman" w:cs="Times New Roman"/>
          <w:color w:val="000000"/>
          <w:kern w:val="0"/>
          <w:sz w:val="24"/>
          <w:lang w:eastAsia="en-GB"/>
        </w:rPr>
        <w:t>.</w:t>
      </w:r>
    </w:p>
    <w:p w14:paraId="4CDECB8A">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Edelman, A. (2024). </w:t>
      </w:r>
      <w:r>
        <w:rPr>
          <w:rFonts w:ascii="Times New Roman" w:hAnsi="Times New Roman" w:eastAsia="Times New Roman" w:cs="Times New Roman"/>
          <w:i/>
          <w:iCs/>
          <w:kern w:val="0"/>
          <w:sz w:val="24"/>
          <w:lang w:eastAsia="en-GB"/>
        </w:rPr>
        <w:t>Winning with Gen Z: Embracing Intention and Values for Brand Success</w:t>
      </w:r>
      <w:r>
        <w:rPr>
          <w:rFonts w:ascii="Times New Roman" w:hAnsi="Times New Roman" w:eastAsia="Times New Roman" w:cs="Times New Roman"/>
          <w:kern w:val="0"/>
          <w:sz w:val="24"/>
          <w:lang w:eastAsia="en-GB"/>
        </w:rPr>
        <w:t>. [online] Edelman. Available at: https://www.edelman.com/trust/2024/trust-barometer/special-report-brand/gen-z-embracing-intention-values-brand-success.</w:t>
      </w:r>
    </w:p>
    <w:p w14:paraId="1A3357C2">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Feger, A. (2025). </w:t>
      </w:r>
      <w:r>
        <w:rPr>
          <w:rFonts w:ascii="Times New Roman" w:hAnsi="Times New Roman" w:eastAsia="Times New Roman" w:cs="Times New Roman"/>
          <w:i/>
          <w:iCs/>
          <w:kern w:val="0"/>
          <w:sz w:val="24"/>
          <w:lang w:eastAsia="en-GB"/>
        </w:rPr>
        <w:t>Guide to Gen Z: What matters to this generation and what it means for marketers</w:t>
      </w:r>
      <w:r>
        <w:rPr>
          <w:rFonts w:ascii="Times New Roman" w:hAnsi="Times New Roman" w:eastAsia="Times New Roman" w:cs="Times New Roman"/>
          <w:kern w:val="0"/>
          <w:sz w:val="24"/>
          <w:lang w:eastAsia="en-GB"/>
        </w:rPr>
        <w:t>. [online] EMARKETER. Available at: https://www.emarketer.com/learningcenter/guides/generation-z-facts/.</w:t>
      </w:r>
    </w:p>
    <w:p w14:paraId="3EBA7329">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Fatma, M. and Khan, I. (2023). CSR Influence on Brand Loyalty in Banking: The Role of Brand Credibility and Brand Identification. </w:t>
      </w:r>
      <w:r>
        <w:rPr>
          <w:rFonts w:ascii="Times New Roman" w:hAnsi="Times New Roman" w:eastAsia="Times New Roman" w:cs="Times New Roman"/>
          <w:i/>
          <w:iCs/>
          <w:color w:val="000000"/>
          <w:kern w:val="0"/>
          <w:sz w:val="24"/>
          <w:lang w:eastAsia="en-GB"/>
        </w:rPr>
        <w:t>Sustainability</w:t>
      </w:r>
      <w:r>
        <w:rPr>
          <w:rFonts w:ascii="Times New Roman" w:hAnsi="Times New Roman" w:eastAsia="Times New Roman" w:cs="Times New Roman"/>
          <w:color w:val="000000"/>
          <w:kern w:val="0"/>
          <w:sz w:val="24"/>
          <w:lang w:eastAsia="en-GB"/>
        </w:rPr>
        <w:t>, [online] 15(1), p.802. doi:https://doi.org/10.3390/su15010802.</w:t>
      </w:r>
    </w:p>
    <w:p w14:paraId="11E0C2E4">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Fatma, M., Khan, I., Rahman, Z. and Pérez, A. (2020). The sharing economy: the influence of perceived corporate social responsibility on brand commitment. </w:t>
      </w:r>
      <w:r>
        <w:rPr>
          <w:rFonts w:ascii="Times New Roman" w:hAnsi="Times New Roman" w:eastAsia="Times New Roman" w:cs="Times New Roman"/>
          <w:i/>
          <w:iCs/>
          <w:kern w:val="0"/>
          <w:sz w:val="24"/>
          <w:lang w:eastAsia="en-GB"/>
        </w:rPr>
        <w:t>Journal of Product &amp; Brand Management</w:t>
      </w:r>
      <w:r>
        <w:rPr>
          <w:rFonts w:ascii="Times New Roman" w:hAnsi="Times New Roman" w:eastAsia="Times New Roman" w:cs="Times New Roman"/>
          <w:kern w:val="0"/>
          <w:sz w:val="24"/>
          <w:lang w:eastAsia="en-GB"/>
        </w:rPr>
        <w:t>, 30(7), pp.964–975. doi:https://doi.org/10.1108/jpbm-04-2020-2862.</w:t>
      </w:r>
    </w:p>
    <w:p w14:paraId="76A153E1">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Geetika Chhatwal (2024). </w:t>
      </w:r>
      <w:r>
        <w:rPr>
          <w:rFonts w:ascii="Times New Roman" w:hAnsi="Times New Roman" w:eastAsia="Times New Roman" w:cs="Times New Roman"/>
          <w:i/>
          <w:iCs/>
          <w:kern w:val="0"/>
          <w:sz w:val="24"/>
          <w:lang w:eastAsia="en-GB"/>
        </w:rPr>
        <w:t>Building Brand Loyalty with Gen Z.</w:t>
      </w:r>
      <w:r>
        <w:rPr>
          <w:rFonts w:ascii="Times New Roman" w:hAnsi="Times New Roman" w:eastAsia="Times New Roman" w:cs="Times New Roman"/>
          <w:kern w:val="0"/>
          <w:sz w:val="24"/>
          <w:lang w:eastAsia="en-GB"/>
        </w:rPr>
        <w:t xml:space="preserve"> [online] Kadence. Available at: https://kadence.com/building-brand-loyalty-with-gen-z/.</w:t>
      </w:r>
    </w:p>
    <w:p w14:paraId="261BE1A4">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Healy, K. and Poole, J. (2022). Corporate Morality: Analysis of Corporate Social Responsibility and Generation Z’s Purchasing Habits. </w:t>
      </w:r>
      <w:r>
        <w:rPr>
          <w:rFonts w:ascii="Times New Roman" w:hAnsi="Times New Roman" w:eastAsia="Times New Roman" w:cs="Times New Roman"/>
          <w:i/>
          <w:iCs/>
          <w:kern w:val="0"/>
          <w:sz w:val="24"/>
          <w:lang w:eastAsia="en-GB"/>
        </w:rPr>
        <w:t>Journal of Student Research</w:t>
      </w:r>
      <w:r>
        <w:rPr>
          <w:rFonts w:ascii="Times New Roman" w:hAnsi="Times New Roman" w:eastAsia="Times New Roman" w:cs="Times New Roman"/>
          <w:kern w:val="0"/>
          <w:sz w:val="24"/>
          <w:lang w:eastAsia="en-GB"/>
        </w:rPr>
        <w:t>, 11(2). doi:https://doi.org/10.47611/jsrhs.v11i2.2503.</w:t>
      </w:r>
    </w:p>
    <w:p w14:paraId="16AC10A5">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Idrees, U., Aftab, H., Qureshi, H.A., Mata, M.N., Martins, J.M., Mata, P.N. and Martins, J.N. (2021). The Effect of Corporate Philanthropy on Consumer Behavior: Open Innovation in the Operating Mechanism. </w:t>
      </w:r>
      <w:r>
        <w:rPr>
          <w:rFonts w:ascii="Times New Roman" w:hAnsi="Times New Roman" w:eastAsia="Times New Roman" w:cs="Times New Roman"/>
          <w:i/>
          <w:iCs/>
          <w:kern w:val="0"/>
          <w:sz w:val="24"/>
          <w:lang w:eastAsia="en-GB"/>
        </w:rPr>
        <w:t>Journal of Open Innovation: Technology, Market, and Complexity</w:t>
      </w:r>
      <w:r>
        <w:rPr>
          <w:rFonts w:ascii="Times New Roman" w:hAnsi="Times New Roman" w:eastAsia="Times New Roman" w:cs="Times New Roman"/>
          <w:kern w:val="0"/>
          <w:sz w:val="24"/>
          <w:lang w:eastAsia="en-GB"/>
        </w:rPr>
        <w:t>, 7(1), p.100. doi:https://doi.org/10.3390/joitmc7010100.</w:t>
      </w:r>
    </w:p>
    <w:p w14:paraId="62074907">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Kim, S. and Kim, Y. (2025). Understanding Gen Z’s Response to CSR Messaging: How Message Clarity and Perceived Motives Drive Engagement. </w:t>
      </w:r>
      <w:r>
        <w:rPr>
          <w:rFonts w:ascii="Times New Roman" w:hAnsi="Times New Roman" w:eastAsia="Times New Roman" w:cs="Times New Roman"/>
          <w:i/>
          <w:iCs/>
          <w:kern w:val="0"/>
          <w:sz w:val="24"/>
          <w:lang w:eastAsia="en-GB"/>
        </w:rPr>
        <w:t>JBSM</w:t>
      </w:r>
      <w:r>
        <w:rPr>
          <w:rFonts w:ascii="Times New Roman" w:hAnsi="Times New Roman" w:eastAsia="Times New Roman" w:cs="Times New Roman"/>
          <w:kern w:val="0"/>
          <w:sz w:val="24"/>
          <w:lang w:eastAsia="en-GB"/>
        </w:rPr>
        <w:t>, [online] 6(1), p.2025. Available at: https://www.gaics.org/userdata/upload/file/JBSM_Volume6No1_2025Article3.pdf.</w:t>
      </w:r>
    </w:p>
    <w:p w14:paraId="4C898F7F">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Luis, J. and Barcellos-Paula, L. (2024). Mediation of brand reputation and image in the relationship between perceived corporate social responsibility and brand equity and loyalty of technology companies among Generation Z: the moderating role of gender. </w:t>
      </w:r>
      <w:r>
        <w:rPr>
          <w:rFonts w:ascii="Times New Roman" w:hAnsi="Times New Roman" w:eastAsia="Times New Roman" w:cs="Times New Roman"/>
          <w:i/>
          <w:iCs/>
          <w:kern w:val="0"/>
          <w:sz w:val="24"/>
          <w:lang w:eastAsia="en-GB"/>
        </w:rPr>
        <w:t>Cogent Business &amp; Management</w:t>
      </w:r>
      <w:r>
        <w:rPr>
          <w:rFonts w:ascii="Times New Roman" w:hAnsi="Times New Roman" w:eastAsia="Times New Roman" w:cs="Times New Roman"/>
          <w:kern w:val="0"/>
          <w:sz w:val="24"/>
          <w:lang w:eastAsia="en-GB"/>
        </w:rPr>
        <w:t>, 11(1). doi:https://doi.org/10.1080/23311975.2024.2424484.</w:t>
      </w:r>
    </w:p>
    <w:p w14:paraId="5452E1F0">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Lerro, M., Caracciolo, F., Vecchio, R. and Cembalo, L. (2018). Consumer’s Side of Corporate Social Responsibility: A Nonhypothetical Study. </w:t>
      </w:r>
      <w:r>
        <w:rPr>
          <w:rFonts w:ascii="Times New Roman" w:hAnsi="Times New Roman" w:eastAsia="Times New Roman" w:cs="Times New Roman"/>
          <w:i/>
          <w:iCs/>
          <w:kern w:val="0"/>
          <w:sz w:val="24"/>
          <w:lang w:eastAsia="en-GB"/>
        </w:rPr>
        <w:t>Journal of Consumer Affairs</w:t>
      </w:r>
      <w:r>
        <w:rPr>
          <w:rFonts w:ascii="Times New Roman" w:hAnsi="Times New Roman" w:eastAsia="Times New Roman" w:cs="Times New Roman"/>
          <w:kern w:val="0"/>
          <w:sz w:val="24"/>
          <w:lang w:eastAsia="en-GB"/>
        </w:rPr>
        <w:t>, 52(3), pp.689–710. doi:https://doi.org/10.1111/joca.12182.</w:t>
      </w:r>
    </w:p>
    <w:p w14:paraId="0AB2961F">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Mann, R. (2023). A comparative study of the impact of brand activism on customers’ brand loyalty: Generation Z, millennials, generation X and baby boomers. </w:t>
      </w:r>
      <w:r>
        <w:rPr>
          <w:rFonts w:ascii="Times New Roman" w:hAnsi="Times New Roman" w:eastAsia="Times New Roman" w:cs="Times New Roman"/>
          <w:i/>
          <w:iCs/>
          <w:kern w:val="0"/>
          <w:sz w:val="24"/>
          <w:lang w:eastAsia="en-GB"/>
        </w:rPr>
        <w:t>Arca: Discover BC’s Digital Treasures</w:t>
      </w:r>
      <w:r>
        <w:rPr>
          <w:rFonts w:ascii="Times New Roman" w:hAnsi="Times New Roman" w:eastAsia="Times New Roman" w:cs="Times New Roman"/>
          <w:kern w:val="0"/>
          <w:sz w:val="24"/>
          <w:lang w:eastAsia="en-GB"/>
        </w:rPr>
        <w:t>. [online] doi:ucw:429.</w:t>
      </w:r>
    </w:p>
    <w:p w14:paraId="0035E640">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Mohamed, A. (2024). </w:t>
      </w:r>
      <w:r>
        <w:rPr>
          <w:rFonts w:ascii="Times New Roman" w:hAnsi="Times New Roman" w:eastAsia="Times New Roman" w:cs="Times New Roman"/>
          <w:i/>
          <w:iCs/>
          <w:color w:val="000000"/>
          <w:kern w:val="0"/>
          <w:sz w:val="24"/>
          <w:lang w:eastAsia="en-GB"/>
        </w:rPr>
        <w:t>Quantitative Market Research: Insights for Strategic Growth - Aim Technologies</w:t>
      </w:r>
      <w:r>
        <w:rPr>
          <w:rFonts w:ascii="Times New Roman" w:hAnsi="Times New Roman" w:eastAsia="Times New Roman" w:cs="Times New Roman"/>
          <w:color w:val="000000"/>
          <w:kern w:val="0"/>
          <w:sz w:val="24"/>
          <w:lang w:eastAsia="en-GB"/>
        </w:rPr>
        <w:t>. [online] Aim Technologies. Available at: https://www.aimtechnologies.co/2024/02/14/quantitative-market-research-insights-for-strategic-growth/.</w:t>
      </w:r>
    </w:p>
    <w:p w14:paraId="2ECEE790">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Martínez-Sala, A.-M., Monserrat-Gauchi, J. and Quiles-Soler, M.C. (2023). Corporate social responsibility and millennial consumer loyalty: exploring their relationship regarding healthy eating in the fast food sector. </w:t>
      </w:r>
      <w:r>
        <w:rPr>
          <w:rFonts w:ascii="Times New Roman" w:hAnsi="Times New Roman" w:eastAsia="Times New Roman" w:cs="Times New Roman"/>
          <w:i/>
          <w:iCs/>
          <w:kern w:val="0"/>
          <w:sz w:val="24"/>
          <w:lang w:eastAsia="en-GB"/>
        </w:rPr>
        <w:t>rua.ua.es</w:t>
      </w:r>
      <w:r>
        <w:rPr>
          <w:rFonts w:ascii="Times New Roman" w:hAnsi="Times New Roman" w:eastAsia="Times New Roman" w:cs="Times New Roman"/>
          <w:kern w:val="0"/>
          <w:sz w:val="24"/>
          <w:lang w:eastAsia="en-GB"/>
        </w:rPr>
        <w:t>. [online] doi:https://doi.org/10.3145/epi.2023.nov.13.</w:t>
      </w:r>
    </w:p>
    <w:p w14:paraId="52964FA3">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Mohammadi, E., Barzegar, M. and Nohekhan, M. (2023). </w:t>
      </w:r>
      <w:r>
        <w:rPr>
          <w:rFonts w:ascii="Times New Roman" w:hAnsi="Times New Roman" w:eastAsia="Times New Roman" w:cs="Times New Roman"/>
          <w:i/>
          <w:iCs/>
          <w:kern w:val="0"/>
          <w:sz w:val="24"/>
          <w:lang w:eastAsia="en-GB"/>
        </w:rPr>
        <w:t>The Green Advantage: Analyzing the Effects of Eco-Friendly Marketing on Consumer Loyalty</w:t>
      </w:r>
      <w:r>
        <w:rPr>
          <w:rFonts w:ascii="Times New Roman" w:hAnsi="Times New Roman" w:eastAsia="Times New Roman" w:cs="Times New Roman"/>
          <w:kern w:val="0"/>
          <w:sz w:val="24"/>
          <w:lang w:eastAsia="en-GB"/>
        </w:rPr>
        <w:t>. [online] arXiv.org. Available at: https://arxiv.org/abs/2312.16698?.</w:t>
      </w:r>
    </w:p>
    <w:p w14:paraId="6B79FDA6">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Moisescu, O.-I. and Gică, O.-A. (2020). The Impact of Environmental and Social Responsibility on Customer Loyalty: A Multigroup Analysis among Generations X and Y. </w:t>
      </w:r>
      <w:r>
        <w:rPr>
          <w:rFonts w:ascii="Times New Roman" w:hAnsi="Times New Roman" w:eastAsia="Times New Roman" w:cs="Times New Roman"/>
          <w:i/>
          <w:iCs/>
          <w:kern w:val="0"/>
          <w:sz w:val="24"/>
          <w:lang w:eastAsia="en-GB"/>
        </w:rPr>
        <w:t>International Journal of Environmental Research and Public Health</w:t>
      </w:r>
      <w:r>
        <w:rPr>
          <w:rFonts w:ascii="Times New Roman" w:hAnsi="Times New Roman" w:eastAsia="Times New Roman" w:cs="Times New Roman"/>
          <w:kern w:val="0"/>
          <w:sz w:val="24"/>
          <w:lang w:eastAsia="en-GB"/>
        </w:rPr>
        <w:t>, 17(18), p.6466. doi:https://doi.org/10.3390/ijerph17186466.</w:t>
      </w:r>
    </w:p>
    <w:p w14:paraId="4204B68D">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Moresjö, S. and Xin, Y. (2020). </w:t>
      </w:r>
      <w:r>
        <w:rPr>
          <w:rFonts w:ascii="Times New Roman" w:hAnsi="Times New Roman" w:eastAsia="Times New Roman" w:cs="Times New Roman"/>
          <w:i/>
          <w:iCs/>
          <w:kern w:val="0"/>
          <w:sz w:val="24"/>
          <w:lang w:eastAsia="en-GB"/>
        </w:rPr>
        <w:t>Does CSR really influence Millennials’ purchase decisions?</w:t>
      </w:r>
      <w:r>
        <w:rPr>
          <w:rFonts w:ascii="Times New Roman" w:hAnsi="Times New Roman" w:eastAsia="Times New Roman" w:cs="Times New Roman"/>
          <w:kern w:val="0"/>
          <w:sz w:val="24"/>
          <w:lang w:eastAsia="en-GB"/>
        </w:rPr>
        <w:t xml:space="preserve"> [online] Available at: https://www.diva-portal.org/smash/get/diva2%3A1436329/FULLTEXT01.pdf [Accessed 29 Jun. 2025].</w:t>
      </w:r>
    </w:p>
    <w:p w14:paraId="49DC12C4">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Mahmood, M., Niazi, A., Asghar, W. and Hussain, M. (2021). Impact of Perceived CSR on Brand Equity through Brand Admiration and Customer Advocacy Behaviour: Moderating Role of Brand Attitude and Customer Loyalty. </w:t>
      </w:r>
      <w:r>
        <w:rPr>
          <w:rFonts w:ascii="Times New Roman" w:hAnsi="Times New Roman" w:eastAsia="Times New Roman" w:cs="Times New Roman"/>
          <w:i/>
          <w:iCs/>
          <w:kern w:val="0"/>
          <w:sz w:val="24"/>
          <w:lang w:eastAsia="en-GB"/>
        </w:rPr>
        <w:t>Sustainable Business and Society in Emerging Economies</w:t>
      </w:r>
      <w:r>
        <w:rPr>
          <w:rFonts w:ascii="Times New Roman" w:hAnsi="Times New Roman" w:eastAsia="Times New Roman" w:cs="Times New Roman"/>
          <w:kern w:val="0"/>
          <w:sz w:val="24"/>
          <w:lang w:eastAsia="en-GB"/>
        </w:rPr>
        <w:t>, 3(3). doi:https://doi.org/10.26710/sbsee.v3i3.1886.</w:t>
      </w:r>
    </w:p>
    <w:p w14:paraId="1AC8D75A">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Narayanan, S. and Singh, G.A. (2023). Consumers’ willingness to pay for corporate social responsibility: Theory and evidence. </w:t>
      </w:r>
      <w:r>
        <w:rPr>
          <w:rFonts w:ascii="Times New Roman" w:hAnsi="Times New Roman" w:eastAsia="Times New Roman" w:cs="Times New Roman"/>
          <w:i/>
          <w:iCs/>
          <w:color w:val="000000"/>
          <w:kern w:val="0"/>
          <w:sz w:val="24"/>
          <w:lang w:eastAsia="en-GB"/>
        </w:rPr>
        <w:t>International Journal of Consumer Studies</w:t>
      </w:r>
      <w:r>
        <w:rPr>
          <w:rFonts w:ascii="Times New Roman" w:hAnsi="Times New Roman" w:eastAsia="Times New Roman" w:cs="Times New Roman"/>
          <w:color w:val="000000"/>
          <w:kern w:val="0"/>
          <w:sz w:val="24"/>
          <w:lang w:eastAsia="en-GB"/>
        </w:rPr>
        <w:t>, [online] 47(6), pp.2212–2244. doi:https://doi.org/10.1111/ijcs.12910.</w:t>
      </w:r>
    </w:p>
    <w:p w14:paraId="25FA4B9F">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Narayanan, S. (2022). Does Generation Z value and reward corporate social responsibility practices? </w:t>
      </w:r>
      <w:r>
        <w:rPr>
          <w:rFonts w:ascii="Times New Roman" w:hAnsi="Times New Roman" w:eastAsia="Times New Roman" w:cs="Times New Roman"/>
          <w:i/>
          <w:iCs/>
          <w:kern w:val="0"/>
          <w:sz w:val="24"/>
          <w:lang w:eastAsia="en-GB"/>
        </w:rPr>
        <w:t>Journal of Marketing Management</w:t>
      </w:r>
      <w:r>
        <w:rPr>
          <w:rFonts w:ascii="Times New Roman" w:hAnsi="Times New Roman" w:eastAsia="Times New Roman" w:cs="Times New Roman"/>
          <w:kern w:val="0"/>
          <w:sz w:val="24"/>
          <w:lang w:eastAsia="en-GB"/>
        </w:rPr>
        <w:t>, 38(9-10), pp.903–937. doi:https://doi.org/10.1080/0267257x.2022.2070654.</w:t>
      </w:r>
    </w:p>
    <w:p w14:paraId="0E33E7E2">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NGO;Anh, D. (2024). The Impact of Corporate Social Responsibility on Customer Loyalty in Multi-channel Distribution: A Generational Perspective. </w:t>
      </w:r>
      <w:r>
        <w:rPr>
          <w:rFonts w:ascii="Times New Roman" w:hAnsi="Times New Roman" w:eastAsia="Times New Roman" w:cs="Times New Roman"/>
          <w:i/>
          <w:iCs/>
          <w:kern w:val="0"/>
          <w:sz w:val="24"/>
          <w:lang w:eastAsia="en-GB"/>
        </w:rPr>
        <w:t>Journal of Distribution Science</w:t>
      </w:r>
      <w:r>
        <w:rPr>
          <w:rFonts w:ascii="Times New Roman" w:hAnsi="Times New Roman" w:eastAsia="Times New Roman" w:cs="Times New Roman"/>
          <w:kern w:val="0"/>
          <w:sz w:val="24"/>
          <w:lang w:eastAsia="en-GB"/>
        </w:rPr>
        <w:t>, [online] 22(12), pp.23–34. doi:https://doi.org/10.15722/jds.22.12.202412.23.</w:t>
      </w:r>
    </w:p>
    <w:p w14:paraId="785389C3">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Nguyen, N. (2021). </w:t>
      </w:r>
      <w:r>
        <w:rPr>
          <w:rFonts w:ascii="Times New Roman" w:hAnsi="Times New Roman" w:eastAsia="Times New Roman" w:cs="Times New Roman"/>
          <w:i/>
          <w:iCs/>
          <w:kern w:val="0"/>
          <w:sz w:val="24"/>
          <w:lang w:eastAsia="en-GB"/>
        </w:rPr>
        <w:t>Consumer scepticism towards corporate social responsibility: The case of Generation Z in the UK</w:t>
      </w:r>
      <w:r>
        <w:rPr>
          <w:rFonts w:ascii="Times New Roman" w:hAnsi="Times New Roman" w:eastAsia="Times New Roman" w:cs="Times New Roman"/>
          <w:kern w:val="0"/>
          <w:sz w:val="24"/>
          <w:lang w:eastAsia="en-GB"/>
        </w:rPr>
        <w:t xml:space="preserve">. [online] Available at: </w:t>
      </w:r>
      <w:r>
        <w:fldChar w:fldCharType="begin"/>
      </w:r>
      <w:r>
        <w:instrText xml:space="preserve"> HYPERLINK "https://repository.mdx.ac.uk/download/22a23f11a4bb325fb3f2a5ccf6be9c6e1be64236676963bc8f2457b58297f7e4/3415862/NTNguyen%20thesis%20EMBARGO.pdf" </w:instrText>
      </w:r>
      <w:r>
        <w:fldChar w:fldCharType="separate"/>
      </w:r>
      <w:r>
        <w:rPr>
          <w:rFonts w:ascii="Calibri" w:hAnsi="Calibri" w:eastAsia="Calibri" w:cs="Times New Roman"/>
          <w:color w:val="0563C1"/>
          <w:sz w:val="24"/>
          <w:u w:val="single"/>
          <w:lang w:eastAsia="en-US"/>
          <w14:ligatures w14:val="standardContextual"/>
        </w:rPr>
        <w:t>https://repository.mdx.ac.uk/download/22a23f11a4bb325fb3f2a5ccf6be9c6e1be64236676963bc8f2457b58297f7e4/3415862/NTNguyen%20thesis%20EMBARGO.pdf</w:t>
      </w:r>
      <w:r>
        <w:rPr>
          <w:rFonts w:ascii="Calibri" w:hAnsi="Calibri" w:eastAsia="Calibri" w:cs="Times New Roman"/>
          <w:color w:val="0563C1"/>
          <w:sz w:val="24"/>
          <w:u w:val="single"/>
          <w:lang w:eastAsia="en-US"/>
          <w14:ligatures w14:val="standardContextual"/>
        </w:rPr>
        <w:fldChar w:fldCharType="end"/>
      </w:r>
      <w:r>
        <w:rPr>
          <w:rFonts w:ascii="Times New Roman" w:hAnsi="Times New Roman" w:eastAsia="Times New Roman" w:cs="Times New Roman"/>
          <w:kern w:val="0"/>
          <w:sz w:val="24"/>
          <w:lang w:eastAsia="en-GB"/>
        </w:rPr>
        <w:t>.</w:t>
      </w:r>
    </w:p>
    <w:p w14:paraId="37D8F4AD">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Nast, C. (2023). </w:t>
      </w:r>
      <w:r>
        <w:rPr>
          <w:rFonts w:ascii="Times New Roman" w:hAnsi="Times New Roman" w:eastAsia="Times New Roman" w:cs="Times New Roman"/>
          <w:i/>
          <w:iCs/>
          <w:kern w:val="0"/>
          <w:sz w:val="24"/>
          <w:lang w:eastAsia="en-GB"/>
        </w:rPr>
        <w:t>How philanthropy became big business for luxury</w:t>
      </w:r>
      <w:r>
        <w:rPr>
          <w:rFonts w:ascii="Times New Roman" w:hAnsi="Times New Roman" w:eastAsia="Times New Roman" w:cs="Times New Roman"/>
          <w:kern w:val="0"/>
          <w:sz w:val="24"/>
          <w:lang w:eastAsia="en-GB"/>
        </w:rPr>
        <w:t>. [online] Vogue Business. Available at: https://www.voguebusiness.com/story/fashion/how-philanthropy-became-big-business-for-luxury.</w:t>
      </w:r>
    </w:p>
    <w:p w14:paraId="192F6DFC">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Patil, A. and Manas, M.N. (2025). </w:t>
      </w:r>
      <w:r>
        <w:rPr>
          <w:rFonts w:ascii="Times New Roman" w:hAnsi="Times New Roman" w:eastAsia="Times New Roman" w:cs="Times New Roman"/>
          <w:i/>
          <w:iCs/>
          <w:kern w:val="0"/>
          <w:sz w:val="24"/>
          <w:lang w:eastAsia="en-GB"/>
        </w:rPr>
        <w:t>Corporate Social Responsibility (CSR) and Its Influence on Consumer Behavior and Brand...</w:t>
      </w:r>
      <w:r>
        <w:rPr>
          <w:rFonts w:ascii="Times New Roman" w:hAnsi="Times New Roman" w:eastAsia="Times New Roman" w:cs="Times New Roman"/>
          <w:kern w:val="0"/>
          <w:sz w:val="24"/>
          <w:lang w:eastAsia="en-GB"/>
        </w:rPr>
        <w:t xml:space="preserve"> [online] ResearchGate. Available at: https://www.researchgate.net/publication/389998093_Corporate_Social_Responsibility_CSR_and_Its_Influence_on_Consumer_Behavior_and_Brand_Loyalty-INTERNATIONAL_JOURNAL_OF_SCIENTIFIC_RESEARCH_IN_ENGINEERING_AND_MANAGEMENT_IJSREM.</w:t>
      </w:r>
    </w:p>
    <w:p w14:paraId="4B9B2DEB">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Phung, T.T. and Huynh, G.T.T. (2022). Impact of corporate social responsibility on brand equity with the mediating role of customer trust and customer participation - a case study in the vietnamese hotel industry. </w:t>
      </w:r>
      <w:r>
        <w:rPr>
          <w:rFonts w:ascii="Times New Roman" w:hAnsi="Times New Roman" w:eastAsia="Times New Roman" w:cs="Times New Roman"/>
          <w:i/>
          <w:iCs/>
          <w:kern w:val="0"/>
          <w:sz w:val="24"/>
          <w:lang w:eastAsia="en-GB"/>
        </w:rPr>
        <w:t>VNUHCM Journal of Economics, Business and Law</w:t>
      </w:r>
      <w:r>
        <w:rPr>
          <w:rFonts w:ascii="Times New Roman" w:hAnsi="Times New Roman" w:eastAsia="Times New Roman" w:cs="Times New Roman"/>
          <w:kern w:val="0"/>
          <w:sz w:val="24"/>
          <w:lang w:eastAsia="en-GB"/>
        </w:rPr>
        <w:t>, [online] 6(3), pp.3327–3344. doi:https://doi.org/10.32508/stdjelm.v6i3.1057.</w:t>
      </w:r>
    </w:p>
    <w:p w14:paraId="1B3D7441">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Potrashkova, L., Raiko, D., Tseitlin, L., Savchenko, O. and Nagy, S. (2018). Methodological provisions for conducting empirical research of the availability and implementation of the consumers’ socially responsible intentions. </w:t>
      </w:r>
      <w:r>
        <w:rPr>
          <w:rFonts w:ascii="Times New Roman" w:hAnsi="Times New Roman" w:eastAsia="Times New Roman" w:cs="Times New Roman"/>
          <w:i/>
          <w:iCs/>
          <w:kern w:val="0"/>
          <w:sz w:val="24"/>
          <w:lang w:eastAsia="en-GB"/>
        </w:rPr>
        <w:t>Marketing and Management of Innovations</w:t>
      </w:r>
      <w:r>
        <w:rPr>
          <w:rFonts w:ascii="Times New Roman" w:hAnsi="Times New Roman" w:eastAsia="Times New Roman" w:cs="Times New Roman"/>
          <w:kern w:val="0"/>
          <w:sz w:val="24"/>
          <w:lang w:eastAsia="en-GB"/>
        </w:rPr>
        <w:t>, (3), pp.133–141. doi:https://doi.org/10.21272/mmi.2018.3-11.</w:t>
      </w:r>
    </w:p>
    <w:p w14:paraId="1FA199F6">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Pourkabirian, A., Habibian, M. and Pourkabirian, A. (2021a). Brand Attitude in Social Networks: The Role of eWoM. </w:t>
      </w:r>
      <w:r>
        <w:rPr>
          <w:rFonts w:ascii="Times New Roman" w:hAnsi="Times New Roman" w:eastAsia="Times New Roman" w:cs="Times New Roman"/>
          <w:i/>
          <w:iCs/>
          <w:kern w:val="0"/>
          <w:sz w:val="24"/>
          <w:lang w:eastAsia="en-GB"/>
        </w:rPr>
        <w:t>arXiv:2109.15315 [cs, math]</w:t>
      </w:r>
      <w:r>
        <w:rPr>
          <w:rFonts w:ascii="Times New Roman" w:hAnsi="Times New Roman" w:eastAsia="Times New Roman" w:cs="Times New Roman"/>
          <w:kern w:val="0"/>
          <w:sz w:val="24"/>
          <w:lang w:eastAsia="en-GB"/>
        </w:rPr>
        <w:t>. [online] Available at: https://arxiv.org/abs/2109.15315.</w:t>
      </w:r>
    </w:p>
    <w:p w14:paraId="159C3CA0">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Pourkabirian, A., Habibian, M. and Pourkabirian, A. (2021b). Brand Attitude in Social Networks: The Role of eWoM. </w:t>
      </w:r>
      <w:r>
        <w:rPr>
          <w:rFonts w:ascii="Times New Roman" w:hAnsi="Times New Roman" w:eastAsia="Times New Roman" w:cs="Times New Roman"/>
          <w:i/>
          <w:iCs/>
          <w:kern w:val="0"/>
          <w:sz w:val="24"/>
          <w:lang w:eastAsia="en-GB"/>
        </w:rPr>
        <w:t>arXiv:2109.15315 [cs, math]</w:t>
      </w:r>
      <w:r>
        <w:rPr>
          <w:rFonts w:ascii="Times New Roman" w:hAnsi="Times New Roman" w:eastAsia="Times New Roman" w:cs="Times New Roman"/>
          <w:kern w:val="0"/>
          <w:sz w:val="24"/>
          <w:lang w:eastAsia="en-GB"/>
        </w:rPr>
        <w:t>. [online] Available at: https://arxiv.org/abs/2109.15315.</w:t>
      </w:r>
    </w:p>
    <w:p w14:paraId="25CE79D4">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Pourkabirian, A., Habibian, M. and Pourkabirian, A. (2021c). Brand Attitude in Social Networks: The Role of eWoM. </w:t>
      </w:r>
      <w:r>
        <w:rPr>
          <w:rFonts w:ascii="Times New Roman" w:hAnsi="Times New Roman" w:eastAsia="Times New Roman" w:cs="Times New Roman"/>
          <w:i/>
          <w:iCs/>
          <w:kern w:val="0"/>
          <w:sz w:val="24"/>
          <w:lang w:eastAsia="en-GB"/>
        </w:rPr>
        <w:t>arXiv:2109.15315 [cs, math]</w:t>
      </w:r>
      <w:r>
        <w:rPr>
          <w:rFonts w:ascii="Times New Roman" w:hAnsi="Times New Roman" w:eastAsia="Times New Roman" w:cs="Times New Roman"/>
          <w:kern w:val="0"/>
          <w:sz w:val="24"/>
          <w:lang w:eastAsia="en-GB"/>
        </w:rPr>
        <w:t>. [online] Available at: https://arxiv.org/abs/2109.15315.</w:t>
      </w:r>
    </w:p>
    <w:p w14:paraId="7D247A3A">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Pourkabirian, A., Habibian, M. and Pourkabirian, A. (2021d). Brand Attitude in Social Networks: The Role of eWoM. </w:t>
      </w:r>
      <w:r>
        <w:rPr>
          <w:rFonts w:ascii="Times New Roman" w:hAnsi="Times New Roman" w:eastAsia="Times New Roman" w:cs="Times New Roman"/>
          <w:i/>
          <w:iCs/>
          <w:kern w:val="0"/>
          <w:sz w:val="24"/>
          <w:lang w:eastAsia="en-GB"/>
        </w:rPr>
        <w:t>arXiv:2109.15315 [cs, math]</w:t>
      </w:r>
      <w:r>
        <w:rPr>
          <w:rFonts w:ascii="Times New Roman" w:hAnsi="Times New Roman" w:eastAsia="Times New Roman" w:cs="Times New Roman"/>
          <w:kern w:val="0"/>
          <w:sz w:val="24"/>
          <w:lang w:eastAsia="en-GB"/>
        </w:rPr>
        <w:t>. [online] Available at: https://arxiv.org/abs/2109.15315.</w:t>
      </w:r>
    </w:p>
    <w:p w14:paraId="7B71F675">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Qualtrics (2025). </w:t>
      </w:r>
      <w:r>
        <w:rPr>
          <w:rFonts w:ascii="Times New Roman" w:hAnsi="Times New Roman" w:eastAsia="Times New Roman" w:cs="Times New Roman"/>
          <w:i/>
          <w:iCs/>
          <w:color w:val="000000"/>
          <w:kern w:val="0"/>
          <w:sz w:val="24"/>
          <w:lang w:eastAsia="en-GB"/>
        </w:rPr>
        <w:t>70 Research Quotes to Inspire Your Work - Qualtrics</w:t>
      </w:r>
      <w:r>
        <w:rPr>
          <w:rFonts w:ascii="Times New Roman" w:hAnsi="Times New Roman" w:eastAsia="Times New Roman" w:cs="Times New Roman"/>
          <w:color w:val="000000"/>
          <w:kern w:val="0"/>
          <w:sz w:val="24"/>
          <w:lang w:eastAsia="en-GB"/>
        </w:rPr>
        <w:t>. [online] Qualtrics. Available at: https://www.qualtrics.com/blog/research-quotes/? [Accessed 17 Jul. 2025].</w:t>
      </w:r>
    </w:p>
    <w:p w14:paraId="5E08DC37">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Rivera, J., Bigne, E. and Curras-Perez, R. (2019). Effects of Corporate Social Responsibility on consumer brand loyalty. </w:t>
      </w:r>
      <w:r>
        <w:rPr>
          <w:rFonts w:ascii="Times New Roman" w:hAnsi="Times New Roman" w:eastAsia="Times New Roman" w:cs="Times New Roman"/>
          <w:i/>
          <w:iCs/>
          <w:kern w:val="0"/>
          <w:sz w:val="24"/>
          <w:lang w:eastAsia="en-GB"/>
        </w:rPr>
        <w:t>Review of Business Management</w:t>
      </w:r>
      <w:r>
        <w:rPr>
          <w:rFonts w:ascii="Times New Roman" w:hAnsi="Times New Roman" w:eastAsia="Times New Roman" w:cs="Times New Roman"/>
          <w:kern w:val="0"/>
          <w:sz w:val="24"/>
          <w:lang w:eastAsia="en-GB"/>
        </w:rPr>
        <w:t>, [online] 20(3), pp.395–415. doi:https://doi.org/10.7819/rbgn.v21i3.4003.</w:t>
      </w:r>
    </w:p>
    <w:p w14:paraId="14F5119C">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Rosário, A.T. and Casaca, J.A. (2025). Brand Loyalty and Generations X, Y, Z. </w:t>
      </w:r>
      <w:r>
        <w:rPr>
          <w:rFonts w:ascii="Times New Roman" w:hAnsi="Times New Roman" w:eastAsia="Times New Roman" w:cs="Times New Roman"/>
          <w:i/>
          <w:iCs/>
          <w:kern w:val="0"/>
          <w:sz w:val="24"/>
          <w:lang w:eastAsia="en-GB"/>
        </w:rPr>
        <w:t>Journal of Ecohumanism</w:t>
      </w:r>
      <w:r>
        <w:rPr>
          <w:rFonts w:ascii="Times New Roman" w:hAnsi="Times New Roman" w:eastAsia="Times New Roman" w:cs="Times New Roman"/>
          <w:kern w:val="0"/>
          <w:sz w:val="24"/>
          <w:lang w:eastAsia="en-GB"/>
        </w:rPr>
        <w:t>, 4(2). doi:https://doi.org/10.62754/joe.v4i2.6426.</w:t>
      </w:r>
    </w:p>
    <w:p w14:paraId="18B1492B">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Ramachandran, K. (2025). </w:t>
      </w:r>
      <w:r>
        <w:rPr>
          <w:rFonts w:ascii="Times New Roman" w:hAnsi="Times New Roman" w:eastAsia="Times New Roman" w:cs="Times New Roman"/>
          <w:i/>
          <w:iCs/>
          <w:kern w:val="0"/>
          <w:sz w:val="24"/>
          <w:lang w:eastAsia="en-GB"/>
        </w:rPr>
        <w:t>View of The Influence of Corporate Social Responsibility on Brand Equity and Consumer Behavior</w:t>
      </w:r>
      <w:r>
        <w:rPr>
          <w:rFonts w:ascii="Times New Roman" w:hAnsi="Times New Roman" w:eastAsia="Times New Roman" w:cs="Times New Roman"/>
          <w:kern w:val="0"/>
          <w:sz w:val="24"/>
          <w:lang w:eastAsia="en-GB"/>
        </w:rPr>
        <w:t>. [online] Jier.org. Available at: https://jier.org/index.php/journal/article/view/1013/860 [Accessed 21 Aug. 2025].</w:t>
      </w:r>
    </w:p>
    <w:p w14:paraId="6450B2A3">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Rasyidah, W. (2024). Gen Z’s loyalty unpacked : The interplay of brand image, service quality, and price on satisfaction and trust. </w:t>
      </w:r>
      <w:r>
        <w:rPr>
          <w:rFonts w:ascii="Times New Roman" w:hAnsi="Times New Roman" w:eastAsia="Times New Roman" w:cs="Times New Roman"/>
          <w:i/>
          <w:iCs/>
          <w:kern w:val="0"/>
          <w:sz w:val="24"/>
          <w:lang w:eastAsia="en-GB"/>
        </w:rPr>
        <w:t>Global Business Management Review (GBMR)</w:t>
      </w:r>
      <w:r>
        <w:rPr>
          <w:rFonts w:ascii="Times New Roman" w:hAnsi="Times New Roman" w:eastAsia="Times New Roman" w:cs="Times New Roman"/>
          <w:kern w:val="0"/>
          <w:sz w:val="24"/>
          <w:lang w:eastAsia="en-GB"/>
        </w:rPr>
        <w:t>, [online] 16(2), pp.43–68. doi:https://doi.org/10.32890/gbmr2024.16.2.3.</w:t>
      </w:r>
    </w:p>
    <w:p w14:paraId="06E20404">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Ravinder Bharti (2020). </w:t>
      </w:r>
      <w:r>
        <w:rPr>
          <w:rFonts w:ascii="Times New Roman" w:hAnsi="Times New Roman" w:eastAsia="Times New Roman" w:cs="Times New Roman"/>
          <w:i/>
          <w:iCs/>
          <w:kern w:val="0"/>
          <w:sz w:val="24"/>
          <w:lang w:eastAsia="en-GB"/>
        </w:rPr>
        <w:t>Why Millennials and Gen Z Value Brand Trust Over Brand Loyalty</w:t>
      </w:r>
      <w:r>
        <w:rPr>
          <w:rFonts w:ascii="Times New Roman" w:hAnsi="Times New Roman" w:eastAsia="Times New Roman" w:cs="Times New Roman"/>
          <w:kern w:val="0"/>
          <w:sz w:val="24"/>
          <w:lang w:eastAsia="en-GB"/>
        </w:rPr>
        <w:t>. [online] Public Media Solution - Pr Agency. Available at: https://publicmediasolution.com/blog/why-millennials-and-gen-z-value-brand-trust-over-brand-loyalty/.</w:t>
      </w:r>
    </w:p>
    <w:p w14:paraId="27C0B70A">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Rosário, A.T. and Casaca, J.A. (2025). Brand Loyalty and Generations X, Y, Z. </w:t>
      </w:r>
      <w:r>
        <w:rPr>
          <w:rFonts w:ascii="Times New Roman" w:hAnsi="Times New Roman" w:eastAsia="Times New Roman" w:cs="Times New Roman"/>
          <w:i/>
          <w:iCs/>
          <w:kern w:val="0"/>
          <w:sz w:val="24"/>
          <w:lang w:eastAsia="en-GB"/>
        </w:rPr>
        <w:t>Journal of Ecohumanism</w:t>
      </w:r>
      <w:r>
        <w:rPr>
          <w:rFonts w:ascii="Times New Roman" w:hAnsi="Times New Roman" w:eastAsia="Times New Roman" w:cs="Times New Roman"/>
          <w:kern w:val="0"/>
          <w:sz w:val="24"/>
          <w:lang w:eastAsia="en-GB"/>
        </w:rPr>
        <w:t>, 4(2). doi:https://doi.org/10.62754/joe.v4i2.6426.</w:t>
      </w:r>
    </w:p>
    <w:p w14:paraId="273ACD35">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Siagian, N.R. and Yuliana, N. (2023). THE ROLE OF SOCIAL MEDIA IN GENERATION Z COMMUNICATION. </w:t>
      </w:r>
      <w:r>
        <w:rPr>
          <w:rFonts w:ascii="Times New Roman" w:hAnsi="Times New Roman" w:eastAsia="Times New Roman" w:cs="Times New Roman"/>
          <w:i/>
          <w:iCs/>
          <w:kern w:val="0"/>
          <w:sz w:val="24"/>
          <w:lang w:eastAsia="en-GB"/>
        </w:rPr>
        <w:t>Interdisciplinary Journal of Advanced Research and Innovation</w:t>
      </w:r>
      <w:r>
        <w:rPr>
          <w:rFonts w:ascii="Times New Roman" w:hAnsi="Times New Roman" w:eastAsia="Times New Roman" w:cs="Times New Roman"/>
          <w:kern w:val="0"/>
          <w:sz w:val="24"/>
          <w:lang w:eastAsia="en-GB"/>
        </w:rPr>
        <w:t>, [online] 1(3), pp.109–118. Available at: https://ijari.publicascientificsolution.com/index.php/rv/article/view/27/81.</w:t>
      </w:r>
    </w:p>
    <w:p w14:paraId="15DF242D">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Sawicka, J. and Marcinkowska, E. (2023). Environmental CSR and the Purchase Declarations of Generation Z Consumers. </w:t>
      </w:r>
      <w:r>
        <w:rPr>
          <w:rFonts w:ascii="Times New Roman" w:hAnsi="Times New Roman" w:eastAsia="Times New Roman" w:cs="Times New Roman"/>
          <w:i/>
          <w:iCs/>
          <w:kern w:val="0"/>
          <w:sz w:val="24"/>
          <w:lang w:eastAsia="en-GB"/>
        </w:rPr>
        <w:t>Sustainability</w:t>
      </w:r>
      <w:r>
        <w:rPr>
          <w:rFonts w:ascii="Times New Roman" w:hAnsi="Times New Roman" w:eastAsia="Times New Roman" w:cs="Times New Roman"/>
          <w:kern w:val="0"/>
          <w:sz w:val="24"/>
          <w:lang w:eastAsia="en-GB"/>
        </w:rPr>
        <w:t>, 15(17), pp.12759–12759. doi:https://doi.org/10.3390/su151712759.</w:t>
      </w:r>
    </w:p>
    <w:p w14:paraId="2C7B957C">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Tarapata, J. and Kostecki, J. (2025). Responsible Activities of the Company/Brand and Their Impact on Its Positive Image in the Opinion of Generation Z Consumers. </w:t>
      </w:r>
      <w:r>
        <w:rPr>
          <w:rFonts w:ascii="Times New Roman" w:hAnsi="Times New Roman" w:eastAsia="Times New Roman" w:cs="Times New Roman"/>
          <w:i/>
          <w:iCs/>
          <w:kern w:val="0"/>
          <w:sz w:val="24"/>
          <w:lang w:eastAsia="en-GB"/>
        </w:rPr>
        <w:t>EUROPEAN RESEARCH STUDIES JOURNAL</w:t>
      </w:r>
      <w:r>
        <w:rPr>
          <w:rFonts w:ascii="Times New Roman" w:hAnsi="Times New Roman" w:eastAsia="Times New Roman" w:cs="Times New Roman"/>
          <w:kern w:val="0"/>
          <w:sz w:val="24"/>
          <w:lang w:eastAsia="en-GB"/>
        </w:rPr>
        <w:t>, [online] XXVIII(Issue 2), pp.406–423. doi:https://doi.org/10.35808/ersj/3987.</w:t>
      </w:r>
    </w:p>
    <w:p w14:paraId="1C22864C">
      <w:pPr>
        <w:spacing w:after="240" w:line="360" w:lineRule="auto"/>
        <w:rPr>
          <w:rFonts w:ascii="Times New Roman" w:hAnsi="Times New Roman" w:eastAsia="Times New Roman" w:cs="Times New Roman"/>
          <w:color w:val="000000"/>
          <w:kern w:val="0"/>
          <w:sz w:val="24"/>
          <w:lang w:eastAsia="en-GB"/>
        </w:rPr>
      </w:pPr>
      <w:r>
        <w:rPr>
          <w:rFonts w:ascii="Times New Roman" w:hAnsi="Times New Roman" w:eastAsia="Times New Roman" w:cs="Times New Roman"/>
          <w:color w:val="000000"/>
          <w:kern w:val="0"/>
          <w:sz w:val="24"/>
          <w:lang w:eastAsia="en-GB"/>
        </w:rPr>
        <w:t xml:space="preserve">Tan, P.L., Rasoolimanesh, S.M. and Manickam, G. (2022). How corporate social responsibility affects brand equity and loyalty? A comparison between private and public universities. </w:t>
      </w:r>
      <w:r>
        <w:rPr>
          <w:rFonts w:ascii="Times New Roman" w:hAnsi="Times New Roman" w:eastAsia="Times New Roman" w:cs="Times New Roman"/>
          <w:i/>
          <w:iCs/>
          <w:color w:val="000000"/>
          <w:kern w:val="0"/>
          <w:sz w:val="24"/>
          <w:lang w:eastAsia="en-GB"/>
        </w:rPr>
        <w:t>Heliyon</w:t>
      </w:r>
      <w:r>
        <w:rPr>
          <w:rFonts w:ascii="Times New Roman" w:hAnsi="Times New Roman" w:eastAsia="Times New Roman" w:cs="Times New Roman"/>
          <w:color w:val="000000"/>
          <w:kern w:val="0"/>
          <w:sz w:val="24"/>
          <w:lang w:eastAsia="en-GB"/>
        </w:rPr>
        <w:t>, 8(4), pp.1–12. doi:https://doi.org/10.1016/j.heliyon.2022.e09266.</w:t>
      </w:r>
    </w:p>
    <w:p w14:paraId="7386D9B0">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Thomas, G. (2022). Corporate Social Responsibility as a Sustainable Business Practice: A Study among Generation Z Customers of Indian Luxury Hotels. </w:t>
      </w:r>
      <w:r>
        <w:rPr>
          <w:rFonts w:ascii="Times New Roman" w:hAnsi="Times New Roman" w:eastAsia="Times New Roman" w:cs="Times New Roman"/>
          <w:i/>
          <w:iCs/>
          <w:kern w:val="0"/>
          <w:sz w:val="24"/>
          <w:lang w:eastAsia="en-GB"/>
        </w:rPr>
        <w:t>Sustainability</w:t>
      </w:r>
      <w:r>
        <w:rPr>
          <w:rFonts w:ascii="Times New Roman" w:hAnsi="Times New Roman" w:eastAsia="Times New Roman" w:cs="Times New Roman"/>
          <w:kern w:val="0"/>
          <w:sz w:val="24"/>
          <w:lang w:eastAsia="en-GB"/>
        </w:rPr>
        <w:t>, [online] 14(24), p.16813. doi:https://doi.org/10.3390/su142416813.</w:t>
      </w:r>
    </w:p>
    <w:p w14:paraId="175A2B1A">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Tokareva, E. (2023). </w:t>
      </w:r>
      <w:r>
        <w:rPr>
          <w:rFonts w:ascii="Times New Roman" w:hAnsi="Times New Roman" w:eastAsia="Times New Roman" w:cs="Times New Roman"/>
          <w:i/>
          <w:iCs/>
          <w:kern w:val="0"/>
          <w:sz w:val="24"/>
          <w:lang w:eastAsia="en-GB"/>
        </w:rPr>
        <w:t>How brand values and corporate social responsibility affect Generation Z customers’ choices in the apparel industry</w:t>
      </w:r>
      <w:r>
        <w:rPr>
          <w:rFonts w:ascii="Times New Roman" w:hAnsi="Times New Roman" w:eastAsia="Times New Roman" w:cs="Times New Roman"/>
          <w:kern w:val="0"/>
          <w:sz w:val="24"/>
          <w:lang w:eastAsia="en-GB"/>
        </w:rPr>
        <w:t>. [online] www.theseus.fi. Available at: https://www.theseus.fi/handle/10024/803912.</w:t>
      </w:r>
    </w:p>
    <w:p w14:paraId="79344927">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Topic, M. and Mitchell, B. (2019). GENERATION Z &amp; CONSUMER TRENDS IN ENVIRONMENTAL PACKAGING - Leeds Beckett Repository. </w:t>
      </w:r>
      <w:r>
        <w:rPr>
          <w:rFonts w:ascii="Times New Roman" w:hAnsi="Times New Roman" w:eastAsia="Times New Roman" w:cs="Times New Roman"/>
          <w:i/>
          <w:iCs/>
          <w:kern w:val="0"/>
          <w:sz w:val="24"/>
          <w:lang w:eastAsia="en-GB"/>
        </w:rPr>
        <w:t>Leedsbeckett.ac.uk</w:t>
      </w:r>
      <w:r>
        <w:rPr>
          <w:rFonts w:ascii="Times New Roman" w:hAnsi="Times New Roman" w:eastAsia="Times New Roman" w:cs="Times New Roman"/>
          <w:kern w:val="0"/>
          <w:sz w:val="24"/>
          <w:lang w:eastAsia="en-GB"/>
        </w:rPr>
        <w:t>. [online] doi:https://eprints.leedsbeckett.ac.uk/id/eprint/6066/1/GenerationZAndConsumerTrendsInEnvironmentalPackagingPV-TOPIC.pdf.</w:t>
      </w:r>
    </w:p>
    <w:p w14:paraId="65E74CA9">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Theocharis, D. and Tsekouropoulos, G. (2025). Sustainable Consumption and Branding for Gen Z: How Brand Dimensions Influence Consumer Behavior and Adoption of Newly Launched Technological Products. </w:t>
      </w:r>
      <w:r>
        <w:rPr>
          <w:rFonts w:ascii="Times New Roman" w:hAnsi="Times New Roman" w:eastAsia="Times New Roman" w:cs="Times New Roman"/>
          <w:i/>
          <w:iCs/>
          <w:kern w:val="0"/>
          <w:sz w:val="24"/>
          <w:lang w:eastAsia="en-GB"/>
        </w:rPr>
        <w:t>Sustainability</w:t>
      </w:r>
      <w:r>
        <w:rPr>
          <w:rFonts w:ascii="Times New Roman" w:hAnsi="Times New Roman" w:eastAsia="Times New Roman" w:cs="Times New Roman"/>
          <w:kern w:val="0"/>
          <w:sz w:val="24"/>
          <w:lang w:eastAsia="en-GB"/>
        </w:rPr>
        <w:t>, 17(9), p.4124. doi:https://doi.org/10.3390/su17094124.</w:t>
      </w:r>
    </w:p>
    <w:p w14:paraId="7574D405">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Tan, P.L., Rasoolimanesh, S.M. and Manickam, G. (2022). How corporate social responsibility affects brand equity and loyalty? A comparison between private and public universities. </w:t>
      </w:r>
      <w:r>
        <w:rPr>
          <w:rFonts w:ascii="Times New Roman" w:hAnsi="Times New Roman" w:eastAsia="Times New Roman" w:cs="Times New Roman"/>
          <w:i/>
          <w:iCs/>
          <w:kern w:val="0"/>
          <w:sz w:val="24"/>
          <w:lang w:eastAsia="en-GB"/>
        </w:rPr>
        <w:t>Heliyon</w:t>
      </w:r>
      <w:r>
        <w:rPr>
          <w:rFonts w:ascii="Times New Roman" w:hAnsi="Times New Roman" w:eastAsia="Times New Roman" w:cs="Times New Roman"/>
          <w:kern w:val="0"/>
          <w:sz w:val="24"/>
          <w:lang w:eastAsia="en-GB"/>
        </w:rPr>
        <w:t>, 8(4), pp.1–12. doi:https://doi.org/10.1016/j.heliyon.2022.e09266.</w:t>
      </w:r>
    </w:p>
    <w:p w14:paraId="1DF6C1D9">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Taylor, C. (2019). What Makes A CSR Message Resonate With Millennials And Generation-Z? </w:t>
      </w:r>
      <w:r>
        <w:rPr>
          <w:rFonts w:ascii="Times New Roman" w:hAnsi="Times New Roman" w:eastAsia="Times New Roman" w:cs="Times New Roman"/>
          <w:i/>
          <w:iCs/>
          <w:kern w:val="0"/>
          <w:sz w:val="24"/>
          <w:lang w:eastAsia="en-GB"/>
        </w:rPr>
        <w:t>Forbes</w:t>
      </w:r>
      <w:r>
        <w:rPr>
          <w:rFonts w:ascii="Times New Roman" w:hAnsi="Times New Roman" w:eastAsia="Times New Roman" w:cs="Times New Roman"/>
          <w:kern w:val="0"/>
          <w:sz w:val="24"/>
          <w:lang w:eastAsia="en-GB"/>
        </w:rPr>
        <w:t>. [online] 30 Apr. Available at: https://www.forbes.com/sites/charlesrtaylor/2019/04/30/what-makes-a-csr-message-resonate-with-millennials-and-generation-z</w:t>
      </w:r>
    </w:p>
    <w:p w14:paraId="1E776964">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Turner, F., Marar Yacobian, M., and Zaima, J. (2022). At the Intersection of Corporate Social Irresponsibility, Gender, and Race: Millennial and Gen Z Consumer Loyalty. </w:t>
      </w:r>
      <w:r>
        <w:rPr>
          <w:rFonts w:ascii="Times New Roman" w:hAnsi="Times New Roman" w:eastAsia="Times New Roman" w:cs="Times New Roman"/>
          <w:i/>
          <w:iCs/>
          <w:kern w:val="0"/>
          <w:sz w:val="24"/>
          <w:lang w:eastAsia="en-GB"/>
        </w:rPr>
        <w:t>Archives of Business Research</w:t>
      </w:r>
      <w:r>
        <w:rPr>
          <w:rFonts w:ascii="Times New Roman" w:hAnsi="Times New Roman" w:eastAsia="Times New Roman" w:cs="Times New Roman"/>
          <w:kern w:val="0"/>
          <w:sz w:val="24"/>
          <w:lang w:eastAsia="en-GB"/>
        </w:rPr>
        <w:t>, 10(2), pp.186–211. doi:https://doi.org/10.14738/abr.102.11757.</w:t>
      </w:r>
    </w:p>
    <w:p w14:paraId="6612E6B6">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Uche, S. (2018). Generation Z and Corporate Social Responsibility. </w:t>
      </w:r>
      <w:r>
        <w:rPr>
          <w:rFonts w:ascii="Times New Roman" w:hAnsi="Times New Roman" w:eastAsia="Times New Roman" w:cs="Times New Roman"/>
          <w:i/>
          <w:iCs/>
          <w:kern w:val="0"/>
          <w:sz w:val="24"/>
          <w:lang w:eastAsia="en-GB"/>
        </w:rPr>
        <w:t>Theses - ALL</w:t>
      </w:r>
      <w:r>
        <w:rPr>
          <w:rFonts w:ascii="Times New Roman" w:hAnsi="Times New Roman" w:eastAsia="Times New Roman" w:cs="Times New Roman"/>
          <w:kern w:val="0"/>
          <w:sz w:val="24"/>
          <w:lang w:eastAsia="en-GB"/>
        </w:rPr>
        <w:t>. [online] Available at: https://surface.syr.edu/thesis/226.</w:t>
      </w:r>
    </w:p>
    <w:p w14:paraId="7E29B598">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Valiño, P.C., Gutiérrez‐Rodríguez, P., García‐Henche, B. and Barriopedro, E.N. (2023). The impact of corporate social responsibility on consumer brand engagement and purchase intention at fashion retailers. </w:t>
      </w:r>
      <w:r>
        <w:rPr>
          <w:rFonts w:ascii="Times New Roman" w:hAnsi="Times New Roman" w:eastAsia="Times New Roman" w:cs="Times New Roman"/>
          <w:i/>
          <w:iCs/>
          <w:kern w:val="0"/>
          <w:sz w:val="24"/>
          <w:lang w:eastAsia="en-GB"/>
        </w:rPr>
        <w:t>Psychology &amp; Marketing</w:t>
      </w:r>
      <w:r>
        <w:rPr>
          <w:rFonts w:ascii="Times New Roman" w:hAnsi="Times New Roman" w:eastAsia="Times New Roman" w:cs="Times New Roman"/>
          <w:kern w:val="0"/>
          <w:sz w:val="24"/>
          <w:lang w:eastAsia="en-GB"/>
        </w:rPr>
        <w:t>, 41(3). doi:https://doi.org/10.1002/mar.21940.</w:t>
      </w:r>
    </w:p>
    <w:p w14:paraId="2128947D">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Vo, M. (2019). </w:t>
      </w:r>
      <w:r>
        <w:rPr>
          <w:rFonts w:ascii="Times New Roman" w:hAnsi="Times New Roman" w:eastAsia="Times New Roman" w:cs="Times New Roman"/>
          <w:i/>
          <w:iCs/>
          <w:kern w:val="0"/>
          <w:sz w:val="24"/>
          <w:lang w:eastAsia="en-GB"/>
        </w:rPr>
        <w:t>Engaging Generation Z through Corporate Social Responsibility</w:t>
      </w:r>
      <w:r>
        <w:rPr>
          <w:rFonts w:ascii="Times New Roman" w:hAnsi="Times New Roman" w:eastAsia="Times New Roman" w:cs="Times New Roman"/>
          <w:kern w:val="0"/>
          <w:sz w:val="24"/>
          <w:lang w:eastAsia="en-GB"/>
        </w:rPr>
        <w:t>. [online] www.theseus.fi. Available at: https://www.theseus.fi/handle/10024/260816.</w:t>
      </w:r>
    </w:p>
    <w:p w14:paraId="2CD53416">
      <w:pPr>
        <w:spacing w:after="240" w:line="360" w:lineRule="auto"/>
        <w:rPr>
          <w:rFonts w:ascii="Times New Roman" w:hAnsi="Times New Roman" w:eastAsia="Times New Roman" w:cs="Times New Roman"/>
          <w:kern w:val="0"/>
          <w:sz w:val="24"/>
          <w:lang w:eastAsia="en-GB"/>
        </w:rPr>
      </w:pPr>
      <w:r>
        <w:rPr>
          <w:rFonts w:ascii="Times New Roman" w:hAnsi="Times New Roman" w:eastAsia="Times New Roman" w:cs="Times New Roman"/>
          <w:kern w:val="0"/>
          <w:sz w:val="24"/>
          <w:lang w:eastAsia="en-GB"/>
        </w:rPr>
        <w:t xml:space="preserve">WONG, M.C. (2021). Does corporate social responsibility affect Generation Z purchase intention in the food industry? </w:t>
      </w:r>
      <w:r>
        <w:rPr>
          <w:rFonts w:ascii="Times New Roman" w:hAnsi="Times New Roman" w:eastAsia="Times New Roman" w:cs="Times New Roman"/>
          <w:i/>
          <w:iCs/>
          <w:kern w:val="0"/>
          <w:sz w:val="24"/>
          <w:lang w:eastAsia="en-GB"/>
        </w:rPr>
        <w:t>Asian Journal of Business Ethics</w:t>
      </w:r>
      <w:r>
        <w:rPr>
          <w:rFonts w:ascii="Times New Roman" w:hAnsi="Times New Roman" w:eastAsia="Times New Roman" w:cs="Times New Roman"/>
          <w:kern w:val="0"/>
          <w:sz w:val="24"/>
          <w:lang w:eastAsia="en-GB"/>
        </w:rPr>
        <w:t>, 10. doi:https://doi.org/10.1007/s13520-021-00136-9.</w:t>
      </w:r>
    </w:p>
    <w:p w14:paraId="0A3BFE12">
      <w:pPr>
        <w:widowControl/>
        <w:spacing w:after="160" w:line="360" w:lineRule="auto"/>
        <w:rPr>
          <w:rFonts w:ascii="Times New Roman" w:hAnsi="Times New Roman" w:eastAsia="Calibri" w:cs="Times New Roman"/>
          <w:color w:val="000000"/>
          <w:sz w:val="24"/>
          <w:lang w:eastAsia="en-US"/>
          <w14:ligatures w14:val="standardContextual"/>
        </w:rPr>
      </w:pPr>
    </w:p>
    <w:p w14:paraId="3A8EB65B">
      <w:pPr>
        <w:widowControl/>
        <w:spacing w:after="160" w:line="360" w:lineRule="auto"/>
        <w:rPr>
          <w:rFonts w:ascii="Times New Roman" w:hAnsi="Times New Roman" w:eastAsia="Calibri" w:cs="Times New Roman"/>
          <w:color w:val="000000"/>
          <w:sz w:val="24"/>
          <w:lang w:eastAsia="en-US"/>
          <w14:ligatures w14:val="standardContextual"/>
        </w:rPr>
      </w:pPr>
    </w:p>
    <w:p w14:paraId="0FF69548">
      <w:pPr>
        <w:widowControl/>
        <w:spacing w:after="160" w:line="360" w:lineRule="auto"/>
        <w:rPr>
          <w:rFonts w:ascii="Times New Roman" w:hAnsi="Times New Roman" w:eastAsia="Calibri" w:cs="Times New Roman"/>
          <w:color w:val="000000"/>
          <w:sz w:val="24"/>
          <w:lang w:eastAsia="en-US"/>
          <w14:ligatures w14:val="standardContextual"/>
        </w:rPr>
      </w:pPr>
    </w:p>
    <w:p w14:paraId="01C9A4EE">
      <w:pPr>
        <w:widowControl/>
        <w:spacing w:after="160" w:line="360" w:lineRule="auto"/>
        <w:rPr>
          <w:rFonts w:ascii="Times New Roman" w:hAnsi="Times New Roman" w:eastAsia="Calibri" w:cs="Times New Roman"/>
          <w:color w:val="000000"/>
          <w:sz w:val="24"/>
          <w:lang w:eastAsia="en-US"/>
          <w14:ligatures w14:val="standardContextual"/>
        </w:rPr>
      </w:pPr>
    </w:p>
    <w:p w14:paraId="2FC8F3A9">
      <w:pPr>
        <w:widowControl/>
        <w:spacing w:after="160" w:line="360" w:lineRule="auto"/>
        <w:rPr>
          <w:rFonts w:ascii="Times New Roman" w:hAnsi="Times New Roman" w:eastAsia="Calibri" w:cs="Times New Roman"/>
          <w:color w:val="000000"/>
          <w:sz w:val="24"/>
          <w:lang w:eastAsia="en-US"/>
          <w14:ligatures w14:val="standardContextual"/>
        </w:rPr>
      </w:pPr>
    </w:p>
    <w:p w14:paraId="4B3872E3">
      <w:pPr>
        <w:widowControl/>
        <w:spacing w:after="160" w:line="360" w:lineRule="auto"/>
        <w:rPr>
          <w:rFonts w:ascii="Times New Roman" w:hAnsi="Times New Roman" w:eastAsia="Calibri" w:cs="Times New Roman"/>
          <w:color w:val="000000"/>
          <w:sz w:val="24"/>
          <w:lang w:eastAsia="en-US"/>
          <w14:ligatures w14:val="standardContextual"/>
        </w:rPr>
      </w:pPr>
    </w:p>
    <w:p w14:paraId="4F9C4CCD">
      <w:pPr>
        <w:widowControl/>
        <w:spacing w:after="160" w:line="360" w:lineRule="auto"/>
        <w:rPr>
          <w:rFonts w:ascii="Times New Roman" w:hAnsi="Times New Roman" w:eastAsia="Calibri" w:cs="Times New Roman"/>
          <w:color w:val="000000"/>
          <w:sz w:val="24"/>
          <w:lang w:eastAsia="en-US"/>
          <w14:ligatures w14:val="standardContextual"/>
        </w:rPr>
      </w:pPr>
    </w:p>
    <w:p w14:paraId="3A3B2240">
      <w:pPr>
        <w:widowControl/>
        <w:spacing w:after="160" w:line="360" w:lineRule="auto"/>
        <w:rPr>
          <w:rFonts w:ascii="Times New Roman" w:hAnsi="Times New Roman" w:eastAsia="Calibri" w:cs="Times New Roman"/>
          <w:color w:val="000000"/>
          <w:sz w:val="24"/>
          <w:lang w:eastAsia="en-US"/>
          <w14:ligatures w14:val="standardContextual"/>
        </w:rPr>
      </w:pPr>
    </w:p>
    <w:p w14:paraId="099DB98F">
      <w:pPr>
        <w:widowControl/>
        <w:spacing w:after="160" w:line="360" w:lineRule="auto"/>
        <w:rPr>
          <w:rFonts w:ascii="Times New Roman" w:hAnsi="Times New Roman" w:cs="Times New Roman"/>
          <w:color w:val="000000"/>
          <w:sz w:val="24"/>
          <w14:ligatures w14:val="standardContextual"/>
        </w:rPr>
      </w:pPr>
    </w:p>
    <w:p w14:paraId="7DDE6A4C">
      <w:pPr>
        <w:widowControl/>
        <w:spacing w:after="160" w:line="360" w:lineRule="auto"/>
        <w:rPr>
          <w:rFonts w:ascii="Times New Roman" w:hAnsi="Times New Roman" w:cs="Times New Roman"/>
          <w:color w:val="000000"/>
          <w:sz w:val="24"/>
          <w14:ligatures w14:val="standardContextual"/>
        </w:rPr>
      </w:pPr>
    </w:p>
    <w:p w14:paraId="319157CF">
      <w:pPr>
        <w:widowControl/>
        <w:spacing w:after="160" w:line="360" w:lineRule="auto"/>
        <w:rPr>
          <w:rFonts w:ascii="Times New Roman" w:hAnsi="Times New Roman" w:cs="Times New Roman"/>
          <w:color w:val="000000"/>
          <w:sz w:val="24"/>
          <w14:ligatures w14:val="standardContextual"/>
        </w:rPr>
      </w:pPr>
    </w:p>
    <w:p w14:paraId="00D3EBE9">
      <w:pPr>
        <w:widowControl/>
        <w:spacing w:after="160" w:line="360" w:lineRule="auto"/>
        <w:rPr>
          <w:rFonts w:ascii="Times New Roman" w:hAnsi="Times New Roman" w:cs="Times New Roman"/>
          <w:color w:val="000000"/>
          <w:sz w:val="24"/>
          <w14:ligatures w14:val="standardContextual"/>
        </w:rPr>
      </w:pPr>
    </w:p>
    <w:p w14:paraId="65B05564">
      <w:pPr>
        <w:widowControl/>
        <w:spacing w:after="160" w:line="360" w:lineRule="auto"/>
        <w:rPr>
          <w:rFonts w:ascii="Times New Roman" w:hAnsi="Times New Roman" w:cs="Times New Roman"/>
          <w:color w:val="000000"/>
          <w:sz w:val="24"/>
          <w14:ligatures w14:val="standardContextual"/>
        </w:rPr>
      </w:pPr>
    </w:p>
    <w:p w14:paraId="740A85DC">
      <w:pPr>
        <w:widowControl/>
        <w:spacing w:after="160" w:line="360" w:lineRule="auto"/>
        <w:rPr>
          <w:rFonts w:hint="eastAsia" w:ascii="Times New Roman" w:hAnsi="Times New Roman" w:cs="Times New Roman"/>
          <w:color w:val="000000"/>
          <w:sz w:val="24"/>
          <w14:ligatures w14:val="standardContextual"/>
        </w:rPr>
      </w:pPr>
    </w:p>
    <w:p w14:paraId="02E4614B">
      <w:pPr>
        <w:keepNext/>
        <w:keepLines/>
        <w:spacing w:before="360" w:after="80" w:line="360" w:lineRule="auto"/>
        <w:outlineLvl w:val="0"/>
        <w:rPr>
          <w:rFonts w:ascii="Times New Roman" w:hAnsi="Times New Roman" w:eastAsia="等线 Light" w:cs="Times New Roman"/>
          <w:b/>
          <w:bCs/>
          <w:color w:val="000000"/>
          <w:sz w:val="40"/>
          <w:szCs w:val="40"/>
          <w14:ligatures w14:val="standardContextual"/>
        </w:rPr>
      </w:pPr>
      <w:bookmarkStart w:id="66" w:name="_Toc24462"/>
      <w:r>
        <w:rPr>
          <w:rFonts w:hint="eastAsia" w:ascii="Times New Roman" w:hAnsi="Times New Roman" w:eastAsia="等线 Light" w:cs="Times New Roman"/>
          <w:b/>
          <w:bCs/>
          <w:color w:val="000000"/>
          <w:sz w:val="40"/>
          <w:szCs w:val="40"/>
          <w14:ligatures w14:val="standardContextual"/>
        </w:rPr>
        <w:t>Questionnaire:</w:t>
      </w:r>
      <w:bookmarkEnd w:id="66"/>
    </w:p>
    <w:p w14:paraId="0E753285">
      <w:pPr>
        <w:pBdr>
          <w:bottom w:val="single" w:color="4F81BD" w:sz="8" w:space="19"/>
        </w:pBdr>
        <w:spacing w:after="300"/>
        <w:contextualSpacing/>
        <w:rPr>
          <w:rFonts w:ascii="Times New Roman" w:hAnsi="Times New Roman" w:eastAsia="宋体" w:cs="Times New Roman"/>
          <w:color w:val="000000"/>
          <w:spacing w:val="5"/>
          <w:kern w:val="28"/>
          <w:sz w:val="52"/>
          <w:szCs w:val="52"/>
          <w:lang w:eastAsia="en-US"/>
        </w:rPr>
      </w:pPr>
      <w:r>
        <w:rPr>
          <w:rFonts w:ascii="Times New Roman" w:hAnsi="Times New Roman" w:eastAsia="宋体" w:cs="Times New Roman"/>
          <w:color w:val="000000"/>
          <w:spacing w:val="5"/>
          <w:kern w:val="28"/>
          <w:sz w:val="52"/>
          <w:szCs w:val="52"/>
          <w:lang w:eastAsia="en-US"/>
        </w:rPr>
        <w:t>Survey on the Influence of CSR on Brand Loyalty Among Generation Z Consumers:</w:t>
      </w:r>
    </w:p>
    <w:p w14:paraId="411FDB9B">
      <w:pPr>
        <w:pBdr>
          <w:bottom w:val="single" w:color="4F81BD" w:sz="8" w:space="19"/>
        </w:pBdr>
        <w:spacing w:after="300"/>
        <w:contextualSpacing/>
        <w:rPr>
          <w:rFonts w:ascii="Times New Roman" w:hAnsi="Times New Roman" w:eastAsia="宋体" w:cs="Times New Roman"/>
          <w:color w:val="000000"/>
          <w:spacing w:val="5"/>
          <w:kern w:val="28"/>
          <w:sz w:val="24"/>
          <w:lang w:eastAsia="en-US"/>
        </w:rPr>
      </w:pPr>
      <w:r>
        <w:rPr>
          <w:rFonts w:ascii="Times New Roman" w:hAnsi="Times New Roman" w:eastAsia="宋体" w:cs="Times New Roman"/>
          <w:color w:val="000000"/>
          <w:spacing w:val="5"/>
          <w:kern w:val="28"/>
          <w:sz w:val="24"/>
          <w:lang w:eastAsia="en-US"/>
        </w:rPr>
        <w:t>Thank you for participating in this survey! We’re exploring how Corporate Social Responsibility (CSR)—such as eco-friendly packaging, fair trade sourcing, or supporting local communities—affects brand loyalty among Generation Z consumers in the UK. Your answers are anonymous and will be used only for academic purposes. It will take approximately 10 minutes to complete.</w:t>
      </w:r>
    </w:p>
    <w:p w14:paraId="7E389821">
      <w:pPr>
        <w:keepNext/>
        <w:keepLines/>
        <w:spacing w:before="480" w:line="276" w:lineRule="auto"/>
        <w:outlineLvl w:val="0"/>
        <w:rPr>
          <w:rFonts w:ascii="Times New Roman" w:hAnsi="Times New Roman" w:eastAsia="宋体" w:cs="Times New Roman"/>
          <w:b/>
          <w:bCs/>
          <w:color w:val="000000"/>
          <w:sz w:val="28"/>
          <w:szCs w:val="28"/>
          <w:lang w:eastAsia="en-US"/>
        </w:rPr>
      </w:pPr>
      <w:bookmarkStart w:id="67" w:name="_Toc18422"/>
      <w:r>
        <w:rPr>
          <w:rFonts w:ascii="Times New Roman" w:hAnsi="Times New Roman" w:eastAsia="宋体" w:cs="Times New Roman"/>
          <w:b/>
          <w:bCs/>
          <w:color w:val="000000"/>
          <w:sz w:val="28"/>
          <w:szCs w:val="28"/>
          <w:lang w:eastAsia="en-US"/>
        </w:rPr>
        <w:t>Section 1: Demographic Information</w:t>
      </w:r>
      <w:bookmarkEnd w:id="67"/>
    </w:p>
    <w:p w14:paraId="5C312D7C">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1. What is your age?</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Under 18</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18–22</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23–26</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27–30</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Over 30</w:t>
      </w:r>
    </w:p>
    <w:p w14:paraId="65AAE5DB">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2. What is your gender?</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Male</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Female</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Non-binary</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Prefer not to say</w:t>
      </w:r>
    </w:p>
    <w:p w14:paraId="6840ED67">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3. What is your current employment status?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Student</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Employed</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Unemployed</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Other (Please specify): ___________</w:t>
      </w:r>
    </w:p>
    <w:p w14:paraId="1DE0895F">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4. How frequently do you use social media?</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Daily</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A few times a week</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Once a week or less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Never</w:t>
      </w:r>
    </w:p>
    <w:p w14:paraId="4A02CC24">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5. Do you follow any brands on social media?</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Yes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No</w:t>
      </w:r>
    </w:p>
    <w:p w14:paraId="685E579E">
      <w:pPr>
        <w:keepNext/>
        <w:keepLines/>
        <w:spacing w:before="480" w:line="276" w:lineRule="auto"/>
        <w:outlineLvl w:val="0"/>
        <w:rPr>
          <w:rFonts w:ascii="Times New Roman" w:hAnsi="Times New Roman" w:eastAsia="宋体" w:cs="Times New Roman"/>
          <w:b/>
          <w:bCs/>
          <w:color w:val="000000"/>
          <w:sz w:val="28"/>
          <w:szCs w:val="28"/>
          <w:lang w:eastAsia="en-US"/>
        </w:rPr>
      </w:pPr>
      <w:bookmarkStart w:id="68" w:name="_Toc7497"/>
      <w:r>
        <w:rPr>
          <w:rFonts w:ascii="Times New Roman" w:hAnsi="Times New Roman" w:eastAsia="宋体" w:cs="Times New Roman"/>
          <w:b/>
          <w:bCs/>
          <w:color w:val="000000"/>
          <w:sz w:val="28"/>
          <w:szCs w:val="28"/>
          <w:lang w:eastAsia="en-US"/>
        </w:rPr>
        <w:t>Section 2: CSR Awareness and Perception</w:t>
      </w:r>
      <w:bookmarkEnd w:id="68"/>
    </w:p>
    <w:p w14:paraId="065440BD">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CSR (Corporate Social Responsibility) refers to the efforts made by companies to improve society and the environment, such as reducing carbon emissions, donating to social causes, or promoting inclusivity.</w:t>
      </w:r>
    </w:p>
    <w:p w14:paraId="69443B32">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Please indicate your agreement level with the following statements (1 = Strongly Disagree, 5 = Strongly Agree):</w:t>
      </w:r>
    </w:p>
    <w:p w14:paraId="799FD144">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Companies should take responsibility for their environmental impact.</w:t>
      </w:r>
    </w:p>
    <w:p w14:paraId="032C1152">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I prefer to purchase from brands that support social/environmental causes (e.g. recycling programs, charity donations).</w:t>
      </w:r>
    </w:p>
    <w:p w14:paraId="4CA134C1">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I follow socially responsible brands on social media.</w:t>
      </w:r>
    </w:p>
    <w:p w14:paraId="5F71B245">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CSR initiatives influence my decision to buy from a brand.</w:t>
      </w:r>
    </w:p>
    <w:p w14:paraId="27D0EFF6">
      <w:pPr>
        <w:widowControl/>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lang w:eastAsia="en-US"/>
        </w:rPr>
        <w:t>- I trust brands that commit to social/environmental responsibility.</w:t>
      </w:r>
    </w:p>
    <w:p w14:paraId="1592839E">
      <w:pPr>
        <w:widowControl/>
        <w:numPr>
          <w:ilvl w:val="0"/>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believe that companies should take responsibility for the impact they have on the environment.</w:t>
      </w:r>
    </w:p>
    <w:p w14:paraId="30CFF04F">
      <w:pPr>
        <w:widowControl/>
        <w:numPr>
          <w:ilvl w:val="1"/>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3442CB1C">
      <w:pPr>
        <w:widowControl/>
        <w:numPr>
          <w:ilvl w:val="0"/>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am more likely to purchase from a brand that actively supports social and environmental causes.</w:t>
      </w:r>
    </w:p>
    <w:p w14:paraId="0176C4CC">
      <w:pPr>
        <w:widowControl/>
        <w:numPr>
          <w:ilvl w:val="1"/>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44686E7F">
      <w:pPr>
        <w:widowControl/>
        <w:numPr>
          <w:ilvl w:val="0"/>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follow brands on social media that I perceive to be socially responsible.</w:t>
      </w:r>
    </w:p>
    <w:p w14:paraId="7563D44D">
      <w:pPr>
        <w:widowControl/>
        <w:numPr>
          <w:ilvl w:val="1"/>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11D4954C">
      <w:pPr>
        <w:widowControl/>
        <w:numPr>
          <w:ilvl w:val="0"/>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feel that CSR initiatives influence my decision to purchase from a brand.</w:t>
      </w:r>
    </w:p>
    <w:p w14:paraId="237039E3">
      <w:pPr>
        <w:widowControl/>
        <w:numPr>
          <w:ilvl w:val="1"/>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23697290">
      <w:pPr>
        <w:widowControl/>
        <w:numPr>
          <w:ilvl w:val="0"/>
          <w:numId w:val="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trust brands that demonstrate a commitment to social and environmental issues.</w:t>
      </w:r>
    </w:p>
    <w:p w14:paraId="1F5CC187">
      <w:pPr>
        <w:widowControl/>
        <w:numPr>
          <w:ilvl w:val="1"/>
          <w:numId w:val="6"/>
        </w:numPr>
        <w:tabs>
          <w:tab w:val="left" w:pos="720"/>
        </w:tabs>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 xml:space="preserve">1 | 2 | 3 | 4 | </w:t>
      </w:r>
      <w:r>
        <w:rPr>
          <w:rFonts w:hint="eastAsia" w:ascii="Times New Roman" w:hAnsi="Times New Roman" w:eastAsia="宋体" w:cs="Times New Roman"/>
          <w:color w:val="000000"/>
          <w:kern w:val="0"/>
          <w:sz w:val="22"/>
          <w:szCs w:val="22"/>
        </w:rPr>
        <w:t>5</w:t>
      </w:r>
    </w:p>
    <w:p w14:paraId="447908E5">
      <w:pPr>
        <w:widowControl/>
        <w:spacing w:after="200" w:line="276" w:lineRule="auto"/>
        <w:jc w:val="left"/>
        <w:rPr>
          <w:rFonts w:ascii="Times New Roman" w:hAnsi="Times New Roman" w:eastAsia="宋体" w:cs="Times New Roman"/>
          <w:color w:val="000000"/>
          <w:kern w:val="0"/>
          <w:sz w:val="22"/>
          <w:szCs w:val="22"/>
        </w:rPr>
      </w:pPr>
    </w:p>
    <w:p w14:paraId="72572383">
      <w:pPr>
        <w:keepNext/>
        <w:keepLines/>
        <w:spacing w:before="480" w:line="276" w:lineRule="auto"/>
        <w:outlineLvl w:val="0"/>
        <w:rPr>
          <w:rFonts w:ascii="Times New Roman" w:hAnsi="Times New Roman" w:eastAsia="宋体" w:cs="Times New Roman"/>
          <w:b/>
          <w:bCs/>
          <w:color w:val="000000"/>
          <w:sz w:val="28"/>
          <w:szCs w:val="28"/>
          <w:lang w:eastAsia="en-US"/>
        </w:rPr>
      </w:pPr>
      <w:bookmarkStart w:id="69" w:name="_Toc13278"/>
      <w:r>
        <w:rPr>
          <w:rFonts w:ascii="Times New Roman" w:hAnsi="Times New Roman" w:eastAsia="宋体" w:cs="Times New Roman"/>
          <w:b/>
          <w:bCs/>
          <w:color w:val="000000"/>
          <w:sz w:val="28"/>
          <w:szCs w:val="28"/>
          <w:lang w:eastAsia="en-US"/>
        </w:rPr>
        <w:t>Section 3: CSR and Brand Loyalty</w:t>
      </w:r>
      <w:bookmarkEnd w:id="69"/>
    </w:p>
    <w:p w14:paraId="13FA4F21">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Rate the following statements (1 = Strongly Disagree, 5 = Strongly Agree):</w:t>
      </w:r>
    </w:p>
    <w:p w14:paraId="04BA6641">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I recommend brands with strong social/environmental initiatives.</w:t>
      </w:r>
    </w:p>
    <w:p w14:paraId="7DF1871A">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I would pay more for brands committed to CSR.</w:t>
      </w:r>
    </w:p>
    <w:p w14:paraId="35D8F931">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I feel loyal to brands that share my values (e.g. sustainability, inclusivity).</w:t>
      </w:r>
    </w:p>
    <w:p w14:paraId="5FDC934F">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color w:val="000000"/>
          <w:kern w:val="0"/>
          <w:sz w:val="22"/>
          <w:szCs w:val="22"/>
          <w:lang w:eastAsia="en-US"/>
        </w:rPr>
        <w:t>- I would stop supporting brands with dishonest CSR efforts.</w:t>
      </w:r>
    </w:p>
    <w:p w14:paraId="2C0C149E">
      <w:pPr>
        <w:widowControl/>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lang w:eastAsia="en-US"/>
        </w:rPr>
        <w:t>- CSR can improve a brand’s reputation.</w:t>
      </w:r>
    </w:p>
    <w:p w14:paraId="667FBFD9">
      <w:pPr>
        <w:widowControl/>
        <w:numPr>
          <w:ilvl w:val="0"/>
          <w:numId w:val="7"/>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am more likely to recommend a brand that has a positive social and environmental impact.</w:t>
      </w:r>
    </w:p>
    <w:p w14:paraId="4DEFC87D">
      <w:pPr>
        <w:widowControl/>
        <w:numPr>
          <w:ilvl w:val="0"/>
          <w:numId w:val="8"/>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02EB4964">
      <w:pPr>
        <w:widowControl/>
        <w:numPr>
          <w:ilvl w:val="0"/>
          <w:numId w:val="9"/>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would continue to purchase from a brand if I learned that they were committed to CSR, even if their prices were higher than their competitors.</w:t>
      </w:r>
    </w:p>
    <w:p w14:paraId="176B3CF9">
      <w:pPr>
        <w:widowControl/>
        <w:numPr>
          <w:ilvl w:val="0"/>
          <w:numId w:val="10"/>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080EE66B">
      <w:pPr>
        <w:widowControl/>
        <w:numPr>
          <w:ilvl w:val="0"/>
          <w:numId w:val="11"/>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feel more loyal to brands that align with my personal values on sustainability and social responsibility.</w:t>
      </w:r>
    </w:p>
    <w:p w14:paraId="3EAA45B4">
      <w:pPr>
        <w:widowControl/>
        <w:numPr>
          <w:ilvl w:val="0"/>
          <w:numId w:val="12"/>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2540D206">
      <w:pPr>
        <w:widowControl/>
        <w:numPr>
          <w:ilvl w:val="0"/>
          <w:numId w:val="13"/>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would stop purchasing from a brand if I found out their CSR efforts were insincere or misleading.</w:t>
      </w:r>
    </w:p>
    <w:p w14:paraId="42C5FC88">
      <w:pPr>
        <w:widowControl/>
        <w:numPr>
          <w:ilvl w:val="0"/>
          <w:numId w:val="14"/>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4075CAC4">
      <w:pPr>
        <w:widowControl/>
        <w:numPr>
          <w:ilvl w:val="0"/>
          <w:numId w:val="15"/>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b/>
          <w:bCs/>
          <w:color w:val="000000"/>
          <w:kern w:val="0"/>
          <w:sz w:val="22"/>
          <w:szCs w:val="22"/>
        </w:rPr>
        <w:t>I believe that CSR initiatives can positively influence a brand’s reputation.</w:t>
      </w:r>
    </w:p>
    <w:p w14:paraId="01F0A77C">
      <w:pPr>
        <w:widowControl/>
        <w:numPr>
          <w:ilvl w:val="0"/>
          <w:numId w:val="16"/>
        </w:numPr>
        <w:spacing w:after="200" w:line="276" w:lineRule="auto"/>
        <w:jc w:val="left"/>
        <w:rPr>
          <w:rFonts w:ascii="Times New Roman" w:hAnsi="Times New Roman" w:eastAsia="宋体" w:cs="Times New Roman"/>
          <w:color w:val="000000"/>
          <w:kern w:val="0"/>
          <w:sz w:val="22"/>
          <w:szCs w:val="22"/>
        </w:rPr>
      </w:pPr>
      <w:r>
        <w:rPr>
          <w:rFonts w:ascii="Times New Roman" w:hAnsi="Times New Roman" w:eastAsia="宋体" w:cs="Times New Roman"/>
          <w:color w:val="000000"/>
          <w:kern w:val="0"/>
          <w:sz w:val="22"/>
          <w:szCs w:val="22"/>
        </w:rPr>
        <w:t>1 | 2 | 3 | 4 | 5</w:t>
      </w:r>
    </w:p>
    <w:p w14:paraId="0855F134">
      <w:pPr>
        <w:widowControl/>
        <w:spacing w:after="200" w:line="276" w:lineRule="auto"/>
        <w:jc w:val="left"/>
        <w:rPr>
          <w:rFonts w:ascii="Times New Roman" w:hAnsi="Times New Roman" w:eastAsia="宋体" w:cs="Times New Roman"/>
          <w:color w:val="000000"/>
          <w:kern w:val="0"/>
          <w:sz w:val="22"/>
          <w:szCs w:val="22"/>
        </w:rPr>
      </w:pPr>
    </w:p>
    <w:p w14:paraId="6413115C">
      <w:pPr>
        <w:keepNext/>
        <w:keepLines/>
        <w:spacing w:before="480" w:line="276" w:lineRule="auto"/>
        <w:outlineLvl w:val="0"/>
        <w:rPr>
          <w:rFonts w:ascii="Times New Roman" w:hAnsi="Times New Roman" w:eastAsia="宋体" w:cs="Times New Roman"/>
          <w:b/>
          <w:bCs/>
          <w:color w:val="000000"/>
          <w:sz w:val="28"/>
          <w:szCs w:val="28"/>
          <w:lang w:eastAsia="en-US"/>
        </w:rPr>
      </w:pPr>
      <w:bookmarkStart w:id="70" w:name="_Toc9698"/>
      <w:r>
        <w:rPr>
          <w:rFonts w:ascii="Times New Roman" w:hAnsi="Times New Roman" w:eastAsia="宋体" w:cs="Times New Roman"/>
          <w:b/>
          <w:bCs/>
          <w:color w:val="000000"/>
          <w:sz w:val="28"/>
          <w:szCs w:val="28"/>
          <w:lang w:eastAsia="en-US"/>
        </w:rPr>
        <w:t>Section 4: CSR Communication</w:t>
      </w:r>
      <w:bookmarkEnd w:id="70"/>
    </w:p>
    <w:p w14:paraId="4A8DF378">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b/>
          <w:bCs/>
          <w:color w:val="000000"/>
          <w:kern w:val="0"/>
          <w:sz w:val="22"/>
          <w:szCs w:val="22"/>
        </w:rPr>
        <w:t>1</w:t>
      </w:r>
      <w:r>
        <w:rPr>
          <w:rFonts w:hint="eastAsia" w:ascii="Times New Roman" w:hAnsi="Times New Roman" w:eastAsia="宋体" w:cs="Times New Roman"/>
          <w:b/>
          <w:bCs/>
          <w:color w:val="000000"/>
          <w:kern w:val="0"/>
          <w:sz w:val="22"/>
          <w:szCs w:val="22"/>
        </w:rPr>
        <w:t>6</w:t>
      </w:r>
      <w:r>
        <w:rPr>
          <w:rFonts w:ascii="Times New Roman" w:hAnsi="Times New Roman" w:eastAsia="宋体" w:cs="Times New Roman"/>
          <w:b/>
          <w:bCs/>
          <w:color w:val="000000"/>
          <w:kern w:val="0"/>
          <w:sz w:val="22"/>
          <w:szCs w:val="22"/>
        </w:rPr>
        <w:t>. How do you prefer to learn about a brand’s CSR initiatives? (Select all that apply)</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Social media posts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Company website</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News articles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Product packaging</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Advertisements (TV, online, etc.)</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Word of mouth</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Other (Please specify): ___________</w:t>
      </w:r>
    </w:p>
    <w:p w14:paraId="42C21337">
      <w:pPr>
        <w:widowControl/>
        <w:spacing w:after="200" w:line="276" w:lineRule="auto"/>
        <w:jc w:val="left"/>
        <w:rPr>
          <w:rFonts w:ascii="Times New Roman" w:hAnsi="Times New Roman" w:eastAsia="宋体" w:cs="Times New Roman"/>
          <w:color w:val="000000"/>
          <w:kern w:val="0"/>
          <w:sz w:val="22"/>
          <w:szCs w:val="22"/>
          <w:lang w:eastAsia="en-US"/>
        </w:rPr>
      </w:pPr>
      <w:r>
        <w:rPr>
          <w:rFonts w:hint="eastAsia" w:ascii="Times New Roman" w:hAnsi="Times New Roman" w:eastAsia="宋体" w:cs="Times New Roman"/>
          <w:b/>
          <w:bCs/>
          <w:color w:val="000000"/>
          <w:kern w:val="0"/>
          <w:sz w:val="22"/>
          <w:szCs w:val="22"/>
        </w:rPr>
        <w:t>17</w:t>
      </w:r>
      <w:r>
        <w:rPr>
          <w:rFonts w:ascii="Times New Roman" w:hAnsi="Times New Roman" w:eastAsia="宋体" w:cs="Times New Roman"/>
          <w:b/>
          <w:bCs/>
          <w:color w:val="000000"/>
          <w:kern w:val="0"/>
          <w:sz w:val="22"/>
          <w:szCs w:val="22"/>
        </w:rPr>
        <w:t>. How transparent do you think brands are about their CSR efforts?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Very transparent</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Somewhat transparent</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Neutral</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Not very transparent</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Not transparent at all</w:t>
      </w:r>
    </w:p>
    <w:p w14:paraId="2A680FE8">
      <w:pPr>
        <w:widowControl/>
        <w:spacing w:after="200" w:line="276" w:lineRule="auto"/>
        <w:jc w:val="left"/>
        <w:rPr>
          <w:rFonts w:ascii="Times New Roman" w:hAnsi="Times New Roman" w:eastAsia="宋体" w:cs="Times New Roman"/>
          <w:color w:val="000000"/>
          <w:kern w:val="0"/>
          <w:sz w:val="22"/>
          <w:szCs w:val="22"/>
          <w:lang w:eastAsia="en-US"/>
        </w:rPr>
      </w:pPr>
      <w:r>
        <w:rPr>
          <w:rFonts w:hint="eastAsia" w:ascii="Times New Roman" w:hAnsi="Times New Roman" w:eastAsia="宋体" w:cs="Times New Roman"/>
          <w:b/>
          <w:bCs/>
          <w:color w:val="000000"/>
          <w:kern w:val="0"/>
          <w:sz w:val="22"/>
          <w:szCs w:val="22"/>
        </w:rPr>
        <w:t>18</w:t>
      </w:r>
      <w:r>
        <w:rPr>
          <w:rFonts w:ascii="Times New Roman" w:hAnsi="Times New Roman" w:eastAsia="宋体" w:cs="Times New Roman"/>
          <w:b/>
          <w:bCs/>
          <w:color w:val="000000"/>
          <w:kern w:val="0"/>
          <w:sz w:val="22"/>
          <w:szCs w:val="22"/>
        </w:rPr>
        <w:t>. How often do you research a brand’s CSR efforts before purchasing?</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Always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Frequently</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Sometimes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Never</w:t>
      </w:r>
    </w:p>
    <w:p w14:paraId="7536F279">
      <w:pPr>
        <w:widowControl/>
        <w:spacing w:after="200" w:line="276" w:lineRule="auto"/>
        <w:jc w:val="left"/>
        <w:rPr>
          <w:rFonts w:ascii="Times New Roman" w:hAnsi="Times New Roman" w:eastAsia="宋体" w:cs="Times New Roman"/>
          <w:color w:val="000000"/>
          <w:kern w:val="0"/>
          <w:sz w:val="22"/>
          <w:szCs w:val="22"/>
          <w:lang w:eastAsia="en-US"/>
        </w:rPr>
      </w:pPr>
      <w:r>
        <w:rPr>
          <w:rFonts w:hint="eastAsia" w:ascii="Times New Roman" w:hAnsi="Times New Roman" w:eastAsia="宋体" w:cs="Times New Roman"/>
          <w:b/>
          <w:bCs/>
          <w:color w:val="000000"/>
          <w:kern w:val="0"/>
          <w:sz w:val="22"/>
          <w:szCs w:val="22"/>
        </w:rPr>
        <w:t>19</w:t>
      </w:r>
      <w:r>
        <w:rPr>
          <w:rFonts w:ascii="Times New Roman" w:hAnsi="Times New Roman" w:eastAsia="宋体" w:cs="Times New Roman"/>
          <w:b/>
          <w:bCs/>
          <w:color w:val="000000"/>
          <w:kern w:val="0"/>
          <w:sz w:val="22"/>
          <w:szCs w:val="22"/>
        </w:rPr>
        <w:t>. Do you feel that CSR efforts are genuine or marketing-driven?</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Genuinely impactful</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Mostly marketing tactics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A mix of both</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Not sure</w:t>
      </w:r>
    </w:p>
    <w:p w14:paraId="5800F8D4">
      <w:pPr>
        <w:keepNext/>
        <w:keepLines/>
        <w:spacing w:before="480" w:line="276" w:lineRule="auto"/>
        <w:outlineLvl w:val="0"/>
        <w:rPr>
          <w:rFonts w:ascii="Times New Roman" w:hAnsi="Times New Roman" w:eastAsia="宋体" w:cs="Times New Roman"/>
          <w:b/>
          <w:bCs/>
          <w:color w:val="000000"/>
          <w:sz w:val="28"/>
          <w:szCs w:val="28"/>
          <w:lang w:eastAsia="en-US"/>
        </w:rPr>
      </w:pPr>
      <w:bookmarkStart w:id="71" w:name="_Toc577"/>
      <w:r>
        <w:rPr>
          <w:rFonts w:ascii="Times New Roman" w:hAnsi="Times New Roman" w:eastAsia="宋体" w:cs="Times New Roman"/>
          <w:b/>
          <w:bCs/>
          <w:color w:val="000000"/>
          <w:sz w:val="28"/>
          <w:szCs w:val="28"/>
          <w:lang w:eastAsia="en-US"/>
        </w:rPr>
        <w:t>Section 5: Final Thoughts</w:t>
      </w:r>
      <w:bookmarkEnd w:id="71"/>
    </w:p>
    <w:p w14:paraId="3856B402">
      <w:pPr>
        <w:widowControl/>
        <w:spacing w:after="200" w:line="276" w:lineRule="auto"/>
        <w:jc w:val="left"/>
        <w:rPr>
          <w:rFonts w:ascii="Times New Roman" w:hAnsi="Times New Roman" w:eastAsia="宋体" w:cs="Times New Roman"/>
          <w:color w:val="000000"/>
          <w:kern w:val="0"/>
          <w:sz w:val="22"/>
          <w:szCs w:val="22"/>
          <w:lang w:eastAsia="en-US"/>
        </w:rPr>
      </w:pPr>
      <w:r>
        <w:rPr>
          <w:rFonts w:hint="eastAsia" w:ascii="Times New Roman" w:hAnsi="Times New Roman" w:eastAsia="宋体" w:cs="Times New Roman"/>
          <w:b/>
          <w:bCs/>
          <w:color w:val="000000"/>
          <w:kern w:val="0"/>
          <w:sz w:val="22"/>
          <w:szCs w:val="22"/>
        </w:rPr>
        <w:t>20</w:t>
      </w:r>
      <w:r>
        <w:rPr>
          <w:rFonts w:ascii="Times New Roman" w:hAnsi="Times New Roman" w:eastAsia="宋体" w:cs="Times New Roman"/>
          <w:b/>
          <w:bCs/>
          <w:color w:val="000000"/>
          <w:kern w:val="0"/>
          <w:sz w:val="22"/>
          <w:szCs w:val="22"/>
        </w:rPr>
        <w:t>. What factors influence your brand loyalty the most? (Select up to 3)</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Product quality</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Price</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CSR initiatives</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Customer service</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Social media presence</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Brand reputation</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Environmental sustainability</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Inclusivity</w:t>
      </w:r>
      <w:r>
        <w:rPr>
          <w:rFonts w:ascii="Times New Roman" w:hAnsi="Times New Roman" w:eastAsia="宋体" w:cs="Times New Roman"/>
          <w:color w:val="000000"/>
          <w:kern w:val="0"/>
          <w:sz w:val="22"/>
          <w:szCs w:val="22"/>
          <w:lang w:eastAsia="en-US"/>
        </w:rPr>
        <w:br w:type="textWrapping"/>
      </w:r>
      <w:r>
        <w:rPr>
          <w:rFonts w:ascii="Segoe UI Symbol" w:hAnsi="Segoe UI Symbol" w:eastAsia="宋体" w:cs="Segoe UI Symbol"/>
          <w:color w:val="000000"/>
          <w:kern w:val="0"/>
          <w:sz w:val="22"/>
          <w:szCs w:val="22"/>
          <w:lang w:eastAsia="en-US"/>
        </w:rPr>
        <w:t>☐</w:t>
      </w:r>
      <w:r>
        <w:rPr>
          <w:rFonts w:ascii="Times New Roman" w:hAnsi="Times New Roman" w:eastAsia="宋体" w:cs="Times New Roman"/>
          <w:color w:val="000000"/>
          <w:kern w:val="0"/>
          <w:sz w:val="22"/>
          <w:szCs w:val="22"/>
          <w:lang w:eastAsia="en-US"/>
        </w:rPr>
        <w:t xml:space="preserve"> Other (Please specify): ___________</w:t>
      </w:r>
    </w:p>
    <w:p w14:paraId="71448624">
      <w:pPr>
        <w:widowControl/>
        <w:spacing w:after="200" w:line="276" w:lineRule="auto"/>
        <w:jc w:val="left"/>
        <w:rPr>
          <w:rFonts w:ascii="Times New Roman" w:hAnsi="Times New Roman" w:eastAsia="宋体" w:cs="Times New Roman"/>
          <w:color w:val="000000"/>
          <w:kern w:val="0"/>
          <w:sz w:val="22"/>
          <w:szCs w:val="22"/>
          <w:lang w:eastAsia="en-US"/>
        </w:rPr>
      </w:pPr>
      <w:r>
        <w:rPr>
          <w:rFonts w:ascii="Times New Roman" w:hAnsi="Times New Roman" w:eastAsia="宋体" w:cs="Times New Roman"/>
          <w:b/>
          <w:bCs/>
          <w:color w:val="000000"/>
          <w:kern w:val="0"/>
          <w:sz w:val="22"/>
          <w:szCs w:val="22"/>
        </w:rPr>
        <w:t>2</w:t>
      </w:r>
      <w:r>
        <w:rPr>
          <w:rFonts w:hint="eastAsia" w:ascii="Times New Roman" w:hAnsi="Times New Roman" w:eastAsia="宋体" w:cs="Times New Roman"/>
          <w:b/>
          <w:bCs/>
          <w:color w:val="000000"/>
          <w:kern w:val="0"/>
          <w:sz w:val="22"/>
          <w:szCs w:val="22"/>
        </w:rPr>
        <w:t>1</w:t>
      </w:r>
      <w:r>
        <w:rPr>
          <w:rFonts w:ascii="Times New Roman" w:hAnsi="Times New Roman" w:eastAsia="宋体" w:cs="Times New Roman"/>
          <w:b/>
          <w:bCs/>
          <w:color w:val="000000"/>
          <w:kern w:val="0"/>
          <w:sz w:val="22"/>
          <w:szCs w:val="22"/>
        </w:rPr>
        <w:t>. Any additional comments on how CSR affects your purchasing or brand loyalty?</w:t>
      </w:r>
      <w:r>
        <w:rPr>
          <w:rFonts w:ascii="Times New Roman" w:hAnsi="Times New Roman" w:eastAsia="宋体" w:cs="Times New Roman"/>
          <w:color w:val="000000"/>
          <w:kern w:val="0"/>
          <w:sz w:val="22"/>
          <w:szCs w:val="22"/>
          <w:lang w:eastAsia="en-US"/>
        </w:rPr>
        <w:br w:type="textWrapping"/>
      </w:r>
      <w:r>
        <w:rPr>
          <w:rFonts w:ascii="Times New Roman" w:hAnsi="Times New Roman" w:eastAsia="宋体" w:cs="Times New Roman"/>
          <w:color w:val="000000"/>
          <w:kern w:val="0"/>
          <w:sz w:val="22"/>
          <w:szCs w:val="22"/>
          <w:lang w:eastAsia="en-US"/>
        </w:rPr>
        <w:t>[Open-ended response box]</w:t>
      </w:r>
    </w:p>
    <w:p w14:paraId="19583CC8">
      <w:pPr>
        <w:widowControl/>
        <w:spacing w:after="200" w:line="276" w:lineRule="auto"/>
        <w:jc w:val="left"/>
        <w:rPr>
          <w:rFonts w:ascii="Times New Roman" w:hAnsi="Times New Roman" w:eastAsia="宋体" w:cs="Times New Roman"/>
          <w:color w:val="000000"/>
          <w:kern w:val="0"/>
          <w:sz w:val="22"/>
          <w:szCs w:val="22"/>
          <w:lang w:eastAsia="en-US"/>
        </w:rPr>
      </w:pPr>
    </w:p>
    <w:p w14:paraId="4AE9F1FC">
      <w:pPr>
        <w:widowControl/>
        <w:spacing w:after="200" w:line="276" w:lineRule="auto"/>
        <w:jc w:val="left"/>
        <w:rPr>
          <w:rFonts w:ascii="Times New Roman" w:hAnsi="Times New Roman" w:eastAsia="宋体" w:cs="Times New Roman"/>
          <w:color w:val="000000"/>
          <w:kern w:val="0"/>
          <w:sz w:val="22"/>
          <w:szCs w:val="22"/>
          <w:lang w:eastAsia="en-US"/>
        </w:rPr>
      </w:pPr>
    </w:p>
    <w:p w14:paraId="04F1D459">
      <w:pPr>
        <w:widowControl/>
        <w:spacing w:after="200" w:line="276" w:lineRule="auto"/>
        <w:jc w:val="left"/>
        <w:rPr>
          <w:rFonts w:ascii="Times New Roman" w:hAnsi="Times New Roman" w:eastAsia="宋体" w:cs="Times New Roman"/>
          <w:color w:val="000000"/>
          <w:kern w:val="0"/>
          <w:sz w:val="22"/>
          <w:szCs w:val="22"/>
          <w:lang w:eastAsia="en-US"/>
        </w:rPr>
      </w:pPr>
    </w:p>
    <w:p w14:paraId="1FCD7930">
      <w:pPr>
        <w:widowControl/>
        <w:spacing w:after="200" w:line="276" w:lineRule="auto"/>
        <w:jc w:val="left"/>
        <w:rPr>
          <w:rFonts w:ascii="Times New Roman" w:hAnsi="Times New Roman" w:eastAsia="宋体" w:cs="Times New Roman"/>
          <w:color w:val="000000"/>
          <w:kern w:val="0"/>
          <w:sz w:val="22"/>
          <w:szCs w:val="22"/>
          <w:lang w:eastAsia="en-US"/>
        </w:rPr>
      </w:pPr>
    </w:p>
    <w:p w14:paraId="7BC63E95">
      <w:pPr>
        <w:widowControl/>
        <w:spacing w:after="200" w:line="276" w:lineRule="auto"/>
        <w:jc w:val="left"/>
        <w:rPr>
          <w:rFonts w:ascii="Times New Roman" w:hAnsi="Times New Roman" w:eastAsia="宋体" w:cs="Times New Roman"/>
          <w:color w:val="000000"/>
          <w:kern w:val="0"/>
          <w:sz w:val="22"/>
          <w:szCs w:val="22"/>
          <w:lang w:eastAsia="en-US"/>
        </w:rPr>
      </w:pPr>
    </w:p>
    <w:p w14:paraId="58A83327">
      <w:pPr>
        <w:widowControl/>
        <w:spacing w:after="200" w:line="276" w:lineRule="auto"/>
        <w:jc w:val="left"/>
        <w:rPr>
          <w:rFonts w:ascii="Times New Roman" w:hAnsi="Times New Roman" w:eastAsia="宋体" w:cs="Times New Roman"/>
          <w:color w:val="000000"/>
          <w:kern w:val="0"/>
          <w:sz w:val="22"/>
          <w:szCs w:val="22"/>
          <w:lang w:eastAsia="en-US"/>
        </w:rPr>
      </w:pPr>
    </w:p>
    <w:p w14:paraId="1B2C5859">
      <w:pPr>
        <w:widowControl/>
        <w:spacing w:after="200" w:line="276" w:lineRule="auto"/>
        <w:jc w:val="left"/>
        <w:rPr>
          <w:rFonts w:ascii="Times New Roman" w:hAnsi="Times New Roman" w:eastAsia="宋体" w:cs="Times New Roman"/>
          <w:color w:val="000000"/>
          <w:kern w:val="0"/>
          <w:sz w:val="22"/>
          <w:szCs w:val="22"/>
          <w:lang w:eastAsia="en-US"/>
        </w:rPr>
      </w:pPr>
    </w:p>
    <w:p w14:paraId="4A0DC16D">
      <w:pPr>
        <w:widowControl/>
        <w:spacing w:after="200" w:line="276" w:lineRule="auto"/>
        <w:jc w:val="left"/>
        <w:rPr>
          <w:rFonts w:ascii="Times New Roman" w:hAnsi="Times New Roman" w:eastAsia="宋体" w:cs="Times New Roman"/>
          <w:color w:val="000000"/>
          <w:kern w:val="0"/>
          <w:sz w:val="22"/>
          <w:szCs w:val="22"/>
          <w:lang w:eastAsia="en-US"/>
        </w:rPr>
      </w:pPr>
    </w:p>
    <w:p w14:paraId="51F5A787">
      <w:pPr>
        <w:widowControl/>
        <w:spacing w:after="200" w:line="276" w:lineRule="auto"/>
        <w:jc w:val="left"/>
        <w:rPr>
          <w:rFonts w:ascii="Times New Roman" w:hAnsi="Times New Roman" w:eastAsia="宋体" w:cs="Times New Roman"/>
          <w:color w:val="000000"/>
          <w:kern w:val="0"/>
          <w:sz w:val="22"/>
          <w:szCs w:val="22"/>
          <w:lang w:eastAsia="en-US"/>
        </w:rPr>
      </w:pPr>
    </w:p>
    <w:p w14:paraId="3990F7A5">
      <w:pPr>
        <w:widowControl/>
        <w:spacing w:after="200" w:line="276" w:lineRule="auto"/>
        <w:jc w:val="left"/>
        <w:rPr>
          <w:rFonts w:ascii="Times New Roman" w:hAnsi="Times New Roman" w:eastAsia="宋体" w:cs="Times New Roman"/>
          <w:color w:val="000000"/>
          <w:kern w:val="0"/>
          <w:sz w:val="22"/>
          <w:szCs w:val="22"/>
          <w:lang w:eastAsia="en-US"/>
        </w:rPr>
      </w:pPr>
    </w:p>
    <w:p w14:paraId="6CB2D17F">
      <w:pPr>
        <w:widowControl/>
        <w:spacing w:after="200" w:line="276" w:lineRule="auto"/>
        <w:jc w:val="left"/>
        <w:rPr>
          <w:rFonts w:ascii="Times New Roman" w:hAnsi="Times New Roman" w:eastAsia="宋体" w:cs="Times New Roman"/>
          <w:color w:val="000000"/>
          <w:kern w:val="0"/>
          <w:sz w:val="22"/>
          <w:szCs w:val="22"/>
          <w:lang w:eastAsia="en-US"/>
        </w:rPr>
      </w:pPr>
    </w:p>
    <w:p w14:paraId="66B2B59F">
      <w:pPr>
        <w:widowControl/>
        <w:spacing w:after="200" w:line="276" w:lineRule="auto"/>
        <w:jc w:val="left"/>
        <w:rPr>
          <w:rFonts w:ascii="Times New Roman" w:hAnsi="Times New Roman" w:eastAsia="宋体" w:cs="Times New Roman"/>
          <w:color w:val="000000"/>
          <w:kern w:val="0"/>
          <w:sz w:val="22"/>
          <w:szCs w:val="22"/>
          <w:lang w:eastAsia="en-US"/>
        </w:rPr>
      </w:pPr>
    </w:p>
    <w:p w14:paraId="13F94B41">
      <w:pPr>
        <w:widowControl/>
        <w:spacing w:after="200" w:line="276" w:lineRule="auto"/>
        <w:jc w:val="left"/>
        <w:rPr>
          <w:rFonts w:ascii="Times New Roman" w:hAnsi="Times New Roman" w:eastAsia="宋体" w:cs="Times New Roman"/>
          <w:color w:val="000000"/>
          <w:kern w:val="0"/>
          <w:sz w:val="22"/>
          <w:szCs w:val="22"/>
          <w:lang w:eastAsia="en-US"/>
        </w:rPr>
      </w:pPr>
    </w:p>
    <w:p w14:paraId="6230480C">
      <w:pPr>
        <w:keepNext/>
        <w:keepLines/>
        <w:spacing w:before="360" w:after="80" w:line="360" w:lineRule="auto"/>
        <w:outlineLvl w:val="0"/>
        <w:rPr>
          <w:rFonts w:hint="default" w:ascii="Times New Roman" w:hAnsi="Times New Roman" w:eastAsia="等线 Light" w:cs="Times New Roman"/>
          <w:b/>
          <w:bCs/>
          <w:color w:val="000000"/>
          <w:sz w:val="40"/>
          <w:szCs w:val="40"/>
          <w:lang w:val="en-US" w:eastAsia="zh-CN"/>
          <w14:ligatures w14:val="standardContextual"/>
        </w:rPr>
      </w:pPr>
      <w:bookmarkStart w:id="72" w:name="_Toc6862"/>
      <w:r>
        <w:rPr>
          <w:rFonts w:hint="eastAsia" w:ascii="Times New Roman" w:hAnsi="Times New Roman" w:eastAsia="等线 Light" w:cs="Times New Roman"/>
          <w:b/>
          <w:bCs/>
          <w:color w:val="000000"/>
          <w:sz w:val="40"/>
          <w:szCs w:val="40"/>
          <w:lang w:val="en-US" w:eastAsia="zh-CN"/>
          <w14:ligatures w14:val="standardContextual"/>
        </w:rPr>
        <w:t>Ethics Form</w:t>
      </w:r>
      <w:bookmarkEnd w:id="72"/>
    </w:p>
    <w:p w14:paraId="41F852B9">
      <w:pPr>
        <w:widowControl/>
        <w:tabs>
          <w:tab w:val="left" w:pos="5103"/>
        </w:tabs>
        <w:jc w:val="center"/>
        <w:rPr>
          <w:rFonts w:ascii="Arial" w:hAnsi="Arial" w:eastAsia="Times New Roman" w:cs="Arial"/>
          <w:b/>
          <w:bCs/>
          <w:kern w:val="0"/>
          <w:sz w:val="24"/>
          <w:szCs w:val="24"/>
          <w:lang w:val="en-GB" w:eastAsia="en-US"/>
        </w:rPr>
      </w:pPr>
    </w:p>
    <w:p w14:paraId="7148D9E2">
      <w:pPr>
        <w:widowControl/>
        <w:tabs>
          <w:tab w:val="left" w:pos="5103"/>
        </w:tabs>
        <w:jc w:val="center"/>
        <w:rPr>
          <w:rFonts w:ascii="Arial" w:hAnsi="Arial" w:eastAsia="Times New Roman" w:cs="Arial"/>
          <w:b/>
          <w:bCs/>
          <w:kern w:val="0"/>
          <w:sz w:val="24"/>
          <w:szCs w:val="24"/>
          <w:lang w:val="en-GB" w:eastAsia="en-US"/>
        </w:rPr>
      </w:pPr>
      <w:r>
        <w:rPr>
          <w:rFonts w:ascii="Arial" w:hAnsi="Arial" w:eastAsia="Times New Roman" w:cs="Arial"/>
          <w:b/>
          <w:bCs/>
          <w:kern w:val="0"/>
          <w:sz w:val="24"/>
          <w:szCs w:val="24"/>
          <w:lang w:val="en-GB" w:eastAsia="en-US"/>
        </w:rPr>
        <w:t>APPLICATION FOR ETHICAL APPROVAL</w:t>
      </w:r>
    </w:p>
    <w:p w14:paraId="12DBB807">
      <w:pPr>
        <w:widowControl/>
        <w:tabs>
          <w:tab w:val="left" w:pos="5103"/>
        </w:tabs>
        <w:ind w:right="282"/>
        <w:jc w:val="center"/>
        <w:rPr>
          <w:rFonts w:ascii="Arial" w:hAnsi="Arial" w:eastAsia="Times New Roman" w:cs="Arial"/>
          <w:b/>
          <w:bCs/>
          <w:kern w:val="0"/>
          <w:sz w:val="20"/>
          <w:szCs w:val="20"/>
          <w:lang w:val="en-GB" w:eastAsia="en-US"/>
        </w:rPr>
      </w:pPr>
    </w:p>
    <w:p w14:paraId="122FA103">
      <w:pPr>
        <w:widowControl/>
        <w:tabs>
          <w:tab w:val="left" w:pos="5103"/>
        </w:tabs>
        <w:ind w:right="282"/>
        <w:jc w:val="both"/>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 xml:space="preserve">In order for research to result in benefit and minimise risk of harm, it must be conducted ethically. </w:t>
      </w:r>
    </w:p>
    <w:p w14:paraId="4840B9F8">
      <w:pPr>
        <w:widowControl/>
        <w:tabs>
          <w:tab w:val="left" w:pos="5103"/>
        </w:tabs>
        <w:ind w:right="282"/>
        <w:jc w:val="center"/>
        <w:rPr>
          <w:rFonts w:ascii="Arial" w:hAnsi="Arial" w:eastAsia="Times New Roman" w:cs="Arial"/>
          <w:b/>
          <w:bCs/>
          <w:kern w:val="0"/>
          <w:sz w:val="16"/>
          <w:szCs w:val="16"/>
          <w:lang w:val="en-GB" w:eastAsia="en-US"/>
        </w:rPr>
      </w:pPr>
    </w:p>
    <w:p w14:paraId="762B3CAD">
      <w:pPr>
        <w:widowControl/>
        <w:tabs>
          <w:tab w:val="left" w:pos="5103"/>
        </w:tabs>
        <w:ind w:right="282"/>
        <w:jc w:val="both"/>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 xml:space="preserve">The University follows the OECD Frascati manual definition of </w:t>
      </w:r>
      <w:r>
        <w:rPr>
          <w:rFonts w:ascii="Arial" w:hAnsi="Arial" w:eastAsia="Times New Roman" w:cs="Arial"/>
          <w:b/>
          <w:kern w:val="0"/>
          <w:sz w:val="22"/>
          <w:szCs w:val="22"/>
          <w:lang w:val="en-GB" w:eastAsia="en-US"/>
        </w:rPr>
        <w:t>research activity</w:t>
      </w:r>
      <w:r>
        <w:rPr>
          <w:rFonts w:ascii="Arial" w:hAnsi="Arial" w:eastAsia="Times New Roman" w:cs="Arial"/>
          <w:kern w:val="0"/>
          <w:sz w:val="22"/>
          <w:szCs w:val="22"/>
          <w:lang w:val="en-GB"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3C3B407">
      <w:pPr>
        <w:widowControl/>
        <w:tabs>
          <w:tab w:val="left" w:pos="5103"/>
        </w:tabs>
        <w:ind w:right="282"/>
        <w:jc w:val="both"/>
        <w:rPr>
          <w:rFonts w:ascii="Arial" w:hAnsi="Arial" w:eastAsia="Times New Roman" w:cs="Arial"/>
          <w:kern w:val="0"/>
          <w:sz w:val="22"/>
          <w:szCs w:val="22"/>
          <w:lang w:val="en-GB" w:eastAsia="en-US"/>
        </w:rPr>
      </w:pPr>
    </w:p>
    <w:p w14:paraId="35DE620F">
      <w:pPr>
        <w:widowControl/>
        <w:tabs>
          <w:tab w:val="left" w:pos="5103"/>
        </w:tabs>
        <w:ind w:right="282"/>
        <w:jc w:val="both"/>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The individual undertaking the research activity is known as the “principal researcher”.</w:t>
      </w:r>
    </w:p>
    <w:p w14:paraId="2F64BA7C">
      <w:pPr>
        <w:widowControl/>
        <w:tabs>
          <w:tab w:val="left" w:pos="5103"/>
        </w:tabs>
        <w:ind w:right="282"/>
        <w:jc w:val="both"/>
        <w:rPr>
          <w:rFonts w:ascii="Arial" w:hAnsi="Arial" w:eastAsia="Times New Roman" w:cs="Arial"/>
          <w:kern w:val="0"/>
          <w:sz w:val="22"/>
          <w:szCs w:val="22"/>
          <w:lang w:val="en-GB" w:eastAsia="en-US"/>
        </w:rPr>
      </w:pPr>
    </w:p>
    <w:p w14:paraId="4652E324">
      <w:pPr>
        <w:widowControl/>
        <w:autoSpaceDE w:val="0"/>
        <w:autoSpaceDN w:val="0"/>
        <w:adjustRightInd w:val="0"/>
        <w:jc w:val="both"/>
        <w:rPr>
          <w:rFonts w:ascii="Arial" w:hAnsi="Arial" w:eastAsia="Times New Roman" w:cs="Arial"/>
          <w:kern w:val="0"/>
          <w:sz w:val="22"/>
          <w:szCs w:val="22"/>
          <w:lang w:val="en-GB" w:eastAsia="en-US"/>
        </w:rPr>
      </w:pPr>
      <w:r>
        <w:rPr>
          <w:rFonts w:ascii="Arial" w:hAnsi="Arial" w:eastAsia="Times New Roman" w:cs="Arial"/>
          <w:b/>
          <w:kern w:val="0"/>
          <w:sz w:val="22"/>
          <w:szCs w:val="22"/>
          <w:lang w:val="en-GB" w:eastAsia="en-US"/>
        </w:rPr>
        <w:t>This form</w:t>
      </w:r>
      <w:r>
        <w:rPr>
          <w:rFonts w:ascii="Arial" w:hAnsi="Arial" w:eastAsia="Times New Roman" w:cs="Arial"/>
          <w:kern w:val="0"/>
          <w:sz w:val="22"/>
          <w:szCs w:val="22"/>
          <w:lang w:val="en-GB" w:eastAsia="en-US"/>
        </w:rPr>
        <w:t xml:space="preserve"> </w:t>
      </w:r>
      <w:r>
        <w:rPr>
          <w:rFonts w:ascii="Arial" w:hAnsi="Arial" w:eastAsia="Times New Roman" w:cs="Arial"/>
          <w:b/>
          <w:kern w:val="0"/>
          <w:sz w:val="22"/>
          <w:szCs w:val="22"/>
          <w:lang w:val="en-GB" w:eastAsia="en-US"/>
        </w:rPr>
        <w:t>must be completed and approved prior to undertaking any research activity.</w:t>
      </w:r>
      <w:r>
        <w:rPr>
          <w:rFonts w:ascii="Arial" w:hAnsi="Arial" w:eastAsia="Times New Roman" w:cs="Arial"/>
          <w:kern w:val="0"/>
          <w:sz w:val="22"/>
          <w:szCs w:val="22"/>
          <w:lang w:val="en-GB" w:eastAsia="en-US"/>
        </w:rPr>
        <w:t xml:space="preserve"> </w:t>
      </w:r>
    </w:p>
    <w:p w14:paraId="74E0A97A">
      <w:pPr>
        <w:widowControl/>
        <w:autoSpaceDE w:val="0"/>
        <w:autoSpaceDN w:val="0"/>
        <w:adjustRightInd w:val="0"/>
        <w:jc w:val="both"/>
        <w:rPr>
          <w:rFonts w:ascii="Arial" w:hAnsi="Arial" w:eastAsia="Times New Roman" w:cs="Arial"/>
          <w:kern w:val="0"/>
          <w:sz w:val="22"/>
          <w:szCs w:val="22"/>
          <w:lang w:val="en-GB" w:eastAsia="en-US"/>
        </w:rPr>
      </w:pPr>
    </w:p>
    <w:p w14:paraId="69D29F82">
      <w:pPr>
        <w:widowControl/>
        <w:autoSpaceDE w:val="0"/>
        <w:autoSpaceDN w:val="0"/>
        <w:adjustRightInd w:val="0"/>
        <w:spacing w:after="240"/>
        <w:jc w:val="both"/>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75679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vAlign w:val="center"/>
          </w:tcPr>
          <w:p w14:paraId="503E3789">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w:t>
            </w:r>
          </w:p>
        </w:tc>
        <w:tc>
          <w:tcPr>
            <w:tcW w:w="3253" w:type="dxa"/>
            <w:shd w:val="clear" w:color="auto" w:fill="F1F1F1"/>
            <w:vAlign w:val="center"/>
          </w:tcPr>
          <w:p w14:paraId="7DE55F87">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Full Name:</w:t>
            </w:r>
          </w:p>
        </w:tc>
        <w:tc>
          <w:tcPr>
            <w:tcW w:w="6636" w:type="dxa"/>
            <w:vAlign w:val="center"/>
          </w:tcPr>
          <w:p w14:paraId="638EB94C">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Yitong Wang</w:t>
            </w:r>
          </w:p>
        </w:tc>
      </w:tr>
      <w:tr w14:paraId="771E8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vAlign w:val="center"/>
          </w:tcPr>
          <w:p w14:paraId="2139026E">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w:t>
            </w:r>
          </w:p>
        </w:tc>
        <w:tc>
          <w:tcPr>
            <w:tcW w:w="3253" w:type="dxa"/>
            <w:shd w:val="clear" w:color="auto" w:fill="F1F1F1"/>
            <w:vAlign w:val="center"/>
          </w:tcPr>
          <w:p w14:paraId="231EE757">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Student Number:</w:t>
            </w:r>
          </w:p>
        </w:tc>
        <w:tc>
          <w:tcPr>
            <w:tcW w:w="6636" w:type="dxa"/>
            <w:vAlign w:val="center"/>
          </w:tcPr>
          <w:p w14:paraId="739DC2FA">
            <w:pPr>
              <w:widowControl/>
              <w:jc w:val="left"/>
              <w:rPr>
                <w:rFonts w:ascii="Arial" w:hAnsi="Arial" w:eastAsia="Times New Roman" w:cs="Arial"/>
                <w:kern w:val="0"/>
                <w:sz w:val="22"/>
                <w:szCs w:val="22"/>
                <w:lang w:val="en-GB" w:eastAsia="en-US"/>
              </w:rPr>
            </w:pPr>
          </w:p>
          <w:p w14:paraId="064DF0E0">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2409469</w:t>
            </w:r>
          </w:p>
        </w:tc>
      </w:tr>
      <w:tr w14:paraId="3E6CD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vAlign w:val="center"/>
          </w:tcPr>
          <w:p w14:paraId="68E844AC">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3</w:t>
            </w:r>
          </w:p>
        </w:tc>
        <w:tc>
          <w:tcPr>
            <w:tcW w:w="3253" w:type="dxa"/>
            <w:shd w:val="clear" w:color="auto" w:fill="F1F1F1"/>
            <w:vAlign w:val="center"/>
          </w:tcPr>
          <w:p w14:paraId="319F6A34">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Email address:</w:t>
            </w:r>
          </w:p>
        </w:tc>
        <w:tc>
          <w:tcPr>
            <w:tcW w:w="6636" w:type="dxa"/>
            <w:vAlign w:val="center"/>
          </w:tcPr>
          <w:p w14:paraId="4BBA2010">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2409469@student.uwtsd.ac.uk</w:t>
            </w:r>
          </w:p>
        </w:tc>
      </w:tr>
      <w:tr w14:paraId="4FB2C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vAlign w:val="center"/>
          </w:tcPr>
          <w:p w14:paraId="6F9F346D">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4</w:t>
            </w:r>
          </w:p>
        </w:tc>
        <w:tc>
          <w:tcPr>
            <w:tcW w:w="3253" w:type="dxa"/>
            <w:shd w:val="clear" w:color="auto" w:fill="F1F1F1"/>
            <w:vAlign w:val="center"/>
          </w:tcPr>
          <w:p w14:paraId="49AB3335">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Programme of Study:</w:t>
            </w:r>
          </w:p>
        </w:tc>
        <w:tc>
          <w:tcPr>
            <w:tcW w:w="6636" w:type="dxa"/>
            <w:vAlign w:val="center"/>
          </w:tcPr>
          <w:p w14:paraId="47D84A9A">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MBA</w:t>
            </w:r>
          </w:p>
        </w:tc>
      </w:tr>
      <w:tr w14:paraId="59477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vAlign w:val="center"/>
          </w:tcPr>
          <w:p w14:paraId="17AF5CA7">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5</w:t>
            </w:r>
          </w:p>
        </w:tc>
        <w:tc>
          <w:tcPr>
            <w:tcW w:w="3253" w:type="dxa"/>
            <w:shd w:val="clear" w:color="auto" w:fill="F1F1F1"/>
            <w:vAlign w:val="center"/>
          </w:tcPr>
          <w:p w14:paraId="3D8241CB">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Supervisor:</w:t>
            </w:r>
          </w:p>
        </w:tc>
        <w:tc>
          <w:tcPr>
            <w:tcW w:w="6636" w:type="dxa"/>
            <w:vAlign w:val="center"/>
          </w:tcPr>
          <w:p w14:paraId="4922DB64">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Daniela Hellyer</w:t>
            </w:r>
          </w:p>
        </w:tc>
      </w:tr>
    </w:tbl>
    <w:p w14:paraId="25037D25">
      <w:pPr>
        <w:widowControl/>
        <w:autoSpaceDE w:val="0"/>
        <w:autoSpaceDN w:val="0"/>
        <w:adjustRightInd w:val="0"/>
        <w:spacing w:after="240"/>
        <w:jc w:val="both"/>
        <w:rPr>
          <w:rFonts w:ascii="Arial" w:hAnsi="Arial" w:eastAsia="Times New Roman" w:cs="Arial"/>
          <w:b/>
          <w:kern w:val="0"/>
          <w:sz w:val="22"/>
          <w:szCs w:val="22"/>
          <w:lang w:val="en-GB" w:eastAsia="en-US"/>
        </w:rPr>
      </w:pPr>
    </w:p>
    <w:p w14:paraId="11E4C511">
      <w:pPr>
        <w:widowControl/>
        <w:autoSpaceDE w:val="0"/>
        <w:autoSpaceDN w:val="0"/>
        <w:adjustRightInd w:val="0"/>
        <w:spacing w:after="240"/>
        <w:jc w:val="both"/>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B:  Internal and External Ethical Guidance Materials</w:t>
      </w:r>
    </w:p>
    <w:tbl>
      <w:tblPr>
        <w:tblStyle w:val="6"/>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407A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14:paraId="1068E1BD">
            <w:pPr>
              <w:widowControl/>
              <w:autoSpaceDE w:val="0"/>
              <w:autoSpaceDN w:val="0"/>
              <w:adjustRightInd w:val="0"/>
              <w:jc w:val="left"/>
              <w:rPr>
                <w:rFonts w:ascii="Arial" w:hAnsi="Arial" w:eastAsia="Times New Roman" w:cs="Arial"/>
                <w:kern w:val="0"/>
                <w:sz w:val="22"/>
                <w:szCs w:val="22"/>
                <w:lang w:val="en-GB" w:eastAsia="en-US"/>
              </w:rPr>
            </w:pPr>
          </w:p>
        </w:tc>
        <w:tc>
          <w:tcPr>
            <w:tcW w:w="9918" w:type="dxa"/>
            <w:gridSpan w:val="2"/>
            <w:shd w:val="clear" w:color="auto" w:fill="F1F1F1"/>
          </w:tcPr>
          <w:p w14:paraId="22A8CADB">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14:paraId="08D53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48D8351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w:t>
            </w:r>
          </w:p>
        </w:tc>
        <w:tc>
          <w:tcPr>
            <w:tcW w:w="8784" w:type="dxa"/>
            <w:vAlign w:val="center"/>
          </w:tcPr>
          <w:p w14:paraId="2979A82C">
            <w:pPr>
              <w:widowControl/>
              <w:autoSpaceDE w:val="0"/>
              <w:autoSpaceDN w:val="0"/>
              <w:adjustRightInd w:val="0"/>
              <w:jc w:val="left"/>
              <w:rPr>
                <w:rFonts w:ascii="Arial" w:hAnsi="Arial" w:eastAsia="Times New Roman" w:cs="Arial"/>
                <w:b/>
                <w:bCs/>
                <w:kern w:val="0"/>
                <w:sz w:val="22"/>
                <w:szCs w:val="22"/>
                <w:lang w:val="en-GB" w:eastAsia="en-US"/>
              </w:rPr>
            </w:pPr>
            <w:r>
              <w:rPr>
                <w:rFonts w:ascii="Times New Roman" w:hAnsi="Times New Roman" w:eastAsia="Times New Roman" w:cs="Times New Roman"/>
                <w:kern w:val="0"/>
                <w:sz w:val="20"/>
                <w:szCs w:val="20"/>
                <w:lang w:val="en-GB" w:eastAsia="en-US"/>
              </w:rPr>
              <w:fldChar w:fldCharType="begin"/>
            </w:r>
            <w:r>
              <w:rPr>
                <w:rFonts w:ascii="Times New Roman" w:hAnsi="Times New Roman" w:eastAsia="Times New Roman" w:cs="Times New Roman"/>
                <w:kern w:val="0"/>
                <w:sz w:val="20"/>
                <w:szCs w:val="20"/>
                <w:lang w:val="en-GB" w:eastAsia="en-US"/>
              </w:rPr>
              <w:instrText xml:space="preserve"> HYPERLINK "file:///C:\\Users\\c.lohmann-hancock\\AppData\\Local\\Microsoft\\Windows\\INetCache\\REICoP-17-20-v3-Final.pdf" </w:instrText>
            </w:r>
            <w:r>
              <w:rPr>
                <w:rFonts w:ascii="Times New Roman" w:hAnsi="Times New Roman" w:eastAsia="Times New Roman" w:cs="Times New Roman"/>
                <w:kern w:val="0"/>
                <w:sz w:val="20"/>
                <w:szCs w:val="20"/>
                <w:lang w:val="en-GB" w:eastAsia="en-US"/>
              </w:rPr>
              <w:fldChar w:fldCharType="separate"/>
            </w:r>
            <w:r>
              <w:rPr>
                <w:rFonts w:ascii="Arial" w:hAnsi="Arial" w:eastAsia="Times New Roman" w:cs="Arial"/>
                <w:b/>
                <w:bCs/>
                <w:color w:val="auto"/>
                <w:kern w:val="0"/>
                <w:sz w:val="22"/>
                <w:szCs w:val="22"/>
                <w:u w:val="none"/>
                <w:lang w:val="en-GB" w:eastAsia="en-US"/>
              </w:rPr>
              <w:t>UWTSD Research Ethics &amp; Integrity Code of Practice</w:t>
            </w:r>
            <w:r>
              <w:rPr>
                <w:rFonts w:ascii="Arial" w:hAnsi="Arial" w:eastAsia="Times New Roman" w:cs="Arial"/>
                <w:b/>
                <w:bCs/>
                <w:color w:val="auto"/>
                <w:kern w:val="0"/>
                <w:sz w:val="22"/>
                <w:szCs w:val="22"/>
                <w:u w:val="none"/>
                <w:lang w:val="en-GB" w:eastAsia="en-US"/>
              </w:rPr>
              <w:fldChar w:fldCharType="end"/>
            </w:r>
          </w:p>
        </w:tc>
        <w:sdt>
          <w:sdtPr>
            <w:rPr>
              <w:rFonts w:ascii="Arial" w:hAnsi="Arial" w:eastAsia="Times New Roman" w:cs="Arial"/>
              <w:b/>
              <w:bCs/>
              <w:sz w:val="22"/>
              <w:szCs w:val="22"/>
              <w:lang w:val="en-GB" w:eastAsia="en-GB" w:bidi="ar-SA"/>
            </w:rPr>
            <w:id w:val="157847950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tc>
              <w:tcPr>
                <w:tcW w:w="1134" w:type="dxa"/>
                <w:shd w:val="clear" w:color="auto" w:fill="BEBEBE"/>
                <w:vAlign w:val="center"/>
              </w:tcPr>
              <w:p w14:paraId="3B355A47">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tc>
          </w:sdtContent>
        </w:sdt>
      </w:tr>
      <w:tr w14:paraId="4395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7762D69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w:t>
            </w:r>
          </w:p>
        </w:tc>
        <w:tc>
          <w:tcPr>
            <w:tcW w:w="8784" w:type="dxa"/>
            <w:vAlign w:val="center"/>
          </w:tcPr>
          <w:p w14:paraId="25CE8F5C">
            <w:pPr>
              <w:widowControl/>
              <w:autoSpaceDE w:val="0"/>
              <w:autoSpaceDN w:val="0"/>
              <w:adjustRightInd w:val="0"/>
              <w:jc w:val="left"/>
              <w:rPr>
                <w:rFonts w:ascii="Arial" w:hAnsi="Arial" w:eastAsia="Times New Roman" w:cs="Arial"/>
                <w:b/>
                <w:bCs/>
                <w:color w:val="FF0000"/>
                <w:kern w:val="0"/>
                <w:sz w:val="22"/>
                <w:szCs w:val="22"/>
                <w:lang w:val="en-GB" w:eastAsia="en-US"/>
              </w:rPr>
            </w:pPr>
            <w:r>
              <w:rPr>
                <w:rFonts w:ascii="Arial" w:hAnsi="Arial" w:eastAsia="Times New Roman" w:cs="Arial"/>
                <w:b/>
                <w:bCs/>
                <w:kern w:val="0"/>
                <w:sz w:val="22"/>
                <w:szCs w:val="22"/>
                <w:lang w:val="en-GB" w:eastAsia="en-US"/>
              </w:rPr>
              <w:t>UWTSD Research Data Management Policy</w:t>
            </w:r>
          </w:p>
        </w:tc>
        <w:tc>
          <w:tcPr>
            <w:tcW w:w="1134" w:type="dxa"/>
            <w:shd w:val="clear" w:color="auto" w:fill="BEBEBE"/>
            <w:vAlign w:val="center"/>
          </w:tcPr>
          <w:sdt>
            <w:sdtPr>
              <w:rPr>
                <w:rFonts w:ascii="Arial" w:hAnsi="Arial" w:eastAsia="Times New Roman" w:cs="Arial"/>
                <w:b/>
                <w:bCs/>
                <w:sz w:val="22"/>
                <w:szCs w:val="22"/>
                <w:lang w:val="en-GB" w:eastAsia="en-GB" w:bidi="ar-SA"/>
              </w:rPr>
              <w:id w:val="-204096111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05E7AB1">
                <w:pPr>
                  <w:widowControl/>
                  <w:autoSpaceDE w:val="0"/>
                  <w:autoSpaceDN w:val="0"/>
                  <w:adjustRightInd w:val="0"/>
                  <w:jc w:val="center"/>
                  <w:rPr>
                    <w:rFonts w:ascii="Arial" w:hAnsi="Arial" w:eastAsia="Times New Roman" w:cs="Arial"/>
                    <w:b/>
                    <w:bCs/>
                    <w:i/>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bl>
    <w:p w14:paraId="5ACCC6B7">
      <w:pPr>
        <w:widowControl/>
        <w:autoSpaceDE w:val="0"/>
        <w:autoSpaceDN w:val="0"/>
        <w:adjustRightInd w:val="0"/>
        <w:spacing w:after="240"/>
        <w:jc w:val="both"/>
        <w:rPr>
          <w:rFonts w:ascii="Arial" w:hAnsi="Arial" w:eastAsia="Times New Roman" w:cs="Arial"/>
          <w:b/>
          <w:kern w:val="0"/>
          <w:sz w:val="22"/>
          <w:szCs w:val="22"/>
          <w:lang w:val="en-GB" w:eastAsia="en-US"/>
        </w:rPr>
      </w:pPr>
    </w:p>
    <w:p w14:paraId="7CF046AC">
      <w:pPr>
        <w:widowControl/>
        <w:autoSpaceDE w:val="0"/>
        <w:autoSpaceDN w:val="0"/>
        <w:adjustRightInd w:val="0"/>
        <w:spacing w:after="240"/>
        <w:jc w:val="both"/>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434"/>
        <w:gridCol w:w="1408"/>
        <w:gridCol w:w="2857"/>
        <w:gridCol w:w="1481"/>
        <w:gridCol w:w="2965"/>
      </w:tblGrid>
      <w:tr w14:paraId="6EF08B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vAlign w:val="center"/>
          </w:tcPr>
          <w:p w14:paraId="28D43FC7">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w:t>
            </w:r>
          </w:p>
        </w:tc>
        <w:tc>
          <w:tcPr>
            <w:tcW w:w="770" w:type="pct"/>
            <w:tcBorders>
              <w:top w:val="single" w:color="auto" w:sz="4" w:space="0"/>
              <w:left w:val="single" w:color="auto" w:sz="4" w:space="0"/>
              <w:bottom w:val="single" w:color="auto" w:sz="4" w:space="0"/>
              <w:right w:val="single" w:color="auto" w:sz="4" w:space="0"/>
            </w:tcBorders>
            <w:shd w:val="clear" w:color="auto" w:fill="F1F1F1"/>
            <w:vAlign w:val="center"/>
          </w:tcPr>
          <w:p w14:paraId="719F828B">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0F5FF2C1">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The Influence of Corporate Social Responsibility on Brand Loyalty Among Gen Z Consumers</w:t>
            </w:r>
          </w:p>
        </w:tc>
      </w:tr>
      <w:tr w14:paraId="6B6ED9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vAlign w:val="center"/>
          </w:tcPr>
          <w:p w14:paraId="1D14B4F1">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w:t>
            </w:r>
          </w:p>
        </w:tc>
        <w:tc>
          <w:tcPr>
            <w:tcW w:w="770" w:type="pct"/>
            <w:tcBorders>
              <w:top w:val="single" w:color="auto" w:sz="4" w:space="0"/>
              <w:left w:val="single" w:color="auto" w:sz="4" w:space="0"/>
              <w:bottom w:val="single" w:color="auto" w:sz="4" w:space="0"/>
              <w:right w:val="single" w:color="auto" w:sz="4" w:space="0"/>
            </w:tcBorders>
            <w:shd w:val="clear" w:color="auto" w:fill="F1F1F1"/>
            <w:vAlign w:val="center"/>
          </w:tcPr>
          <w:p w14:paraId="3E6E5565">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29CEE759">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June 2</w:t>
            </w:r>
          </w:p>
        </w:tc>
        <w:tc>
          <w:tcPr>
            <w:tcW w:w="810" w:type="pct"/>
            <w:tcBorders>
              <w:top w:val="single" w:color="auto" w:sz="4" w:space="0"/>
              <w:left w:val="single" w:color="auto" w:sz="4" w:space="0"/>
              <w:bottom w:val="single" w:color="auto" w:sz="4" w:space="0"/>
              <w:right w:val="single" w:color="auto" w:sz="4" w:space="0"/>
            </w:tcBorders>
            <w:shd w:val="clear" w:color="auto" w:fill="F1F1F1"/>
            <w:vAlign w:val="center"/>
          </w:tcPr>
          <w:p w14:paraId="018E0B24">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414E1455">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Sep 26</w:t>
            </w:r>
          </w:p>
        </w:tc>
      </w:tr>
      <w:tr w14:paraId="6E29C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vAlign w:val="center"/>
          </w:tcPr>
          <w:p w14:paraId="16A72389">
            <w:pPr>
              <w:widowControl/>
              <w:spacing w:before="120" w:after="120"/>
              <w:jc w:val="left"/>
              <w:rPr>
                <w:rFonts w:ascii="Arial" w:hAnsi="Arial" w:eastAsia="Times New Roman" w:cs="Arial"/>
                <w:kern w:val="0"/>
                <w:sz w:val="22"/>
                <w:szCs w:val="22"/>
                <w:lang w:val="en-GB" w:eastAsia="en-US"/>
              </w:rPr>
            </w:pPr>
          </w:p>
        </w:tc>
        <w:tc>
          <w:tcPr>
            <w:tcW w:w="4763" w:type="pct"/>
            <w:gridSpan w:val="4"/>
            <w:tcBorders>
              <w:top w:val="single" w:color="auto" w:sz="4" w:space="0"/>
            </w:tcBorders>
            <w:shd w:val="clear" w:color="auto" w:fill="F1F1F1"/>
            <w:vAlign w:val="center"/>
          </w:tcPr>
          <w:p w14:paraId="250AF4F2">
            <w:pPr>
              <w:widowControl/>
              <w:spacing w:before="120" w:after="120"/>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Introduction to the Research (maximum 300 words in each section)</w:t>
            </w:r>
          </w:p>
          <w:p w14:paraId="3063A7E7">
            <w:pPr>
              <w:widowControl/>
              <w:spacing w:before="120" w:after="120"/>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 xml:space="preserve">Ensure that you write for a </w:t>
            </w:r>
            <w:r>
              <w:rPr>
                <w:rFonts w:ascii="Arial" w:hAnsi="Arial" w:eastAsia="Times New Roman" w:cs="Arial"/>
                <w:b/>
                <w:kern w:val="0"/>
                <w:sz w:val="22"/>
                <w:szCs w:val="22"/>
                <w:u w:val="single"/>
                <w:lang w:val="en-GB" w:eastAsia="en-US"/>
              </w:rPr>
              <w:t>Non-Specialist Audience</w:t>
            </w:r>
            <w:r>
              <w:rPr>
                <w:rFonts w:ascii="Arial" w:hAnsi="Arial" w:eastAsia="Times New Roman" w:cs="Arial"/>
                <w:b/>
                <w:kern w:val="0"/>
                <w:sz w:val="22"/>
                <w:szCs w:val="22"/>
                <w:lang w:val="en-GB" w:eastAsia="en-US"/>
              </w:rPr>
              <w:t xml:space="preserve"> when outlining your response to the three points below:</w:t>
            </w:r>
          </w:p>
          <w:p w14:paraId="7A2D2766">
            <w:pPr>
              <w:numPr>
                <w:ilvl w:val="0"/>
                <w:numId w:val="17"/>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Purpose of Research Activity</w:t>
            </w:r>
          </w:p>
          <w:p w14:paraId="314D7622">
            <w:pPr>
              <w:numPr>
                <w:ilvl w:val="0"/>
                <w:numId w:val="17"/>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Proposed Research Question</w:t>
            </w:r>
          </w:p>
          <w:p w14:paraId="03B9B66B">
            <w:pPr>
              <w:numPr>
                <w:ilvl w:val="0"/>
                <w:numId w:val="17"/>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Aims of Research Activity</w:t>
            </w:r>
          </w:p>
          <w:p w14:paraId="0697E5F7">
            <w:pPr>
              <w:numPr>
                <w:ilvl w:val="0"/>
                <w:numId w:val="17"/>
              </w:numPr>
              <w:ind w:left="714" w:hanging="357"/>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Objectives of Research Activity</w:t>
            </w:r>
          </w:p>
          <w:p w14:paraId="0C5DE5F6">
            <w:pPr>
              <w:widowControl/>
              <w:spacing w:after="12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 xml:space="preserve">Demonstrate, briefly, how </w:t>
            </w:r>
            <w:r>
              <w:rPr>
                <w:rFonts w:ascii="Arial" w:hAnsi="Arial" w:eastAsia="Times New Roman" w:cs="Arial"/>
                <w:b/>
                <w:kern w:val="0"/>
                <w:sz w:val="22"/>
                <w:szCs w:val="22"/>
                <w:u w:val="single"/>
                <w:lang w:val="en-GB" w:eastAsia="en-US"/>
              </w:rPr>
              <w:t>Existing Research</w:t>
            </w:r>
            <w:r>
              <w:rPr>
                <w:rFonts w:ascii="Arial" w:hAnsi="Arial" w:eastAsia="Times New Roman" w:cs="Arial"/>
                <w:kern w:val="0"/>
                <w:sz w:val="22"/>
                <w:szCs w:val="22"/>
                <w:lang w:val="en-GB" w:eastAsia="en-US"/>
              </w:rPr>
              <w:t xml:space="preserve"> has informed the proposed activity and explain</w:t>
            </w:r>
          </w:p>
          <w:p w14:paraId="094BCECF">
            <w:pPr>
              <w:numPr>
                <w:ilvl w:val="0"/>
                <w:numId w:val="17"/>
              </w:numPr>
              <w:ind w:left="720" w:hanging="360"/>
              <w:contextualSpacing w:val="0"/>
              <w:rPr>
                <w:rFonts w:ascii="Arial" w:hAnsi="Arial" w:eastAsia="Calibri" w:cs="Arial"/>
                <w:i/>
                <w:sz w:val="22"/>
                <w:szCs w:val="22"/>
                <w:lang w:val="en-GB" w:eastAsia="en-US" w:bidi="ar-SA"/>
              </w:rPr>
            </w:pPr>
            <w:r>
              <w:rPr>
                <w:rFonts w:ascii="Arial" w:hAnsi="Arial" w:eastAsia="Calibri" w:cs="Arial"/>
                <w:i/>
                <w:sz w:val="22"/>
                <w:szCs w:val="22"/>
                <w:lang w:val="en-GB" w:eastAsia="en-US" w:bidi="ar-SA"/>
              </w:rPr>
              <w:t xml:space="preserve">What the research activity will add to the body of knowledge </w:t>
            </w:r>
          </w:p>
          <w:p w14:paraId="3C4996C5">
            <w:pPr>
              <w:numPr>
                <w:ilvl w:val="0"/>
                <w:numId w:val="17"/>
              </w:numPr>
              <w:ind w:left="720" w:hanging="360"/>
              <w:contextualSpacing w:val="0"/>
              <w:rPr>
                <w:rFonts w:ascii="Arial" w:hAnsi="Arial" w:eastAsia="Calibri" w:cs="Arial"/>
                <w:sz w:val="22"/>
                <w:szCs w:val="22"/>
                <w:lang w:val="en-GB" w:eastAsia="en-US" w:bidi="ar-SA"/>
              </w:rPr>
            </w:pPr>
            <w:r>
              <w:rPr>
                <w:rFonts w:ascii="Arial" w:hAnsi="Arial" w:eastAsia="Calibri" w:cs="Arial"/>
                <w:i/>
                <w:sz w:val="22"/>
                <w:szCs w:val="22"/>
                <w:lang w:val="en-GB" w:eastAsia="en-US" w:bidi="ar-SA"/>
              </w:rPr>
              <w:t xml:space="preserve">How it addresses an area of importance. </w:t>
            </w:r>
          </w:p>
        </w:tc>
      </w:tr>
      <w:tr w14:paraId="7AE8AD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B2F7E6">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3</w:t>
            </w:r>
          </w:p>
        </w:tc>
        <w:tc>
          <w:tcPr>
            <w:tcW w:w="4763" w:type="pct"/>
            <w:gridSpan w:val="4"/>
            <w:vAlign w:val="center"/>
          </w:tcPr>
          <w:p w14:paraId="13DD02F5">
            <w:pPr>
              <w:widowControl/>
              <w:autoSpaceDE w:val="0"/>
              <w:autoSpaceDN w:val="0"/>
              <w:adjustRightInd w:val="0"/>
              <w:jc w:val="left"/>
              <w:rPr>
                <w:rFonts w:ascii="Arial" w:hAnsi="Arial" w:eastAsia="等线" w:cs="Arial"/>
                <w:b/>
                <w:bCs/>
                <w:kern w:val="0"/>
                <w:sz w:val="22"/>
                <w:szCs w:val="22"/>
                <w:lang w:val="en-GB" w:eastAsia="zh-CN"/>
              </w:rPr>
            </w:pPr>
            <w:r>
              <w:rPr>
                <w:rFonts w:ascii="Arial" w:hAnsi="Arial" w:eastAsia="Times New Roman" w:cs="Arial"/>
                <w:b/>
                <w:bCs/>
                <w:kern w:val="0"/>
                <w:sz w:val="22"/>
                <w:szCs w:val="22"/>
                <w:lang w:val="en-GB" w:eastAsia="en-US"/>
              </w:rPr>
              <w:t>Purpose of Research Activity</w:t>
            </w:r>
          </w:p>
          <w:p w14:paraId="20C720A9">
            <w:pPr>
              <w:widowControl/>
              <w:autoSpaceDE w:val="0"/>
              <w:autoSpaceDN w:val="0"/>
              <w:adjustRightInd w:val="0"/>
              <w:jc w:val="left"/>
              <w:rPr>
                <w:rFonts w:ascii="Arial" w:hAnsi="Arial" w:eastAsia="Times New Roman" w:cs="Arial"/>
                <w:b/>
                <w:bCs/>
                <w:kern w:val="0"/>
                <w:sz w:val="24"/>
                <w:szCs w:val="24"/>
                <w:lang w:val="en-GB" w:eastAsia="en-US"/>
              </w:rPr>
            </w:pPr>
            <w:r>
              <w:rPr>
                <w:rFonts w:ascii="Arial" w:hAnsi="Arial" w:eastAsia="Times New Roman" w:cs="Arial"/>
                <w:kern w:val="0"/>
                <w:sz w:val="24"/>
                <w:szCs w:val="24"/>
                <w:lang w:val="en-GB" w:eastAsia="en-US"/>
              </w:rPr>
              <w:t>The purpose of this research is to examine how Corporate Social Responsibility (CSR) initiatives influence brand loyalty among Generation Z (Gen Z) consumers. Gen Z, born between 1997 and 2012, has emerged as a highly influential consumer group. They are digitally native, socially aware, and place significant value on ethical, environmental, and transparent business practices. In an era where brand trust and emotional connections are central to consumer loyalty, this research aims to explore how CSR strategies shape the purchasing behaviours and long-term brand commitment of Gen Z.</w:t>
            </w:r>
          </w:p>
          <w:p w14:paraId="123CBAF4">
            <w:pPr>
              <w:widowControl/>
              <w:jc w:val="left"/>
              <w:rPr>
                <w:rFonts w:ascii="Arial" w:hAnsi="Arial" w:eastAsia="Times New Roman" w:cs="Arial"/>
                <w:kern w:val="0"/>
                <w:sz w:val="24"/>
                <w:szCs w:val="24"/>
                <w:lang w:val="en-GB" w:eastAsia="en-US"/>
              </w:rPr>
            </w:pPr>
            <w:r>
              <w:rPr>
                <w:rFonts w:ascii="Arial" w:hAnsi="Arial" w:eastAsia="Times New Roman" w:cs="Arial"/>
                <w:kern w:val="0"/>
                <w:sz w:val="24"/>
                <w:szCs w:val="24"/>
                <w:lang w:val="en-GB" w:eastAsia="en-US"/>
              </w:rPr>
              <w:t>The study will adopt a quantitative, mono-method research design using a self-administered online questionnaire. This method is suitable for gathering large-scale data efficiently and is aligned with the digital behaviour of Gen Z, who frequently use platforms like Instagram and WhatsApp. The questionnaire includes Likert-scale items designed to capture respondents’ perceptions of brand CSR practices, trust in the brand, and their repurchase intentions. Data will be collected from approximately 200 respondents who fall within the Gen Z age range and are located in Uk.</w:t>
            </w:r>
          </w:p>
          <w:p w14:paraId="3EDCE806">
            <w:pPr>
              <w:widowControl/>
              <w:jc w:val="left"/>
              <w:rPr>
                <w:rFonts w:ascii="Arial" w:hAnsi="Arial" w:eastAsia="Times New Roman" w:cs="Arial"/>
                <w:kern w:val="0"/>
                <w:sz w:val="24"/>
                <w:szCs w:val="24"/>
                <w:lang w:val="en-GB" w:eastAsia="en-US"/>
              </w:rPr>
            </w:pPr>
            <w:r>
              <w:rPr>
                <w:rFonts w:ascii="Arial" w:hAnsi="Arial" w:eastAsia="Times New Roman" w:cs="Arial"/>
                <w:kern w:val="0"/>
                <w:sz w:val="24"/>
                <w:szCs w:val="24"/>
                <w:lang w:val="en-GB" w:eastAsia="en-US"/>
              </w:rPr>
              <w:t>The goal is to test the correlation and potential causal relationships between perceived CSR initiatives and consumer loyalty metrics. The research will also investigate the moderating role of CSR authenticity—that is, whether the brand’s messaging and actual practices align—and how this impacts Gen Z’s loyalty behaviour. The outcomes are intended to guide brands in developing strategic CSR communication approaches that resonate authentically with this demographic.</w:t>
            </w:r>
          </w:p>
          <w:p w14:paraId="3BBE0FA9">
            <w:pPr>
              <w:widowControl/>
              <w:jc w:val="left"/>
              <w:rPr>
                <w:rFonts w:ascii="Arial" w:hAnsi="Arial" w:eastAsia="Times New Roman" w:cs="Arial"/>
                <w:kern w:val="0"/>
                <w:sz w:val="24"/>
                <w:szCs w:val="24"/>
                <w:lang w:val="en-GB" w:eastAsia="en-US"/>
              </w:rPr>
            </w:pPr>
            <w:r>
              <w:rPr>
                <w:rFonts w:ascii="Arial" w:hAnsi="Arial" w:eastAsia="Times New Roman" w:cs="Arial"/>
                <w:kern w:val="0"/>
                <w:sz w:val="24"/>
                <w:szCs w:val="24"/>
                <w:lang w:val="en-GB" w:eastAsia="en-US"/>
              </w:rPr>
              <w:t>This study is necessary because while the general effects of CSR on consumer behaviour have been researched, few studies focus specifically on Gen Z and their unique loyalty drivers. With this generation’s heightened sensitivity to ethical issues and tendency to share brand experiences online, understanding how CSR influences loyalty is both academically relevant and practically valuable for marketers.</w:t>
            </w:r>
          </w:p>
          <w:p w14:paraId="056BAC4D">
            <w:pPr>
              <w:widowControl/>
              <w:jc w:val="left"/>
              <w:rPr>
                <w:rFonts w:ascii="Arial" w:hAnsi="Arial" w:eastAsia="Times New Roman" w:cs="Arial"/>
                <w:kern w:val="0"/>
                <w:sz w:val="20"/>
                <w:szCs w:val="20"/>
                <w:lang w:val="en-GB" w:eastAsia="en-US"/>
              </w:rPr>
            </w:pPr>
          </w:p>
          <w:p w14:paraId="0EBDBAA7">
            <w:pPr>
              <w:widowControl/>
              <w:jc w:val="left"/>
              <w:rPr>
                <w:rFonts w:ascii="Arial" w:hAnsi="Arial" w:eastAsia="Times New Roman" w:cs="Arial"/>
                <w:kern w:val="0"/>
                <w:sz w:val="20"/>
                <w:szCs w:val="20"/>
                <w:lang w:val="en-GB" w:eastAsia="en-US"/>
              </w:rPr>
            </w:pPr>
          </w:p>
          <w:p w14:paraId="1FAE4062">
            <w:pPr>
              <w:widowControl/>
              <w:jc w:val="left"/>
              <w:rPr>
                <w:rFonts w:ascii="Arial" w:hAnsi="Arial" w:eastAsia="Times New Roman" w:cs="Arial"/>
                <w:kern w:val="0"/>
                <w:sz w:val="20"/>
                <w:szCs w:val="20"/>
                <w:lang w:val="en-GB" w:eastAsia="en-US"/>
              </w:rPr>
            </w:pPr>
            <w:r>
              <w:rPr>
                <w:rFonts w:ascii="Arial" w:hAnsi="Arial" w:eastAsia="Times New Roman" w:cs="Arial"/>
                <w:color w:val="808080"/>
                <w:kern w:val="0"/>
                <w:sz w:val="18"/>
                <w:szCs w:val="18"/>
                <w:lang w:val="en-GB" w:eastAsia="en-US"/>
              </w:rPr>
              <w:t>(this box should expand as you type)</w:t>
            </w:r>
          </w:p>
        </w:tc>
      </w:tr>
      <w:tr w14:paraId="6DCBF1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B51B617">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4</w:t>
            </w:r>
          </w:p>
        </w:tc>
        <w:tc>
          <w:tcPr>
            <w:tcW w:w="4763" w:type="pct"/>
            <w:gridSpan w:val="4"/>
            <w:vAlign w:val="center"/>
          </w:tcPr>
          <w:p w14:paraId="18C3707E">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Research Question</w:t>
            </w:r>
          </w:p>
          <w:p w14:paraId="1CBF46FA">
            <w:pPr>
              <w:widowControl/>
              <w:jc w:val="left"/>
              <w:rPr>
                <w:rFonts w:ascii="Arial" w:hAnsi="Arial" w:eastAsia="Times New Roman" w:cs="Arial"/>
                <w:kern w:val="0"/>
                <w:sz w:val="20"/>
                <w:szCs w:val="20"/>
                <w:lang w:val="en-GB" w:eastAsia="en-US"/>
              </w:rPr>
            </w:pPr>
            <w:r>
              <w:rPr>
                <w:rFonts w:ascii="Arial" w:hAnsi="Arial" w:eastAsia="Times New Roman" w:cs="Arial"/>
                <w:kern w:val="0"/>
                <w:sz w:val="20"/>
                <w:szCs w:val="20"/>
                <w:lang w:val="en-GB" w:eastAsia="en-US"/>
              </w:rPr>
              <w:t>To what extent does Corporate Social Responsibility (CSR) influence brand loyalty among Generation Z consumers?</w:t>
            </w:r>
          </w:p>
          <w:p w14:paraId="711296F2">
            <w:pPr>
              <w:widowControl/>
              <w:jc w:val="left"/>
              <w:rPr>
                <w:rFonts w:ascii="Arial" w:hAnsi="Arial" w:eastAsia="Times New Roman" w:cs="Arial"/>
                <w:kern w:val="0"/>
                <w:sz w:val="20"/>
                <w:szCs w:val="20"/>
                <w:lang w:val="en-GB" w:eastAsia="en-US"/>
              </w:rPr>
            </w:pPr>
          </w:p>
          <w:p w14:paraId="7135AF9B">
            <w:pPr>
              <w:widowControl/>
              <w:jc w:val="left"/>
              <w:rPr>
                <w:rFonts w:ascii="Arial" w:hAnsi="Arial" w:eastAsia="Times New Roman" w:cs="Arial"/>
                <w:kern w:val="0"/>
                <w:sz w:val="22"/>
                <w:szCs w:val="22"/>
                <w:lang w:val="en-GB" w:eastAsia="en-US"/>
              </w:rPr>
            </w:pPr>
          </w:p>
          <w:p w14:paraId="339ECA84">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kern w:val="0"/>
                <w:sz w:val="18"/>
                <w:szCs w:val="18"/>
                <w:lang w:val="en-GB" w:eastAsia="en-US"/>
              </w:rPr>
              <w:t>(this box should expand as you type)</w:t>
            </w:r>
          </w:p>
        </w:tc>
      </w:tr>
      <w:tr w14:paraId="3F33D6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3FCF3F9">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5</w:t>
            </w:r>
          </w:p>
        </w:tc>
        <w:tc>
          <w:tcPr>
            <w:tcW w:w="4763" w:type="pct"/>
            <w:gridSpan w:val="4"/>
            <w:vAlign w:val="center"/>
          </w:tcPr>
          <w:p w14:paraId="5A287916">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Aims of Research Activity</w:t>
            </w:r>
          </w:p>
          <w:p w14:paraId="5DBA34D4">
            <w:pPr>
              <w:widowControl/>
              <w:jc w:val="left"/>
              <w:rPr>
                <w:rFonts w:ascii="Arial" w:hAnsi="Arial" w:eastAsia="Times New Roman" w:cs="Arial"/>
                <w:kern w:val="0"/>
                <w:sz w:val="20"/>
                <w:szCs w:val="20"/>
                <w:lang w:val="en-GB" w:eastAsia="en-US"/>
              </w:rPr>
            </w:pPr>
            <w:r>
              <w:rPr>
                <w:rFonts w:ascii="Arial" w:hAnsi="Arial" w:eastAsia="Times New Roman" w:cs="Arial"/>
                <w:kern w:val="0"/>
                <w:sz w:val="20"/>
                <w:szCs w:val="20"/>
                <w:lang w:val="en-GB" w:eastAsia="en-US"/>
              </w:rPr>
              <w:t>To explore the extent to which corporate social responsibility (CSR) initiatives influence brand loyalty among Generation Z consumers.</w:t>
            </w:r>
          </w:p>
          <w:p w14:paraId="4B89A22D">
            <w:pPr>
              <w:widowControl/>
              <w:jc w:val="left"/>
              <w:rPr>
                <w:rFonts w:ascii="Arial" w:hAnsi="Arial" w:eastAsia="Times New Roman" w:cs="Arial"/>
                <w:kern w:val="0"/>
                <w:sz w:val="20"/>
                <w:szCs w:val="20"/>
                <w:lang w:val="en-GB" w:eastAsia="en-US"/>
              </w:rPr>
            </w:pPr>
          </w:p>
          <w:p w14:paraId="7A1F672B">
            <w:pPr>
              <w:widowControl/>
              <w:jc w:val="left"/>
              <w:rPr>
                <w:rFonts w:ascii="Arial" w:hAnsi="Arial" w:eastAsia="Times New Roman" w:cs="Arial"/>
                <w:kern w:val="0"/>
                <w:sz w:val="22"/>
                <w:szCs w:val="22"/>
                <w:lang w:val="en-GB" w:eastAsia="en-US"/>
              </w:rPr>
            </w:pPr>
          </w:p>
          <w:p w14:paraId="21C5E01F">
            <w:pPr>
              <w:widowControl/>
              <w:jc w:val="left"/>
              <w:rPr>
                <w:rFonts w:ascii="Arial" w:hAnsi="Arial" w:eastAsia="Times New Roman" w:cs="Arial"/>
                <w:kern w:val="0"/>
                <w:sz w:val="20"/>
                <w:szCs w:val="20"/>
                <w:lang w:val="en-GB" w:eastAsia="en-US"/>
              </w:rPr>
            </w:pPr>
            <w:r>
              <w:rPr>
                <w:rFonts w:ascii="Arial" w:hAnsi="Arial" w:eastAsia="Times New Roman" w:cs="Arial"/>
                <w:color w:val="808080"/>
                <w:kern w:val="0"/>
                <w:sz w:val="18"/>
                <w:szCs w:val="18"/>
                <w:lang w:val="en-GB" w:eastAsia="en-US"/>
              </w:rPr>
              <w:t>(this box should expand as you type)</w:t>
            </w:r>
          </w:p>
        </w:tc>
      </w:tr>
      <w:tr w14:paraId="6CAB69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C0C89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6</w:t>
            </w:r>
          </w:p>
        </w:tc>
        <w:tc>
          <w:tcPr>
            <w:tcW w:w="4763" w:type="pct"/>
            <w:gridSpan w:val="4"/>
            <w:vAlign w:val="center"/>
          </w:tcPr>
          <w:p w14:paraId="78DC9688">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Objectives of Research Activity</w:t>
            </w:r>
          </w:p>
          <w:p w14:paraId="4187D066">
            <w:pPr>
              <w:widowControl/>
              <w:jc w:val="left"/>
              <w:rPr>
                <w:rFonts w:ascii="Arial" w:hAnsi="Arial" w:eastAsia="Times New Roman" w:cs="Arial"/>
                <w:kern w:val="0"/>
                <w:sz w:val="20"/>
                <w:szCs w:val="20"/>
                <w:lang w:val="en-GB" w:eastAsia="en-US"/>
              </w:rPr>
            </w:pPr>
            <w:r>
              <w:rPr>
                <w:rFonts w:hint="eastAsia" w:ascii="Arial" w:hAnsi="Arial" w:eastAsia="Times New Roman" w:cs="Arial"/>
                <w:kern w:val="0"/>
                <w:sz w:val="20"/>
                <w:szCs w:val="20"/>
                <w:lang w:val="en-GB" w:eastAsia="en-US"/>
              </w:rPr>
              <w:t>•</w:t>
            </w:r>
            <w:r>
              <w:rPr>
                <w:rFonts w:ascii="Arial" w:hAnsi="Arial" w:eastAsia="Times New Roman" w:cs="Arial"/>
                <w:kern w:val="0"/>
                <w:sz w:val="20"/>
                <w:szCs w:val="20"/>
                <w:lang w:val="en-GB" w:eastAsia="en-US"/>
              </w:rPr>
              <w:tab/>
            </w:r>
            <w:r>
              <w:rPr>
                <w:rFonts w:ascii="Arial" w:hAnsi="Arial" w:eastAsia="Times New Roman" w:cs="Arial"/>
                <w:kern w:val="0"/>
                <w:sz w:val="20"/>
                <w:szCs w:val="20"/>
                <w:lang w:val="en-GB" w:eastAsia="en-US"/>
              </w:rPr>
              <w:t>To identify CSR attributes most valued by Gen Z consumers.</w:t>
            </w:r>
          </w:p>
          <w:p w14:paraId="1252AF9A">
            <w:pPr>
              <w:widowControl/>
              <w:jc w:val="left"/>
              <w:rPr>
                <w:rFonts w:ascii="Arial" w:hAnsi="Arial" w:eastAsia="Times New Roman" w:cs="Arial"/>
                <w:kern w:val="0"/>
                <w:sz w:val="20"/>
                <w:szCs w:val="20"/>
                <w:lang w:val="en-GB" w:eastAsia="en-US"/>
              </w:rPr>
            </w:pPr>
            <w:r>
              <w:rPr>
                <w:rFonts w:hint="eastAsia" w:ascii="Arial" w:hAnsi="Arial" w:eastAsia="Times New Roman" w:cs="Arial"/>
                <w:kern w:val="0"/>
                <w:sz w:val="20"/>
                <w:szCs w:val="20"/>
                <w:lang w:val="en-GB" w:eastAsia="en-US"/>
              </w:rPr>
              <w:t>•</w:t>
            </w:r>
            <w:r>
              <w:rPr>
                <w:rFonts w:ascii="Arial" w:hAnsi="Arial" w:eastAsia="Times New Roman" w:cs="Arial"/>
                <w:kern w:val="0"/>
                <w:sz w:val="20"/>
                <w:szCs w:val="20"/>
                <w:lang w:val="en-GB" w:eastAsia="en-US"/>
              </w:rPr>
              <w:tab/>
            </w:r>
            <w:r>
              <w:rPr>
                <w:rFonts w:ascii="Arial" w:hAnsi="Arial" w:eastAsia="Times New Roman" w:cs="Arial"/>
                <w:kern w:val="0"/>
                <w:sz w:val="20"/>
                <w:szCs w:val="20"/>
                <w:lang w:val="en-GB" w:eastAsia="en-US"/>
              </w:rPr>
              <w:t>To evaluate the perceived relationship between CSR and brand trust among Gen Z.</w:t>
            </w:r>
          </w:p>
          <w:p w14:paraId="0927528F">
            <w:pPr>
              <w:widowControl/>
              <w:jc w:val="left"/>
              <w:rPr>
                <w:rFonts w:ascii="Arial" w:hAnsi="Arial" w:eastAsia="Times New Roman" w:cs="Arial"/>
                <w:kern w:val="0"/>
                <w:sz w:val="20"/>
                <w:szCs w:val="20"/>
                <w:lang w:val="en-GB" w:eastAsia="en-US"/>
              </w:rPr>
            </w:pPr>
            <w:r>
              <w:rPr>
                <w:rFonts w:hint="eastAsia" w:ascii="Arial" w:hAnsi="Arial" w:eastAsia="Times New Roman" w:cs="Arial"/>
                <w:kern w:val="0"/>
                <w:sz w:val="20"/>
                <w:szCs w:val="20"/>
                <w:lang w:val="en-GB" w:eastAsia="en-US"/>
              </w:rPr>
              <w:t>•</w:t>
            </w:r>
            <w:r>
              <w:rPr>
                <w:rFonts w:ascii="Arial" w:hAnsi="Arial" w:eastAsia="Times New Roman" w:cs="Arial"/>
                <w:kern w:val="0"/>
                <w:sz w:val="20"/>
                <w:szCs w:val="20"/>
                <w:lang w:val="en-GB" w:eastAsia="en-US"/>
              </w:rPr>
              <w:tab/>
            </w:r>
            <w:r>
              <w:rPr>
                <w:rFonts w:ascii="Arial" w:hAnsi="Arial" w:eastAsia="Times New Roman" w:cs="Arial"/>
                <w:kern w:val="0"/>
                <w:sz w:val="20"/>
                <w:szCs w:val="20"/>
                <w:lang w:val="en-GB" w:eastAsia="en-US"/>
              </w:rPr>
              <w:t>To assess the impact of CSR engagement on Gen Z’s purchase intentions and loyalty.</w:t>
            </w:r>
          </w:p>
          <w:p w14:paraId="4496E07C">
            <w:pPr>
              <w:widowControl/>
              <w:jc w:val="left"/>
              <w:rPr>
                <w:rFonts w:ascii="Arial" w:hAnsi="Arial" w:eastAsia="Times New Roman" w:cs="Arial"/>
                <w:kern w:val="0"/>
                <w:sz w:val="20"/>
                <w:szCs w:val="20"/>
                <w:lang w:val="en-GB" w:eastAsia="en-US"/>
              </w:rPr>
            </w:pPr>
            <w:r>
              <w:rPr>
                <w:rFonts w:hint="eastAsia" w:ascii="Arial" w:hAnsi="Arial" w:eastAsia="Times New Roman" w:cs="Arial"/>
                <w:kern w:val="0"/>
                <w:sz w:val="20"/>
                <w:szCs w:val="20"/>
                <w:lang w:val="en-GB" w:eastAsia="en-US"/>
              </w:rPr>
              <w:t>•</w:t>
            </w:r>
            <w:r>
              <w:rPr>
                <w:rFonts w:ascii="Arial" w:hAnsi="Arial" w:eastAsia="Times New Roman" w:cs="Arial"/>
                <w:kern w:val="0"/>
                <w:sz w:val="20"/>
                <w:szCs w:val="20"/>
                <w:lang w:val="en-GB" w:eastAsia="en-US"/>
              </w:rPr>
              <w:tab/>
            </w:r>
            <w:r>
              <w:rPr>
                <w:rFonts w:ascii="Arial" w:hAnsi="Arial" w:eastAsia="Times New Roman" w:cs="Arial"/>
                <w:kern w:val="0"/>
                <w:sz w:val="20"/>
                <w:szCs w:val="20"/>
                <w:lang w:val="en-GB" w:eastAsia="en-US"/>
              </w:rPr>
              <w:t>To propose strategic recommendations for businesses to improve Gen Z brand loyalty via CSR.</w:t>
            </w:r>
          </w:p>
          <w:p w14:paraId="6B2ED926">
            <w:pPr>
              <w:widowControl/>
              <w:jc w:val="left"/>
              <w:rPr>
                <w:rFonts w:ascii="Arial" w:hAnsi="Arial" w:eastAsia="Times New Roman" w:cs="Arial"/>
                <w:kern w:val="0"/>
                <w:sz w:val="22"/>
                <w:szCs w:val="22"/>
                <w:lang w:val="en-GB" w:eastAsia="en-US"/>
              </w:rPr>
            </w:pPr>
          </w:p>
          <w:p w14:paraId="7F4D7A6A">
            <w:pPr>
              <w:widowControl/>
              <w:jc w:val="left"/>
              <w:rPr>
                <w:rFonts w:ascii="Arial" w:hAnsi="Arial" w:eastAsia="Times New Roman" w:cs="Arial"/>
                <w:kern w:val="0"/>
                <w:sz w:val="22"/>
                <w:szCs w:val="22"/>
                <w:lang w:val="en-GB" w:eastAsia="en-US"/>
              </w:rPr>
            </w:pPr>
          </w:p>
          <w:p w14:paraId="5A5E3F33">
            <w:pPr>
              <w:widowControl/>
              <w:jc w:val="left"/>
              <w:rPr>
                <w:rFonts w:ascii="Arial" w:hAnsi="Arial" w:eastAsia="Times New Roman" w:cs="Arial"/>
                <w:kern w:val="0"/>
                <w:sz w:val="22"/>
                <w:szCs w:val="22"/>
                <w:lang w:val="en-GB" w:eastAsia="en-US"/>
              </w:rPr>
            </w:pPr>
            <w:r>
              <w:rPr>
                <w:rFonts w:ascii="Arial" w:hAnsi="Arial" w:eastAsia="Times New Roman" w:cs="Arial"/>
                <w:color w:val="808080"/>
                <w:kern w:val="0"/>
                <w:sz w:val="18"/>
                <w:szCs w:val="18"/>
                <w:lang w:val="en-GB" w:eastAsia="en-US"/>
              </w:rPr>
              <w:t>(this box should expand as you type)</w:t>
            </w:r>
          </w:p>
        </w:tc>
      </w:tr>
      <w:tr w14:paraId="3A16AB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vAlign w:val="center"/>
          </w:tcPr>
          <w:p w14:paraId="07051657">
            <w:pPr>
              <w:widowControl/>
              <w:spacing w:before="120" w:after="120"/>
              <w:jc w:val="left"/>
              <w:rPr>
                <w:rFonts w:ascii="Arial" w:hAnsi="Arial" w:eastAsia="Times New Roman" w:cs="Arial"/>
                <w:kern w:val="0"/>
                <w:sz w:val="22"/>
                <w:szCs w:val="22"/>
                <w:lang w:val="en-GB" w:eastAsia="en-US"/>
              </w:rPr>
            </w:pPr>
          </w:p>
        </w:tc>
        <w:tc>
          <w:tcPr>
            <w:tcW w:w="4763" w:type="pct"/>
            <w:gridSpan w:val="4"/>
            <w:shd w:val="clear" w:color="auto" w:fill="F1F1F1"/>
            <w:vAlign w:val="center"/>
          </w:tcPr>
          <w:p w14:paraId="6936B995">
            <w:pPr>
              <w:widowControl/>
              <w:spacing w:before="120" w:after="120"/>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Proposed data collection methods (maximum 600 words)</w:t>
            </w:r>
          </w:p>
          <w:p w14:paraId="737A68E2">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 xml:space="preserve">Provide a brief summary of all the methods that </w:t>
            </w:r>
            <w:r>
              <w:rPr>
                <w:rFonts w:ascii="Arial" w:hAnsi="Arial" w:eastAsia="Times New Roman" w:cs="Arial"/>
                <w:b/>
                <w:kern w:val="0"/>
                <w:sz w:val="22"/>
                <w:szCs w:val="22"/>
                <w:lang w:val="en-GB" w:eastAsia="en-US"/>
              </w:rPr>
              <w:t>may</w:t>
            </w:r>
            <w:r>
              <w:rPr>
                <w:rFonts w:ascii="Arial" w:hAnsi="Arial" w:eastAsia="Times New Roman" w:cs="Arial"/>
                <w:kern w:val="0"/>
                <w:sz w:val="22"/>
                <w:szCs w:val="22"/>
                <w:lang w:val="en-GB" w:eastAsia="en-US"/>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4D8821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12C00708">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7</w:t>
            </w:r>
          </w:p>
        </w:tc>
        <w:tc>
          <w:tcPr>
            <w:tcW w:w="4763" w:type="pct"/>
            <w:gridSpan w:val="4"/>
            <w:vAlign w:val="center"/>
          </w:tcPr>
          <w:p w14:paraId="6BDA8A55">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The proposed data collection for this research will be conducted through a structured, self-administered online questionnaire. This approach has been selected to ensure efficiency, scalability, and accessibility, particularly given the digital nature and online engagement tendencies of Generation Z participants.</w:t>
            </w:r>
          </w:p>
          <w:p w14:paraId="39F9C335">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The questionnaire will be hosted on a reliable survey platform such as Google Forms or Microsoft Forms. The form will be accessible via a shareable link and distributed through multiple online channels to maximise reach. These include social media platforms such as Instagram and WhatsApp,  which are frequently used by Gen Z for communication and information sharing.</w:t>
            </w:r>
          </w:p>
          <w:p w14:paraId="3DC2AA7C">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The target participants are individuals born between 1997 and 2012 (Generation Z) currently residing in Wales. To ensure that respondents belong to the intended demographic, the survey will include an initial screening section asking for the respondent's birth year and consent to participate. Only those whose year of birth confirms Gen Z eligibility will be able to proceed to the main section of the survey.</w:t>
            </w:r>
          </w:p>
          <w:p w14:paraId="701335E7">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The questionnaire will comprise several parts:</w:t>
            </w:r>
          </w:p>
          <w:p w14:paraId="2C07DD79">
            <w:pPr>
              <w:numPr>
                <w:ilvl w:val="0"/>
                <w:numId w:val="18"/>
              </w:numPr>
              <w:spacing w:before="100" w:beforeAutospacing="1" w:after="100" w:afterAutospacing="1"/>
              <w:ind w:left="720" w:hanging="360"/>
              <w:jc w:val="both"/>
              <w:rPr>
                <w:rFonts w:ascii="Arial" w:hAnsi="Arial" w:eastAsia="Times New Roman" w:cs="Arial"/>
                <w:sz w:val="22"/>
                <w:szCs w:val="22"/>
                <w:lang w:val="en-GB" w:eastAsia="en-US" w:bidi="ar-SA"/>
              </w:rPr>
            </w:pPr>
            <w:r>
              <w:rPr>
                <w:rFonts w:ascii="Arial" w:hAnsi="Arial" w:eastAsia="Times New Roman" w:cs="Arial"/>
                <w:b/>
                <w:bCs/>
                <w:sz w:val="22"/>
                <w:szCs w:val="22"/>
                <w:lang w:val="en-GB" w:eastAsia="en-US" w:bidi="ar-SA"/>
              </w:rPr>
              <w:t>Screening Section</w:t>
            </w:r>
            <w:r>
              <w:rPr>
                <w:rFonts w:ascii="Arial" w:hAnsi="Arial" w:eastAsia="Times New Roman" w:cs="Arial"/>
                <w:sz w:val="22"/>
                <w:szCs w:val="22"/>
                <w:lang w:val="en-GB" w:eastAsia="en-US" w:bidi="ar-SA"/>
              </w:rPr>
              <w:t xml:space="preserve"> – Age/birth year verification and consent to participate.</w:t>
            </w:r>
          </w:p>
          <w:p w14:paraId="44C83CDB">
            <w:pPr>
              <w:numPr>
                <w:ilvl w:val="0"/>
                <w:numId w:val="18"/>
              </w:numPr>
              <w:spacing w:before="100" w:beforeAutospacing="1" w:after="100" w:afterAutospacing="1"/>
              <w:ind w:left="720" w:hanging="360"/>
              <w:jc w:val="both"/>
              <w:rPr>
                <w:rFonts w:ascii="Arial" w:hAnsi="Arial" w:eastAsia="Times New Roman" w:cs="Arial"/>
                <w:sz w:val="22"/>
                <w:szCs w:val="22"/>
                <w:lang w:val="en-GB" w:eastAsia="en-US" w:bidi="ar-SA"/>
              </w:rPr>
            </w:pPr>
            <w:r>
              <w:rPr>
                <w:rFonts w:ascii="Arial" w:hAnsi="Arial" w:eastAsia="Times New Roman" w:cs="Arial"/>
                <w:b/>
                <w:bCs/>
                <w:sz w:val="22"/>
                <w:szCs w:val="22"/>
                <w:lang w:val="en-GB" w:eastAsia="en-US" w:bidi="ar-SA"/>
              </w:rPr>
              <w:t>Demographics Section</w:t>
            </w:r>
            <w:r>
              <w:rPr>
                <w:rFonts w:ascii="Arial" w:hAnsi="Arial" w:eastAsia="Times New Roman" w:cs="Arial"/>
                <w:sz w:val="22"/>
                <w:szCs w:val="22"/>
                <w:lang w:val="en-GB" w:eastAsia="en-US" w:bidi="ar-SA"/>
              </w:rPr>
              <w:t xml:space="preserve"> – Questions on gender, education level, employment status, and social media usage.</w:t>
            </w:r>
          </w:p>
          <w:p w14:paraId="50D3657D">
            <w:pPr>
              <w:numPr>
                <w:ilvl w:val="0"/>
                <w:numId w:val="18"/>
              </w:numPr>
              <w:spacing w:before="100" w:beforeAutospacing="1" w:after="100" w:afterAutospacing="1"/>
              <w:ind w:left="720" w:hanging="360"/>
              <w:jc w:val="both"/>
              <w:rPr>
                <w:rFonts w:ascii="Arial" w:hAnsi="Arial" w:eastAsia="Times New Roman" w:cs="Arial"/>
                <w:sz w:val="22"/>
                <w:szCs w:val="22"/>
                <w:lang w:val="en-GB" w:eastAsia="en-US" w:bidi="ar-SA"/>
              </w:rPr>
            </w:pPr>
            <w:r>
              <w:rPr>
                <w:rFonts w:ascii="Arial" w:hAnsi="Arial" w:eastAsia="Times New Roman" w:cs="Arial"/>
                <w:b/>
                <w:bCs/>
                <w:sz w:val="22"/>
                <w:szCs w:val="22"/>
                <w:lang w:val="en-GB" w:eastAsia="en-US" w:bidi="ar-SA"/>
              </w:rPr>
              <w:t>CSR Perception Section</w:t>
            </w:r>
            <w:r>
              <w:rPr>
                <w:rFonts w:ascii="Arial" w:hAnsi="Arial" w:eastAsia="Times New Roman" w:cs="Arial"/>
                <w:sz w:val="22"/>
                <w:szCs w:val="22"/>
                <w:lang w:val="en-GB" w:eastAsia="en-US" w:bidi="ar-SA"/>
              </w:rPr>
              <w:t xml:space="preserve"> – A series of statements measured using a 5-point Likert scale (1 = Strongly Disagree to 5 = Strongly Agree). These items will explore CSR dimensions such as ethical labour practices, environmental sustainability, charitable engagement, and transparency.</w:t>
            </w:r>
          </w:p>
          <w:p w14:paraId="58E954A2">
            <w:pPr>
              <w:numPr>
                <w:ilvl w:val="0"/>
                <w:numId w:val="18"/>
              </w:numPr>
              <w:spacing w:before="100" w:beforeAutospacing="1" w:after="100" w:afterAutospacing="1"/>
              <w:ind w:left="720" w:hanging="360"/>
              <w:jc w:val="both"/>
              <w:rPr>
                <w:rFonts w:ascii="Arial" w:hAnsi="Arial" w:eastAsia="Times New Roman" w:cs="Arial"/>
                <w:sz w:val="22"/>
                <w:szCs w:val="22"/>
                <w:lang w:val="en-GB" w:eastAsia="en-US" w:bidi="ar-SA"/>
              </w:rPr>
            </w:pPr>
            <w:r>
              <w:rPr>
                <w:rFonts w:ascii="Arial" w:hAnsi="Arial" w:eastAsia="Times New Roman" w:cs="Arial"/>
                <w:b/>
                <w:bCs/>
                <w:sz w:val="22"/>
                <w:szCs w:val="22"/>
                <w:lang w:val="en-GB" w:eastAsia="en-US" w:bidi="ar-SA"/>
              </w:rPr>
              <w:t>Brand Loyalty Section</w:t>
            </w:r>
            <w:r>
              <w:rPr>
                <w:rFonts w:ascii="Arial" w:hAnsi="Arial" w:eastAsia="Times New Roman" w:cs="Arial"/>
                <w:sz w:val="22"/>
                <w:szCs w:val="22"/>
                <w:lang w:val="en-GB" w:eastAsia="en-US" w:bidi="ar-SA"/>
              </w:rPr>
              <w:t xml:space="preserve"> – Statements assessing brand trust, emotional attachment, repurchase intention, and likelihood of brand advocacy (e.g., recommending the brand to others).</w:t>
            </w:r>
          </w:p>
          <w:p w14:paraId="0A60BE18">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No personally identifiable information such as names, email addresses, or phone numbers will be collected. The survey is designed to maintain full anonymity and confidentiality. Responses will be automatically coded through the survey platform, and only aggregated data will be used in analysis and reporting.</w:t>
            </w:r>
          </w:p>
          <w:p w14:paraId="3C696022">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Data collection will be open for a period of approximately two weeks. During this time, the researcher will regularly monitor response rates and, if necessary, send reminders via the initial distribution channels. All data submitted through the survey will be stored securely in a password-protected cloud storage account and backed up on encrypted devices.</w:t>
            </w:r>
          </w:p>
          <w:p w14:paraId="3199C1C8">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Participants will be informed that participation is entirely voluntary and that they may exit the survey at any point before submission. They will also be notified that their responses are anonymous and will only be used for academic research purposes.</w:t>
            </w:r>
          </w:p>
          <w:p w14:paraId="72ABEFCB">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No audio, video, or photographic recordings will be used during this data collection process. There will be no face-to-face or virtual interviews, and no observational techniques will be applied. The entire process will remain digital and questionnaire-based, ensuring minimal risk to participants and a streamlined, consistent collection of responses suitable for quantitative analysis.</w:t>
            </w:r>
          </w:p>
          <w:p w14:paraId="491B2C4B">
            <w:pPr>
              <w:spacing w:before="100" w:beforeAutospacing="1" w:after="100" w:afterAutospacing="1"/>
              <w:jc w:val="both"/>
              <w:rPr>
                <w:rFonts w:ascii="Arial" w:hAnsi="Arial" w:eastAsia="Times New Roman" w:cs="Arial"/>
                <w:sz w:val="22"/>
                <w:szCs w:val="22"/>
                <w:lang w:val="en-GB" w:eastAsia="en-US" w:bidi="ar-SA"/>
              </w:rPr>
            </w:pPr>
            <w:r>
              <w:rPr>
                <w:rFonts w:ascii="Arial" w:hAnsi="Arial" w:eastAsia="Times New Roman" w:cs="Arial"/>
                <w:sz w:val="22"/>
                <w:szCs w:val="22"/>
                <w:lang w:val="en-GB" w:eastAsia="en-US" w:bidi="ar-SA"/>
              </w:rPr>
              <w:t>Should any changes to this method be required during the study (e.g., the addition of interviews), separate ethical approval will be sought before implementing such modifications.</w:t>
            </w:r>
          </w:p>
          <w:p w14:paraId="327F024D">
            <w:pPr>
              <w:widowControl/>
              <w:jc w:val="left"/>
              <w:rPr>
                <w:rFonts w:ascii="Arial" w:hAnsi="Arial" w:eastAsia="Times New Roman" w:cs="Arial"/>
                <w:b/>
                <w:kern w:val="0"/>
                <w:sz w:val="22"/>
                <w:szCs w:val="22"/>
                <w:lang w:val="en-GB" w:eastAsia="en-US"/>
              </w:rPr>
            </w:pPr>
          </w:p>
        </w:tc>
      </w:tr>
    </w:tbl>
    <w:p w14:paraId="7A7F1FA3">
      <w:pPr>
        <w:widowControl/>
        <w:jc w:val="left"/>
        <w:rPr>
          <w:rFonts w:ascii="Times New Roman" w:hAnsi="Times New Roman" w:eastAsia="Times New Roman" w:cs="Times New Roman"/>
          <w:kern w:val="0"/>
          <w:sz w:val="20"/>
          <w:szCs w:val="20"/>
          <w:lang w:val="en-GB" w:eastAsia="en-US"/>
        </w:rPr>
      </w:pPr>
    </w:p>
    <w:p w14:paraId="79ED9D9B">
      <w:pPr>
        <w:widowControl/>
        <w:spacing w:after="240"/>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D: Scope of Research Activity</w:t>
      </w:r>
    </w:p>
    <w:tbl>
      <w:tblPr>
        <w:tblStyle w:val="6"/>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66B99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vAlign w:val="center"/>
          </w:tcPr>
          <w:p w14:paraId="2BC44B01">
            <w:pPr>
              <w:widowControl/>
              <w:autoSpaceDE w:val="0"/>
              <w:autoSpaceDN w:val="0"/>
              <w:adjustRightInd w:val="0"/>
              <w:jc w:val="left"/>
              <w:rPr>
                <w:rFonts w:ascii="Arial" w:hAnsi="Arial" w:eastAsia="Times New Roman" w:cs="Arial"/>
                <w:b/>
                <w:kern w:val="0"/>
                <w:sz w:val="22"/>
                <w:szCs w:val="22"/>
                <w:lang w:val="en-GB" w:eastAsia="en-US"/>
              </w:rPr>
            </w:pPr>
          </w:p>
        </w:tc>
        <w:tc>
          <w:tcPr>
            <w:tcW w:w="8227" w:type="dxa"/>
            <w:shd w:val="clear" w:color="auto" w:fill="F1F1F1"/>
            <w:vAlign w:val="center"/>
          </w:tcPr>
          <w:p w14:paraId="247E3D68">
            <w:pPr>
              <w:widowControl/>
              <w:autoSpaceDE w:val="0"/>
              <w:autoSpaceDN w:val="0"/>
              <w:adjustRightInd w:val="0"/>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Will the research activity include:</w:t>
            </w:r>
          </w:p>
        </w:tc>
        <w:tc>
          <w:tcPr>
            <w:tcW w:w="846" w:type="dxa"/>
            <w:shd w:val="clear" w:color="auto" w:fill="F1F1F1"/>
            <w:vAlign w:val="center"/>
          </w:tcPr>
          <w:p w14:paraId="1A0682AB">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YES</w:t>
            </w:r>
          </w:p>
        </w:tc>
        <w:tc>
          <w:tcPr>
            <w:tcW w:w="816" w:type="dxa"/>
            <w:shd w:val="clear" w:color="auto" w:fill="F1F1F1"/>
            <w:vAlign w:val="center"/>
          </w:tcPr>
          <w:p w14:paraId="06CFA354">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NO</w:t>
            </w:r>
          </w:p>
        </w:tc>
      </w:tr>
      <w:tr w14:paraId="3FAFA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783FA34B">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w:t>
            </w:r>
          </w:p>
        </w:tc>
        <w:tc>
          <w:tcPr>
            <w:tcW w:w="8227" w:type="dxa"/>
            <w:shd w:val="clear" w:color="auto" w:fill="F1F1F1"/>
            <w:vAlign w:val="center"/>
          </w:tcPr>
          <w:p w14:paraId="3C686264">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Use of a questionnaire or similar research instrument?</w:t>
            </w:r>
          </w:p>
        </w:tc>
        <w:tc>
          <w:tcPr>
            <w:tcW w:w="846" w:type="dxa"/>
            <w:shd w:val="clear" w:color="auto" w:fill="BEBEBE"/>
            <w:vAlign w:val="center"/>
          </w:tcPr>
          <w:sdt>
            <w:sdtPr>
              <w:rPr>
                <w:rFonts w:ascii="Arial" w:hAnsi="Arial" w:eastAsia="Times New Roman" w:cs="Arial"/>
                <w:b/>
                <w:bCs/>
                <w:sz w:val="22"/>
                <w:szCs w:val="22"/>
                <w:lang w:val="en-GB" w:eastAsia="en-GB" w:bidi="ar-SA"/>
              </w:rPr>
              <w:id w:val="184373907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B9370C5">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47414393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259F242">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1DA3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51838610">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w:t>
            </w:r>
          </w:p>
        </w:tc>
        <w:tc>
          <w:tcPr>
            <w:tcW w:w="8227" w:type="dxa"/>
            <w:shd w:val="clear" w:color="auto" w:fill="F1F1F1"/>
            <w:vAlign w:val="center"/>
          </w:tcPr>
          <w:p w14:paraId="3DBAE9C1">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Use of interviews?</w:t>
            </w:r>
          </w:p>
        </w:tc>
        <w:tc>
          <w:tcPr>
            <w:tcW w:w="846" w:type="dxa"/>
            <w:shd w:val="clear" w:color="auto" w:fill="BEBEBE"/>
            <w:vAlign w:val="center"/>
          </w:tcPr>
          <w:sdt>
            <w:sdtPr>
              <w:rPr>
                <w:rFonts w:ascii="Arial" w:hAnsi="Arial" w:eastAsia="Times New Roman" w:cs="Arial"/>
                <w:b/>
                <w:bCs/>
                <w:sz w:val="22"/>
                <w:szCs w:val="22"/>
                <w:lang w:val="en-GB" w:eastAsia="en-GB" w:bidi="ar-SA"/>
              </w:rPr>
              <w:id w:val="-80076548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6A6781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74992678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B58EDAD">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E4F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1342C5D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3</w:t>
            </w:r>
          </w:p>
        </w:tc>
        <w:tc>
          <w:tcPr>
            <w:tcW w:w="8227" w:type="dxa"/>
            <w:shd w:val="clear" w:color="auto" w:fill="F1F1F1"/>
            <w:vAlign w:val="center"/>
          </w:tcPr>
          <w:p w14:paraId="03AD057B">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Use of focus groups?</w:t>
            </w:r>
          </w:p>
        </w:tc>
        <w:tc>
          <w:tcPr>
            <w:tcW w:w="846" w:type="dxa"/>
            <w:shd w:val="clear" w:color="auto" w:fill="BEBEBE"/>
            <w:vAlign w:val="center"/>
          </w:tcPr>
          <w:sdt>
            <w:sdtPr>
              <w:rPr>
                <w:rFonts w:ascii="Arial" w:hAnsi="Arial" w:eastAsia="Times New Roman" w:cs="Arial"/>
                <w:b/>
                <w:bCs/>
                <w:sz w:val="22"/>
                <w:szCs w:val="22"/>
                <w:lang w:val="en-GB" w:eastAsia="en-GB" w:bidi="ar-SA"/>
              </w:rPr>
              <w:id w:val="-50704970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FB7E586">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123836872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CED151A">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070C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2946FE9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4</w:t>
            </w:r>
          </w:p>
        </w:tc>
        <w:tc>
          <w:tcPr>
            <w:tcW w:w="8227" w:type="dxa"/>
            <w:shd w:val="clear" w:color="auto" w:fill="F1F1F1"/>
            <w:vAlign w:val="center"/>
          </w:tcPr>
          <w:p w14:paraId="23A114E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 xml:space="preserve">Use of participant diaries? </w:t>
            </w:r>
          </w:p>
        </w:tc>
        <w:tc>
          <w:tcPr>
            <w:tcW w:w="846" w:type="dxa"/>
            <w:shd w:val="clear" w:color="auto" w:fill="BEBEBE"/>
            <w:vAlign w:val="center"/>
          </w:tcPr>
          <w:sdt>
            <w:sdtPr>
              <w:rPr>
                <w:rFonts w:ascii="Arial" w:hAnsi="Arial" w:eastAsia="Times New Roman" w:cs="Arial"/>
                <w:b/>
                <w:bCs/>
                <w:sz w:val="22"/>
                <w:szCs w:val="22"/>
                <w:lang w:val="en-GB" w:eastAsia="en-GB" w:bidi="ar-SA"/>
              </w:rPr>
              <w:id w:val="31946866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5AB06E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90048358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D33CB57">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526D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0C812CE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5</w:t>
            </w:r>
          </w:p>
        </w:tc>
        <w:tc>
          <w:tcPr>
            <w:tcW w:w="8227" w:type="dxa"/>
            <w:shd w:val="clear" w:color="auto" w:fill="F1F1F1"/>
            <w:vAlign w:val="center"/>
          </w:tcPr>
          <w:p w14:paraId="52A4C95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Use of video or audio recording?</w:t>
            </w:r>
          </w:p>
        </w:tc>
        <w:tc>
          <w:tcPr>
            <w:tcW w:w="846" w:type="dxa"/>
            <w:shd w:val="clear" w:color="auto" w:fill="BEBEBE"/>
            <w:vAlign w:val="center"/>
          </w:tcPr>
          <w:sdt>
            <w:sdtPr>
              <w:rPr>
                <w:rFonts w:ascii="Arial" w:hAnsi="Arial" w:eastAsia="Times New Roman" w:cs="Arial"/>
                <w:b/>
                <w:bCs/>
                <w:sz w:val="22"/>
                <w:szCs w:val="22"/>
                <w:lang w:val="en-GB" w:eastAsia="en-GB" w:bidi="ar-SA"/>
              </w:rPr>
              <w:id w:val="-49472329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6CC5776">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167229889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8440955">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13FE5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DEA9D79">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6</w:t>
            </w:r>
          </w:p>
        </w:tc>
        <w:tc>
          <w:tcPr>
            <w:tcW w:w="8227" w:type="dxa"/>
            <w:shd w:val="clear" w:color="auto" w:fill="F1F1F1"/>
            <w:vAlign w:val="center"/>
          </w:tcPr>
          <w:p w14:paraId="0CA80EC4">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Use of computer-generated log files?</w:t>
            </w:r>
          </w:p>
        </w:tc>
        <w:tc>
          <w:tcPr>
            <w:tcW w:w="846" w:type="dxa"/>
            <w:shd w:val="clear" w:color="auto" w:fill="BEBEBE"/>
            <w:vAlign w:val="center"/>
          </w:tcPr>
          <w:sdt>
            <w:sdtPr>
              <w:rPr>
                <w:rFonts w:ascii="Arial" w:hAnsi="Arial" w:eastAsia="Times New Roman" w:cs="Arial"/>
                <w:b/>
                <w:bCs/>
                <w:sz w:val="22"/>
                <w:szCs w:val="22"/>
                <w:lang w:val="en-GB" w:eastAsia="en-GB" w:bidi="ar-SA"/>
              </w:rPr>
              <w:id w:val="28239488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64B2695">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1338917432"/>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C13F08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EF1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207E315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7</w:t>
            </w:r>
          </w:p>
        </w:tc>
        <w:tc>
          <w:tcPr>
            <w:tcW w:w="8227" w:type="dxa"/>
            <w:shd w:val="clear" w:color="auto" w:fill="F1F1F1"/>
            <w:vAlign w:val="center"/>
          </w:tcPr>
          <w:p w14:paraId="2436F86C">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Participant observation with their knowledge?</w:t>
            </w:r>
          </w:p>
        </w:tc>
        <w:tc>
          <w:tcPr>
            <w:tcW w:w="846" w:type="dxa"/>
            <w:shd w:val="clear" w:color="auto" w:fill="BEBEBE"/>
            <w:vAlign w:val="center"/>
          </w:tcPr>
          <w:sdt>
            <w:sdtPr>
              <w:rPr>
                <w:rFonts w:ascii="Arial" w:hAnsi="Arial" w:eastAsia="Times New Roman" w:cs="Arial"/>
                <w:b/>
                <w:bCs/>
                <w:sz w:val="22"/>
                <w:szCs w:val="22"/>
                <w:lang w:val="en-GB" w:eastAsia="en-GB" w:bidi="ar-SA"/>
              </w:rPr>
              <w:id w:val="-194259949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BE514B5">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6262867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E585CEA">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3031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79F9E76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8</w:t>
            </w:r>
          </w:p>
        </w:tc>
        <w:tc>
          <w:tcPr>
            <w:tcW w:w="8227" w:type="dxa"/>
            <w:shd w:val="clear" w:color="auto" w:fill="F1F1F1"/>
            <w:vAlign w:val="center"/>
          </w:tcPr>
          <w:p w14:paraId="032E8E3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Participant observation without their knowledge?</w:t>
            </w:r>
          </w:p>
        </w:tc>
        <w:tc>
          <w:tcPr>
            <w:tcW w:w="846" w:type="dxa"/>
            <w:shd w:val="clear" w:color="auto" w:fill="BEBEBE"/>
            <w:vAlign w:val="center"/>
          </w:tcPr>
          <w:sdt>
            <w:sdtPr>
              <w:rPr>
                <w:rFonts w:ascii="Arial" w:hAnsi="Arial" w:eastAsia="Times New Roman" w:cs="Arial"/>
                <w:b/>
                <w:bCs/>
                <w:sz w:val="22"/>
                <w:szCs w:val="22"/>
                <w:lang w:val="en-GB" w:eastAsia="en-GB" w:bidi="ar-SA"/>
              </w:rPr>
              <w:id w:val="-38718734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C12B850">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158067521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53590DB">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551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379B056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9</w:t>
            </w:r>
          </w:p>
        </w:tc>
        <w:tc>
          <w:tcPr>
            <w:tcW w:w="8227" w:type="dxa"/>
            <w:shd w:val="clear" w:color="auto" w:fill="F1F1F1"/>
            <w:vAlign w:val="center"/>
          </w:tcPr>
          <w:p w14:paraId="512A793C">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Access to personal or confidential information without the participants’ specific consent?</w:t>
            </w:r>
          </w:p>
        </w:tc>
        <w:tc>
          <w:tcPr>
            <w:tcW w:w="846" w:type="dxa"/>
            <w:shd w:val="clear" w:color="auto" w:fill="BEBEBE"/>
            <w:vAlign w:val="center"/>
          </w:tcPr>
          <w:sdt>
            <w:sdtPr>
              <w:rPr>
                <w:rFonts w:ascii="Arial" w:hAnsi="Arial" w:eastAsia="Times New Roman" w:cs="Arial"/>
                <w:b/>
                <w:bCs/>
                <w:sz w:val="22"/>
                <w:szCs w:val="22"/>
                <w:lang w:val="en-GB" w:eastAsia="en-GB" w:bidi="ar-SA"/>
              </w:rPr>
              <w:id w:val="-139712056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579DD9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58704826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F35FDAA">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736B0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3125609C">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10</w:t>
            </w:r>
          </w:p>
        </w:tc>
        <w:tc>
          <w:tcPr>
            <w:tcW w:w="8227" w:type="dxa"/>
            <w:shd w:val="clear" w:color="auto" w:fill="F1F1F1"/>
            <w:vAlign w:val="center"/>
          </w:tcPr>
          <w:p w14:paraId="01F8162B">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Administration of any questions, test stimuli, presentation that may be experienced as physically, mentally or emotionally harmful / offensive?</w:t>
            </w:r>
          </w:p>
        </w:tc>
        <w:tc>
          <w:tcPr>
            <w:tcW w:w="846" w:type="dxa"/>
            <w:shd w:val="clear" w:color="auto" w:fill="BEBEBE"/>
            <w:vAlign w:val="center"/>
          </w:tcPr>
          <w:sdt>
            <w:sdtPr>
              <w:rPr>
                <w:rFonts w:ascii="Arial" w:hAnsi="Arial" w:eastAsia="Times New Roman" w:cs="Arial"/>
                <w:b/>
                <w:bCs/>
                <w:sz w:val="22"/>
                <w:szCs w:val="22"/>
                <w:lang w:val="en-GB" w:eastAsia="en-GB" w:bidi="ar-SA"/>
              </w:rPr>
              <w:id w:val="-72391151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5772CC4">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65527024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7FD1712">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1D9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6B6E558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11</w:t>
            </w:r>
          </w:p>
        </w:tc>
        <w:tc>
          <w:tcPr>
            <w:tcW w:w="8227" w:type="dxa"/>
            <w:shd w:val="clear" w:color="auto" w:fill="F1F1F1"/>
            <w:vAlign w:val="center"/>
          </w:tcPr>
          <w:p w14:paraId="02D48825">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Performance of any acts which may cause embarrassment or affect self-esteem?</w:t>
            </w:r>
          </w:p>
        </w:tc>
        <w:tc>
          <w:tcPr>
            <w:tcW w:w="846" w:type="dxa"/>
            <w:shd w:val="clear" w:color="auto" w:fill="BEBEBE"/>
            <w:vAlign w:val="center"/>
          </w:tcPr>
          <w:sdt>
            <w:sdtPr>
              <w:rPr>
                <w:rFonts w:ascii="Arial" w:hAnsi="Arial" w:eastAsia="Times New Roman" w:cs="Arial"/>
                <w:b/>
                <w:bCs/>
                <w:sz w:val="22"/>
                <w:szCs w:val="22"/>
                <w:lang w:val="en-GB" w:eastAsia="en-GB" w:bidi="ar-SA"/>
              </w:rPr>
              <w:id w:val="199497716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E77B468">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211944280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150BFC4">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486E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25B6F2FD">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12</w:t>
            </w:r>
          </w:p>
        </w:tc>
        <w:tc>
          <w:tcPr>
            <w:tcW w:w="8227" w:type="dxa"/>
            <w:shd w:val="clear" w:color="auto" w:fill="F1F1F1"/>
            <w:vAlign w:val="center"/>
          </w:tcPr>
          <w:p w14:paraId="76948C67">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Investigation of participants involved in illegal activities?</w:t>
            </w:r>
          </w:p>
        </w:tc>
        <w:tc>
          <w:tcPr>
            <w:tcW w:w="846" w:type="dxa"/>
            <w:shd w:val="clear" w:color="auto" w:fill="BEBEBE"/>
            <w:vAlign w:val="center"/>
          </w:tcPr>
          <w:sdt>
            <w:sdtPr>
              <w:rPr>
                <w:rFonts w:ascii="Arial" w:hAnsi="Arial" w:eastAsia="Times New Roman" w:cs="Arial"/>
                <w:b/>
                <w:bCs/>
                <w:sz w:val="22"/>
                <w:szCs w:val="22"/>
                <w:lang w:val="en-GB" w:eastAsia="en-GB" w:bidi="ar-SA"/>
              </w:rPr>
              <w:id w:val="-57035038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BDB49F9">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90475863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6B1A75A">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D7F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424E732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13</w:t>
            </w:r>
          </w:p>
        </w:tc>
        <w:tc>
          <w:tcPr>
            <w:tcW w:w="8227" w:type="dxa"/>
            <w:shd w:val="clear" w:color="auto" w:fill="F1F1F1"/>
            <w:vAlign w:val="center"/>
          </w:tcPr>
          <w:p w14:paraId="56A3D297">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Use of procedures that involve deception?</w:t>
            </w:r>
          </w:p>
        </w:tc>
        <w:tc>
          <w:tcPr>
            <w:tcW w:w="846" w:type="dxa"/>
            <w:shd w:val="clear" w:color="auto" w:fill="BEBEBE"/>
            <w:vAlign w:val="center"/>
          </w:tcPr>
          <w:sdt>
            <w:sdtPr>
              <w:rPr>
                <w:rFonts w:ascii="Arial" w:hAnsi="Arial" w:eastAsia="Times New Roman" w:cs="Arial"/>
                <w:b/>
                <w:bCs/>
                <w:sz w:val="22"/>
                <w:szCs w:val="22"/>
                <w:lang w:val="en-GB" w:eastAsia="en-GB" w:bidi="ar-SA"/>
              </w:rPr>
              <w:id w:val="36271935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5D2D2A1">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10747002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3E75A48">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350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91E68C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14</w:t>
            </w:r>
          </w:p>
        </w:tc>
        <w:tc>
          <w:tcPr>
            <w:tcW w:w="8227" w:type="dxa"/>
            <w:shd w:val="clear" w:color="auto" w:fill="F1F1F1"/>
            <w:vAlign w:val="center"/>
          </w:tcPr>
          <w:p w14:paraId="7EA6FCA6">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Administration of any substance, agent or placebo?</w:t>
            </w:r>
          </w:p>
        </w:tc>
        <w:tc>
          <w:tcPr>
            <w:tcW w:w="846" w:type="dxa"/>
            <w:shd w:val="clear" w:color="auto" w:fill="BEBEBE"/>
            <w:vAlign w:val="center"/>
          </w:tcPr>
          <w:sdt>
            <w:sdtPr>
              <w:rPr>
                <w:rFonts w:ascii="Arial" w:hAnsi="Arial" w:eastAsia="Times New Roman" w:cs="Arial"/>
                <w:b/>
                <w:bCs/>
                <w:sz w:val="22"/>
                <w:szCs w:val="22"/>
                <w:lang w:val="en-GB" w:eastAsia="en-GB" w:bidi="ar-SA"/>
              </w:rPr>
              <w:id w:val="-192479893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7376264">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6246252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2C67A5B">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69B40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70EF9EC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15</w:t>
            </w:r>
          </w:p>
        </w:tc>
        <w:tc>
          <w:tcPr>
            <w:tcW w:w="8227" w:type="dxa"/>
            <w:shd w:val="clear" w:color="auto" w:fill="F1F1F1"/>
            <w:vAlign w:val="center"/>
          </w:tcPr>
          <w:p w14:paraId="33AAA004">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Working with live vertebrate animals?</w:t>
            </w:r>
          </w:p>
        </w:tc>
        <w:tc>
          <w:tcPr>
            <w:tcW w:w="846" w:type="dxa"/>
            <w:shd w:val="clear" w:color="auto" w:fill="BEBEBE"/>
            <w:vAlign w:val="center"/>
          </w:tcPr>
          <w:sdt>
            <w:sdtPr>
              <w:rPr>
                <w:rFonts w:ascii="Arial" w:hAnsi="Arial" w:eastAsia="Times New Roman" w:cs="Arial"/>
                <w:b/>
                <w:bCs/>
                <w:sz w:val="22"/>
                <w:szCs w:val="22"/>
                <w:lang w:val="en-GB" w:eastAsia="en-GB" w:bidi="ar-SA"/>
              </w:rPr>
              <w:id w:val="30042863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3C998FD">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123686198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7FEEC17">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F14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39A8837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16</w:t>
            </w:r>
          </w:p>
        </w:tc>
        <w:tc>
          <w:tcPr>
            <w:tcW w:w="8227" w:type="dxa"/>
            <w:shd w:val="clear" w:color="auto" w:fill="F1F1F1"/>
            <w:vAlign w:val="center"/>
          </w:tcPr>
          <w:p w14:paraId="10C8ABF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Procedures that may have a negative impact on the environment?</w:t>
            </w:r>
          </w:p>
        </w:tc>
        <w:tc>
          <w:tcPr>
            <w:tcW w:w="846" w:type="dxa"/>
            <w:shd w:val="clear" w:color="auto" w:fill="BEBEBE"/>
            <w:vAlign w:val="center"/>
          </w:tcPr>
          <w:sdt>
            <w:sdtPr>
              <w:rPr>
                <w:rFonts w:ascii="Arial" w:hAnsi="Arial" w:eastAsia="Times New Roman" w:cs="Arial"/>
                <w:b/>
                <w:bCs/>
                <w:sz w:val="22"/>
                <w:szCs w:val="22"/>
                <w:lang w:val="en-GB" w:eastAsia="en-GB" w:bidi="ar-SA"/>
              </w:rPr>
              <w:id w:val="164724739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D7A4253">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shd w:val="clear" w:color="auto" w:fill="BEBEBE"/>
            <w:vAlign w:val="center"/>
          </w:tcPr>
          <w:sdt>
            <w:sdtPr>
              <w:rPr>
                <w:rFonts w:ascii="Arial" w:hAnsi="Arial" w:eastAsia="Times New Roman" w:cs="Arial"/>
                <w:b/>
                <w:bCs/>
                <w:sz w:val="22"/>
                <w:szCs w:val="22"/>
                <w:lang w:val="en-GB" w:eastAsia="en-GB" w:bidi="ar-SA"/>
              </w:rPr>
              <w:id w:val="-199517013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64F664F">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74B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19C1C71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17</w:t>
            </w:r>
          </w:p>
        </w:tc>
        <w:tc>
          <w:tcPr>
            <w:tcW w:w="8227" w:type="dxa"/>
            <w:shd w:val="clear" w:color="auto" w:fill="F1F1F1"/>
            <w:vAlign w:val="center"/>
          </w:tcPr>
          <w:p w14:paraId="39FFE65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Other primary data collection methods. Please indicate the type of data collection method(s) below.</w:t>
            </w:r>
          </w:p>
        </w:tc>
        <w:tc>
          <w:tcPr>
            <w:tcW w:w="846" w:type="dxa"/>
            <w:vMerge w:val="restart"/>
            <w:shd w:val="clear" w:color="auto" w:fill="BEBEBE"/>
            <w:vAlign w:val="center"/>
          </w:tcPr>
          <w:sdt>
            <w:sdtPr>
              <w:rPr>
                <w:rFonts w:ascii="Arial" w:hAnsi="Arial" w:eastAsia="Times New Roman" w:cs="Arial"/>
                <w:b/>
                <w:bCs/>
                <w:sz w:val="22"/>
                <w:szCs w:val="22"/>
                <w:lang w:val="en-GB" w:eastAsia="en-GB" w:bidi="ar-SA"/>
              </w:rPr>
              <w:id w:val="204902366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933A245">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16" w:type="dxa"/>
            <w:vMerge w:val="restart"/>
            <w:shd w:val="clear" w:color="auto" w:fill="BEBEBE"/>
            <w:vAlign w:val="center"/>
          </w:tcPr>
          <w:sdt>
            <w:sdtPr>
              <w:rPr>
                <w:rFonts w:ascii="Arial" w:hAnsi="Arial" w:eastAsia="Times New Roman" w:cs="Arial"/>
                <w:b/>
                <w:bCs/>
                <w:sz w:val="22"/>
                <w:szCs w:val="22"/>
                <w:lang w:val="en-GB" w:eastAsia="en-GB" w:bidi="ar-SA"/>
              </w:rPr>
              <w:id w:val="190094794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CE4F9AC">
                <w:pPr>
                  <w:widowControl/>
                  <w:autoSpaceDE w:val="0"/>
                  <w:autoSpaceDN w:val="0"/>
                  <w:adjustRightInd w:val="0"/>
                  <w:jc w:val="center"/>
                  <w:rPr>
                    <w:rFonts w:ascii="Arial" w:hAnsi="Arial" w:eastAsia="Times New Roman" w:cs="Arial"/>
                    <w:b/>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98D0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8C422D">
            <w:pPr>
              <w:widowControl/>
              <w:autoSpaceDE w:val="0"/>
              <w:autoSpaceDN w:val="0"/>
              <w:adjustRightInd w:val="0"/>
              <w:jc w:val="left"/>
              <w:rPr>
                <w:rFonts w:ascii="Arial" w:hAnsi="Arial" w:eastAsia="Times New Roman" w:cs="Arial"/>
                <w:kern w:val="0"/>
                <w:sz w:val="22"/>
                <w:szCs w:val="22"/>
                <w:lang w:val="en-GB" w:eastAsia="en-US"/>
              </w:rPr>
            </w:pPr>
          </w:p>
        </w:tc>
        <w:tc>
          <w:tcPr>
            <w:tcW w:w="8227" w:type="dxa"/>
            <w:shd w:val="clear" w:color="auto" w:fill="auto"/>
            <w:vAlign w:val="center"/>
          </w:tcPr>
          <w:p w14:paraId="5DD3A37E">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Details of any other primary data collection method:</w:t>
            </w:r>
          </w:p>
          <w:p w14:paraId="1B340F3D">
            <w:pPr>
              <w:widowControl/>
              <w:jc w:val="left"/>
              <w:rPr>
                <w:rFonts w:ascii="Arial" w:hAnsi="Arial" w:eastAsia="Times New Roman" w:cs="Arial"/>
                <w:kern w:val="0"/>
                <w:sz w:val="20"/>
                <w:szCs w:val="20"/>
                <w:lang w:val="en-GB" w:eastAsia="en-US"/>
              </w:rPr>
            </w:pPr>
          </w:p>
          <w:p w14:paraId="3739514E">
            <w:pPr>
              <w:widowControl/>
              <w:jc w:val="left"/>
              <w:rPr>
                <w:rFonts w:ascii="Arial" w:hAnsi="Arial" w:eastAsia="Times New Roman" w:cs="Arial"/>
                <w:kern w:val="0"/>
                <w:sz w:val="20"/>
                <w:szCs w:val="20"/>
                <w:lang w:val="en-GB" w:eastAsia="en-US"/>
              </w:rPr>
            </w:pPr>
          </w:p>
          <w:p w14:paraId="2CF0F561">
            <w:pPr>
              <w:widowControl/>
              <w:jc w:val="left"/>
              <w:rPr>
                <w:rFonts w:ascii="Arial" w:hAnsi="Arial" w:eastAsia="Times New Roman" w:cs="Arial"/>
                <w:kern w:val="0"/>
                <w:sz w:val="22"/>
                <w:szCs w:val="22"/>
                <w:lang w:val="en-GB" w:eastAsia="en-US"/>
              </w:rPr>
            </w:pPr>
          </w:p>
          <w:p w14:paraId="33024E20">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18"/>
                <w:szCs w:val="18"/>
                <w:lang w:val="en-GB" w:eastAsia="en-US"/>
              </w:rPr>
              <w:t>(this box should expand as you type)</w:t>
            </w:r>
          </w:p>
        </w:tc>
        <w:tc>
          <w:tcPr>
            <w:tcW w:w="846" w:type="dxa"/>
            <w:vMerge w:val="continue"/>
            <w:shd w:val="clear" w:color="auto" w:fill="BEBEBE"/>
            <w:vAlign w:val="center"/>
          </w:tcPr>
          <w:p w14:paraId="7A7BEAD4">
            <w:pPr>
              <w:widowControl/>
              <w:autoSpaceDE w:val="0"/>
              <w:autoSpaceDN w:val="0"/>
              <w:adjustRightInd w:val="0"/>
              <w:jc w:val="center"/>
              <w:rPr>
                <w:rFonts w:ascii="Arial" w:hAnsi="Arial" w:eastAsia="Times New Roman" w:cs="Arial"/>
                <w:b/>
                <w:bCs/>
                <w:kern w:val="0"/>
                <w:sz w:val="22"/>
                <w:szCs w:val="22"/>
                <w:lang w:val="en-GB" w:eastAsia="en-US"/>
              </w:rPr>
            </w:pPr>
          </w:p>
        </w:tc>
        <w:tc>
          <w:tcPr>
            <w:tcW w:w="816" w:type="dxa"/>
            <w:vMerge w:val="continue"/>
            <w:shd w:val="clear" w:color="auto" w:fill="BEBEBE"/>
            <w:vAlign w:val="center"/>
          </w:tcPr>
          <w:p w14:paraId="7EECB29C">
            <w:pPr>
              <w:widowControl/>
              <w:autoSpaceDE w:val="0"/>
              <w:autoSpaceDN w:val="0"/>
              <w:adjustRightInd w:val="0"/>
              <w:jc w:val="center"/>
              <w:rPr>
                <w:rFonts w:ascii="Arial" w:hAnsi="Arial" w:eastAsia="Times New Roman" w:cs="Arial"/>
                <w:b/>
                <w:bCs/>
                <w:kern w:val="0"/>
                <w:sz w:val="22"/>
                <w:szCs w:val="22"/>
                <w:lang w:val="en-GB" w:eastAsia="en-US"/>
              </w:rPr>
            </w:pPr>
          </w:p>
        </w:tc>
      </w:tr>
    </w:tbl>
    <w:p w14:paraId="11F58FFD">
      <w:pPr>
        <w:widowControl/>
        <w:jc w:val="both"/>
        <w:rPr>
          <w:rFonts w:ascii="Arial" w:hAnsi="Arial" w:eastAsia="Times New Roman" w:cs="Arial"/>
          <w:bCs/>
          <w:iCs/>
          <w:kern w:val="0"/>
          <w:sz w:val="22"/>
          <w:szCs w:val="22"/>
          <w:lang w:val="en-GB" w:eastAsia="en-US"/>
        </w:rPr>
      </w:pPr>
    </w:p>
    <w:p w14:paraId="14A197CF">
      <w:pPr>
        <w:widowControl/>
        <w:jc w:val="both"/>
        <w:rPr>
          <w:rFonts w:ascii="Arial" w:hAnsi="Arial" w:eastAsia="Times New Roman" w:cs="Arial"/>
          <w:bCs/>
          <w:iCs/>
          <w:kern w:val="0"/>
          <w:sz w:val="22"/>
          <w:szCs w:val="22"/>
          <w:lang w:val="en-GB" w:eastAsia="en-US"/>
        </w:rPr>
      </w:pPr>
      <w:r>
        <w:rPr>
          <w:rFonts w:ascii="Arial" w:hAnsi="Arial" w:eastAsia="Times New Roman" w:cs="Arial"/>
          <w:bCs/>
          <w:iCs/>
          <w:kern w:val="0"/>
          <w:sz w:val="22"/>
          <w:szCs w:val="22"/>
          <w:lang w:val="en-GB" w:eastAsia="en-US"/>
        </w:rPr>
        <w:t>If you have ticked NO to every question then the research activity is (ethically) low risk and you may skip section E and continue to section F.</w:t>
      </w:r>
    </w:p>
    <w:p w14:paraId="16498AD6">
      <w:pPr>
        <w:widowControl/>
        <w:jc w:val="left"/>
        <w:rPr>
          <w:rFonts w:ascii="Arial" w:hAnsi="Arial" w:eastAsia="Times New Roman" w:cs="Arial"/>
          <w:bCs/>
          <w:iCs/>
          <w:kern w:val="0"/>
          <w:sz w:val="22"/>
          <w:szCs w:val="22"/>
          <w:lang w:val="en-GB" w:eastAsia="en-US"/>
        </w:rPr>
      </w:pPr>
    </w:p>
    <w:p w14:paraId="1E5FF4C8">
      <w:pPr>
        <w:widowControl/>
        <w:jc w:val="left"/>
        <w:rPr>
          <w:rFonts w:ascii="Arial" w:hAnsi="Arial" w:eastAsia="Times New Roman" w:cs="Arial"/>
          <w:bCs/>
          <w:iCs/>
          <w:kern w:val="0"/>
          <w:sz w:val="22"/>
          <w:szCs w:val="22"/>
          <w:lang w:val="en-GB" w:eastAsia="en-US"/>
        </w:rPr>
      </w:pPr>
      <w:r>
        <w:rPr>
          <w:rFonts w:ascii="Arial" w:hAnsi="Arial" w:eastAsia="Times New Roman" w:cs="Arial"/>
          <w:bCs/>
          <w:iCs/>
          <w:kern w:val="0"/>
          <w:sz w:val="22"/>
          <w:szCs w:val="22"/>
          <w:lang w:val="en-GB" w:eastAsia="en-US"/>
        </w:rPr>
        <w:t xml:space="preserve">If YES to any question, then no research activity should be undertaken until full ethical approval has been obtained. </w:t>
      </w:r>
    </w:p>
    <w:p w14:paraId="623E699B">
      <w:pPr>
        <w:widowControl/>
        <w:jc w:val="left"/>
        <w:rPr>
          <w:rFonts w:ascii="Arial" w:hAnsi="Arial" w:eastAsia="Times New Roman" w:cs="Arial"/>
          <w:bCs/>
          <w:iCs/>
          <w:kern w:val="0"/>
          <w:sz w:val="22"/>
          <w:szCs w:val="22"/>
          <w:lang w:val="en-GB" w:eastAsia="en-US"/>
        </w:rPr>
      </w:pPr>
    </w:p>
    <w:p w14:paraId="0F664E0E">
      <w:pPr>
        <w:widowControl/>
        <w:autoSpaceDE w:val="0"/>
        <w:autoSpaceDN w:val="0"/>
        <w:adjustRightInd w:val="0"/>
        <w:spacing w:after="240"/>
        <w:jc w:val="both"/>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E: Intended Participants</w:t>
      </w:r>
    </w:p>
    <w:tbl>
      <w:tblPr>
        <w:tblStyle w:val="6"/>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119DC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vAlign w:val="center"/>
          </w:tcPr>
          <w:p w14:paraId="62CD3465">
            <w:pPr>
              <w:widowControl/>
              <w:autoSpaceDE w:val="0"/>
              <w:autoSpaceDN w:val="0"/>
              <w:adjustRightInd w:val="0"/>
              <w:jc w:val="center"/>
              <w:rPr>
                <w:rFonts w:ascii="Arial" w:hAnsi="Arial" w:eastAsia="Times New Roman" w:cs="Arial"/>
                <w:b/>
                <w:kern w:val="0"/>
                <w:sz w:val="22"/>
                <w:szCs w:val="22"/>
                <w:lang w:val="en-GB" w:eastAsia="en-US"/>
              </w:rPr>
            </w:pPr>
          </w:p>
        </w:tc>
        <w:tc>
          <w:tcPr>
            <w:tcW w:w="8217" w:type="dxa"/>
            <w:shd w:val="clear" w:color="auto" w:fill="F1F1F1"/>
          </w:tcPr>
          <w:p w14:paraId="755FE134">
            <w:pPr>
              <w:widowControl/>
              <w:autoSpaceDE w:val="0"/>
              <w:autoSpaceDN w:val="0"/>
              <w:adjustRightInd w:val="0"/>
              <w:jc w:val="both"/>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Who are the intended participants:</w:t>
            </w:r>
          </w:p>
        </w:tc>
        <w:tc>
          <w:tcPr>
            <w:tcW w:w="850" w:type="dxa"/>
            <w:shd w:val="clear" w:color="auto" w:fill="F1F1F1"/>
          </w:tcPr>
          <w:p w14:paraId="7A4F71E9">
            <w:pPr>
              <w:widowControl/>
              <w:autoSpaceDE w:val="0"/>
              <w:autoSpaceDN w:val="0"/>
              <w:adjustRightInd w:val="0"/>
              <w:jc w:val="center"/>
              <w:rPr>
                <w:rFonts w:ascii="Arial" w:hAnsi="Arial" w:eastAsia="Times New Roman" w:cs="Arial"/>
                <w:b/>
                <w:bCs/>
                <w:kern w:val="0"/>
                <w:sz w:val="22"/>
                <w:szCs w:val="22"/>
                <w:lang w:val="en-GB" w:eastAsia="en-US"/>
              </w:rPr>
            </w:pPr>
          </w:p>
          <w:p w14:paraId="54D1F8BF">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YES</w:t>
            </w:r>
          </w:p>
        </w:tc>
        <w:tc>
          <w:tcPr>
            <w:tcW w:w="822" w:type="dxa"/>
            <w:shd w:val="clear" w:color="auto" w:fill="F1F1F1"/>
          </w:tcPr>
          <w:p w14:paraId="16409008">
            <w:pPr>
              <w:widowControl/>
              <w:autoSpaceDE w:val="0"/>
              <w:autoSpaceDN w:val="0"/>
              <w:adjustRightInd w:val="0"/>
              <w:jc w:val="center"/>
              <w:rPr>
                <w:rFonts w:ascii="Arial" w:hAnsi="Arial" w:eastAsia="Times New Roman" w:cs="Arial"/>
                <w:b/>
                <w:bCs/>
                <w:kern w:val="0"/>
                <w:sz w:val="22"/>
                <w:szCs w:val="22"/>
                <w:lang w:val="en-GB" w:eastAsia="en-US"/>
              </w:rPr>
            </w:pPr>
          </w:p>
          <w:p w14:paraId="45E231D0">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NO</w:t>
            </w:r>
          </w:p>
        </w:tc>
      </w:tr>
      <w:tr w14:paraId="3E58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6CEE5E7C">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w:t>
            </w:r>
          </w:p>
        </w:tc>
        <w:tc>
          <w:tcPr>
            <w:tcW w:w="8217" w:type="dxa"/>
            <w:shd w:val="clear" w:color="auto" w:fill="F1F1F1"/>
            <w:vAlign w:val="center"/>
          </w:tcPr>
          <w:p w14:paraId="0FABBF26">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Students or staff at the University?</w:t>
            </w:r>
          </w:p>
        </w:tc>
        <w:tc>
          <w:tcPr>
            <w:tcW w:w="850" w:type="dxa"/>
            <w:shd w:val="clear" w:color="auto" w:fill="BEBEBE"/>
            <w:vAlign w:val="center"/>
          </w:tcPr>
          <w:sdt>
            <w:sdtPr>
              <w:rPr>
                <w:rFonts w:ascii="Arial" w:hAnsi="Arial" w:eastAsia="Times New Roman" w:cs="Arial"/>
                <w:b/>
                <w:bCs/>
                <w:sz w:val="22"/>
                <w:szCs w:val="22"/>
                <w:lang w:val="en-GB" w:eastAsia="en-GB" w:bidi="ar-SA"/>
              </w:rPr>
              <w:id w:val="-22776399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AD0D146">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94730625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7F9344F">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4637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67D6FD56">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w:t>
            </w:r>
          </w:p>
        </w:tc>
        <w:tc>
          <w:tcPr>
            <w:tcW w:w="8217" w:type="dxa"/>
            <w:shd w:val="clear" w:color="auto" w:fill="F1F1F1"/>
            <w:vAlign w:val="center"/>
          </w:tcPr>
          <w:p w14:paraId="3DC1BDC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Adults (over the age of 18 and competent to give consent)?</w:t>
            </w:r>
          </w:p>
        </w:tc>
        <w:tc>
          <w:tcPr>
            <w:tcW w:w="850" w:type="dxa"/>
            <w:shd w:val="clear" w:color="auto" w:fill="BEBEBE"/>
            <w:vAlign w:val="center"/>
          </w:tcPr>
          <w:sdt>
            <w:sdtPr>
              <w:rPr>
                <w:rFonts w:ascii="Arial" w:hAnsi="Arial" w:eastAsia="Times New Roman" w:cs="Arial"/>
                <w:b/>
                <w:bCs/>
                <w:sz w:val="22"/>
                <w:szCs w:val="22"/>
                <w:lang w:val="en-GB" w:eastAsia="en-GB" w:bidi="ar-SA"/>
              </w:rPr>
              <w:id w:val="-178024719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C999C6F">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66643513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C1329D0">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03EE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68E93171">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3</w:t>
            </w:r>
          </w:p>
        </w:tc>
        <w:tc>
          <w:tcPr>
            <w:tcW w:w="8217" w:type="dxa"/>
            <w:shd w:val="clear" w:color="auto" w:fill="F1F1F1"/>
            <w:vAlign w:val="center"/>
          </w:tcPr>
          <w:p w14:paraId="551AB8E1">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Vulnerable adults?</w:t>
            </w:r>
          </w:p>
        </w:tc>
        <w:tc>
          <w:tcPr>
            <w:tcW w:w="850" w:type="dxa"/>
            <w:shd w:val="clear" w:color="auto" w:fill="BEBEBE"/>
            <w:vAlign w:val="center"/>
          </w:tcPr>
          <w:sdt>
            <w:sdtPr>
              <w:rPr>
                <w:rFonts w:ascii="Arial" w:hAnsi="Arial" w:eastAsia="Times New Roman" w:cs="Arial"/>
                <w:b/>
                <w:bCs/>
                <w:sz w:val="22"/>
                <w:szCs w:val="22"/>
                <w:lang w:val="en-GB" w:eastAsia="en-GB" w:bidi="ar-SA"/>
              </w:rPr>
              <w:id w:val="55597856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D33811A">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43566853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BECBBD4">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7A3D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73404B28">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4</w:t>
            </w:r>
          </w:p>
        </w:tc>
        <w:tc>
          <w:tcPr>
            <w:tcW w:w="8217" w:type="dxa"/>
            <w:shd w:val="clear" w:color="auto" w:fill="F1F1F1"/>
            <w:vAlign w:val="center"/>
          </w:tcPr>
          <w:p w14:paraId="04903665">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Children and Young People under the age of 18? (Consent from Parent, Carer or Guardian will be required)</w:t>
            </w:r>
          </w:p>
        </w:tc>
        <w:tc>
          <w:tcPr>
            <w:tcW w:w="850" w:type="dxa"/>
            <w:shd w:val="clear" w:color="auto" w:fill="BEBEBE"/>
            <w:vAlign w:val="center"/>
          </w:tcPr>
          <w:sdt>
            <w:sdtPr>
              <w:rPr>
                <w:rFonts w:ascii="Arial" w:hAnsi="Arial" w:eastAsia="Times New Roman" w:cs="Arial"/>
                <w:b/>
                <w:bCs/>
                <w:sz w:val="22"/>
                <w:szCs w:val="22"/>
                <w:lang w:val="en-GB" w:eastAsia="en-GB" w:bidi="ar-SA"/>
              </w:rPr>
              <w:id w:val="-37547282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B8373B8">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188736146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CFB281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CA1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1227374D">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5</w:t>
            </w:r>
          </w:p>
        </w:tc>
        <w:tc>
          <w:tcPr>
            <w:tcW w:w="8217" w:type="dxa"/>
            <w:shd w:val="clear" w:color="auto" w:fill="F1F1F1"/>
            <w:vAlign w:val="center"/>
          </w:tcPr>
          <w:p w14:paraId="0581468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Prisoners?</w:t>
            </w:r>
          </w:p>
        </w:tc>
        <w:tc>
          <w:tcPr>
            <w:tcW w:w="850" w:type="dxa"/>
            <w:shd w:val="clear" w:color="auto" w:fill="BEBEBE"/>
            <w:vAlign w:val="center"/>
          </w:tcPr>
          <w:sdt>
            <w:sdtPr>
              <w:rPr>
                <w:rFonts w:ascii="Arial" w:hAnsi="Arial" w:eastAsia="Times New Roman" w:cs="Arial"/>
                <w:b/>
                <w:bCs/>
                <w:sz w:val="22"/>
                <w:szCs w:val="22"/>
                <w:lang w:val="en-GB" w:eastAsia="en-GB" w:bidi="ar-SA"/>
              </w:rPr>
              <w:id w:val="169279390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B7BCD23">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32641141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779899C">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D240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0A87D2F6">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6</w:t>
            </w:r>
          </w:p>
        </w:tc>
        <w:tc>
          <w:tcPr>
            <w:tcW w:w="8217" w:type="dxa"/>
            <w:shd w:val="clear" w:color="auto" w:fill="F1F1F1"/>
            <w:vAlign w:val="center"/>
          </w:tcPr>
          <w:p w14:paraId="17B4CDE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Young offenders?</w:t>
            </w:r>
          </w:p>
        </w:tc>
        <w:tc>
          <w:tcPr>
            <w:tcW w:w="850" w:type="dxa"/>
            <w:shd w:val="clear" w:color="auto" w:fill="BEBEBE"/>
            <w:vAlign w:val="center"/>
          </w:tcPr>
          <w:sdt>
            <w:sdtPr>
              <w:rPr>
                <w:rFonts w:ascii="Arial" w:hAnsi="Arial" w:eastAsia="Times New Roman" w:cs="Arial"/>
                <w:b/>
                <w:bCs/>
                <w:sz w:val="22"/>
                <w:szCs w:val="22"/>
                <w:lang w:val="en-GB" w:eastAsia="en-GB" w:bidi="ar-SA"/>
              </w:rPr>
              <w:id w:val="125541016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E4B1884">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123600058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1F8496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C60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4B565648">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7</w:t>
            </w:r>
          </w:p>
        </w:tc>
        <w:tc>
          <w:tcPr>
            <w:tcW w:w="8217" w:type="dxa"/>
            <w:shd w:val="clear" w:color="auto" w:fill="F1F1F1"/>
            <w:vAlign w:val="center"/>
          </w:tcPr>
          <w:p w14:paraId="4A38D80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Those who could be considered to have a particularly dependent relationship with the investigator or a gatekeeper?</w:t>
            </w:r>
          </w:p>
        </w:tc>
        <w:tc>
          <w:tcPr>
            <w:tcW w:w="850" w:type="dxa"/>
            <w:shd w:val="clear" w:color="auto" w:fill="BEBEBE"/>
            <w:vAlign w:val="center"/>
          </w:tcPr>
          <w:sdt>
            <w:sdtPr>
              <w:rPr>
                <w:rFonts w:ascii="Arial" w:hAnsi="Arial" w:eastAsia="Times New Roman" w:cs="Arial"/>
                <w:b/>
                <w:bCs/>
                <w:sz w:val="22"/>
                <w:szCs w:val="22"/>
                <w:lang w:val="en-GB" w:eastAsia="en-GB" w:bidi="ar-SA"/>
              </w:rPr>
              <w:id w:val="-101645307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1C47683">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1673070048"/>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9033DA1">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7C5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1829BCF">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8</w:t>
            </w:r>
          </w:p>
        </w:tc>
        <w:tc>
          <w:tcPr>
            <w:tcW w:w="8217" w:type="dxa"/>
            <w:shd w:val="clear" w:color="auto" w:fill="F1F1F1"/>
            <w:vAlign w:val="center"/>
          </w:tcPr>
          <w:p w14:paraId="1AA027D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People engaged in illegal activities?</w:t>
            </w:r>
          </w:p>
        </w:tc>
        <w:tc>
          <w:tcPr>
            <w:tcW w:w="850" w:type="dxa"/>
            <w:shd w:val="clear" w:color="auto" w:fill="BEBEBE"/>
            <w:vAlign w:val="center"/>
          </w:tcPr>
          <w:sdt>
            <w:sdtPr>
              <w:rPr>
                <w:rFonts w:ascii="Arial" w:hAnsi="Arial" w:eastAsia="Times New Roman" w:cs="Arial"/>
                <w:b/>
                <w:bCs/>
                <w:sz w:val="22"/>
                <w:szCs w:val="22"/>
                <w:lang w:val="en-GB" w:eastAsia="en-GB" w:bidi="ar-SA"/>
              </w:rPr>
              <w:id w:val="-151985084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D24720B">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shd w:val="clear" w:color="auto" w:fill="BEBEBE"/>
            <w:vAlign w:val="center"/>
          </w:tcPr>
          <w:sdt>
            <w:sdtPr>
              <w:rPr>
                <w:rFonts w:ascii="Arial" w:hAnsi="Arial" w:eastAsia="Times New Roman" w:cs="Arial"/>
                <w:b/>
                <w:bCs/>
                <w:sz w:val="22"/>
                <w:szCs w:val="22"/>
                <w:lang w:val="en-GB" w:eastAsia="en-GB" w:bidi="ar-SA"/>
              </w:rPr>
              <w:id w:val="107285974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A37BFCD">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670D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FBA173C">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9</w:t>
            </w:r>
          </w:p>
        </w:tc>
        <w:tc>
          <w:tcPr>
            <w:tcW w:w="8217" w:type="dxa"/>
            <w:shd w:val="clear" w:color="auto" w:fill="F1F1F1"/>
            <w:vAlign w:val="center"/>
          </w:tcPr>
          <w:p w14:paraId="011A3B0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Others. Please indicate the participants below, and specifically any group who may be unable to give consent.</w:t>
            </w:r>
          </w:p>
          <w:p w14:paraId="66575A66">
            <w:pPr>
              <w:widowControl/>
              <w:autoSpaceDE w:val="0"/>
              <w:autoSpaceDN w:val="0"/>
              <w:adjustRightInd w:val="0"/>
              <w:jc w:val="left"/>
              <w:rPr>
                <w:rFonts w:ascii="Arial" w:hAnsi="Arial" w:eastAsia="Times New Roman" w:cs="Arial"/>
                <w:kern w:val="0"/>
                <w:sz w:val="22"/>
                <w:szCs w:val="22"/>
                <w:lang w:val="en-GB" w:eastAsia="en-US"/>
              </w:rPr>
            </w:pPr>
          </w:p>
        </w:tc>
        <w:tc>
          <w:tcPr>
            <w:tcW w:w="850" w:type="dxa"/>
            <w:vMerge w:val="restart"/>
            <w:shd w:val="clear" w:color="auto" w:fill="BEBEBE"/>
            <w:vAlign w:val="center"/>
          </w:tcPr>
          <w:sdt>
            <w:sdtPr>
              <w:rPr>
                <w:rFonts w:ascii="Arial" w:hAnsi="Arial" w:eastAsia="Times New Roman" w:cs="Arial"/>
                <w:b/>
                <w:bCs/>
                <w:sz w:val="22"/>
                <w:szCs w:val="22"/>
                <w:lang w:val="en-GB" w:eastAsia="en-GB" w:bidi="ar-SA"/>
              </w:rPr>
              <w:id w:val="-198491803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033F99C">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22" w:type="dxa"/>
            <w:vMerge w:val="restart"/>
            <w:shd w:val="clear" w:color="auto" w:fill="BEBEBE"/>
            <w:vAlign w:val="center"/>
          </w:tcPr>
          <w:sdt>
            <w:sdtPr>
              <w:rPr>
                <w:rFonts w:ascii="Arial" w:hAnsi="Arial" w:eastAsia="Times New Roman" w:cs="Arial"/>
                <w:b/>
                <w:bCs/>
                <w:sz w:val="22"/>
                <w:szCs w:val="22"/>
                <w:lang w:val="en-GB" w:eastAsia="en-GB" w:bidi="ar-SA"/>
              </w:rPr>
              <w:id w:val="-187005256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4FBB2F6">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460A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26918B4">
            <w:pPr>
              <w:widowControl/>
              <w:autoSpaceDE w:val="0"/>
              <w:autoSpaceDN w:val="0"/>
              <w:adjustRightInd w:val="0"/>
              <w:jc w:val="center"/>
              <w:rPr>
                <w:rFonts w:ascii="Arial" w:hAnsi="Arial" w:eastAsia="Times New Roman" w:cs="Arial"/>
                <w:kern w:val="0"/>
                <w:sz w:val="22"/>
                <w:szCs w:val="22"/>
                <w:lang w:val="en-GB" w:eastAsia="en-US"/>
              </w:rPr>
            </w:pPr>
          </w:p>
        </w:tc>
        <w:tc>
          <w:tcPr>
            <w:tcW w:w="8217" w:type="dxa"/>
            <w:shd w:val="clear" w:color="auto" w:fill="auto"/>
            <w:vAlign w:val="center"/>
          </w:tcPr>
          <w:p w14:paraId="14E56A7D">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Details of any other participant groups:</w:t>
            </w:r>
          </w:p>
          <w:p w14:paraId="403300A0">
            <w:pPr>
              <w:widowControl/>
              <w:jc w:val="left"/>
              <w:rPr>
                <w:rFonts w:ascii="Arial" w:hAnsi="Arial" w:eastAsia="Times New Roman" w:cs="Arial"/>
                <w:kern w:val="0"/>
                <w:sz w:val="20"/>
                <w:szCs w:val="20"/>
                <w:lang w:val="en-GB" w:eastAsia="en-US"/>
              </w:rPr>
            </w:pPr>
            <w:r>
              <w:rPr>
                <w:rFonts w:ascii="Arial" w:hAnsi="Arial" w:eastAsia="Times New Roman" w:cs="Arial"/>
                <w:color w:val="00B050"/>
                <w:kern w:val="0"/>
                <w:sz w:val="22"/>
                <w:szCs w:val="20"/>
                <w:lang w:val="en-GB" w:eastAsia="en-US"/>
              </w:rPr>
              <w:t>Complete this only if your participants cannot give consent. This includes animals. If students choose individuals under the age of 18 and or vulnerable individuals, a DBS (Disclosure and Barring Service) check is essential.</w:t>
            </w:r>
          </w:p>
          <w:p w14:paraId="7FABC1FA">
            <w:pPr>
              <w:widowControl/>
              <w:jc w:val="left"/>
              <w:rPr>
                <w:rFonts w:ascii="Arial" w:hAnsi="Arial" w:eastAsia="Times New Roman" w:cs="Arial"/>
                <w:kern w:val="0"/>
                <w:sz w:val="20"/>
                <w:szCs w:val="20"/>
                <w:lang w:val="en-GB" w:eastAsia="en-US"/>
              </w:rPr>
            </w:pPr>
          </w:p>
          <w:p w14:paraId="7B3D9B70">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color w:val="808080"/>
                <w:kern w:val="0"/>
                <w:sz w:val="18"/>
                <w:szCs w:val="18"/>
                <w:lang w:val="en-GB" w:eastAsia="en-US"/>
              </w:rPr>
              <w:t>(this box should expand as you type)</w:t>
            </w:r>
          </w:p>
        </w:tc>
        <w:tc>
          <w:tcPr>
            <w:tcW w:w="850" w:type="dxa"/>
            <w:vMerge w:val="continue"/>
            <w:shd w:val="clear" w:color="auto" w:fill="BEBEBE"/>
            <w:vAlign w:val="center"/>
          </w:tcPr>
          <w:p w14:paraId="05810F34">
            <w:pPr>
              <w:widowControl/>
              <w:autoSpaceDE w:val="0"/>
              <w:autoSpaceDN w:val="0"/>
              <w:adjustRightInd w:val="0"/>
              <w:jc w:val="center"/>
              <w:rPr>
                <w:rFonts w:ascii="Arial" w:hAnsi="Arial" w:eastAsia="Times New Roman" w:cs="Arial"/>
                <w:b/>
                <w:bCs/>
                <w:kern w:val="0"/>
                <w:sz w:val="22"/>
                <w:szCs w:val="22"/>
                <w:lang w:val="en-GB" w:eastAsia="en-US"/>
              </w:rPr>
            </w:pPr>
          </w:p>
        </w:tc>
        <w:tc>
          <w:tcPr>
            <w:tcW w:w="822" w:type="dxa"/>
            <w:vMerge w:val="continue"/>
            <w:shd w:val="clear" w:color="auto" w:fill="BEBEBE"/>
            <w:vAlign w:val="center"/>
          </w:tcPr>
          <w:p w14:paraId="4330E694">
            <w:pPr>
              <w:widowControl/>
              <w:autoSpaceDE w:val="0"/>
              <w:autoSpaceDN w:val="0"/>
              <w:adjustRightInd w:val="0"/>
              <w:jc w:val="center"/>
              <w:rPr>
                <w:rFonts w:ascii="Arial" w:hAnsi="Arial" w:eastAsia="Times New Roman" w:cs="Arial"/>
                <w:b/>
                <w:bCs/>
                <w:kern w:val="0"/>
                <w:sz w:val="22"/>
                <w:szCs w:val="22"/>
                <w:lang w:val="en-GB" w:eastAsia="en-US"/>
              </w:rPr>
            </w:pPr>
          </w:p>
        </w:tc>
      </w:tr>
    </w:tbl>
    <w:p w14:paraId="1CFAE56D">
      <w:pPr>
        <w:widowControl/>
        <w:jc w:val="left"/>
        <w:rPr>
          <w:rFonts w:ascii="Arial" w:hAnsi="Arial" w:eastAsia="Times New Roman" w:cs="Arial"/>
          <w:bCs/>
          <w:kern w:val="0"/>
          <w:sz w:val="24"/>
          <w:szCs w:val="24"/>
          <w:lang w:val="en-GB" w:eastAsia="en-US"/>
        </w:rPr>
      </w:pPr>
    </w:p>
    <w:tbl>
      <w:tblPr>
        <w:tblStyle w:val="6"/>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11E0E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cPr>
          <w:p w14:paraId="6040453C">
            <w:pPr>
              <w:widowControl/>
              <w:jc w:val="left"/>
              <w:rPr>
                <w:rFonts w:ascii="Arial" w:hAnsi="Arial" w:eastAsia="Times New Roman" w:cs="Arial"/>
                <w:bCs/>
                <w:kern w:val="0"/>
                <w:sz w:val="22"/>
                <w:szCs w:val="22"/>
                <w:lang w:val="en-GB" w:eastAsia="en-US"/>
              </w:rPr>
            </w:pPr>
          </w:p>
        </w:tc>
        <w:tc>
          <w:tcPr>
            <w:tcW w:w="9889" w:type="dxa"/>
            <w:gridSpan w:val="2"/>
            <w:tcBorders>
              <w:bottom w:val="single" w:color="auto" w:sz="4" w:space="0"/>
            </w:tcBorders>
            <w:shd w:val="clear" w:color="auto" w:fill="F1F1F1"/>
            <w:vAlign w:val="center"/>
          </w:tcPr>
          <w:p w14:paraId="1CAD094F">
            <w:pPr>
              <w:widowControl/>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Participant numbers and source</w:t>
            </w:r>
          </w:p>
          <w:p w14:paraId="354ACE80">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 xml:space="preserve">Provide an estimate of the expected number of participants. How will you identify participants and how will they be recruited? </w:t>
            </w:r>
          </w:p>
        </w:tc>
      </w:tr>
      <w:tr w14:paraId="35E6C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vAlign w:val="center"/>
          </w:tcPr>
          <w:p w14:paraId="7B9EB730">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vAlign w:val="center"/>
          </w:tcPr>
          <w:p w14:paraId="12E69DA8">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How many participants are expected?</w:t>
            </w:r>
          </w:p>
          <w:p w14:paraId="343AFB31">
            <w:pPr>
              <w:widowControl/>
              <w:jc w:val="left"/>
              <w:rPr>
                <w:rFonts w:ascii="Arial" w:hAnsi="Arial" w:eastAsia="Times New Roman" w:cs="Arial"/>
                <w:kern w:val="0"/>
                <w:sz w:val="22"/>
                <w:szCs w:val="22"/>
                <w:lang w:val="en-GB" w:eastAsia="en-US"/>
              </w:rPr>
            </w:pPr>
          </w:p>
        </w:tc>
        <w:tc>
          <w:tcPr>
            <w:tcW w:w="6633" w:type="dxa"/>
            <w:tcBorders>
              <w:top w:val="single" w:color="auto" w:sz="4" w:space="0"/>
              <w:left w:val="single" w:color="auto" w:sz="4" w:space="0"/>
              <w:bottom w:val="single" w:color="auto" w:sz="4" w:space="0"/>
              <w:right w:val="single" w:color="auto" w:sz="4" w:space="0"/>
            </w:tcBorders>
            <w:vAlign w:val="center"/>
          </w:tcPr>
          <w:p w14:paraId="55C35360">
            <w:pPr>
              <w:widowControl/>
              <w:jc w:val="left"/>
              <w:rPr>
                <w:rFonts w:ascii="Arial" w:hAnsi="Arial" w:eastAsia="Times New Roman" w:cs="Arial"/>
                <w:kern w:val="0"/>
                <w:sz w:val="22"/>
                <w:szCs w:val="22"/>
                <w:lang w:val="en-GB" w:eastAsia="en-US"/>
              </w:rPr>
            </w:pPr>
            <w:r>
              <w:rPr>
                <w:rFonts w:ascii="Arial" w:hAnsi="Arial" w:eastAsia="Times New Roman" w:cs="Arial"/>
                <w:bCs/>
                <w:kern w:val="0"/>
                <w:sz w:val="22"/>
                <w:szCs w:val="22"/>
                <w:lang w:val="en-GB" w:eastAsia="en-US"/>
              </w:rPr>
              <w:t>This study will target approximately 200 Gen Z consumers residing in Wales. Generation Z has been selected due to their increasing influence on market dynamics and their distinctive values concerning social and environmental responsibility. The sample size of 200 is chosen to ensure sufficient statistical power for quantitative analysis. Although the sampling method is non-random (purposive and snowball sampling), the size is large enough to permit meaningful analysis using descriptive and inferential statistical techniques.</w:t>
            </w:r>
          </w:p>
          <w:p w14:paraId="41627C24">
            <w:pPr>
              <w:widowControl/>
              <w:jc w:val="left"/>
              <w:rPr>
                <w:rFonts w:ascii="Arial" w:hAnsi="Arial" w:eastAsia="Times New Roman" w:cs="Arial"/>
                <w:kern w:val="0"/>
                <w:sz w:val="22"/>
                <w:szCs w:val="22"/>
                <w:lang w:val="en-GB" w:eastAsia="en-US"/>
              </w:rPr>
            </w:pPr>
          </w:p>
          <w:p w14:paraId="7A414AFD">
            <w:pPr>
              <w:widowControl/>
              <w:jc w:val="left"/>
              <w:rPr>
                <w:rFonts w:ascii="Arial" w:hAnsi="Arial" w:eastAsia="Times New Roman" w:cs="Arial"/>
                <w:b/>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r>
      <w:tr w14:paraId="3A5E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vAlign w:val="center"/>
          </w:tcPr>
          <w:p w14:paraId="72034859">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vAlign w:val="center"/>
          </w:tcPr>
          <w:p w14:paraId="02FB7A44">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Who will the participants be?</w:t>
            </w:r>
          </w:p>
          <w:p w14:paraId="048E46F7">
            <w:pPr>
              <w:widowControl/>
              <w:jc w:val="left"/>
              <w:rPr>
                <w:rFonts w:ascii="Arial" w:hAnsi="Arial" w:eastAsia="Times New Roman" w:cs="Arial"/>
                <w:kern w:val="0"/>
                <w:sz w:val="22"/>
                <w:szCs w:val="22"/>
                <w:lang w:val="en-GB" w:eastAsia="en-US"/>
              </w:rPr>
            </w:pPr>
          </w:p>
        </w:tc>
        <w:tc>
          <w:tcPr>
            <w:tcW w:w="6633" w:type="dxa"/>
            <w:tcBorders>
              <w:top w:val="single" w:color="auto" w:sz="4" w:space="0"/>
              <w:left w:val="single" w:color="auto" w:sz="4" w:space="0"/>
              <w:bottom w:val="single" w:color="auto" w:sz="4" w:space="0"/>
              <w:right w:val="single" w:color="auto" w:sz="4" w:space="0"/>
            </w:tcBorders>
            <w:vAlign w:val="center"/>
          </w:tcPr>
          <w:p w14:paraId="6145376A">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Participants will be Gen Z individuals (born 1997–2012) residing in Wales. Most will be university students or early-career professionals aged 18 and above. They will be capable of giving informed consent and will be familiar with digital technologies and CSR-related concepts.</w:t>
            </w:r>
          </w:p>
          <w:p w14:paraId="376BCB7E">
            <w:pPr>
              <w:widowControl/>
              <w:jc w:val="left"/>
              <w:rPr>
                <w:rFonts w:ascii="Arial" w:hAnsi="Arial" w:eastAsia="等线" w:cs="Arial"/>
                <w:kern w:val="0"/>
                <w:sz w:val="22"/>
                <w:szCs w:val="22"/>
                <w:lang w:val="en-GB" w:eastAsia="zh-CN"/>
              </w:rPr>
            </w:pPr>
          </w:p>
          <w:p w14:paraId="3D6A8434">
            <w:pPr>
              <w:widowControl/>
              <w:jc w:val="left"/>
              <w:rPr>
                <w:rFonts w:ascii="Arial" w:hAnsi="Arial" w:eastAsia="Times New Roman" w:cs="Arial"/>
                <w:i/>
                <w:color w:val="808080"/>
                <w:kern w:val="0"/>
                <w:sz w:val="18"/>
                <w:szCs w:val="18"/>
                <w:lang w:val="en-GB" w:eastAsia="en-US"/>
              </w:rPr>
            </w:pPr>
            <w:r>
              <w:rPr>
                <w:rFonts w:ascii="Arial" w:hAnsi="Arial" w:eastAsia="Times New Roman" w:cs="Arial"/>
                <w:i/>
                <w:color w:val="808080"/>
                <w:kern w:val="0"/>
                <w:sz w:val="18"/>
                <w:szCs w:val="18"/>
                <w:lang w:val="en-GB" w:eastAsia="en-US"/>
              </w:rPr>
              <w:t>(this box should expand as you type)</w:t>
            </w:r>
          </w:p>
        </w:tc>
      </w:tr>
      <w:tr w14:paraId="08C9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vAlign w:val="center"/>
          </w:tcPr>
          <w:p w14:paraId="5A4CAD26">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12</w:t>
            </w:r>
          </w:p>
        </w:tc>
        <w:tc>
          <w:tcPr>
            <w:tcW w:w="3256" w:type="dxa"/>
            <w:tcBorders>
              <w:top w:val="single" w:color="auto" w:sz="4" w:space="0"/>
            </w:tcBorders>
            <w:shd w:val="clear" w:color="auto" w:fill="F1F1F1"/>
            <w:vAlign w:val="center"/>
          </w:tcPr>
          <w:p w14:paraId="4A9B629F">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How will you identify the participants?</w:t>
            </w:r>
          </w:p>
        </w:tc>
        <w:tc>
          <w:tcPr>
            <w:tcW w:w="6633" w:type="dxa"/>
            <w:tcBorders>
              <w:top w:val="single" w:color="auto" w:sz="4" w:space="0"/>
            </w:tcBorders>
            <w:vAlign w:val="center"/>
          </w:tcPr>
          <w:p w14:paraId="4623431B">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Participants will be identified via self-selection through an online screening question in the survey. This question will confirm they were born between 1997 and 2012 and currently live in Wales. The survey link will be distributed on platforms that this age group frequently uses, such as Instagram, WhatsApp groups, and university forums.</w:t>
            </w:r>
          </w:p>
          <w:p w14:paraId="51D23860">
            <w:pPr>
              <w:widowControl/>
              <w:jc w:val="left"/>
              <w:rPr>
                <w:rFonts w:ascii="Arial" w:hAnsi="Arial" w:eastAsia="Times New Roman" w:cs="Arial"/>
                <w:color w:val="808080"/>
                <w:kern w:val="0"/>
                <w:sz w:val="18"/>
                <w:szCs w:val="18"/>
                <w:lang w:val="en-GB" w:eastAsia="en-US"/>
              </w:rPr>
            </w:pPr>
          </w:p>
        </w:tc>
      </w:tr>
    </w:tbl>
    <w:p w14:paraId="3AD92571">
      <w:pPr>
        <w:widowControl/>
        <w:jc w:val="left"/>
        <w:rPr>
          <w:rFonts w:ascii="Arial" w:hAnsi="Arial" w:eastAsia="Times New Roman" w:cs="Arial"/>
          <w:bCs/>
          <w:kern w:val="0"/>
          <w:sz w:val="24"/>
          <w:szCs w:val="24"/>
          <w:lang w:val="en-GB" w:eastAsia="en-US"/>
        </w:rPr>
      </w:pPr>
    </w:p>
    <w:p w14:paraId="377E3F49">
      <w:pPr>
        <w:widowControl/>
        <w:jc w:val="left"/>
        <w:rPr>
          <w:rFonts w:ascii="Times New Roman" w:hAnsi="Times New Roman" w:eastAsia="Times New Roman" w:cs="Times New Roman"/>
          <w:kern w:val="0"/>
          <w:sz w:val="20"/>
          <w:szCs w:val="20"/>
          <w:lang w:val="en-GB" w:eastAsia="en-US"/>
        </w:rPr>
      </w:pPr>
    </w:p>
    <w:tbl>
      <w:tblPr>
        <w:tblStyle w:val="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61CA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vAlign w:val="center"/>
          </w:tcPr>
          <w:p w14:paraId="014EA831">
            <w:pPr>
              <w:widowControl/>
              <w:autoSpaceDE w:val="0"/>
              <w:autoSpaceDN w:val="0"/>
              <w:adjustRightInd w:val="0"/>
              <w:jc w:val="center"/>
              <w:rPr>
                <w:rFonts w:ascii="Arial" w:hAnsi="Arial" w:eastAsia="Times New Roman" w:cs="Arial"/>
                <w:bCs/>
                <w:kern w:val="0"/>
                <w:sz w:val="22"/>
                <w:szCs w:val="22"/>
                <w:lang w:val="en-GB" w:eastAsia="en-US"/>
              </w:rPr>
            </w:pPr>
          </w:p>
        </w:tc>
        <w:tc>
          <w:tcPr>
            <w:tcW w:w="7088" w:type="dxa"/>
            <w:shd w:val="clear" w:color="auto" w:fill="F1F1F1"/>
          </w:tcPr>
          <w:p w14:paraId="41971D04">
            <w:pPr>
              <w:widowControl/>
              <w:autoSpaceDE w:val="0"/>
              <w:autoSpaceDN w:val="0"/>
              <w:adjustRightInd w:val="0"/>
              <w:jc w:val="both"/>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Information for participants:</w:t>
            </w:r>
          </w:p>
        </w:tc>
        <w:tc>
          <w:tcPr>
            <w:tcW w:w="992" w:type="dxa"/>
            <w:shd w:val="clear" w:color="auto" w:fill="F1F1F1"/>
            <w:vAlign w:val="bottom"/>
          </w:tcPr>
          <w:p w14:paraId="5D410BA7">
            <w:pPr>
              <w:widowControl/>
              <w:autoSpaceDE w:val="0"/>
              <w:autoSpaceDN w:val="0"/>
              <w:adjustRightInd w:val="0"/>
              <w:jc w:val="center"/>
              <w:rPr>
                <w:rFonts w:ascii="Arial" w:hAnsi="Arial" w:eastAsia="Times New Roman" w:cs="Arial"/>
                <w:b/>
                <w:bCs/>
                <w:kern w:val="0"/>
                <w:sz w:val="16"/>
                <w:szCs w:val="16"/>
                <w:lang w:val="en-GB" w:eastAsia="en-US"/>
              </w:rPr>
            </w:pPr>
          </w:p>
          <w:p w14:paraId="2368EBDF">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YES</w:t>
            </w:r>
          </w:p>
        </w:tc>
        <w:tc>
          <w:tcPr>
            <w:tcW w:w="851" w:type="dxa"/>
            <w:shd w:val="clear" w:color="auto" w:fill="F1F1F1"/>
            <w:vAlign w:val="bottom"/>
          </w:tcPr>
          <w:p w14:paraId="0B2D9A90">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NO</w:t>
            </w:r>
          </w:p>
        </w:tc>
        <w:tc>
          <w:tcPr>
            <w:tcW w:w="992" w:type="dxa"/>
            <w:shd w:val="clear" w:color="auto" w:fill="F1F1F1"/>
          </w:tcPr>
          <w:p w14:paraId="6F8F43E7">
            <w:pPr>
              <w:widowControl/>
              <w:autoSpaceDE w:val="0"/>
              <w:autoSpaceDN w:val="0"/>
              <w:adjustRightInd w:val="0"/>
              <w:jc w:val="center"/>
              <w:rPr>
                <w:rFonts w:ascii="Arial" w:hAnsi="Arial" w:eastAsia="Times New Roman" w:cs="Arial"/>
                <w:b/>
                <w:bCs/>
                <w:kern w:val="0"/>
                <w:sz w:val="16"/>
                <w:szCs w:val="16"/>
                <w:lang w:val="en-GB" w:eastAsia="en-US"/>
              </w:rPr>
            </w:pPr>
          </w:p>
          <w:p w14:paraId="662CDA98">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N/A</w:t>
            </w:r>
          </w:p>
        </w:tc>
      </w:tr>
      <w:tr w14:paraId="512C7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3FDE57CA">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13</w:t>
            </w:r>
          </w:p>
        </w:tc>
        <w:tc>
          <w:tcPr>
            <w:tcW w:w="7088" w:type="dxa"/>
            <w:shd w:val="clear" w:color="auto" w:fill="F1F1F1"/>
            <w:vAlign w:val="center"/>
          </w:tcPr>
          <w:p w14:paraId="4FDABF51">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you describe the main research procedures to participants in advance, so that they are informed about what to expect?</w:t>
            </w:r>
          </w:p>
        </w:tc>
        <w:tc>
          <w:tcPr>
            <w:tcW w:w="992" w:type="dxa"/>
            <w:shd w:val="clear" w:color="auto" w:fill="BEBEBE"/>
            <w:vAlign w:val="center"/>
          </w:tcPr>
          <w:sdt>
            <w:sdtPr>
              <w:rPr>
                <w:rFonts w:ascii="Arial" w:hAnsi="Arial" w:eastAsia="Times New Roman" w:cs="Arial"/>
                <w:b/>
                <w:bCs/>
                <w:sz w:val="22"/>
                <w:szCs w:val="22"/>
                <w:lang w:val="en-GB" w:eastAsia="en-GB" w:bidi="ar-SA"/>
              </w:rPr>
              <w:id w:val="63885442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5EA6596">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183841572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C47F931">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201827235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02FB480">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76996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3283FD6A">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14</w:t>
            </w:r>
          </w:p>
        </w:tc>
        <w:tc>
          <w:tcPr>
            <w:tcW w:w="7088" w:type="dxa"/>
            <w:shd w:val="clear" w:color="auto" w:fill="F1F1F1"/>
            <w:vAlign w:val="center"/>
          </w:tcPr>
          <w:p w14:paraId="0C9D925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you tell participants that their participation is voluntary?</w:t>
            </w:r>
          </w:p>
        </w:tc>
        <w:tc>
          <w:tcPr>
            <w:tcW w:w="992" w:type="dxa"/>
            <w:shd w:val="clear" w:color="auto" w:fill="BEBEBE"/>
            <w:vAlign w:val="center"/>
          </w:tcPr>
          <w:sdt>
            <w:sdtPr>
              <w:rPr>
                <w:rFonts w:ascii="Arial" w:hAnsi="Arial" w:eastAsia="Times New Roman" w:cs="Arial"/>
                <w:b/>
                <w:bCs/>
                <w:sz w:val="22"/>
                <w:szCs w:val="22"/>
                <w:lang w:val="en-GB" w:eastAsia="en-GB" w:bidi="ar-SA"/>
              </w:rPr>
              <w:id w:val="191797881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402F9DB">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26674509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1380486">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196461357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D126AD5">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6678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76C3023C">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15</w:t>
            </w:r>
          </w:p>
        </w:tc>
        <w:tc>
          <w:tcPr>
            <w:tcW w:w="7088" w:type="dxa"/>
            <w:shd w:val="clear" w:color="auto" w:fill="F1F1F1"/>
            <w:vAlign w:val="center"/>
          </w:tcPr>
          <w:p w14:paraId="3239B6A7">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you obtain written consent for participation?</w:t>
            </w:r>
          </w:p>
        </w:tc>
        <w:tc>
          <w:tcPr>
            <w:tcW w:w="992" w:type="dxa"/>
            <w:shd w:val="clear" w:color="auto" w:fill="BEBEBE"/>
            <w:vAlign w:val="center"/>
          </w:tcPr>
          <w:sdt>
            <w:sdtPr>
              <w:rPr>
                <w:rFonts w:ascii="Arial" w:hAnsi="Arial" w:eastAsia="Times New Roman" w:cs="Arial"/>
                <w:b/>
                <w:bCs/>
                <w:sz w:val="22"/>
                <w:szCs w:val="22"/>
                <w:lang w:val="en-GB" w:eastAsia="en-GB" w:bidi="ar-SA"/>
              </w:rPr>
              <w:id w:val="17307100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B20EC13">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177721479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90D72B6">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204620075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3F699D7">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623D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3F5B700F">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16</w:t>
            </w:r>
          </w:p>
        </w:tc>
        <w:tc>
          <w:tcPr>
            <w:tcW w:w="7088" w:type="dxa"/>
            <w:shd w:val="clear" w:color="auto" w:fill="F1F1F1"/>
            <w:vAlign w:val="center"/>
          </w:tcPr>
          <w:p w14:paraId="31E6C05F">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you explain to participants that refusal to participate in the research will not affect their treatment or education (if relevant)?</w:t>
            </w:r>
          </w:p>
        </w:tc>
        <w:tc>
          <w:tcPr>
            <w:tcW w:w="992" w:type="dxa"/>
            <w:shd w:val="clear" w:color="auto" w:fill="BEBEBE"/>
            <w:vAlign w:val="center"/>
          </w:tcPr>
          <w:sdt>
            <w:sdtPr>
              <w:rPr>
                <w:rFonts w:ascii="Arial" w:hAnsi="Arial" w:eastAsia="Times New Roman" w:cs="Arial"/>
                <w:b/>
                <w:bCs/>
                <w:sz w:val="22"/>
                <w:szCs w:val="22"/>
                <w:lang w:val="en-GB" w:eastAsia="en-GB" w:bidi="ar-SA"/>
              </w:rPr>
              <w:id w:val="190794767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C6EDCF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199795487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41F00FD">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83388731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475B210">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D5A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5B266093">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17</w:t>
            </w:r>
          </w:p>
        </w:tc>
        <w:tc>
          <w:tcPr>
            <w:tcW w:w="7088" w:type="dxa"/>
            <w:shd w:val="clear" w:color="auto" w:fill="F1F1F1"/>
            <w:vAlign w:val="center"/>
          </w:tcPr>
          <w:p w14:paraId="6A53DE3D">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If the research is observational, will you ask participants for their consent to being observed?</w:t>
            </w:r>
          </w:p>
        </w:tc>
        <w:tc>
          <w:tcPr>
            <w:tcW w:w="992" w:type="dxa"/>
            <w:shd w:val="clear" w:color="auto" w:fill="BEBEBE"/>
            <w:vAlign w:val="center"/>
          </w:tcPr>
          <w:sdt>
            <w:sdtPr>
              <w:rPr>
                <w:rFonts w:ascii="Arial" w:hAnsi="Arial" w:eastAsia="Times New Roman" w:cs="Arial"/>
                <w:b/>
                <w:bCs/>
                <w:sz w:val="22"/>
                <w:szCs w:val="22"/>
                <w:lang w:val="en-GB" w:eastAsia="en-GB" w:bidi="ar-SA"/>
              </w:rPr>
              <w:id w:val="-6549896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E81A726">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32790711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EF6203E">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84324213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33FB049">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1A4CE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78A8832">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18</w:t>
            </w:r>
          </w:p>
        </w:tc>
        <w:tc>
          <w:tcPr>
            <w:tcW w:w="7088" w:type="dxa"/>
            <w:shd w:val="clear" w:color="auto" w:fill="F1F1F1"/>
            <w:vAlign w:val="center"/>
          </w:tcPr>
          <w:p w14:paraId="7897DA1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you tell participants that they may withdraw from the research at any time and for any reason?</w:t>
            </w:r>
          </w:p>
        </w:tc>
        <w:tc>
          <w:tcPr>
            <w:tcW w:w="992" w:type="dxa"/>
            <w:shd w:val="clear" w:color="auto" w:fill="BEBEBE"/>
            <w:vAlign w:val="center"/>
          </w:tcPr>
          <w:sdt>
            <w:sdtPr>
              <w:rPr>
                <w:rFonts w:ascii="Arial" w:hAnsi="Arial" w:eastAsia="Times New Roman" w:cs="Arial"/>
                <w:b/>
                <w:bCs/>
                <w:sz w:val="22"/>
                <w:szCs w:val="22"/>
                <w:lang w:val="en-GB" w:eastAsia="en-GB" w:bidi="ar-SA"/>
              </w:rPr>
              <w:id w:val="-168974416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4960B07">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1160307203"/>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B31FCC3">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27000421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7BA8A0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B50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14696FAC">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19</w:t>
            </w:r>
          </w:p>
        </w:tc>
        <w:tc>
          <w:tcPr>
            <w:tcW w:w="7088" w:type="dxa"/>
            <w:shd w:val="clear" w:color="auto" w:fill="F1F1F1"/>
            <w:vAlign w:val="center"/>
          </w:tcPr>
          <w:p w14:paraId="2BEDCD09">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With questionnaires, will you give participants the option of omitting questions they do not want to answer?</w:t>
            </w:r>
          </w:p>
        </w:tc>
        <w:tc>
          <w:tcPr>
            <w:tcW w:w="992" w:type="dxa"/>
            <w:shd w:val="clear" w:color="auto" w:fill="BEBEBE"/>
            <w:vAlign w:val="center"/>
          </w:tcPr>
          <w:sdt>
            <w:sdtPr>
              <w:rPr>
                <w:rFonts w:ascii="Arial" w:hAnsi="Arial" w:eastAsia="Times New Roman" w:cs="Arial"/>
                <w:b/>
                <w:bCs/>
                <w:sz w:val="22"/>
                <w:szCs w:val="22"/>
                <w:lang w:val="en-GB" w:eastAsia="en-GB" w:bidi="ar-SA"/>
              </w:rPr>
              <w:id w:val="-12000460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CDFAAE9">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50274824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BAC81EB">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19612545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400BC9B">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4DFD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38A19FA7">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20</w:t>
            </w:r>
          </w:p>
        </w:tc>
        <w:tc>
          <w:tcPr>
            <w:tcW w:w="7088" w:type="dxa"/>
            <w:shd w:val="clear" w:color="auto" w:fill="F1F1F1"/>
            <w:vAlign w:val="center"/>
          </w:tcPr>
          <w:p w14:paraId="2B76AC6D">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you tell participants that their data will be treated with full confidentiality and that, if published, it will not be identifiable as theirs?</w:t>
            </w:r>
          </w:p>
        </w:tc>
        <w:tc>
          <w:tcPr>
            <w:tcW w:w="992" w:type="dxa"/>
            <w:shd w:val="clear" w:color="auto" w:fill="BEBEBE"/>
            <w:vAlign w:val="center"/>
          </w:tcPr>
          <w:sdt>
            <w:sdtPr>
              <w:rPr>
                <w:rFonts w:ascii="Arial" w:hAnsi="Arial" w:eastAsia="Times New Roman" w:cs="Arial"/>
                <w:b/>
                <w:bCs/>
                <w:sz w:val="22"/>
                <w:szCs w:val="22"/>
                <w:lang w:val="en-GB" w:eastAsia="en-GB" w:bidi="ar-SA"/>
              </w:rPr>
              <w:id w:val="9622161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2C19483">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71535789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76B20EF">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86181930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3DB4545">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374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099C5E86">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21</w:t>
            </w:r>
          </w:p>
        </w:tc>
        <w:tc>
          <w:tcPr>
            <w:tcW w:w="7088" w:type="dxa"/>
            <w:shd w:val="clear" w:color="auto" w:fill="F1F1F1"/>
            <w:vAlign w:val="center"/>
          </w:tcPr>
          <w:p w14:paraId="4EE2EEC1">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you debrief participants at the end of their participation, in a way appropriate to the type of research undertaken?</w:t>
            </w:r>
          </w:p>
        </w:tc>
        <w:tc>
          <w:tcPr>
            <w:tcW w:w="992" w:type="dxa"/>
            <w:shd w:val="clear" w:color="auto" w:fill="BEBEBE"/>
            <w:vAlign w:val="center"/>
          </w:tcPr>
          <w:sdt>
            <w:sdtPr>
              <w:rPr>
                <w:rFonts w:ascii="Arial" w:hAnsi="Arial" w:eastAsia="Times New Roman" w:cs="Arial"/>
                <w:b/>
                <w:bCs/>
                <w:sz w:val="22"/>
                <w:szCs w:val="22"/>
                <w:lang w:val="en-GB" w:eastAsia="en-GB" w:bidi="ar-SA"/>
              </w:rPr>
              <w:id w:val="150701563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2EE452A">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28270137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9E06168">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107542890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005A413">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52A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vAlign w:val="center"/>
          </w:tcPr>
          <w:p w14:paraId="4500512E">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22</w:t>
            </w:r>
          </w:p>
        </w:tc>
        <w:tc>
          <w:tcPr>
            <w:tcW w:w="9923" w:type="dxa"/>
            <w:gridSpan w:val="4"/>
            <w:tcBorders>
              <w:bottom w:val="single" w:color="auto" w:sz="4" w:space="0"/>
            </w:tcBorders>
            <w:shd w:val="clear" w:color="auto" w:fill="F1F1F1"/>
            <w:vAlign w:val="center"/>
          </w:tcPr>
          <w:p w14:paraId="38371B97">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If NO</w:t>
            </w:r>
            <w:r>
              <w:rPr>
                <w:rFonts w:ascii="Arial" w:hAnsi="Arial" w:eastAsia="Times New Roman" w:cs="Arial"/>
                <w:b/>
                <w:bCs/>
                <w:kern w:val="0"/>
                <w:sz w:val="22"/>
                <w:szCs w:val="22"/>
                <w:lang w:val="en-GB" w:eastAsia="en-US"/>
              </w:rPr>
              <w:t xml:space="preserve"> </w:t>
            </w:r>
            <w:r>
              <w:rPr>
                <w:rFonts w:ascii="Arial" w:hAnsi="Arial" w:eastAsia="Times New Roman" w:cs="Arial"/>
                <w:kern w:val="0"/>
                <w:sz w:val="22"/>
                <w:szCs w:val="22"/>
                <w:lang w:val="en-GB" w:eastAsia="en-US"/>
              </w:rPr>
              <w:t xml:space="preserve">to any of above questions, please give an explanation </w:t>
            </w:r>
          </w:p>
        </w:tc>
      </w:tr>
      <w:tr w14:paraId="1095F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2E9BCDF">
            <w:pPr>
              <w:widowControl/>
              <w:jc w:val="center"/>
              <w:rPr>
                <w:rFonts w:ascii="Arial" w:hAnsi="Arial" w:eastAsia="Times New Roman" w:cs="Arial"/>
                <w:kern w:val="0"/>
                <w:sz w:val="22"/>
                <w:szCs w:val="22"/>
                <w:lang w:val="en-GB" w:eastAsia="en-US"/>
              </w:rPr>
            </w:pPr>
          </w:p>
        </w:tc>
        <w:tc>
          <w:tcPr>
            <w:tcW w:w="9923" w:type="dxa"/>
            <w:gridSpan w:val="4"/>
            <w:vAlign w:val="center"/>
          </w:tcPr>
          <w:p w14:paraId="4BFF822A">
            <w:pPr>
              <w:widowControl/>
              <w:jc w:val="left"/>
              <w:rPr>
                <w:rFonts w:ascii="Arial" w:hAnsi="Arial" w:eastAsia="Times New Roman" w:cs="Arial"/>
                <w:color w:val="00B050"/>
                <w:kern w:val="0"/>
                <w:sz w:val="24"/>
                <w:szCs w:val="22"/>
                <w:lang w:val="en-GB" w:eastAsia="en-US"/>
              </w:rPr>
            </w:pPr>
            <w:r>
              <w:rPr>
                <w:rFonts w:ascii="Arial" w:hAnsi="Arial" w:eastAsia="Times New Roman" w:cs="Arial"/>
                <w:color w:val="00B050"/>
                <w:kern w:val="0"/>
                <w:sz w:val="22"/>
                <w:szCs w:val="20"/>
                <w:lang w:val="en-GB" w:eastAsia="en-US"/>
              </w:rPr>
              <w:t>You should be able to tick YES for all of these questions. If not, then explain why not in this box.</w:t>
            </w:r>
          </w:p>
          <w:p w14:paraId="24316638">
            <w:pPr>
              <w:widowControl/>
              <w:jc w:val="left"/>
              <w:rPr>
                <w:rFonts w:ascii="Arial" w:hAnsi="Arial" w:eastAsia="Times New Roman" w:cs="Arial"/>
                <w:kern w:val="0"/>
                <w:sz w:val="22"/>
                <w:szCs w:val="22"/>
                <w:lang w:val="en-GB" w:eastAsia="en-US"/>
              </w:rPr>
            </w:pPr>
          </w:p>
          <w:p w14:paraId="162B2779">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bl>
    <w:p w14:paraId="645C6259">
      <w:pPr>
        <w:widowControl/>
        <w:jc w:val="left"/>
        <w:rPr>
          <w:rFonts w:ascii="Times New Roman" w:hAnsi="Times New Roman" w:eastAsia="Times New Roman" w:cs="Times New Roman"/>
          <w:kern w:val="0"/>
          <w:sz w:val="20"/>
          <w:szCs w:val="20"/>
          <w:lang w:val="en-GB" w:eastAsia="en-US"/>
        </w:rPr>
      </w:pPr>
    </w:p>
    <w:tbl>
      <w:tblPr>
        <w:tblStyle w:val="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6E5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cPr>
          <w:p w14:paraId="4735ED2A">
            <w:pPr>
              <w:widowControl/>
              <w:autoSpaceDE w:val="0"/>
              <w:autoSpaceDN w:val="0"/>
              <w:adjustRightInd w:val="0"/>
              <w:jc w:val="both"/>
              <w:rPr>
                <w:rFonts w:ascii="Arial" w:hAnsi="Arial" w:eastAsia="Times New Roman" w:cs="Arial"/>
                <w:bCs/>
                <w:kern w:val="0"/>
                <w:sz w:val="22"/>
                <w:szCs w:val="22"/>
                <w:lang w:val="en-GB" w:eastAsia="en-US"/>
              </w:rPr>
            </w:pPr>
          </w:p>
        </w:tc>
        <w:tc>
          <w:tcPr>
            <w:tcW w:w="7088" w:type="dxa"/>
            <w:shd w:val="clear" w:color="auto" w:fill="F1F1F1"/>
            <w:vAlign w:val="center"/>
          </w:tcPr>
          <w:p w14:paraId="7AD82F42">
            <w:pPr>
              <w:widowControl/>
              <w:autoSpaceDE w:val="0"/>
              <w:autoSpaceDN w:val="0"/>
              <w:adjustRightInd w:val="0"/>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Information for participants:</w:t>
            </w:r>
          </w:p>
        </w:tc>
        <w:tc>
          <w:tcPr>
            <w:tcW w:w="992" w:type="dxa"/>
            <w:shd w:val="clear" w:color="auto" w:fill="F1F1F1"/>
            <w:vAlign w:val="bottom"/>
          </w:tcPr>
          <w:p w14:paraId="5299F05C">
            <w:pPr>
              <w:widowControl/>
              <w:autoSpaceDE w:val="0"/>
              <w:autoSpaceDN w:val="0"/>
              <w:adjustRightInd w:val="0"/>
              <w:jc w:val="center"/>
              <w:rPr>
                <w:rFonts w:ascii="Arial" w:hAnsi="Arial" w:eastAsia="Times New Roman" w:cs="Arial"/>
                <w:b/>
                <w:bCs/>
                <w:kern w:val="0"/>
                <w:sz w:val="16"/>
                <w:szCs w:val="16"/>
                <w:lang w:val="en-GB" w:eastAsia="en-US"/>
              </w:rPr>
            </w:pPr>
          </w:p>
          <w:p w14:paraId="76A6DD26">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YES</w:t>
            </w:r>
          </w:p>
        </w:tc>
        <w:tc>
          <w:tcPr>
            <w:tcW w:w="851" w:type="dxa"/>
            <w:shd w:val="clear" w:color="auto" w:fill="F1F1F1"/>
            <w:vAlign w:val="bottom"/>
          </w:tcPr>
          <w:p w14:paraId="7A7EF1F0">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NO</w:t>
            </w:r>
          </w:p>
        </w:tc>
        <w:tc>
          <w:tcPr>
            <w:tcW w:w="992" w:type="dxa"/>
            <w:shd w:val="clear" w:color="auto" w:fill="F1F1F1"/>
            <w:vAlign w:val="bottom"/>
          </w:tcPr>
          <w:p w14:paraId="73147D32">
            <w:pPr>
              <w:widowControl/>
              <w:autoSpaceDE w:val="0"/>
              <w:autoSpaceDN w:val="0"/>
              <w:adjustRightInd w:val="0"/>
              <w:jc w:val="center"/>
              <w:rPr>
                <w:rFonts w:ascii="Arial" w:hAnsi="Arial" w:eastAsia="Times New Roman" w:cs="Arial"/>
                <w:b/>
                <w:bCs/>
                <w:kern w:val="0"/>
                <w:sz w:val="16"/>
                <w:szCs w:val="16"/>
                <w:lang w:val="en-GB" w:eastAsia="en-US"/>
              </w:rPr>
            </w:pPr>
          </w:p>
          <w:p w14:paraId="7413CE7D">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N/A</w:t>
            </w:r>
          </w:p>
        </w:tc>
      </w:tr>
      <w:tr w14:paraId="2C1EE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1D1927ED">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24</w:t>
            </w:r>
          </w:p>
        </w:tc>
        <w:tc>
          <w:tcPr>
            <w:tcW w:w="7088" w:type="dxa"/>
            <w:shd w:val="clear" w:color="auto" w:fill="F1F1F1"/>
            <w:vAlign w:val="center"/>
          </w:tcPr>
          <w:p w14:paraId="691D76E0">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participants be paid?</w:t>
            </w:r>
          </w:p>
        </w:tc>
        <w:tc>
          <w:tcPr>
            <w:tcW w:w="992" w:type="dxa"/>
            <w:shd w:val="clear" w:color="auto" w:fill="BEBEBE"/>
            <w:vAlign w:val="center"/>
          </w:tcPr>
          <w:sdt>
            <w:sdtPr>
              <w:rPr>
                <w:rFonts w:ascii="Arial" w:hAnsi="Arial" w:eastAsia="Times New Roman" w:cs="Arial"/>
                <w:b/>
                <w:bCs/>
                <w:sz w:val="22"/>
                <w:szCs w:val="22"/>
                <w:lang w:val="en-GB" w:eastAsia="en-GB" w:bidi="ar-SA"/>
              </w:rPr>
              <w:id w:val="51043762"/>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A667007">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256140063"/>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6E491AA">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63421972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9B4E76B">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78F8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391EFEE4">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25</w:t>
            </w:r>
          </w:p>
        </w:tc>
        <w:tc>
          <w:tcPr>
            <w:tcW w:w="7088" w:type="dxa"/>
            <w:shd w:val="clear" w:color="auto" w:fill="F1F1F1"/>
            <w:vAlign w:val="center"/>
          </w:tcPr>
          <w:p w14:paraId="7525423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Is specialist electrical or other equipment to be used with participants?</w:t>
            </w:r>
          </w:p>
        </w:tc>
        <w:tc>
          <w:tcPr>
            <w:tcW w:w="992" w:type="dxa"/>
            <w:shd w:val="clear" w:color="auto" w:fill="BEBEBE"/>
            <w:vAlign w:val="center"/>
          </w:tcPr>
          <w:sdt>
            <w:sdtPr>
              <w:rPr>
                <w:rFonts w:ascii="Arial" w:hAnsi="Arial" w:eastAsia="Times New Roman" w:cs="Arial"/>
                <w:b/>
                <w:bCs/>
                <w:sz w:val="22"/>
                <w:szCs w:val="22"/>
                <w:lang w:val="en-GB" w:eastAsia="en-GB" w:bidi="ar-SA"/>
              </w:rPr>
              <w:id w:val="-143898245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1698268">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208926709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7BCAE91">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42546884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C81C1E6">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C97D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6D1A7116">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26</w:t>
            </w:r>
          </w:p>
        </w:tc>
        <w:tc>
          <w:tcPr>
            <w:tcW w:w="7088" w:type="dxa"/>
            <w:shd w:val="clear" w:color="auto" w:fill="F1F1F1"/>
            <w:vAlign w:val="center"/>
          </w:tcPr>
          <w:p w14:paraId="2A714903">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Are there any financial or other interests to the investigator or University arising from this study?</w:t>
            </w:r>
          </w:p>
        </w:tc>
        <w:tc>
          <w:tcPr>
            <w:tcW w:w="992" w:type="dxa"/>
            <w:shd w:val="clear" w:color="auto" w:fill="BEBEBE"/>
            <w:vAlign w:val="center"/>
          </w:tcPr>
          <w:sdt>
            <w:sdtPr>
              <w:rPr>
                <w:rFonts w:ascii="Arial" w:hAnsi="Arial" w:eastAsia="Times New Roman" w:cs="Arial"/>
                <w:b/>
                <w:bCs/>
                <w:sz w:val="22"/>
                <w:szCs w:val="22"/>
                <w:lang w:val="en-GB" w:eastAsia="en-GB" w:bidi="ar-SA"/>
              </w:rPr>
              <w:id w:val="-22560696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70AC0D8">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1565337314"/>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295069E">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13357519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A2BC7AC">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104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2820A3E0">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27</w:t>
            </w:r>
          </w:p>
        </w:tc>
        <w:tc>
          <w:tcPr>
            <w:tcW w:w="7088" w:type="dxa"/>
            <w:shd w:val="clear" w:color="auto" w:fill="F1F1F1"/>
            <w:vAlign w:val="center"/>
          </w:tcPr>
          <w:p w14:paraId="073B7FAD">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Will the research activity involve deliberately misleading participants in any way, or the partial or full concealment of the specific study aims?</w:t>
            </w:r>
          </w:p>
        </w:tc>
        <w:tc>
          <w:tcPr>
            <w:tcW w:w="992" w:type="dxa"/>
            <w:shd w:val="clear" w:color="auto" w:fill="BEBEBE"/>
            <w:vAlign w:val="center"/>
          </w:tcPr>
          <w:sdt>
            <w:sdtPr>
              <w:rPr>
                <w:rFonts w:ascii="Arial" w:hAnsi="Arial" w:eastAsia="Times New Roman" w:cs="Arial"/>
                <w:b/>
                <w:bCs/>
                <w:sz w:val="22"/>
                <w:szCs w:val="22"/>
                <w:lang w:val="en-GB" w:eastAsia="en-GB" w:bidi="ar-SA"/>
              </w:rPr>
              <w:id w:val="-87393224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09DC546">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851" w:type="dxa"/>
            <w:shd w:val="clear" w:color="auto" w:fill="BEBEBE"/>
            <w:vAlign w:val="center"/>
          </w:tcPr>
          <w:sdt>
            <w:sdtPr>
              <w:rPr>
                <w:rFonts w:ascii="Arial" w:hAnsi="Arial" w:eastAsia="Times New Roman" w:cs="Arial"/>
                <w:b/>
                <w:bCs/>
                <w:sz w:val="22"/>
                <w:szCs w:val="22"/>
                <w:lang w:val="en-GB" w:eastAsia="en-GB" w:bidi="ar-SA"/>
              </w:rPr>
              <w:id w:val="-186736174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FA5D577">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992" w:type="dxa"/>
            <w:shd w:val="clear" w:color="auto" w:fill="BEBEBE"/>
            <w:vAlign w:val="center"/>
          </w:tcPr>
          <w:sdt>
            <w:sdtPr>
              <w:rPr>
                <w:rFonts w:ascii="Arial" w:hAnsi="Arial" w:eastAsia="Times New Roman" w:cs="Arial"/>
                <w:b/>
                <w:bCs/>
                <w:sz w:val="22"/>
                <w:szCs w:val="22"/>
                <w:lang w:val="en-GB" w:eastAsia="en-GB" w:bidi="ar-SA"/>
              </w:rPr>
              <w:id w:val="214328365"/>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7FAF132">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1829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32ED0A0E">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28</w:t>
            </w:r>
          </w:p>
        </w:tc>
        <w:tc>
          <w:tcPr>
            <w:tcW w:w="9923" w:type="dxa"/>
            <w:gridSpan w:val="4"/>
            <w:shd w:val="clear" w:color="auto" w:fill="F1F1F1"/>
            <w:vAlign w:val="center"/>
          </w:tcPr>
          <w:p w14:paraId="4AA78869">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If YES</w:t>
            </w:r>
            <w:r>
              <w:rPr>
                <w:rFonts w:ascii="Arial" w:hAnsi="Arial" w:eastAsia="Times New Roman" w:cs="Arial"/>
                <w:b/>
                <w:bCs/>
                <w:kern w:val="0"/>
                <w:sz w:val="22"/>
                <w:szCs w:val="22"/>
                <w:lang w:val="en-GB" w:eastAsia="en-US"/>
              </w:rPr>
              <w:t xml:space="preserve"> </w:t>
            </w:r>
            <w:r>
              <w:rPr>
                <w:rFonts w:ascii="Arial" w:hAnsi="Arial" w:eastAsia="Times New Roman" w:cs="Arial"/>
                <w:kern w:val="0"/>
                <w:sz w:val="22"/>
                <w:szCs w:val="22"/>
                <w:lang w:val="en-GB" w:eastAsia="en-US"/>
              </w:rPr>
              <w:t xml:space="preserve">to any question, please provide full details </w:t>
            </w:r>
          </w:p>
        </w:tc>
      </w:tr>
      <w:tr w14:paraId="7E12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A3F6036">
            <w:pPr>
              <w:widowControl/>
              <w:jc w:val="center"/>
              <w:rPr>
                <w:rFonts w:ascii="Arial" w:hAnsi="Arial" w:eastAsia="Times New Roman" w:cs="Arial"/>
                <w:kern w:val="0"/>
                <w:sz w:val="22"/>
                <w:szCs w:val="22"/>
                <w:lang w:val="en-GB" w:eastAsia="en-US"/>
              </w:rPr>
            </w:pPr>
          </w:p>
        </w:tc>
        <w:tc>
          <w:tcPr>
            <w:tcW w:w="9923" w:type="dxa"/>
            <w:gridSpan w:val="4"/>
            <w:vAlign w:val="center"/>
          </w:tcPr>
          <w:p w14:paraId="6C5AFA5D">
            <w:pPr>
              <w:widowControl/>
              <w:jc w:val="left"/>
              <w:rPr>
                <w:rFonts w:ascii="Arial" w:hAnsi="Arial" w:eastAsia="Times New Roman" w:cs="Arial"/>
                <w:color w:val="00B050"/>
                <w:kern w:val="0"/>
                <w:sz w:val="24"/>
                <w:szCs w:val="22"/>
                <w:lang w:val="en-GB" w:eastAsia="en-US"/>
              </w:rPr>
            </w:pPr>
            <w:r>
              <w:rPr>
                <w:rFonts w:ascii="Arial" w:hAnsi="Arial" w:eastAsia="Times New Roman" w:cs="Arial"/>
                <w:color w:val="00B050"/>
                <w:kern w:val="0"/>
                <w:sz w:val="22"/>
                <w:szCs w:val="20"/>
                <w:lang w:val="en-GB" w:eastAsia="en-US"/>
              </w:rPr>
              <w:t>You should be able to tick NO for most of these questions. For any cases that you have ticked YES then provide details in this box. If you are using cameras/voice recorders to record interviews then please state that in this box.</w:t>
            </w:r>
          </w:p>
          <w:p w14:paraId="7943C0A3">
            <w:pPr>
              <w:widowControl/>
              <w:jc w:val="left"/>
              <w:rPr>
                <w:rFonts w:ascii="Arial" w:hAnsi="Arial" w:eastAsia="Times New Roman" w:cs="Arial"/>
                <w:kern w:val="0"/>
                <w:sz w:val="22"/>
                <w:szCs w:val="22"/>
                <w:lang w:val="en-GB" w:eastAsia="en-US"/>
              </w:rPr>
            </w:pPr>
          </w:p>
          <w:p w14:paraId="37421AFC">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bl>
    <w:p w14:paraId="168053A8">
      <w:pPr>
        <w:widowControl/>
        <w:autoSpaceDE w:val="0"/>
        <w:autoSpaceDN w:val="0"/>
        <w:adjustRightInd w:val="0"/>
        <w:spacing w:after="240"/>
        <w:jc w:val="both"/>
        <w:rPr>
          <w:rFonts w:ascii="Arial" w:hAnsi="Arial" w:eastAsia="Times New Roman" w:cs="Arial"/>
          <w:b/>
          <w:kern w:val="0"/>
          <w:sz w:val="22"/>
          <w:szCs w:val="22"/>
          <w:lang w:val="en-GB" w:eastAsia="en-US"/>
        </w:rPr>
      </w:pPr>
    </w:p>
    <w:p w14:paraId="54160EB3">
      <w:pPr>
        <w:widowControl/>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F: Anticipated Risks</w:t>
      </w:r>
    </w:p>
    <w:p w14:paraId="6D3ECB7B">
      <w:pPr>
        <w:widowControl/>
        <w:jc w:val="left"/>
        <w:rPr>
          <w:rFonts w:ascii="Arial" w:hAnsi="Arial" w:eastAsia="Times New Roman" w:cs="Arial"/>
          <w:b/>
          <w:kern w:val="0"/>
          <w:sz w:val="22"/>
          <w:szCs w:val="22"/>
          <w:lang w:val="en-GB" w:eastAsia="en-US"/>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00E9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cPr>
          <w:p w14:paraId="1D112173">
            <w:pPr>
              <w:keepNext/>
              <w:tabs>
                <w:tab w:val="left" w:pos="5103"/>
              </w:tabs>
              <w:jc w:val="left"/>
              <w:outlineLvl w:val="0"/>
              <w:rPr>
                <w:rFonts w:ascii="Arial" w:hAnsi="Arial" w:eastAsia="Times New Roman" w:cs="Arial"/>
                <w:b w:val="0"/>
                <w:bCs w:val="0"/>
                <w:sz w:val="22"/>
                <w:szCs w:val="22"/>
                <w:lang w:val="en-GB" w:eastAsia="en-US" w:bidi="ar-SA"/>
              </w:rPr>
            </w:pPr>
          </w:p>
        </w:tc>
        <w:tc>
          <w:tcPr>
            <w:tcW w:w="9923" w:type="dxa"/>
            <w:gridSpan w:val="2"/>
            <w:tcBorders>
              <w:bottom w:val="single" w:color="auto" w:sz="4" w:space="0"/>
            </w:tcBorders>
            <w:shd w:val="clear" w:color="auto" w:fill="F1F1F1"/>
          </w:tcPr>
          <w:p w14:paraId="353D04AE">
            <w:pPr>
              <w:keepNext/>
              <w:tabs>
                <w:tab w:val="left" w:pos="5103"/>
              </w:tabs>
              <w:jc w:val="left"/>
              <w:outlineLvl w:val="0"/>
              <w:rPr>
                <w:rFonts w:ascii="Arial" w:hAnsi="Arial" w:eastAsia="Times New Roman" w:cs="Arial"/>
                <w:b/>
                <w:bCs/>
                <w:sz w:val="22"/>
                <w:szCs w:val="22"/>
                <w:lang w:val="en-GB" w:eastAsia="en-US" w:bidi="ar-SA"/>
              </w:rPr>
            </w:pPr>
            <w:r>
              <w:rPr>
                <w:rFonts w:ascii="Arial" w:hAnsi="Arial" w:eastAsia="Times New Roman" w:cs="Arial"/>
                <w:b/>
                <w:bCs/>
                <w:sz w:val="22"/>
                <w:szCs w:val="22"/>
                <w:lang w:val="en-GB" w:eastAsia="en-US" w:bidi="ar-SA"/>
              </w:rPr>
              <w:br w:type="page"/>
            </w:r>
            <w:bookmarkStart w:id="73" w:name="_Toc14681"/>
            <w:r>
              <w:rPr>
                <w:rFonts w:ascii="Arial" w:hAnsi="Arial" w:eastAsia="Times New Roman" w:cs="Arial"/>
                <w:b/>
                <w:bCs/>
                <w:sz w:val="22"/>
                <w:szCs w:val="22"/>
                <w:lang w:val="en-GB" w:eastAsia="en-US" w:bidi="ar-SA"/>
              </w:rPr>
              <w:t>Outline any anticipated risks</w:t>
            </w:r>
            <w:r>
              <w:rPr>
                <w:rFonts w:ascii="Arial" w:hAnsi="Arial" w:eastAsia="宋体" w:cs="Arial"/>
                <w:b/>
                <w:bCs/>
                <w:sz w:val="22"/>
                <w:szCs w:val="22"/>
                <w:lang w:val="en-GB" w:eastAsia="zh-CN" w:bidi="ar-SA"/>
              </w:rPr>
              <w:t xml:space="preserve"> </w:t>
            </w:r>
            <w:r>
              <w:rPr>
                <w:rFonts w:ascii="Arial" w:hAnsi="Arial" w:eastAsia="Times New Roman" w:cs="Arial"/>
                <w:b/>
                <w:bCs/>
                <w:sz w:val="22"/>
                <w:szCs w:val="22"/>
                <w:lang w:val="en-GB" w:eastAsia="en-US" w:bidi="ar-SA"/>
              </w:rPr>
              <w:t>that may adversely affect any of the participants, the researchers and/or the University, and the steps that will be taken to address them.</w:t>
            </w:r>
            <w:bookmarkEnd w:id="73"/>
            <w:r>
              <w:rPr>
                <w:rFonts w:ascii="Arial" w:hAnsi="Arial" w:eastAsia="Times New Roman" w:cs="Arial"/>
                <w:b/>
                <w:bCs/>
                <w:sz w:val="22"/>
                <w:szCs w:val="22"/>
                <w:lang w:val="en-GB" w:eastAsia="en-US" w:bidi="ar-SA"/>
              </w:rPr>
              <w:t xml:space="preserve">  </w:t>
            </w:r>
          </w:p>
        </w:tc>
      </w:tr>
      <w:tr w14:paraId="2D62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vAlign w:val="center"/>
          </w:tcPr>
          <w:p w14:paraId="143FE145">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w:t>
            </w:r>
          </w:p>
        </w:tc>
        <w:tc>
          <w:tcPr>
            <w:tcW w:w="9923" w:type="dxa"/>
            <w:gridSpan w:val="2"/>
            <w:tcBorders>
              <w:bottom w:val="single" w:color="auto" w:sz="4" w:space="0"/>
            </w:tcBorders>
            <w:shd w:val="clear" w:color="auto" w:fill="F1F1F1"/>
          </w:tcPr>
          <w:p w14:paraId="71B1C2F8">
            <w:pPr>
              <w:widowControl/>
              <w:jc w:val="left"/>
              <w:rPr>
                <w:rFonts w:ascii="Arial" w:hAnsi="Arial" w:eastAsia="Times New Roman" w:cs="Arial"/>
                <w:kern w:val="0"/>
                <w:sz w:val="22"/>
                <w:szCs w:val="22"/>
                <w:lang w:val="en-GB" w:eastAsia="en-US"/>
              </w:rPr>
            </w:pPr>
            <w:r>
              <w:rPr>
                <w:rFonts w:ascii="Arial" w:hAnsi="Arial" w:eastAsia="Times New Roman" w:cs="Arial"/>
                <w:b/>
                <w:kern w:val="0"/>
                <w:sz w:val="22"/>
                <w:szCs w:val="22"/>
                <w:lang w:val="en-GB" w:eastAsia="en-US"/>
              </w:rPr>
              <w:t>Risks to participants</w:t>
            </w:r>
          </w:p>
          <w:p w14:paraId="4B91A48F">
            <w:pPr>
              <w:widowControl/>
              <w:jc w:val="left"/>
              <w:rPr>
                <w:rFonts w:ascii="Arial" w:hAnsi="Arial" w:eastAsia="Times New Roman" w:cs="Arial"/>
                <w:b/>
                <w:kern w:val="0"/>
                <w:sz w:val="22"/>
                <w:szCs w:val="22"/>
                <w:lang w:val="en-GB" w:eastAsia="en-US"/>
              </w:rPr>
            </w:pPr>
            <w:r>
              <w:rPr>
                <w:rFonts w:ascii="Arial" w:hAnsi="Arial" w:eastAsia="Times New Roman" w:cs="Arial"/>
                <w:kern w:val="0"/>
                <w:sz w:val="22"/>
                <w:szCs w:val="22"/>
                <w:lang w:val="en-GB" w:eastAsia="en-US"/>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3CE86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44296AF8">
            <w:pPr>
              <w:widowControl/>
              <w:autoSpaceDE w:val="0"/>
              <w:autoSpaceDN w:val="0"/>
              <w:adjustRightInd w:val="0"/>
              <w:jc w:val="center"/>
              <w:rPr>
                <w:rFonts w:ascii="Arial" w:hAnsi="Arial" w:eastAsia="Times New Roman" w:cs="Arial"/>
                <w:kern w:val="0"/>
                <w:sz w:val="22"/>
                <w:szCs w:val="22"/>
                <w:lang w:val="en-GB" w:eastAsia="en-US"/>
              </w:rPr>
            </w:pPr>
          </w:p>
        </w:tc>
        <w:tc>
          <w:tcPr>
            <w:tcW w:w="4991" w:type="dxa"/>
            <w:tcBorders>
              <w:top w:val="single" w:color="auto" w:sz="4" w:space="0"/>
              <w:bottom w:val="single" w:color="auto" w:sz="4" w:space="0"/>
            </w:tcBorders>
          </w:tcPr>
          <w:p w14:paraId="03F988A2">
            <w:pPr>
              <w:widowControl/>
              <w:autoSpaceDE w:val="0"/>
              <w:autoSpaceDN w:val="0"/>
              <w:adjustRightInd w:val="0"/>
              <w:jc w:val="left"/>
              <w:rPr>
                <w:rFonts w:ascii="Arial" w:hAnsi="Arial" w:eastAsia="等线" w:cs="Arial"/>
                <w:kern w:val="0"/>
                <w:sz w:val="22"/>
                <w:szCs w:val="22"/>
                <w:lang w:val="en-GB" w:eastAsia="zh-CN"/>
              </w:rPr>
            </w:pPr>
            <w:r>
              <w:rPr>
                <w:rFonts w:ascii="Arial" w:hAnsi="Arial" w:eastAsia="Times New Roman" w:cs="Arial"/>
                <w:kern w:val="0"/>
                <w:sz w:val="22"/>
                <w:szCs w:val="22"/>
                <w:lang w:val="en-GB" w:eastAsia="en-US"/>
              </w:rPr>
              <w:t>Risk to participants:</w:t>
            </w:r>
          </w:p>
          <w:p w14:paraId="16FB6ED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Minimal risk, primarily related to potential discomfort in answering questions about their values and consumer behaviour.</w:t>
            </w:r>
          </w:p>
          <w:p w14:paraId="46D80C97">
            <w:pPr>
              <w:widowControl/>
              <w:jc w:val="left"/>
              <w:rPr>
                <w:rFonts w:ascii="Arial" w:hAnsi="Arial" w:eastAsia="Times New Roman" w:cs="Arial"/>
                <w:kern w:val="0"/>
                <w:sz w:val="22"/>
                <w:szCs w:val="22"/>
                <w:lang w:val="en-GB" w:eastAsia="en-US"/>
              </w:rPr>
            </w:pPr>
          </w:p>
          <w:p w14:paraId="6967D891">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c>
          <w:tcPr>
            <w:tcW w:w="4932" w:type="dxa"/>
            <w:tcBorders>
              <w:top w:val="single" w:color="auto" w:sz="4" w:space="0"/>
              <w:bottom w:val="single" w:color="auto" w:sz="4" w:space="0"/>
            </w:tcBorders>
          </w:tcPr>
          <w:p w14:paraId="4FEC191A">
            <w:pPr>
              <w:widowControl/>
              <w:autoSpaceDE w:val="0"/>
              <w:autoSpaceDN w:val="0"/>
              <w:adjustRightInd w:val="0"/>
              <w:jc w:val="left"/>
              <w:rPr>
                <w:rFonts w:ascii="Arial" w:hAnsi="Arial" w:eastAsia="Times New Roman" w:cs="Arial"/>
                <w:i/>
                <w:kern w:val="0"/>
                <w:sz w:val="18"/>
                <w:szCs w:val="18"/>
                <w:lang w:val="en-GB" w:eastAsia="en-US"/>
              </w:rPr>
            </w:pPr>
            <w:r>
              <w:rPr>
                <w:rFonts w:ascii="Arial" w:hAnsi="Arial" w:eastAsia="Times New Roman" w:cs="Arial"/>
                <w:i/>
                <w:kern w:val="0"/>
                <w:sz w:val="18"/>
                <w:szCs w:val="18"/>
                <w:lang w:val="en-GB" w:eastAsia="en-US"/>
              </w:rPr>
              <w:t>How you will mitigate the risk to participants:</w:t>
            </w:r>
          </w:p>
          <w:p w14:paraId="2F8BDFE6">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All questions are optional, and participants can exit at any time. Consent form and debrief will offer support contact information.</w:t>
            </w:r>
          </w:p>
          <w:p w14:paraId="24195226">
            <w:pPr>
              <w:widowControl/>
              <w:jc w:val="left"/>
              <w:rPr>
                <w:rFonts w:ascii="Arial" w:hAnsi="Arial" w:eastAsia="Times New Roman" w:cs="Arial"/>
                <w:kern w:val="0"/>
                <w:sz w:val="22"/>
                <w:szCs w:val="22"/>
                <w:lang w:val="en-GB" w:eastAsia="en-US"/>
              </w:rPr>
            </w:pPr>
          </w:p>
          <w:p w14:paraId="7A713C3D">
            <w:pPr>
              <w:widowControl/>
              <w:jc w:val="left"/>
              <w:rPr>
                <w:rFonts w:ascii="Arial" w:hAnsi="Arial" w:eastAsia="Times New Roman" w:cs="Arial"/>
                <w:kern w:val="0"/>
                <w:sz w:val="22"/>
                <w:szCs w:val="22"/>
                <w:lang w:val="en-GB" w:eastAsia="en-US"/>
              </w:rPr>
            </w:pPr>
          </w:p>
          <w:p w14:paraId="6520F874">
            <w:pPr>
              <w:widowControl/>
              <w:autoSpaceDE w:val="0"/>
              <w:autoSpaceDN w:val="0"/>
              <w:adjustRightInd w:val="0"/>
              <w:jc w:val="left"/>
              <w:rPr>
                <w:rFonts w:ascii="Times New Roman" w:hAnsi="Times New Roman" w:eastAsia="Times New Roman" w:cs="Arial"/>
                <w:i/>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r w14:paraId="3235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vAlign w:val="center"/>
          </w:tcPr>
          <w:p w14:paraId="3A407AF5">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w:t>
            </w:r>
          </w:p>
        </w:tc>
        <w:tc>
          <w:tcPr>
            <w:tcW w:w="9923" w:type="dxa"/>
            <w:gridSpan w:val="2"/>
            <w:tcBorders>
              <w:bottom w:val="single" w:color="auto" w:sz="4" w:space="0"/>
            </w:tcBorders>
            <w:shd w:val="clear" w:color="auto" w:fill="F1F1F1"/>
          </w:tcPr>
          <w:p w14:paraId="56B9D534">
            <w:pPr>
              <w:widowControl/>
              <w:jc w:val="left"/>
              <w:rPr>
                <w:rFonts w:ascii="Arial" w:hAnsi="Arial" w:eastAsia="Times New Roman" w:cs="Arial"/>
                <w:kern w:val="0"/>
                <w:sz w:val="22"/>
                <w:szCs w:val="22"/>
                <w:lang w:val="en-GB" w:eastAsia="en-US"/>
              </w:rPr>
            </w:pPr>
            <w:r>
              <w:rPr>
                <w:rFonts w:ascii="Arial" w:hAnsi="Arial" w:eastAsia="Times New Roman" w:cs="Arial"/>
                <w:bCs/>
                <w:kern w:val="0"/>
                <w:sz w:val="22"/>
                <w:szCs w:val="22"/>
                <w:lang w:val="en-GB"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Times New Roman" w:cs="Arial"/>
                <w:color w:val="161616"/>
                <w:kern w:val="0"/>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25C11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B59D85E">
            <w:pPr>
              <w:widowControl/>
              <w:jc w:val="center"/>
              <w:rPr>
                <w:rFonts w:ascii="Arial" w:hAnsi="Arial" w:eastAsia="Times New Roman" w:cs="Arial"/>
                <w:kern w:val="0"/>
                <w:sz w:val="22"/>
                <w:szCs w:val="22"/>
                <w:lang w:val="en-GB" w:eastAsia="en-US"/>
              </w:rPr>
            </w:pPr>
          </w:p>
        </w:tc>
        <w:tc>
          <w:tcPr>
            <w:tcW w:w="9923" w:type="dxa"/>
            <w:gridSpan w:val="2"/>
            <w:tcBorders>
              <w:top w:val="single" w:color="auto" w:sz="4" w:space="0"/>
              <w:bottom w:val="single" w:color="auto" w:sz="4" w:space="0"/>
            </w:tcBorders>
          </w:tcPr>
          <w:p w14:paraId="00CE64EB">
            <w:pPr>
              <w:widowControl/>
              <w:jc w:val="left"/>
              <w:rPr>
                <w:rFonts w:ascii="Arial" w:hAnsi="Arial" w:eastAsia="Times New Roman" w:cs="Arial"/>
                <w:kern w:val="0"/>
                <w:sz w:val="24"/>
                <w:szCs w:val="24"/>
                <w:lang w:val="en-GB" w:eastAsia="en-US"/>
              </w:rPr>
            </w:pPr>
          </w:p>
          <w:p w14:paraId="09024BE3">
            <w:pPr>
              <w:widowControl/>
              <w:jc w:val="left"/>
              <w:rPr>
                <w:rFonts w:ascii="Arial" w:hAnsi="Arial" w:eastAsia="等线" w:cs="Arial"/>
                <w:kern w:val="0"/>
                <w:sz w:val="24"/>
                <w:szCs w:val="24"/>
                <w:lang w:val="en-GB" w:eastAsia="zh-CN"/>
              </w:rPr>
            </w:pPr>
            <w:r>
              <w:rPr>
                <w:rFonts w:ascii="Times New Roman" w:hAnsi="Times New Roman" w:eastAsia="Times New Roman" w:cs="Arial"/>
                <w:kern w:val="0"/>
                <w:sz w:val="24"/>
                <w:szCs w:val="24"/>
                <w:lang w:val="en-GB" w:eastAsia="en-US"/>
              </w:rPr>
              <w:t>This research does not involve sensitive topics or illegal activity. However, contact information for mental health or wellbeing support services will be included in the debrief.</w:t>
            </w:r>
          </w:p>
          <w:p w14:paraId="38260601">
            <w:pPr>
              <w:widowControl/>
              <w:autoSpaceDE w:val="0"/>
              <w:autoSpaceDN w:val="0"/>
              <w:adjustRightInd w:val="0"/>
              <w:jc w:val="left"/>
              <w:rPr>
                <w:rFonts w:ascii="Times New Roman" w:hAnsi="Times New Roman" w:eastAsia="Times New Roman" w:cs="Arial"/>
                <w:kern w:val="0"/>
                <w:sz w:val="24"/>
                <w:szCs w:val="24"/>
                <w:lang w:val="en-GB" w:eastAsia="en-US"/>
              </w:rPr>
            </w:pPr>
            <w:r>
              <w:rPr>
                <w:rFonts w:ascii="Arial" w:hAnsi="Arial" w:eastAsia="Times New Roman" w:cs="Arial"/>
                <w:i/>
                <w:color w:val="808080"/>
                <w:kern w:val="0"/>
                <w:sz w:val="24"/>
                <w:szCs w:val="24"/>
                <w:lang w:val="en-GB" w:eastAsia="en-US"/>
              </w:rPr>
              <w:t>(this box should expand as you type)</w:t>
            </w:r>
          </w:p>
        </w:tc>
      </w:tr>
      <w:tr w14:paraId="560D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vAlign w:val="center"/>
          </w:tcPr>
          <w:p w14:paraId="7CC4BD4D">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3</w:t>
            </w:r>
          </w:p>
        </w:tc>
        <w:tc>
          <w:tcPr>
            <w:tcW w:w="9923" w:type="dxa"/>
            <w:gridSpan w:val="2"/>
            <w:tcBorders>
              <w:top w:val="single" w:color="auto" w:sz="4" w:space="0"/>
              <w:bottom w:val="single" w:color="auto" w:sz="4" w:space="0"/>
            </w:tcBorders>
            <w:shd w:val="clear" w:color="auto" w:fill="F1F1F1"/>
          </w:tcPr>
          <w:p w14:paraId="229F3D38">
            <w:pPr>
              <w:widowControl/>
              <w:jc w:val="left"/>
              <w:rPr>
                <w:rFonts w:ascii="Arial" w:hAnsi="Arial" w:eastAsia="Times New Roman" w:cs="Arial"/>
                <w:kern w:val="0"/>
                <w:sz w:val="22"/>
                <w:szCs w:val="22"/>
                <w:lang w:val="en-GB" w:eastAsia="en-US"/>
              </w:rPr>
            </w:pPr>
            <w:r>
              <w:rPr>
                <w:rFonts w:ascii="Arial" w:hAnsi="Arial" w:eastAsia="Times New Roman" w:cs="Arial"/>
                <w:b/>
                <w:kern w:val="0"/>
                <w:sz w:val="22"/>
                <w:szCs w:val="22"/>
                <w:lang w:val="en-GB" w:eastAsia="en-US"/>
              </w:rPr>
              <w:t>Risks to the investigator</w:t>
            </w:r>
          </w:p>
          <w:p w14:paraId="51FC45C4">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For example: personal health &amp; safety, physical harm, emotional distress, risk of accusation of harm/impropriety, conflict of interest</w:t>
            </w:r>
          </w:p>
        </w:tc>
      </w:tr>
      <w:tr w14:paraId="021B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593C88A">
            <w:pPr>
              <w:widowControl/>
              <w:autoSpaceDE w:val="0"/>
              <w:autoSpaceDN w:val="0"/>
              <w:adjustRightInd w:val="0"/>
              <w:jc w:val="center"/>
              <w:rPr>
                <w:rFonts w:ascii="Arial" w:hAnsi="Arial" w:eastAsia="Times New Roman" w:cs="Arial"/>
                <w:kern w:val="0"/>
                <w:sz w:val="22"/>
                <w:szCs w:val="22"/>
                <w:lang w:val="en-GB" w:eastAsia="en-US"/>
              </w:rPr>
            </w:pPr>
          </w:p>
        </w:tc>
        <w:tc>
          <w:tcPr>
            <w:tcW w:w="4991" w:type="dxa"/>
            <w:tcBorders>
              <w:top w:val="single" w:color="auto" w:sz="4" w:space="0"/>
              <w:bottom w:val="single" w:color="auto" w:sz="4" w:space="0"/>
            </w:tcBorders>
          </w:tcPr>
          <w:p w14:paraId="21813D16">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Risk to the investigator:</w:t>
            </w:r>
          </w:p>
          <w:p w14:paraId="76113E7E">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Minimal. The researcher may encounter online hostility if distributing surveys on public forums.</w:t>
            </w:r>
          </w:p>
          <w:p w14:paraId="0E976F3F">
            <w:pPr>
              <w:widowControl/>
              <w:jc w:val="left"/>
              <w:rPr>
                <w:rFonts w:ascii="Arial" w:hAnsi="Arial" w:eastAsia="Times New Roman" w:cs="Arial"/>
                <w:kern w:val="0"/>
                <w:sz w:val="22"/>
                <w:szCs w:val="22"/>
                <w:lang w:val="en-GB" w:eastAsia="en-US"/>
              </w:rPr>
            </w:pPr>
          </w:p>
          <w:p w14:paraId="629386F2">
            <w:pPr>
              <w:widowControl/>
              <w:jc w:val="left"/>
              <w:rPr>
                <w:rFonts w:ascii="Arial" w:hAnsi="Arial" w:eastAsia="Times New Roman" w:cs="Arial"/>
                <w:kern w:val="0"/>
                <w:sz w:val="22"/>
                <w:szCs w:val="22"/>
                <w:lang w:val="en-GB" w:eastAsia="en-US"/>
              </w:rPr>
            </w:pPr>
          </w:p>
          <w:p w14:paraId="50ACE18E">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c>
          <w:tcPr>
            <w:tcW w:w="4932" w:type="dxa"/>
            <w:tcBorders>
              <w:top w:val="single" w:color="auto" w:sz="4" w:space="0"/>
              <w:bottom w:val="single" w:color="auto" w:sz="4" w:space="0"/>
            </w:tcBorders>
          </w:tcPr>
          <w:p w14:paraId="1355F728">
            <w:pPr>
              <w:widowControl/>
              <w:autoSpaceDE w:val="0"/>
              <w:autoSpaceDN w:val="0"/>
              <w:adjustRightInd w:val="0"/>
              <w:jc w:val="left"/>
              <w:rPr>
                <w:rFonts w:ascii="Arial" w:hAnsi="Arial" w:eastAsia="Times New Roman" w:cs="Arial"/>
                <w:i/>
                <w:kern w:val="0"/>
                <w:sz w:val="18"/>
                <w:szCs w:val="18"/>
                <w:lang w:val="en-GB" w:eastAsia="en-US"/>
              </w:rPr>
            </w:pPr>
            <w:r>
              <w:rPr>
                <w:rFonts w:ascii="Arial" w:hAnsi="Arial" w:eastAsia="Times New Roman" w:cs="Arial"/>
                <w:i/>
                <w:kern w:val="0"/>
                <w:sz w:val="18"/>
                <w:szCs w:val="18"/>
                <w:lang w:val="en-GB" w:eastAsia="en-US"/>
              </w:rPr>
              <w:t>How you will mitigate the risk to the investigator:</w:t>
            </w:r>
          </w:p>
          <w:p w14:paraId="63F76297">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Avoid highly sensitive forums; use academic and professional platforms (e.g. university mailing lists, WhatsApp groups).</w:t>
            </w:r>
          </w:p>
          <w:p w14:paraId="248E2960">
            <w:pPr>
              <w:widowControl/>
              <w:jc w:val="left"/>
              <w:rPr>
                <w:rFonts w:ascii="Arial" w:hAnsi="Arial" w:eastAsia="Times New Roman" w:cs="Arial"/>
                <w:kern w:val="0"/>
                <w:sz w:val="22"/>
                <w:szCs w:val="22"/>
                <w:lang w:val="en-GB" w:eastAsia="en-US"/>
              </w:rPr>
            </w:pPr>
          </w:p>
          <w:p w14:paraId="7CD61EA3">
            <w:pPr>
              <w:widowControl/>
              <w:jc w:val="left"/>
              <w:rPr>
                <w:rFonts w:ascii="Arial" w:hAnsi="Arial" w:eastAsia="Times New Roman" w:cs="Arial"/>
                <w:kern w:val="0"/>
                <w:sz w:val="22"/>
                <w:szCs w:val="22"/>
                <w:lang w:val="en-GB" w:eastAsia="en-US"/>
              </w:rPr>
            </w:pPr>
          </w:p>
          <w:p w14:paraId="3D626075">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r w14:paraId="03F4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vAlign w:val="center"/>
          </w:tcPr>
          <w:p w14:paraId="6751E3BB">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4</w:t>
            </w:r>
          </w:p>
        </w:tc>
        <w:tc>
          <w:tcPr>
            <w:tcW w:w="9923" w:type="dxa"/>
            <w:gridSpan w:val="2"/>
            <w:tcBorders>
              <w:top w:val="single" w:color="auto" w:sz="4" w:space="0"/>
              <w:bottom w:val="single" w:color="auto" w:sz="4" w:space="0"/>
            </w:tcBorders>
            <w:shd w:val="clear" w:color="auto" w:fill="F1F1F1"/>
          </w:tcPr>
          <w:p w14:paraId="4B9A61DD">
            <w:pPr>
              <w:widowControl/>
              <w:jc w:val="left"/>
              <w:rPr>
                <w:rFonts w:ascii="Arial" w:hAnsi="Arial" w:eastAsia="Times New Roman" w:cs="Arial"/>
                <w:kern w:val="0"/>
                <w:sz w:val="22"/>
                <w:szCs w:val="22"/>
                <w:lang w:val="en-GB" w:eastAsia="en-US"/>
              </w:rPr>
            </w:pPr>
            <w:r>
              <w:rPr>
                <w:rFonts w:ascii="Arial" w:hAnsi="Arial" w:eastAsia="Times New Roman" w:cs="Arial"/>
                <w:b/>
                <w:kern w:val="0"/>
                <w:sz w:val="22"/>
                <w:szCs w:val="22"/>
                <w:lang w:val="en-GB" w:eastAsia="en-US"/>
              </w:rPr>
              <w:t>University/institutional risks</w:t>
            </w:r>
          </w:p>
          <w:p w14:paraId="7CA93F76">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For example: adverse publicity, financial loss, data protection</w:t>
            </w:r>
          </w:p>
        </w:tc>
      </w:tr>
      <w:tr w14:paraId="57CF1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7BCF7E9">
            <w:pPr>
              <w:widowControl/>
              <w:autoSpaceDE w:val="0"/>
              <w:autoSpaceDN w:val="0"/>
              <w:adjustRightInd w:val="0"/>
              <w:jc w:val="center"/>
              <w:rPr>
                <w:rFonts w:ascii="Arial" w:hAnsi="Arial" w:eastAsia="Times New Roman" w:cs="Arial"/>
                <w:kern w:val="0"/>
                <w:sz w:val="22"/>
                <w:szCs w:val="22"/>
                <w:lang w:val="en-GB" w:eastAsia="en-US"/>
              </w:rPr>
            </w:pPr>
          </w:p>
        </w:tc>
        <w:tc>
          <w:tcPr>
            <w:tcW w:w="4991" w:type="dxa"/>
            <w:tcBorders>
              <w:top w:val="single" w:color="auto" w:sz="4" w:space="0"/>
              <w:bottom w:val="single" w:color="auto" w:sz="4" w:space="0"/>
            </w:tcBorders>
          </w:tcPr>
          <w:p w14:paraId="077F8136">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Risk to the University:</w:t>
            </w:r>
          </w:p>
          <w:p w14:paraId="418CA6BF">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Data misuse, breach of confidentiality.</w:t>
            </w:r>
          </w:p>
          <w:p w14:paraId="4BE5B4B8">
            <w:pPr>
              <w:widowControl/>
              <w:jc w:val="left"/>
              <w:rPr>
                <w:rFonts w:ascii="Arial" w:hAnsi="Arial" w:eastAsia="Times New Roman" w:cs="Arial"/>
                <w:kern w:val="0"/>
                <w:sz w:val="22"/>
                <w:szCs w:val="22"/>
                <w:lang w:val="en-GB" w:eastAsia="en-US"/>
              </w:rPr>
            </w:pPr>
          </w:p>
          <w:p w14:paraId="4652CDB0">
            <w:pPr>
              <w:widowControl/>
              <w:jc w:val="left"/>
              <w:rPr>
                <w:rFonts w:ascii="Arial" w:hAnsi="Arial" w:eastAsia="Times New Roman" w:cs="Arial"/>
                <w:kern w:val="0"/>
                <w:sz w:val="22"/>
                <w:szCs w:val="22"/>
                <w:lang w:val="en-GB" w:eastAsia="en-US"/>
              </w:rPr>
            </w:pPr>
          </w:p>
          <w:p w14:paraId="71A9A06B">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c>
          <w:tcPr>
            <w:tcW w:w="4932" w:type="dxa"/>
            <w:tcBorders>
              <w:top w:val="single" w:color="auto" w:sz="4" w:space="0"/>
              <w:bottom w:val="single" w:color="auto" w:sz="4" w:space="0"/>
            </w:tcBorders>
          </w:tcPr>
          <w:p w14:paraId="137C0DA7">
            <w:pPr>
              <w:widowControl/>
              <w:autoSpaceDE w:val="0"/>
              <w:autoSpaceDN w:val="0"/>
              <w:adjustRightInd w:val="0"/>
              <w:jc w:val="left"/>
              <w:rPr>
                <w:rFonts w:ascii="Arial" w:hAnsi="Arial" w:eastAsia="Times New Roman" w:cs="Arial"/>
                <w:i/>
                <w:kern w:val="0"/>
                <w:sz w:val="18"/>
                <w:szCs w:val="18"/>
                <w:lang w:val="en-GB" w:eastAsia="en-US"/>
              </w:rPr>
            </w:pPr>
            <w:r>
              <w:rPr>
                <w:rFonts w:ascii="Arial" w:hAnsi="Arial" w:eastAsia="Times New Roman" w:cs="Arial"/>
                <w:i/>
                <w:kern w:val="0"/>
                <w:sz w:val="18"/>
                <w:szCs w:val="18"/>
                <w:lang w:val="en-GB" w:eastAsia="en-US"/>
              </w:rPr>
              <w:t>How you will mitigate the risk to the University:</w:t>
            </w:r>
          </w:p>
          <w:p w14:paraId="19247EFC">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Adhere to University data protection protocols. Store data securely, anonymise it, and delete post-project.</w:t>
            </w:r>
          </w:p>
          <w:p w14:paraId="28284FAE">
            <w:pPr>
              <w:widowControl/>
              <w:jc w:val="left"/>
              <w:rPr>
                <w:rFonts w:ascii="Arial" w:hAnsi="Arial" w:eastAsia="Times New Roman" w:cs="Arial"/>
                <w:kern w:val="0"/>
                <w:sz w:val="22"/>
                <w:szCs w:val="22"/>
                <w:lang w:val="en-GB" w:eastAsia="en-US"/>
              </w:rPr>
            </w:pPr>
          </w:p>
          <w:p w14:paraId="2D85A0A7">
            <w:pPr>
              <w:widowControl/>
              <w:jc w:val="left"/>
              <w:rPr>
                <w:rFonts w:ascii="Arial" w:hAnsi="Arial" w:eastAsia="Times New Roman" w:cs="Arial"/>
                <w:kern w:val="0"/>
                <w:sz w:val="22"/>
                <w:szCs w:val="22"/>
                <w:lang w:val="en-GB" w:eastAsia="en-US"/>
              </w:rPr>
            </w:pPr>
          </w:p>
          <w:p w14:paraId="7A70E35B">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r w14:paraId="0E9D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vAlign w:val="center"/>
          </w:tcPr>
          <w:p w14:paraId="3FED058D">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5</w:t>
            </w:r>
          </w:p>
        </w:tc>
        <w:tc>
          <w:tcPr>
            <w:tcW w:w="9923" w:type="dxa"/>
            <w:gridSpan w:val="2"/>
            <w:tcBorders>
              <w:top w:val="single" w:color="auto" w:sz="4" w:space="0"/>
              <w:bottom w:val="single" w:color="auto" w:sz="4" w:space="0"/>
            </w:tcBorders>
            <w:shd w:val="clear" w:color="auto" w:fill="F1F1F1"/>
          </w:tcPr>
          <w:p w14:paraId="02FACF23">
            <w:pPr>
              <w:widowControl/>
              <w:jc w:val="left"/>
              <w:rPr>
                <w:rFonts w:ascii="Arial" w:hAnsi="Arial" w:eastAsia="Times New Roman" w:cs="Arial"/>
                <w:kern w:val="0"/>
                <w:sz w:val="22"/>
                <w:szCs w:val="22"/>
                <w:lang w:val="en-GB" w:eastAsia="en-US"/>
              </w:rPr>
            </w:pPr>
            <w:r>
              <w:rPr>
                <w:rFonts w:ascii="Arial" w:hAnsi="Arial" w:eastAsia="Times New Roman" w:cs="Arial"/>
                <w:b/>
                <w:kern w:val="0"/>
                <w:sz w:val="22"/>
                <w:szCs w:val="22"/>
                <w:lang w:val="en-GB" w:eastAsia="en-US"/>
              </w:rPr>
              <w:t>Environmental risks</w:t>
            </w:r>
          </w:p>
          <w:p w14:paraId="6AE92E2E">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For example: accidental spillage of pollutants, damage to local ecosystems</w:t>
            </w:r>
          </w:p>
        </w:tc>
      </w:tr>
      <w:tr w14:paraId="641BC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4CE8A74E">
            <w:pPr>
              <w:widowControl/>
              <w:autoSpaceDE w:val="0"/>
              <w:autoSpaceDN w:val="0"/>
              <w:adjustRightInd w:val="0"/>
              <w:jc w:val="center"/>
              <w:rPr>
                <w:rFonts w:ascii="Arial" w:hAnsi="Arial" w:eastAsia="Times New Roman" w:cs="Arial"/>
                <w:kern w:val="0"/>
                <w:sz w:val="22"/>
                <w:szCs w:val="22"/>
                <w:lang w:val="en-GB" w:eastAsia="en-US"/>
              </w:rPr>
            </w:pPr>
          </w:p>
        </w:tc>
        <w:tc>
          <w:tcPr>
            <w:tcW w:w="4991" w:type="dxa"/>
            <w:tcBorders>
              <w:top w:val="single" w:color="auto" w:sz="4" w:space="0"/>
              <w:bottom w:val="single" w:color="auto" w:sz="4" w:space="0"/>
            </w:tcBorders>
          </w:tcPr>
          <w:p w14:paraId="14672E0F">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Risk to the environment:</w:t>
            </w:r>
          </w:p>
          <w:p w14:paraId="555EBD4E">
            <w:pPr>
              <w:widowControl/>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N/A</w:t>
            </w:r>
          </w:p>
          <w:p w14:paraId="2E913A98">
            <w:pPr>
              <w:widowControl/>
              <w:jc w:val="left"/>
              <w:rPr>
                <w:rFonts w:ascii="Arial" w:hAnsi="Arial" w:eastAsia="Times New Roman" w:cs="Arial"/>
                <w:kern w:val="0"/>
                <w:sz w:val="22"/>
                <w:szCs w:val="22"/>
                <w:lang w:val="en-GB" w:eastAsia="en-US"/>
              </w:rPr>
            </w:pPr>
          </w:p>
          <w:p w14:paraId="1481AA38">
            <w:pPr>
              <w:widowControl/>
              <w:jc w:val="left"/>
              <w:rPr>
                <w:rFonts w:ascii="Arial" w:hAnsi="Arial" w:eastAsia="Times New Roman" w:cs="Arial"/>
                <w:kern w:val="0"/>
                <w:sz w:val="22"/>
                <w:szCs w:val="22"/>
                <w:lang w:val="en-GB" w:eastAsia="en-US"/>
              </w:rPr>
            </w:pPr>
          </w:p>
          <w:p w14:paraId="4D6BE76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c>
          <w:tcPr>
            <w:tcW w:w="4932" w:type="dxa"/>
            <w:tcBorders>
              <w:top w:val="single" w:color="auto" w:sz="4" w:space="0"/>
              <w:bottom w:val="single" w:color="auto" w:sz="4" w:space="0"/>
            </w:tcBorders>
          </w:tcPr>
          <w:p w14:paraId="3F98678E">
            <w:pPr>
              <w:widowControl/>
              <w:autoSpaceDE w:val="0"/>
              <w:autoSpaceDN w:val="0"/>
              <w:adjustRightInd w:val="0"/>
              <w:jc w:val="left"/>
              <w:rPr>
                <w:rFonts w:ascii="Arial" w:hAnsi="Arial" w:eastAsia="Times New Roman" w:cs="Arial"/>
                <w:i/>
                <w:kern w:val="0"/>
                <w:sz w:val="18"/>
                <w:szCs w:val="18"/>
                <w:lang w:val="en-GB" w:eastAsia="en-US"/>
              </w:rPr>
            </w:pPr>
            <w:r>
              <w:rPr>
                <w:rFonts w:ascii="Arial" w:hAnsi="Arial" w:eastAsia="Times New Roman" w:cs="Arial"/>
                <w:i/>
                <w:kern w:val="0"/>
                <w:sz w:val="18"/>
                <w:szCs w:val="18"/>
                <w:lang w:val="en-GB" w:eastAsia="en-US"/>
              </w:rPr>
              <w:t>How you will mitigate the risk to environment:</w:t>
            </w:r>
          </w:p>
          <w:p w14:paraId="54C97AF7">
            <w:pPr>
              <w:widowControl/>
              <w:jc w:val="left"/>
              <w:rPr>
                <w:rFonts w:ascii="Arial" w:hAnsi="Arial" w:eastAsia="Times New Roman" w:cs="Arial"/>
                <w:kern w:val="0"/>
                <w:sz w:val="22"/>
                <w:szCs w:val="22"/>
                <w:lang w:val="en-GB" w:eastAsia="en-US"/>
              </w:rPr>
            </w:pPr>
          </w:p>
          <w:p w14:paraId="507F4167">
            <w:pPr>
              <w:widowControl/>
              <w:jc w:val="left"/>
              <w:rPr>
                <w:rFonts w:ascii="Arial" w:hAnsi="Arial" w:eastAsia="Times New Roman" w:cs="Arial"/>
                <w:kern w:val="0"/>
                <w:sz w:val="22"/>
                <w:szCs w:val="22"/>
                <w:lang w:val="en-GB" w:eastAsia="en-US"/>
              </w:rPr>
            </w:pPr>
          </w:p>
          <w:p w14:paraId="3CFCE6EF">
            <w:pPr>
              <w:widowControl/>
              <w:jc w:val="left"/>
              <w:rPr>
                <w:rFonts w:ascii="Arial" w:hAnsi="Arial" w:eastAsia="Times New Roman" w:cs="Arial"/>
                <w:kern w:val="0"/>
                <w:sz w:val="22"/>
                <w:szCs w:val="22"/>
                <w:lang w:val="en-GB" w:eastAsia="en-US"/>
              </w:rPr>
            </w:pPr>
          </w:p>
          <w:p w14:paraId="4D34227C">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bl>
    <w:p w14:paraId="19161CB8">
      <w:pPr>
        <w:widowControl/>
        <w:jc w:val="left"/>
        <w:rPr>
          <w:rFonts w:ascii="Times New Roman" w:hAnsi="Times New Roman" w:eastAsia="Times New Roman" w:cs="Times New Roman"/>
          <w:kern w:val="0"/>
          <w:sz w:val="20"/>
          <w:szCs w:val="20"/>
          <w:lang w:val="en-GB" w:eastAsia="en-US"/>
        </w:rPr>
      </w:pPr>
    </w:p>
    <w:p w14:paraId="00586AE8">
      <w:pPr>
        <w:widowControl/>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G: Feedback, Consent and Confidentiality</w:t>
      </w:r>
    </w:p>
    <w:p w14:paraId="5B09F243">
      <w:pPr>
        <w:widowControl/>
        <w:jc w:val="left"/>
        <w:rPr>
          <w:rFonts w:ascii="Arial" w:hAnsi="Arial" w:eastAsia="Times New Roman" w:cs="Arial"/>
          <w:b/>
          <w:kern w:val="0"/>
          <w:sz w:val="22"/>
          <w:szCs w:val="22"/>
          <w:lang w:val="en-GB" w:eastAsia="en-US"/>
        </w:rPr>
      </w:pPr>
    </w:p>
    <w:p w14:paraId="279FE616">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If you have identified in section D that there are no participants then enter skip this section and continue to section H.</w:t>
      </w:r>
    </w:p>
    <w:p w14:paraId="3C4A9184">
      <w:pPr>
        <w:widowControl/>
        <w:jc w:val="left"/>
        <w:rPr>
          <w:rFonts w:ascii="Arial" w:hAnsi="Arial" w:eastAsia="Times New Roman" w:cs="Arial"/>
          <w:b/>
          <w:kern w:val="0"/>
          <w:sz w:val="22"/>
          <w:szCs w:val="22"/>
          <w:lang w:val="en-GB" w:eastAsia="en-US"/>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690A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14:paraId="13BD3F49">
            <w:pPr>
              <w:widowControl/>
              <w:jc w:val="left"/>
              <w:rPr>
                <w:rFonts w:ascii="Arial" w:hAnsi="Arial" w:eastAsia="Times New Roman" w:cs="Arial"/>
                <w:bCs/>
                <w:kern w:val="0"/>
                <w:sz w:val="22"/>
                <w:szCs w:val="22"/>
                <w:lang w:val="en-GB" w:eastAsia="en-US"/>
              </w:rPr>
            </w:pPr>
            <w:r>
              <w:rPr>
                <w:rFonts w:ascii="Arial" w:hAnsi="Arial" w:eastAsia="Times New Roman" w:cs="Arial"/>
                <w:bCs/>
                <w:kern w:val="0"/>
                <w:sz w:val="22"/>
                <w:szCs w:val="22"/>
                <w:lang w:val="en-GB" w:eastAsia="en-US"/>
              </w:rPr>
              <w:t>1</w:t>
            </w:r>
          </w:p>
        </w:tc>
        <w:tc>
          <w:tcPr>
            <w:tcW w:w="9923" w:type="dxa"/>
            <w:tcBorders>
              <w:top w:val="single" w:color="auto" w:sz="4" w:space="0"/>
              <w:bottom w:val="single" w:color="auto" w:sz="4" w:space="0"/>
            </w:tcBorders>
            <w:shd w:val="clear" w:color="auto" w:fill="F1F1F1"/>
          </w:tcPr>
          <w:p w14:paraId="5E318E30">
            <w:pPr>
              <w:widowControl/>
              <w:jc w:val="left"/>
              <w:rPr>
                <w:rFonts w:ascii="Arial" w:hAnsi="Arial" w:eastAsia="Times New Roman" w:cs="Arial"/>
                <w:kern w:val="0"/>
                <w:sz w:val="22"/>
                <w:szCs w:val="22"/>
                <w:lang w:val="en-GB" w:eastAsia="en-US"/>
              </w:rPr>
            </w:pPr>
            <w:r>
              <w:rPr>
                <w:rFonts w:ascii="Arial" w:hAnsi="Arial" w:eastAsia="Times New Roman" w:cs="Arial"/>
                <w:b/>
                <w:kern w:val="0"/>
                <w:sz w:val="22"/>
                <w:szCs w:val="22"/>
                <w:lang w:val="en-GB" w:eastAsia="en-US"/>
              </w:rPr>
              <w:t>Feedback</w:t>
            </w:r>
          </w:p>
          <w:p w14:paraId="2E28A9E5">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 xml:space="preserve">What de-briefing and feedback will be provided to participants, how will this be done and when? </w:t>
            </w:r>
          </w:p>
        </w:tc>
      </w:tr>
      <w:tr w14:paraId="1A9B7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3672A0C">
            <w:pPr>
              <w:widowControl/>
              <w:jc w:val="left"/>
              <w:rPr>
                <w:rFonts w:ascii="Arial" w:hAnsi="Arial" w:eastAsia="Times New Roman" w:cs="Arial"/>
                <w:bCs/>
                <w:kern w:val="0"/>
                <w:sz w:val="22"/>
                <w:szCs w:val="22"/>
                <w:lang w:val="en-GB" w:eastAsia="en-US"/>
              </w:rPr>
            </w:pPr>
          </w:p>
        </w:tc>
        <w:tc>
          <w:tcPr>
            <w:tcW w:w="9923" w:type="dxa"/>
            <w:tcBorders>
              <w:top w:val="single" w:color="auto" w:sz="4" w:space="0"/>
              <w:bottom w:val="single" w:color="auto" w:sz="4" w:space="0"/>
            </w:tcBorders>
          </w:tcPr>
          <w:p w14:paraId="37C4E14E">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 debrief statement will appear after survey completion. Additionally, participants may email the researcher for results or access a public summary shared via a blog or social platform.</w:t>
            </w:r>
          </w:p>
          <w:p w14:paraId="17044A1A">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r w14:paraId="25C1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14:paraId="5909C9F1">
            <w:pPr>
              <w:widowControl/>
              <w:jc w:val="left"/>
              <w:rPr>
                <w:rFonts w:ascii="Arial" w:hAnsi="Arial" w:eastAsia="Times New Roman" w:cs="Arial"/>
                <w:bCs/>
                <w:kern w:val="0"/>
                <w:sz w:val="22"/>
                <w:szCs w:val="22"/>
                <w:lang w:val="en-GB" w:eastAsia="en-US"/>
              </w:rPr>
            </w:pPr>
            <w:r>
              <w:rPr>
                <w:rFonts w:ascii="Arial" w:hAnsi="Arial" w:eastAsia="Times New Roman" w:cs="Arial"/>
                <w:bCs/>
                <w:kern w:val="0"/>
                <w:sz w:val="22"/>
                <w:szCs w:val="22"/>
                <w:lang w:val="en-GB" w:eastAsia="en-US"/>
              </w:rPr>
              <w:t>2</w:t>
            </w:r>
          </w:p>
        </w:tc>
        <w:tc>
          <w:tcPr>
            <w:tcW w:w="9923" w:type="dxa"/>
            <w:tcBorders>
              <w:top w:val="single" w:color="auto" w:sz="4" w:space="0"/>
              <w:bottom w:val="single" w:color="auto" w:sz="4" w:space="0"/>
            </w:tcBorders>
            <w:shd w:val="clear" w:color="auto" w:fill="F1F1F1"/>
          </w:tcPr>
          <w:p w14:paraId="6794FF63">
            <w:pPr>
              <w:widowControl/>
              <w:jc w:val="left"/>
              <w:rPr>
                <w:rFonts w:ascii="Arial" w:hAnsi="Arial" w:eastAsia="Times New Roman" w:cs="Arial"/>
                <w:kern w:val="0"/>
                <w:sz w:val="22"/>
                <w:szCs w:val="22"/>
                <w:lang w:val="en-GB" w:eastAsia="en-US"/>
              </w:rPr>
            </w:pPr>
            <w:r>
              <w:rPr>
                <w:rFonts w:ascii="Arial" w:hAnsi="Arial" w:eastAsia="Times New Roman" w:cs="Arial"/>
                <w:b/>
                <w:kern w:val="0"/>
                <w:sz w:val="22"/>
                <w:szCs w:val="22"/>
                <w:lang w:val="en-GB" w:eastAsia="en-US"/>
              </w:rPr>
              <w:t>Informed consent</w:t>
            </w:r>
          </w:p>
          <w:p w14:paraId="5A1654D3">
            <w:pPr>
              <w:widowControl/>
              <w:autoSpaceDE w:val="0"/>
              <w:autoSpaceDN w:val="0"/>
              <w:adjustRightInd w:val="0"/>
              <w:jc w:val="left"/>
              <w:rPr>
                <w:rFonts w:ascii="Arial" w:hAnsi="Arial" w:eastAsia="Times New Roman" w:cs="Arial"/>
                <w:kern w:val="0"/>
                <w:sz w:val="22"/>
                <w:szCs w:val="22"/>
                <w:lang w:val="en-GB" w:eastAsia="en-GB"/>
              </w:rPr>
            </w:pPr>
            <w:r>
              <w:rPr>
                <w:rFonts w:ascii="Arial" w:hAnsi="Arial" w:eastAsia="Times New Roman" w:cs="Arial"/>
                <w:kern w:val="0"/>
                <w:sz w:val="22"/>
                <w:szCs w:val="22"/>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61A5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7B9CD1A9">
            <w:pPr>
              <w:widowControl/>
              <w:jc w:val="left"/>
              <w:rPr>
                <w:rFonts w:ascii="Arial" w:hAnsi="Arial" w:eastAsia="Times New Roman" w:cs="Arial"/>
                <w:bCs/>
                <w:kern w:val="0"/>
                <w:sz w:val="22"/>
                <w:szCs w:val="22"/>
                <w:lang w:val="en-GB" w:eastAsia="en-US"/>
              </w:rPr>
            </w:pPr>
          </w:p>
        </w:tc>
        <w:tc>
          <w:tcPr>
            <w:tcW w:w="9923" w:type="dxa"/>
            <w:tcBorders>
              <w:top w:val="single" w:color="auto" w:sz="4" w:space="0"/>
              <w:bottom w:val="single" w:color="auto" w:sz="4" w:space="0"/>
            </w:tcBorders>
          </w:tcPr>
          <w:p w14:paraId="4A243F19">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Participants will be presented with a consent screen before beginning the questionnaire. This screen will outline the research aim, voluntary nature of participation, right to withdraw, and data protection measures. Proceeding to the next screen will imply informed consent.</w:t>
            </w:r>
          </w:p>
          <w:p w14:paraId="6B9581EA">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r w14:paraId="0AB68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cPr>
          <w:p w14:paraId="31C52C93">
            <w:pPr>
              <w:widowControl/>
              <w:jc w:val="left"/>
              <w:rPr>
                <w:rFonts w:ascii="Arial" w:hAnsi="Arial" w:eastAsia="Times New Roman" w:cs="Arial"/>
                <w:bCs/>
                <w:kern w:val="0"/>
                <w:sz w:val="22"/>
                <w:szCs w:val="22"/>
                <w:lang w:val="en-GB" w:eastAsia="en-US"/>
              </w:rPr>
            </w:pPr>
            <w:r>
              <w:rPr>
                <w:rFonts w:ascii="Arial" w:hAnsi="Arial" w:eastAsia="Times New Roman" w:cs="Arial"/>
                <w:bCs/>
                <w:kern w:val="0"/>
                <w:sz w:val="22"/>
                <w:szCs w:val="22"/>
                <w:lang w:val="en-GB" w:eastAsia="en-US"/>
              </w:rPr>
              <w:t>3</w:t>
            </w:r>
          </w:p>
        </w:tc>
        <w:tc>
          <w:tcPr>
            <w:tcW w:w="9923" w:type="dxa"/>
            <w:tcBorders>
              <w:top w:val="single" w:color="auto" w:sz="4" w:space="0"/>
              <w:bottom w:val="single" w:color="auto" w:sz="4" w:space="0"/>
            </w:tcBorders>
            <w:shd w:val="clear" w:color="auto" w:fill="F1F1F1"/>
          </w:tcPr>
          <w:p w14:paraId="744BD72B">
            <w:pPr>
              <w:widowControl/>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Confidentiality / Anonymity</w:t>
            </w:r>
          </w:p>
          <w:p w14:paraId="1C8A8FAC">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 xml:space="preserve">Set out how anonymity of participants and confidentiality will be ensured in any outputs. If anonymity is not being offered, explain why this is the case. </w:t>
            </w:r>
          </w:p>
        </w:tc>
      </w:tr>
      <w:tr w14:paraId="62E0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17787D43">
            <w:pPr>
              <w:widowControl/>
              <w:jc w:val="left"/>
              <w:rPr>
                <w:rFonts w:ascii="Arial" w:hAnsi="Arial" w:eastAsia="Times New Roman" w:cs="Arial"/>
                <w:bCs/>
                <w:kern w:val="0"/>
                <w:sz w:val="22"/>
                <w:szCs w:val="22"/>
                <w:lang w:val="en-GB" w:eastAsia="en-US"/>
              </w:rPr>
            </w:pPr>
          </w:p>
        </w:tc>
        <w:tc>
          <w:tcPr>
            <w:tcW w:w="9923" w:type="dxa"/>
            <w:tcBorders>
              <w:top w:val="single" w:color="auto" w:sz="4" w:space="0"/>
              <w:bottom w:val="single" w:color="auto" w:sz="4" w:space="0"/>
            </w:tcBorders>
          </w:tcPr>
          <w:p w14:paraId="046A2552">
            <w:pPr>
              <w:widowControl/>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No names or identifiable information will be collected. Each response will be assigned a unique identifier. Data will be anonymised and not linked back to participants in any reports.</w:t>
            </w:r>
          </w:p>
          <w:p w14:paraId="7726742E">
            <w:pPr>
              <w:widowControl/>
              <w:jc w:val="left"/>
              <w:rPr>
                <w:rFonts w:ascii="Arial" w:hAnsi="Arial" w:eastAsia="Times New Roman" w:cs="Arial"/>
                <w:kern w:val="0"/>
                <w:sz w:val="22"/>
                <w:szCs w:val="22"/>
                <w:lang w:val="en-GB" w:eastAsia="en-US"/>
              </w:rPr>
            </w:pPr>
          </w:p>
          <w:p w14:paraId="19440E29">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bl>
    <w:p w14:paraId="46AE22D1">
      <w:pPr>
        <w:widowControl/>
        <w:jc w:val="left"/>
        <w:rPr>
          <w:rFonts w:ascii="Arial" w:hAnsi="Arial" w:eastAsia="Times New Roman" w:cs="Arial"/>
          <w:kern w:val="0"/>
          <w:sz w:val="22"/>
          <w:szCs w:val="22"/>
          <w:lang w:val="en-GB" w:eastAsia="en-US"/>
        </w:rPr>
      </w:pPr>
    </w:p>
    <w:p w14:paraId="217A9042">
      <w:pPr>
        <w:widowControl/>
        <w:jc w:val="left"/>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H: Data Protection and Storage</w:t>
      </w:r>
    </w:p>
    <w:p w14:paraId="75FCEFC4">
      <w:pPr>
        <w:widowControl/>
        <w:jc w:val="left"/>
        <w:rPr>
          <w:rFonts w:ascii="Arial" w:hAnsi="Arial" w:eastAsia="Times New Roman" w:cs="Arial"/>
          <w:b/>
          <w:kern w:val="0"/>
          <w:sz w:val="22"/>
          <w:szCs w:val="22"/>
          <w:lang w:val="en-GB" w:eastAsia="en-US"/>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7EF2B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vAlign w:val="center"/>
          </w:tcPr>
          <w:p w14:paraId="03873076">
            <w:pPr>
              <w:autoSpaceDE w:val="0"/>
              <w:autoSpaceDN w:val="0"/>
              <w:adjustRightInd w:val="0"/>
              <w:spacing w:before="100" w:beforeAutospacing="1" w:after="100" w:afterAutospacing="1"/>
              <w:jc w:val="center"/>
              <w:rPr>
                <w:rFonts w:ascii="Arial" w:hAnsi="Arial" w:eastAsia="Times New Roman" w:cs="Arial"/>
                <w:sz w:val="22"/>
                <w:szCs w:val="22"/>
                <w:lang w:val="en-GB" w:eastAsia="en-GB" w:bidi="ar-SA"/>
              </w:rPr>
            </w:pPr>
          </w:p>
        </w:tc>
        <w:tc>
          <w:tcPr>
            <w:tcW w:w="7905" w:type="dxa"/>
            <w:tcBorders>
              <w:left w:val="single" w:color="auto" w:sz="4" w:space="0"/>
              <w:bottom w:val="single" w:color="auto" w:sz="4" w:space="0"/>
              <w:right w:val="single" w:color="auto" w:sz="4" w:space="0"/>
            </w:tcBorders>
            <w:shd w:val="clear" w:color="auto" w:fill="F1F1F1"/>
            <w:vAlign w:val="center"/>
          </w:tcPr>
          <w:p w14:paraId="745AD4E3">
            <w:pPr>
              <w:autoSpaceDE w:val="0"/>
              <w:autoSpaceDN w:val="0"/>
              <w:adjustRightInd w:val="0"/>
              <w:spacing w:before="100" w:beforeAutospacing="1" w:after="100" w:afterAutospacing="1"/>
              <w:rPr>
                <w:rFonts w:ascii="Arial" w:hAnsi="Arial" w:eastAsia="Times New Roman" w:cs="Arial"/>
                <w:sz w:val="22"/>
                <w:szCs w:val="22"/>
                <w:lang w:val="en-GB" w:eastAsia="en-GB" w:bidi="ar-SA"/>
              </w:rPr>
            </w:pPr>
            <w:r>
              <w:rPr>
                <w:rFonts w:ascii="Arial" w:hAnsi="Arial" w:eastAsia="Times New Roman" w:cs="Arial"/>
                <w:sz w:val="22"/>
                <w:szCs w:val="22"/>
                <w:lang w:val="en-GB" w:eastAsia="en-GB" w:bidi="ar-SA"/>
              </w:rPr>
              <w:t>Does the research activity involve personal da</w:t>
            </w:r>
            <w:r>
              <w:rPr>
                <w:rFonts w:ascii="Arial" w:hAnsi="Arial" w:eastAsia="Times New Roman" w:cs="Arial"/>
                <w:sz w:val="22"/>
                <w:szCs w:val="22"/>
                <w:shd w:val="clear" w:color="auto" w:fill="F1F1F1"/>
                <w:lang w:val="en-GB" w:eastAsia="en-GB" w:bidi="ar-SA"/>
              </w:rPr>
              <w:t>t</w:t>
            </w:r>
            <w:r>
              <w:rPr>
                <w:rFonts w:ascii="Arial" w:hAnsi="Arial" w:eastAsia="Times New Roman" w:cs="Arial"/>
                <w:sz w:val="22"/>
                <w:szCs w:val="22"/>
                <w:lang w:val="en-GB" w:eastAsia="en-GB" w:bidi="ar-SA"/>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5BA6073E">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vAlign w:val="center"/>
          </w:tcPr>
          <w:p w14:paraId="0B70BC41">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NO</w:t>
            </w:r>
          </w:p>
        </w:tc>
      </w:tr>
      <w:tr w14:paraId="44DE23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vAlign w:val="center"/>
          </w:tcPr>
          <w:p w14:paraId="41780B16">
            <w:pPr>
              <w:autoSpaceDE w:val="0"/>
              <w:autoSpaceDN w:val="0"/>
              <w:adjustRightInd w:val="0"/>
              <w:spacing w:before="0" w:beforeAutospacing="0" w:after="0" w:afterAutospacing="0"/>
              <w:jc w:val="center"/>
              <w:rPr>
                <w:rFonts w:ascii="Arial" w:hAnsi="Arial" w:eastAsia="Times New Roman" w:cs="Arial"/>
                <w:bCs/>
                <w:iCs/>
                <w:sz w:val="22"/>
                <w:szCs w:val="22"/>
                <w:lang w:val="en-GB" w:eastAsia="en-GB" w:bidi="ar-SA"/>
              </w:rPr>
            </w:pPr>
            <w:r>
              <w:rPr>
                <w:rFonts w:ascii="Arial" w:hAnsi="Arial" w:eastAsia="Times New Roman" w:cs="Arial"/>
                <w:bCs/>
                <w:iCs/>
                <w:sz w:val="22"/>
                <w:szCs w:val="22"/>
                <w:lang w:val="en-GB" w:eastAsia="en-GB" w:bidi="ar-SA"/>
              </w:rPr>
              <w:t>1</w:t>
            </w:r>
          </w:p>
        </w:tc>
        <w:tc>
          <w:tcPr>
            <w:tcW w:w="7905" w:type="dxa"/>
            <w:tcBorders>
              <w:left w:val="single" w:color="auto" w:sz="4" w:space="0"/>
              <w:bottom w:val="single" w:color="auto" w:sz="4" w:space="0"/>
              <w:right w:val="single" w:color="auto" w:sz="4" w:space="0"/>
            </w:tcBorders>
            <w:shd w:val="clear" w:color="auto" w:fill="F1F1F1"/>
            <w:vAlign w:val="center"/>
          </w:tcPr>
          <w:p w14:paraId="354E335E">
            <w:pPr>
              <w:autoSpaceDE w:val="0"/>
              <w:autoSpaceDN w:val="0"/>
              <w:adjustRightInd w:val="0"/>
              <w:spacing w:before="0" w:beforeAutospacing="0" w:after="0" w:afterAutospacing="0"/>
              <w:ind w:left="567" w:right="567"/>
              <w:rPr>
                <w:rFonts w:ascii="Arial" w:hAnsi="Arial" w:eastAsia="Times New Roman" w:cs="Arial"/>
                <w:sz w:val="22"/>
                <w:szCs w:val="22"/>
                <w:lang w:val="en-GB" w:eastAsia="en-GB" w:bidi="ar-SA"/>
              </w:rPr>
            </w:pPr>
            <w:r>
              <w:rPr>
                <w:rFonts w:ascii="Arial" w:hAnsi="Arial" w:eastAsia="Times New Roman" w:cs="Arial"/>
                <w:b/>
                <w:bCs/>
                <w:i/>
                <w:iCs/>
                <w:sz w:val="22"/>
                <w:szCs w:val="22"/>
                <w:lang w:val="en-GB" w:eastAsia="en-GB" w:bidi="ar-SA"/>
              </w:rPr>
              <w:t>“Personal data”</w:t>
            </w:r>
            <w:r>
              <w:rPr>
                <w:rFonts w:ascii="Arial" w:hAnsi="Arial" w:eastAsia="Times New Roman" w:cs="Arial"/>
                <w:i/>
                <w:iCs/>
                <w:sz w:val="22"/>
                <w:szCs w:val="22"/>
                <w:lang w:val="en-GB" w:eastAsia="en-GB" w:bidi="ar-SA"/>
              </w:rPr>
              <w:t xml:space="preserve"> </w:t>
            </w:r>
            <w:r>
              <w:rPr>
                <w:rFonts w:ascii="Arial" w:hAnsi="Arial" w:eastAsia="Times New Roman" w:cs="Arial"/>
                <w:i/>
                <w:iCs/>
                <w:color w:val="333333"/>
                <w:sz w:val="22"/>
                <w:szCs w:val="24"/>
                <w:shd w:val="clear" w:color="auto" w:fill="F1F1F1"/>
                <w:lang w:val="en-GB" w:eastAsia="en-GB" w:bidi="ar-SA"/>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sdt>
          <w:sdtPr>
            <w:rPr>
              <w:rFonts w:hint="eastAsia" w:ascii="MS Gothic" w:hAnsi="MS Gothic" w:eastAsia="MS Gothic" w:cs="Arial"/>
              <w:b/>
              <w:bCs/>
              <w:sz w:val="22"/>
              <w:szCs w:val="22"/>
              <w:lang w:val="en-US" w:eastAsia="en-US" w:bidi="ar-SA"/>
            </w:rPr>
            <w:id w:val="147464846"/>
            <w:placeholder>
              <w:docPart w:val="{9aa9698e-3236-41e2-b963-289bfbb44e1e}"/>
            </w:placeholder>
            <w:docPartList>
              <w:docPartGallery w:val="Quick Parts"/>
            </w:docPartList>
          </w:sdtPr>
          <w:sdtEndPr>
            <w:rPr>
              <w:rFonts w:hint="eastAsia" w:ascii="MS Gothic" w:hAnsi="MS Gothic" w:eastAsia="MS Gothic" w:cs="Arial"/>
              <w:b/>
              <w:bCs/>
              <w:sz w:val="22"/>
              <w:szCs w:val="22"/>
              <w:lang w:val="en-US" w:eastAsia="en-GB" w:bidi="ar-SA"/>
            </w:rPr>
          </w:sdtEndPr>
          <w:sdtContent>
            <w:sdt>
              <w:sdtPr>
                <w:rPr>
                  <w:rFonts w:hint="eastAsia" w:ascii="MS Gothic" w:hAnsi="MS Gothic" w:eastAsia="MS Gothic" w:cs="Arial"/>
                  <w:b/>
                  <w:bCs/>
                  <w:sz w:val="22"/>
                  <w:szCs w:val="22"/>
                  <w:lang w:val="en-US" w:eastAsia="en-US" w:bidi="ar-SA"/>
                </w:rPr>
                <w:id w:val="147464670"/>
                <w14:checkbox>
                  <w14:checked w14:val="1"/>
                  <w14:checkedState w14:val="2612" w14:font="MS Gothic"/>
                  <w14:uncheckedState w14:val="2610" w14:font="MS Gothic"/>
                </w14:checkbox>
              </w:sdtPr>
              <w:sdtEndPr>
                <w:rPr>
                  <w:rFonts w:hint="eastAsia" w:ascii="MS Gothic" w:hAnsi="MS Gothic" w:eastAsia="MS Gothic" w:cs="Arial"/>
                  <w:b/>
                  <w:bCs/>
                  <w:sz w:val="22"/>
                  <w:szCs w:val="22"/>
                  <w:lang w:val="en-US" w:eastAsia="en-GB" w:bidi="ar-SA"/>
                </w:rPr>
              </w:sdtEndPr>
              <w:sdtContent>
                <w:tc>
                  <w:tcPr>
                    <w:tcW w:w="992" w:type="dxa"/>
                    <w:tcBorders>
                      <w:top w:val="single" w:color="auto" w:sz="4" w:space="0"/>
                      <w:left w:val="single" w:color="auto" w:sz="4" w:space="0"/>
                      <w:bottom w:val="single" w:color="auto" w:sz="4" w:space="0"/>
                      <w:right w:val="single" w:color="auto" w:sz="4" w:space="0"/>
                    </w:tcBorders>
                    <w:shd w:val="clear" w:color="auto" w:fill="BEBEBE"/>
                    <w:vAlign w:val="center"/>
                  </w:tcPr>
                  <w:p w14:paraId="141577F7">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MS Gothic" w:hAnsi="MS Gothic" w:eastAsia="Times New Roman" w:cs="Times New Roman"/>
                        <w:sz w:val="24"/>
                        <w:szCs w:val="24"/>
                        <w:lang w:val="en-GB" w:eastAsia="en-GB" w:bidi="ar-SA"/>
                      </w:rPr>
                      <w:t>☒</w:t>
                    </w:r>
                  </w:p>
                </w:tc>
              </w:sdtContent>
            </w:sdt>
          </w:sdtContent>
        </w:sdt>
        <w:sdt>
          <w:sdtPr>
            <w:rPr>
              <w:rFonts w:hint="eastAsia" w:ascii="MS Gothic" w:hAnsi="MS Gothic" w:eastAsia="MS Gothic" w:cs="Arial"/>
              <w:b/>
              <w:bCs/>
              <w:sz w:val="22"/>
              <w:szCs w:val="22"/>
              <w:lang w:val="en-US" w:eastAsia="en-US" w:bidi="ar-SA"/>
            </w:rPr>
            <w:id w:val="147475347"/>
            <w14:checkbox>
              <w14:checked w14:val="0"/>
              <w14:checkedState w14:val="2612" w14:font="MS Gothic"/>
              <w14:uncheckedState w14:val="2610" w14:font="MS Gothic"/>
            </w14:checkbox>
          </w:sdtPr>
          <w:sdtEndPr>
            <w:rPr>
              <w:rFonts w:hint="eastAsia" w:ascii="MS Gothic" w:hAnsi="MS Gothic" w:eastAsia="MS Gothic" w:cs="Arial"/>
              <w:b/>
              <w:bCs/>
              <w:sz w:val="22"/>
              <w:szCs w:val="22"/>
              <w:lang w:val="en-US" w:eastAsia="en-GB" w:bidi="ar-SA"/>
            </w:rPr>
          </w:sdtEndPr>
          <w:sdtContent>
            <w:tc>
              <w:tcPr>
                <w:tcW w:w="1026" w:type="dxa"/>
                <w:tcBorders>
                  <w:top w:val="single" w:color="auto" w:sz="4" w:space="0"/>
                  <w:left w:val="single" w:color="auto" w:sz="4" w:space="0"/>
                  <w:bottom w:val="single" w:color="auto" w:sz="4" w:space="0"/>
                  <w:right w:val="single" w:color="auto" w:sz="4" w:space="0"/>
                </w:tcBorders>
                <w:shd w:val="clear" w:color="auto" w:fill="BEBEBE"/>
                <w:vAlign w:val="center"/>
              </w:tcPr>
              <w:p w14:paraId="16A7F7E7">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MS Gothic" w:hAnsi="MS Gothic" w:eastAsia="Times New Roman" w:cs="Times New Roman"/>
                    <w:sz w:val="24"/>
                    <w:szCs w:val="24"/>
                    <w:lang w:val="en-GB" w:eastAsia="en-GB" w:bidi="ar-SA"/>
                  </w:rPr>
                  <w:t>☐</w:t>
                </w:r>
              </w:p>
            </w:tc>
          </w:sdtContent>
        </w:sdt>
      </w:tr>
      <w:tr w14:paraId="02C44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vAlign w:val="center"/>
          </w:tcPr>
          <w:p w14:paraId="18F5492E">
            <w:pPr>
              <w:autoSpaceDE w:val="0"/>
              <w:autoSpaceDN w:val="0"/>
              <w:adjustRightInd w:val="0"/>
              <w:spacing w:before="100" w:beforeAutospacing="1" w:after="100" w:afterAutospacing="1"/>
              <w:jc w:val="center"/>
              <w:rPr>
                <w:rFonts w:ascii="Arial" w:hAnsi="Arial" w:eastAsia="Times New Roman" w:cs="Arial"/>
                <w:sz w:val="22"/>
                <w:szCs w:val="22"/>
                <w:lang w:val="en-GB" w:eastAsia="en-GB" w:bidi="ar-SA"/>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vAlign w:val="center"/>
          </w:tcPr>
          <w:p w14:paraId="15052E0C">
            <w:pPr>
              <w:autoSpaceDE w:val="0"/>
              <w:autoSpaceDN w:val="0"/>
              <w:adjustRightInd w:val="0"/>
              <w:spacing w:before="100" w:beforeAutospacing="1" w:after="100" w:afterAutospacing="1"/>
              <w:rPr>
                <w:rFonts w:ascii="Times New Roman" w:hAnsi="Times New Roman" w:eastAsia="Times New Roman" w:cs="Times New Roman"/>
                <w:sz w:val="24"/>
                <w:szCs w:val="24"/>
                <w:lang w:val="en-GB" w:eastAsia="en-GB" w:bidi="ar-SA"/>
              </w:rPr>
            </w:pPr>
            <w:r>
              <w:rPr>
                <w:rFonts w:ascii="Arial" w:hAnsi="Arial" w:eastAsia="Times New Roman" w:cs="Arial"/>
                <w:sz w:val="22"/>
                <w:szCs w:val="22"/>
                <w:lang w:val="en-GB" w:eastAsia="en-GB" w:bidi="ar-SA"/>
              </w:rPr>
              <w:t>If YES, provide a</w:t>
            </w:r>
            <w:r>
              <w:rPr>
                <w:rFonts w:ascii="Arial" w:hAnsi="Arial" w:eastAsia="Times New Roman" w:cs="Arial"/>
                <w:b/>
                <w:bCs/>
                <w:sz w:val="22"/>
                <w:szCs w:val="22"/>
                <w:lang w:val="en-GB" w:eastAsia="en-GB" w:bidi="ar-SA"/>
              </w:rPr>
              <w:t xml:space="preserve"> </w:t>
            </w:r>
            <w:r>
              <w:rPr>
                <w:rFonts w:ascii="Arial" w:hAnsi="Arial" w:eastAsia="Times New Roman" w:cs="Arial"/>
                <w:sz w:val="22"/>
                <w:szCs w:val="22"/>
                <w:lang w:val="en-GB" w:eastAsia="en-GB" w:bidi="ar-SA"/>
              </w:rPr>
              <w:t>description of the data and explain why this data needs to be collected:</w:t>
            </w:r>
          </w:p>
        </w:tc>
      </w:tr>
      <w:tr w14:paraId="36AAA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4017F8F6">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2B6CB29">
            <w:pPr>
              <w:widowControl/>
              <w:jc w:val="left"/>
              <w:rPr>
                <w:rFonts w:ascii="Times New Roman" w:hAnsi="Times New Roman" w:eastAsia="Times New Roman" w:cs="Times New Roman"/>
                <w:iCs/>
                <w:kern w:val="0"/>
                <w:sz w:val="20"/>
                <w:szCs w:val="20"/>
                <w:lang w:val="en-GB" w:eastAsia="en-US"/>
              </w:rPr>
            </w:pPr>
            <w:r>
              <w:rPr>
                <w:rFonts w:ascii="Times New Roman" w:hAnsi="Times New Roman" w:eastAsia="Times New Roman" w:cs="Times New Roman"/>
                <w:iCs/>
                <w:kern w:val="0"/>
                <w:sz w:val="20"/>
                <w:szCs w:val="20"/>
                <w:lang w:val="en-GB" w:eastAsia="en-US"/>
              </w:rPr>
              <w:t>While no directly identifying information is collected, IP addresses and consent form responses count as personal data under GDPR. These are needed to verify participant eligibility and compliance.</w:t>
            </w:r>
          </w:p>
          <w:p w14:paraId="699CD3E9">
            <w:pPr>
              <w:widowControl/>
              <w:jc w:val="left"/>
              <w:rPr>
                <w:rFonts w:ascii="Arial" w:hAnsi="Arial" w:eastAsia="Times New Roman" w:cs="Arial"/>
                <w:kern w:val="0"/>
                <w:sz w:val="22"/>
                <w:szCs w:val="22"/>
                <w:lang w:val="en-GB" w:eastAsia="en-US"/>
              </w:rPr>
            </w:pPr>
          </w:p>
          <w:p w14:paraId="407A80C3">
            <w:pPr>
              <w:widowControl/>
              <w:autoSpaceDE w:val="0"/>
              <w:autoSpaceDN w:val="0"/>
              <w:adjustRightInd w:val="0"/>
              <w:jc w:val="left"/>
              <w:rPr>
                <w:rFonts w:ascii="Times New Roman" w:hAnsi="Times New Roman" w:eastAsia="Times New Roman" w:cs="Times New Roman"/>
                <w:i/>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r w14:paraId="218D7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vAlign w:val="center"/>
          </w:tcPr>
          <w:p w14:paraId="4AEEF62E">
            <w:pPr>
              <w:autoSpaceDE w:val="0"/>
              <w:autoSpaceDN w:val="0"/>
              <w:adjustRightInd w:val="0"/>
              <w:spacing w:before="0" w:beforeAutospacing="0" w:after="0" w:afterAutospacing="0"/>
              <w:jc w:val="center"/>
              <w:rPr>
                <w:rFonts w:ascii="Arial" w:hAnsi="Arial" w:eastAsia="Times New Roman" w:cs="Arial"/>
                <w:sz w:val="22"/>
                <w:szCs w:val="22"/>
                <w:lang w:val="en-GB" w:eastAsia="en-GB" w:bidi="ar-SA"/>
              </w:rPr>
            </w:pPr>
          </w:p>
        </w:tc>
        <w:tc>
          <w:tcPr>
            <w:tcW w:w="7905" w:type="dxa"/>
            <w:tcBorders>
              <w:left w:val="single" w:color="auto" w:sz="4" w:space="0"/>
              <w:bottom w:val="single" w:color="auto" w:sz="4" w:space="0"/>
              <w:right w:val="single" w:color="auto" w:sz="4" w:space="0"/>
            </w:tcBorders>
            <w:shd w:val="clear" w:color="auto" w:fill="F1F1F1"/>
            <w:vAlign w:val="center"/>
          </w:tcPr>
          <w:p w14:paraId="4C672E9B">
            <w:pPr>
              <w:autoSpaceDE w:val="0"/>
              <w:autoSpaceDN w:val="0"/>
              <w:adjustRightInd w:val="0"/>
              <w:spacing w:before="0" w:beforeAutospacing="0" w:after="0" w:afterAutospacing="0"/>
              <w:rPr>
                <w:rFonts w:ascii="Times New Roman" w:hAnsi="Times New Roman" w:eastAsia="Calibri" w:cs="Times New Roman"/>
                <w:sz w:val="24"/>
                <w:szCs w:val="24"/>
                <w:lang w:val="en-GB" w:eastAsia="en-GB" w:bidi="ar-SA"/>
              </w:rPr>
            </w:pPr>
            <w:r>
              <w:rPr>
                <w:rFonts w:ascii="Arial" w:hAnsi="Arial" w:eastAsia="Times New Roman" w:cs="Arial"/>
                <w:sz w:val="22"/>
                <w:szCs w:val="22"/>
                <w:lang w:val="en-GB" w:eastAsia="en-GB" w:bidi="ar-SA"/>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2D73DFBA">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vAlign w:val="center"/>
          </w:tcPr>
          <w:p w14:paraId="515AC03B">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r>
              <w:rPr>
                <w:rFonts w:ascii="Arial" w:hAnsi="Arial" w:eastAsia="Times New Roman" w:cs="Arial"/>
                <w:b/>
                <w:bCs/>
                <w:sz w:val="22"/>
                <w:szCs w:val="22"/>
                <w:lang w:val="en-GB" w:eastAsia="en-GB" w:bidi="ar-SA"/>
              </w:rPr>
              <w:t>NO</w:t>
            </w:r>
          </w:p>
        </w:tc>
      </w:tr>
      <w:tr w14:paraId="6FADA9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vAlign w:val="center"/>
          </w:tcPr>
          <w:p w14:paraId="4A8A18BD">
            <w:pPr>
              <w:spacing w:before="0" w:beforeAutospacing="0" w:after="0" w:afterAutospacing="0"/>
              <w:jc w:val="center"/>
              <w:rPr>
                <w:rFonts w:ascii="Arial" w:hAnsi="Arial" w:eastAsia="Times New Roman" w:cs="Arial"/>
                <w:b w:val="0"/>
                <w:iCs/>
                <w:color w:val="000000"/>
                <w:sz w:val="20"/>
                <w:szCs w:val="23"/>
                <w:lang w:val="en-GB" w:eastAsia="en-GB" w:bidi="ar-SA"/>
              </w:rPr>
            </w:pPr>
            <w:r>
              <w:rPr>
                <w:rFonts w:ascii="Arial" w:hAnsi="Arial" w:eastAsia="Times New Roman" w:cs="Arial"/>
                <w:b w:val="0"/>
                <w:bCs/>
                <w:iCs/>
                <w:color w:val="000000"/>
                <w:sz w:val="20"/>
                <w:szCs w:val="23"/>
                <w:lang w:val="en-GB" w:eastAsia="en-US" w:bidi="ar-SA"/>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vAlign w:val="center"/>
          </w:tcPr>
          <w:p w14:paraId="2EE3EBFE">
            <w:pPr>
              <w:spacing w:before="0" w:beforeAutospacing="0" w:after="0" w:afterAutospacing="0"/>
              <w:ind w:left="567" w:right="567"/>
              <w:rPr>
                <w:rFonts w:ascii="Times New Roman" w:hAnsi="Times New Roman" w:eastAsia="Times New Roman" w:cs="Times New Roman"/>
                <w:sz w:val="24"/>
                <w:szCs w:val="24"/>
                <w:lang w:val="en-GB" w:eastAsia="en-GB" w:bidi="ar-SA"/>
              </w:rPr>
            </w:pPr>
            <w:r>
              <w:rPr>
                <w:rFonts w:ascii="Arial" w:hAnsi="Arial" w:eastAsia="Times New Roman" w:cs="Arial"/>
                <w:b/>
                <w:bCs/>
                <w:i/>
                <w:iCs/>
                <w:color w:val="000000"/>
                <w:sz w:val="20"/>
                <w:szCs w:val="23"/>
                <w:lang w:val="en-GB" w:eastAsia="en-US" w:bidi="ar-SA"/>
              </w:rPr>
              <w:t>“Special category data”</w:t>
            </w:r>
            <w:r>
              <w:rPr>
                <w:rFonts w:ascii="Arial" w:hAnsi="Arial" w:eastAsia="Times New Roman" w:cs="Arial"/>
                <w:i/>
                <w:iCs/>
                <w:color w:val="000000"/>
                <w:sz w:val="20"/>
                <w:szCs w:val="23"/>
                <w:lang w:val="en-GB" w:eastAsia="en-GB" w:bidi="ar-SA"/>
              </w:rPr>
              <w:t> means sensitive personal data consisting of information as to the data subjects’ –</w:t>
            </w:r>
          </w:p>
          <w:p w14:paraId="78E1473C">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(a) racial or ethnic origin,</w:t>
            </w:r>
          </w:p>
          <w:p w14:paraId="7576D270">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(b) political opinions,</w:t>
            </w:r>
          </w:p>
          <w:p w14:paraId="6A740673">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(c ) religious beliefs or other beliefs of a similar nature,</w:t>
            </w:r>
          </w:p>
          <w:p w14:paraId="00285C0C">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(d) membership of a trade union (within the meaning of the Trade Union and Labour Relations (Consolidation) Act 1992),</w:t>
            </w:r>
          </w:p>
          <w:p w14:paraId="275FEBE9">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(e) physical or mental health or condition,</w:t>
            </w:r>
          </w:p>
          <w:p w14:paraId="25EA224A">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(f) sexual life,</w:t>
            </w:r>
          </w:p>
          <w:p w14:paraId="22322E2D">
            <w:pPr>
              <w:spacing w:before="0" w:beforeAutospacing="0" w:after="0" w:afterAutospacing="0"/>
              <w:ind w:left="1134" w:right="567"/>
              <w:rPr>
                <w:rFonts w:ascii="Times New Roman" w:hAnsi="Times New Roman" w:eastAsia="Times New Roman" w:cs="Times New Roman"/>
                <w:sz w:val="24"/>
                <w:szCs w:val="24"/>
                <w:lang w:val="en-GB" w:eastAsia="en-GB" w:bidi="ar-SA"/>
              </w:rPr>
            </w:pPr>
            <w:r>
              <w:rPr>
                <w:rFonts w:ascii="Arial" w:hAnsi="Arial" w:eastAsia="Times New Roman" w:cs="Arial"/>
                <w:i/>
                <w:iCs/>
                <w:color w:val="000000"/>
                <w:sz w:val="20"/>
                <w:szCs w:val="23"/>
                <w:lang w:val="en-GB" w:eastAsia="en-GB" w:bidi="ar-SA"/>
              </w:rPr>
              <w:t>(g) genetics,</w:t>
            </w:r>
          </w:p>
          <w:p w14:paraId="7A223E26">
            <w:pPr>
              <w:spacing w:before="0" w:beforeAutospacing="0" w:after="0" w:afterAutospacing="0"/>
              <w:ind w:left="1134" w:right="567"/>
              <w:rPr>
                <w:rFonts w:ascii="Arial" w:hAnsi="Arial" w:eastAsia="Times New Roman" w:cs="Arial"/>
                <w:i/>
                <w:iCs/>
                <w:color w:val="000000"/>
                <w:sz w:val="20"/>
                <w:szCs w:val="23"/>
                <w:lang w:val="en-GB" w:eastAsia="en-GB" w:bidi="ar-SA"/>
              </w:rPr>
            </w:pPr>
            <w:r>
              <w:rPr>
                <w:rFonts w:ascii="Arial" w:hAnsi="Arial" w:eastAsia="Times New Roman" w:cs="Arial"/>
                <w:i/>
                <w:iCs/>
                <w:color w:val="000000"/>
                <w:sz w:val="20"/>
                <w:szCs w:val="23"/>
                <w:lang w:val="en-GB" w:eastAsia="en-GB" w:bidi="ar-SA"/>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vAlign w:val="center"/>
          </w:tcPr>
          <w:p w14:paraId="0EB734CA">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p>
          <w:p w14:paraId="2570DBF6">
            <w:pPr>
              <w:autoSpaceDE w:val="0"/>
              <w:autoSpaceDN w:val="0"/>
              <w:adjustRightInd w:val="0"/>
              <w:spacing w:before="100" w:beforeAutospacing="1" w:after="100" w:afterAutospacing="1"/>
              <w:jc w:val="center"/>
              <w:rPr>
                <w:rFonts w:ascii="Times New Roman" w:hAnsi="Times New Roman" w:eastAsia="Times New Roman" w:cs="Times New Roman"/>
                <w:sz w:val="24"/>
                <w:szCs w:val="24"/>
                <w:lang w:val="en-GB" w:eastAsia="en-GB" w:bidi="ar-SA"/>
              </w:rPr>
            </w:pPr>
            <w:r>
              <w:rPr>
                <w:rFonts w:hint="eastAsia" w:ascii="MS Gothic" w:hAnsi="MS Gothic" w:eastAsia="MS Gothic" w:cs="Arial"/>
                <w:b/>
                <w:bCs/>
                <w:sz w:val="22"/>
                <w:szCs w:val="22"/>
                <w:lang w:val="en-US" w:eastAsia="en-GB" w:bidi="ar-SA"/>
              </w:rPr>
              <w:t>☐</w:t>
            </w:r>
          </w:p>
        </w:tc>
        <w:tc>
          <w:tcPr>
            <w:tcW w:w="1026" w:type="dxa"/>
            <w:tcBorders>
              <w:top w:val="single" w:color="auto" w:sz="4" w:space="0"/>
              <w:left w:val="single" w:color="auto" w:sz="4" w:space="0"/>
              <w:bottom w:val="single" w:color="auto" w:sz="4" w:space="0"/>
              <w:right w:val="single" w:color="auto" w:sz="4" w:space="0"/>
            </w:tcBorders>
            <w:shd w:val="clear" w:color="auto" w:fill="BEBEBE"/>
            <w:vAlign w:val="center"/>
          </w:tcPr>
          <w:p w14:paraId="75B33725">
            <w:pPr>
              <w:autoSpaceDE w:val="0"/>
              <w:autoSpaceDN w:val="0"/>
              <w:adjustRightInd w:val="0"/>
              <w:spacing w:before="100" w:beforeAutospacing="1" w:after="100" w:afterAutospacing="1"/>
              <w:jc w:val="center"/>
              <w:rPr>
                <w:rFonts w:ascii="MS Gothic" w:hAnsi="MS Gothic" w:eastAsia="MS Gothic" w:cs="Arial"/>
                <w:b/>
                <w:bCs/>
                <w:sz w:val="22"/>
                <w:szCs w:val="22"/>
                <w:lang w:val="en-US" w:eastAsia="en-GB" w:bidi="ar-SA"/>
              </w:rPr>
            </w:pPr>
          </w:p>
          <w:sdt>
            <w:sdtPr>
              <w:rPr>
                <w:rFonts w:hint="eastAsia" w:ascii="MS Gothic" w:hAnsi="MS Gothic" w:eastAsia="MS Gothic" w:cs="Arial"/>
                <w:b/>
                <w:bCs/>
                <w:sz w:val="22"/>
                <w:szCs w:val="22"/>
                <w:lang w:val="en-US" w:eastAsia="en-US" w:bidi="ar-SA"/>
              </w:rPr>
              <w:id w:val="147475328"/>
              <w14:checkbox>
                <w14:checked w14:val="1"/>
                <w14:checkedState w14:val="2612" w14:font="MS Gothic"/>
                <w14:uncheckedState w14:val="2610" w14:font="MS Gothic"/>
              </w14:checkbox>
            </w:sdtPr>
            <w:sdtEndPr>
              <w:rPr>
                <w:rFonts w:hint="eastAsia" w:ascii="MS Gothic" w:hAnsi="MS Gothic" w:eastAsia="MS Gothic" w:cs="Arial"/>
                <w:b/>
                <w:bCs/>
                <w:sz w:val="22"/>
                <w:szCs w:val="22"/>
                <w:lang w:val="en-US" w:eastAsia="en-GB" w:bidi="ar-SA"/>
              </w:rPr>
            </w:sdtEndPr>
            <w:sdtContent>
              <w:p w14:paraId="77576AEB">
                <w:pPr>
                  <w:autoSpaceDE w:val="0"/>
                  <w:autoSpaceDN w:val="0"/>
                  <w:adjustRightInd w:val="0"/>
                  <w:spacing w:before="100" w:beforeAutospacing="1" w:after="100" w:afterAutospacing="1"/>
                  <w:jc w:val="center"/>
                  <w:rPr>
                    <w:rFonts w:ascii="Times New Roman" w:hAnsi="Times New Roman" w:eastAsia="Times New Roman" w:cs="Times New Roman"/>
                    <w:sz w:val="24"/>
                    <w:szCs w:val="24"/>
                    <w:lang w:val="en-GB" w:eastAsia="en-GB" w:bidi="ar-SA"/>
                  </w:rPr>
                </w:pPr>
                <w:r>
                  <w:rPr>
                    <w:rFonts w:ascii="MS Gothic" w:hAnsi="MS Gothic" w:eastAsia="Times New Roman" w:cs="Times New Roman"/>
                    <w:sz w:val="24"/>
                    <w:szCs w:val="24"/>
                    <w:lang w:val="en-GB" w:eastAsia="en-GB" w:bidi="ar-SA"/>
                  </w:rPr>
                  <w:t>☒</w:t>
                </w:r>
              </w:p>
            </w:sdtContent>
          </w:sdt>
        </w:tc>
      </w:tr>
      <w:tr w14:paraId="4233F1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vAlign w:val="center"/>
          </w:tcPr>
          <w:p w14:paraId="744DE9D2">
            <w:pPr>
              <w:autoSpaceDE w:val="0"/>
              <w:autoSpaceDN w:val="0"/>
              <w:adjustRightInd w:val="0"/>
              <w:spacing w:before="100" w:beforeAutospacing="1" w:after="100" w:afterAutospacing="1"/>
              <w:jc w:val="center"/>
              <w:rPr>
                <w:rFonts w:ascii="Arial" w:hAnsi="Arial" w:eastAsia="Times New Roman" w:cs="Arial"/>
                <w:sz w:val="22"/>
                <w:szCs w:val="22"/>
                <w:lang w:val="en-GB" w:eastAsia="en-GB" w:bidi="ar-SA"/>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vAlign w:val="center"/>
          </w:tcPr>
          <w:p w14:paraId="6C1023A2">
            <w:pPr>
              <w:autoSpaceDE w:val="0"/>
              <w:autoSpaceDN w:val="0"/>
              <w:adjustRightInd w:val="0"/>
              <w:spacing w:before="100" w:beforeAutospacing="1" w:after="100" w:afterAutospacing="1"/>
              <w:rPr>
                <w:rFonts w:ascii="Times New Roman" w:hAnsi="Times New Roman" w:eastAsia="Times New Roman" w:cs="Times New Roman"/>
                <w:sz w:val="24"/>
                <w:szCs w:val="24"/>
                <w:lang w:val="en-GB" w:eastAsia="en-GB" w:bidi="ar-SA"/>
              </w:rPr>
            </w:pPr>
            <w:r>
              <w:rPr>
                <w:rFonts w:ascii="Arial" w:hAnsi="Arial" w:eastAsia="Times New Roman" w:cs="Arial"/>
                <w:sz w:val="22"/>
                <w:szCs w:val="22"/>
                <w:lang w:val="en-GB" w:eastAsia="en-GB" w:bidi="ar-SA"/>
              </w:rPr>
              <w:t>If YES, provide a</w:t>
            </w:r>
            <w:r>
              <w:rPr>
                <w:rFonts w:ascii="Arial" w:hAnsi="Arial" w:eastAsia="Times New Roman" w:cs="Arial"/>
                <w:b/>
                <w:bCs/>
                <w:sz w:val="22"/>
                <w:szCs w:val="22"/>
                <w:lang w:val="en-GB" w:eastAsia="en-GB" w:bidi="ar-SA"/>
              </w:rPr>
              <w:t xml:space="preserve"> </w:t>
            </w:r>
            <w:r>
              <w:rPr>
                <w:rFonts w:ascii="Arial" w:hAnsi="Arial" w:eastAsia="Times New Roman" w:cs="Arial"/>
                <w:sz w:val="22"/>
                <w:szCs w:val="22"/>
                <w:lang w:val="en-GB" w:eastAsia="en-GB" w:bidi="ar-SA"/>
              </w:rPr>
              <w:t>description of the special category data and explain why this data needs to be collected:</w:t>
            </w:r>
          </w:p>
        </w:tc>
      </w:tr>
      <w:tr w14:paraId="13C3C0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5DD485C8">
            <w:pPr>
              <w:widowControl/>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3D1D3973">
            <w:pPr>
              <w:widowControl/>
              <w:jc w:val="left"/>
              <w:rPr>
                <w:rFonts w:ascii="Arial" w:hAnsi="Arial" w:eastAsia="Times New Roman" w:cs="Arial"/>
                <w:color w:val="00B050"/>
                <w:kern w:val="0"/>
                <w:sz w:val="24"/>
                <w:szCs w:val="22"/>
                <w:lang w:val="en-GB" w:eastAsia="en-US"/>
              </w:rPr>
            </w:pPr>
            <w:r>
              <w:rPr>
                <w:rFonts w:ascii="Arial" w:hAnsi="Arial" w:eastAsia="Times New Roman" w:cs="Arial"/>
                <w:color w:val="00B050"/>
                <w:kern w:val="0"/>
                <w:sz w:val="22"/>
                <w:szCs w:val="20"/>
                <w:lang w:val="en-GB" w:eastAsia="en-US"/>
              </w:rPr>
              <w:t>What counts as ‘sensitive’ will differ between cultures. Any information on behaviour that is not in accordance with cultural norms would count as sensitive personal data.</w:t>
            </w:r>
          </w:p>
          <w:p w14:paraId="2531CAEB">
            <w:pPr>
              <w:widowControl/>
              <w:jc w:val="left"/>
              <w:rPr>
                <w:rFonts w:ascii="Arial" w:hAnsi="Arial" w:eastAsia="Times New Roman" w:cs="Arial"/>
                <w:kern w:val="0"/>
                <w:sz w:val="22"/>
                <w:szCs w:val="22"/>
                <w:lang w:val="en-GB" w:eastAsia="en-US"/>
              </w:rPr>
            </w:pPr>
          </w:p>
          <w:p w14:paraId="0242608F">
            <w:pPr>
              <w:widowControl/>
              <w:jc w:val="left"/>
              <w:rPr>
                <w:rFonts w:ascii="Arial" w:hAnsi="Arial" w:eastAsia="Times New Roman" w:cs="Arial"/>
                <w:kern w:val="0"/>
                <w:sz w:val="22"/>
                <w:szCs w:val="22"/>
                <w:lang w:val="en-GB" w:eastAsia="en-US"/>
              </w:rPr>
            </w:pPr>
          </w:p>
          <w:p w14:paraId="477EF07E">
            <w:pPr>
              <w:widowControl/>
              <w:jc w:val="left"/>
              <w:rPr>
                <w:rFonts w:ascii="Arial" w:hAnsi="Arial" w:eastAsia="Times New Roman" w:cs="Arial"/>
                <w:kern w:val="0"/>
                <w:sz w:val="22"/>
                <w:szCs w:val="22"/>
                <w:lang w:val="en-GB" w:eastAsia="en-US"/>
              </w:rPr>
            </w:pPr>
          </w:p>
          <w:p w14:paraId="6BDCE17F">
            <w:pPr>
              <w:widowControl/>
              <w:autoSpaceDE w:val="0"/>
              <w:autoSpaceDN w:val="0"/>
              <w:adjustRightInd w:val="0"/>
              <w:jc w:val="left"/>
              <w:rPr>
                <w:rFonts w:ascii="Times New Roman" w:hAnsi="Times New Roman" w:eastAsia="Times New Roman" w:cs="Times New Roman"/>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bl>
    <w:p w14:paraId="57B01559">
      <w:pPr>
        <w:widowControl/>
        <w:jc w:val="left"/>
        <w:rPr>
          <w:rFonts w:ascii="Times New Roman" w:hAnsi="Times New Roman" w:eastAsia="Times New Roman" w:cs="Times New Roman"/>
          <w:kern w:val="0"/>
          <w:sz w:val="20"/>
          <w:szCs w:val="20"/>
          <w:lang w:val="en-GB" w:eastAsia="en-US"/>
        </w:rPr>
      </w:pPr>
    </w:p>
    <w:tbl>
      <w:tblPr>
        <w:tblStyle w:val="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8AF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192FEE79">
            <w:pPr>
              <w:widowControl/>
              <w:autoSpaceDE w:val="0"/>
              <w:autoSpaceDN w:val="0"/>
              <w:adjustRightInd w:val="0"/>
              <w:jc w:val="center"/>
              <w:rPr>
                <w:rFonts w:ascii="Arial" w:hAnsi="Arial" w:eastAsia="Times New Roman" w:cs="Arial"/>
                <w:kern w:val="0"/>
                <w:sz w:val="22"/>
                <w:szCs w:val="22"/>
                <w:lang w:val="en-GB" w:eastAsia="en-US"/>
              </w:rPr>
            </w:pPr>
          </w:p>
        </w:tc>
        <w:tc>
          <w:tcPr>
            <w:tcW w:w="7905" w:type="dxa"/>
            <w:shd w:val="clear" w:color="auto" w:fill="F1F1F1"/>
          </w:tcPr>
          <w:p w14:paraId="5EDC4417">
            <w:pPr>
              <w:widowControl/>
              <w:autoSpaceDE w:val="0"/>
              <w:autoSpaceDN w:val="0"/>
              <w:adjustRightInd w:val="0"/>
              <w:jc w:val="left"/>
              <w:rPr>
                <w:rFonts w:ascii="Arial" w:hAnsi="Arial" w:eastAsia="Times New Roman" w:cs="Arial"/>
                <w:b/>
                <w:bCs/>
                <w:kern w:val="0"/>
                <w:sz w:val="22"/>
                <w:szCs w:val="22"/>
                <w:lang w:val="en-GB" w:eastAsia="en-US"/>
              </w:rPr>
            </w:pPr>
            <w:r>
              <w:rPr>
                <w:rFonts w:ascii="Times New Roman" w:hAnsi="Times New Roman" w:eastAsia="Times New Roman" w:cs="Times New Roman"/>
                <w:b/>
                <w:kern w:val="0"/>
                <w:sz w:val="20"/>
                <w:szCs w:val="20"/>
                <w:lang w:val="en-GB" w:eastAsia="en-US"/>
              </w:rPr>
              <w:br w:type="page"/>
            </w:r>
            <w:r>
              <w:rPr>
                <w:rFonts w:ascii="Arial" w:hAnsi="Arial" w:eastAsia="Times New Roman" w:cs="Arial"/>
                <w:b/>
                <w:kern w:val="0"/>
                <w:sz w:val="22"/>
                <w:szCs w:val="22"/>
                <w:lang w:val="en-GB" w:eastAsia="en-US"/>
              </w:rPr>
              <w:t>Will data from the research activity (collected data, drafts of the thesis, or materials for publication) be stored in any of the following ways?</w:t>
            </w:r>
          </w:p>
        </w:tc>
        <w:tc>
          <w:tcPr>
            <w:tcW w:w="992" w:type="dxa"/>
            <w:shd w:val="clear" w:color="auto" w:fill="F1F1F1"/>
          </w:tcPr>
          <w:p w14:paraId="432CFFAC">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YES</w:t>
            </w:r>
          </w:p>
        </w:tc>
        <w:tc>
          <w:tcPr>
            <w:tcW w:w="1026" w:type="dxa"/>
            <w:shd w:val="clear" w:color="auto" w:fill="F1F1F1"/>
          </w:tcPr>
          <w:p w14:paraId="305930BE">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NO</w:t>
            </w:r>
          </w:p>
        </w:tc>
      </w:tr>
      <w:tr w14:paraId="4D42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38551B28">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5</w:t>
            </w:r>
          </w:p>
        </w:tc>
        <w:tc>
          <w:tcPr>
            <w:tcW w:w="7905" w:type="dxa"/>
            <w:shd w:val="clear" w:color="auto" w:fill="F1F1F1"/>
            <w:vAlign w:val="center"/>
          </w:tcPr>
          <w:p w14:paraId="33FFB1F0">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Manual files (i.e. in paper form)?</w:t>
            </w:r>
          </w:p>
        </w:tc>
        <w:tc>
          <w:tcPr>
            <w:tcW w:w="992" w:type="dxa"/>
            <w:shd w:val="clear" w:color="auto" w:fill="BEBEBE"/>
          </w:tcPr>
          <w:sdt>
            <w:sdtPr>
              <w:rPr>
                <w:rFonts w:ascii="Arial" w:hAnsi="Arial" w:eastAsia="Times New Roman" w:cs="Arial"/>
                <w:b/>
                <w:bCs/>
                <w:sz w:val="22"/>
                <w:szCs w:val="22"/>
                <w:lang w:val="en-GB" w:eastAsia="en-GB" w:bidi="ar-SA"/>
              </w:rPr>
              <w:id w:val="-71689136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35A06F2">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tcPr>
          <w:sdt>
            <w:sdtPr>
              <w:rPr>
                <w:rFonts w:ascii="Arial" w:hAnsi="Arial" w:eastAsia="Times New Roman" w:cs="Arial"/>
                <w:b/>
                <w:bCs/>
                <w:sz w:val="22"/>
                <w:szCs w:val="22"/>
                <w:lang w:val="en-GB" w:eastAsia="en-GB" w:bidi="ar-SA"/>
              </w:rPr>
              <w:id w:val="12451245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FC96C0C">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04094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1A5F8B07">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6</w:t>
            </w:r>
          </w:p>
        </w:tc>
        <w:tc>
          <w:tcPr>
            <w:tcW w:w="7905" w:type="dxa"/>
            <w:shd w:val="clear" w:color="auto" w:fill="F1F1F1"/>
            <w:vAlign w:val="center"/>
          </w:tcPr>
          <w:p w14:paraId="5E65598B">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University computers?</w:t>
            </w:r>
          </w:p>
        </w:tc>
        <w:tc>
          <w:tcPr>
            <w:tcW w:w="992" w:type="dxa"/>
            <w:shd w:val="clear" w:color="auto" w:fill="BEBEBE"/>
          </w:tcPr>
          <w:sdt>
            <w:sdtPr>
              <w:rPr>
                <w:rFonts w:ascii="Arial" w:hAnsi="Arial" w:eastAsia="Times New Roman" w:cs="Arial"/>
                <w:b/>
                <w:bCs/>
                <w:sz w:val="22"/>
                <w:szCs w:val="22"/>
                <w:lang w:val="en-GB" w:eastAsia="en-GB" w:bidi="ar-SA"/>
              </w:rPr>
              <w:id w:val="-105894206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12906B4">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tcPr>
          <w:sdt>
            <w:sdtPr>
              <w:rPr>
                <w:rFonts w:ascii="Arial" w:hAnsi="Arial" w:eastAsia="Times New Roman" w:cs="Arial"/>
                <w:b/>
                <w:bCs/>
                <w:sz w:val="22"/>
                <w:szCs w:val="22"/>
                <w:lang w:val="en-GB" w:eastAsia="en-GB" w:bidi="ar-SA"/>
              </w:rPr>
              <w:id w:val="-1525707884"/>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4DF32618">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3C30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72E47546">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7</w:t>
            </w:r>
          </w:p>
        </w:tc>
        <w:tc>
          <w:tcPr>
            <w:tcW w:w="7905" w:type="dxa"/>
            <w:shd w:val="clear" w:color="auto" w:fill="F1F1F1"/>
            <w:vAlign w:val="center"/>
          </w:tcPr>
          <w:p w14:paraId="4173E76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Private company computers?</w:t>
            </w:r>
          </w:p>
        </w:tc>
        <w:tc>
          <w:tcPr>
            <w:tcW w:w="992" w:type="dxa"/>
            <w:shd w:val="clear" w:color="auto" w:fill="BEBEBE"/>
          </w:tcPr>
          <w:sdt>
            <w:sdtPr>
              <w:rPr>
                <w:rFonts w:ascii="Arial" w:hAnsi="Arial" w:eastAsia="Times New Roman" w:cs="Arial"/>
                <w:b/>
                <w:bCs/>
                <w:sz w:val="22"/>
                <w:szCs w:val="22"/>
                <w:lang w:val="en-GB" w:eastAsia="en-GB" w:bidi="ar-SA"/>
              </w:rPr>
              <w:id w:val="42877952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68146B1">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tcPr>
          <w:sdt>
            <w:sdtPr>
              <w:rPr>
                <w:rFonts w:ascii="Arial" w:hAnsi="Arial" w:eastAsia="Times New Roman" w:cs="Arial"/>
                <w:b/>
                <w:bCs/>
                <w:sz w:val="22"/>
                <w:szCs w:val="22"/>
                <w:lang w:val="en-GB" w:eastAsia="en-GB" w:bidi="ar-SA"/>
              </w:rPr>
              <w:id w:val="1738441066"/>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7881B9D5">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6C5AD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0D41E2D9">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8</w:t>
            </w:r>
          </w:p>
        </w:tc>
        <w:tc>
          <w:tcPr>
            <w:tcW w:w="7905" w:type="dxa"/>
            <w:shd w:val="clear" w:color="auto" w:fill="F1F1F1"/>
            <w:vAlign w:val="center"/>
          </w:tcPr>
          <w:p w14:paraId="33A85B3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Home or other personal computers?</w:t>
            </w:r>
          </w:p>
        </w:tc>
        <w:tc>
          <w:tcPr>
            <w:tcW w:w="992" w:type="dxa"/>
            <w:shd w:val="clear" w:color="auto" w:fill="BEBEBE"/>
          </w:tcPr>
          <w:sdt>
            <w:sdtPr>
              <w:rPr>
                <w:rFonts w:ascii="Arial" w:hAnsi="Arial" w:eastAsia="Times New Roman" w:cs="Arial"/>
                <w:b/>
                <w:bCs/>
                <w:sz w:val="22"/>
                <w:szCs w:val="22"/>
                <w:lang w:val="en-GB" w:eastAsia="en-GB" w:bidi="ar-SA"/>
              </w:rPr>
              <w:id w:val="666676712"/>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CC082FB">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tcPr>
          <w:sdt>
            <w:sdtPr>
              <w:rPr>
                <w:rFonts w:ascii="Arial" w:hAnsi="Arial" w:eastAsia="Times New Roman" w:cs="Arial"/>
                <w:b/>
                <w:bCs/>
                <w:sz w:val="22"/>
                <w:szCs w:val="22"/>
                <w:lang w:val="en-GB" w:eastAsia="en-GB" w:bidi="ar-SA"/>
              </w:rPr>
              <w:id w:val="24330919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06DB8E3">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66E0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7401671A">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9</w:t>
            </w:r>
          </w:p>
        </w:tc>
        <w:tc>
          <w:tcPr>
            <w:tcW w:w="7905" w:type="dxa"/>
            <w:shd w:val="clear" w:color="auto" w:fill="F1F1F1"/>
            <w:vAlign w:val="center"/>
          </w:tcPr>
          <w:p w14:paraId="74DD462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Laptop computers/ CDs/ Portable disk-drives/ memory sticks?</w:t>
            </w:r>
          </w:p>
        </w:tc>
        <w:tc>
          <w:tcPr>
            <w:tcW w:w="992" w:type="dxa"/>
            <w:shd w:val="clear" w:color="auto" w:fill="BEBEBE"/>
          </w:tcPr>
          <w:sdt>
            <w:sdtPr>
              <w:rPr>
                <w:rFonts w:ascii="Arial" w:hAnsi="Arial" w:eastAsia="Times New Roman" w:cs="Arial"/>
                <w:b/>
                <w:bCs/>
                <w:sz w:val="22"/>
                <w:szCs w:val="22"/>
                <w:lang w:val="en-GB" w:eastAsia="en-GB" w:bidi="ar-SA"/>
              </w:rPr>
              <w:id w:val="176118265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7D95428">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tcPr>
          <w:sdt>
            <w:sdtPr>
              <w:rPr>
                <w:rFonts w:ascii="Arial" w:hAnsi="Arial" w:eastAsia="Times New Roman" w:cs="Arial"/>
                <w:b/>
                <w:bCs/>
                <w:sz w:val="22"/>
                <w:szCs w:val="22"/>
                <w:lang w:val="en-GB" w:eastAsia="en-GB" w:bidi="ar-SA"/>
              </w:rPr>
              <w:id w:val="-1031489010"/>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77E6477">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4056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DD2E2A7">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10</w:t>
            </w:r>
          </w:p>
        </w:tc>
        <w:tc>
          <w:tcPr>
            <w:tcW w:w="7905" w:type="dxa"/>
            <w:shd w:val="clear" w:color="auto" w:fill="F1F1F1"/>
            <w:vAlign w:val="center"/>
          </w:tcPr>
          <w:p w14:paraId="7E4E175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“Cloud” storage or websites?</w:t>
            </w:r>
          </w:p>
        </w:tc>
        <w:tc>
          <w:tcPr>
            <w:tcW w:w="992" w:type="dxa"/>
            <w:shd w:val="clear" w:color="auto" w:fill="BEBEBE"/>
          </w:tcPr>
          <w:sdt>
            <w:sdtPr>
              <w:rPr>
                <w:rFonts w:ascii="Arial" w:hAnsi="Arial" w:eastAsia="Times New Roman" w:cs="Arial"/>
                <w:b/>
                <w:bCs/>
                <w:sz w:val="22"/>
                <w:szCs w:val="22"/>
                <w:lang w:val="en-GB" w:eastAsia="en-GB" w:bidi="ar-SA"/>
              </w:rPr>
              <w:id w:val="-4037644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4E2CD1C">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tcPr>
          <w:sdt>
            <w:sdtPr>
              <w:rPr>
                <w:rFonts w:ascii="Arial" w:hAnsi="Arial" w:eastAsia="Times New Roman" w:cs="Arial"/>
                <w:b/>
                <w:bCs/>
                <w:sz w:val="22"/>
                <w:szCs w:val="22"/>
                <w:lang w:val="en-GB" w:eastAsia="en-GB" w:bidi="ar-SA"/>
              </w:rPr>
              <w:id w:val="-20040378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BE376EC">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76A3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45326FC9">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11</w:t>
            </w:r>
          </w:p>
        </w:tc>
        <w:tc>
          <w:tcPr>
            <w:tcW w:w="7905" w:type="dxa"/>
            <w:shd w:val="clear" w:color="auto" w:fill="F1F1F1"/>
          </w:tcPr>
          <w:p w14:paraId="3AF7468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Other – specify:</w:t>
            </w:r>
          </w:p>
          <w:p w14:paraId="3B59F1C7">
            <w:pPr>
              <w:widowControl/>
              <w:autoSpaceDE w:val="0"/>
              <w:autoSpaceDN w:val="0"/>
              <w:adjustRightInd w:val="0"/>
              <w:jc w:val="left"/>
              <w:rPr>
                <w:rFonts w:ascii="Arial" w:hAnsi="Arial" w:eastAsia="Times New Roman" w:cs="Arial"/>
                <w:kern w:val="0"/>
                <w:sz w:val="22"/>
                <w:szCs w:val="22"/>
                <w:lang w:val="en-GB" w:eastAsia="en-US"/>
              </w:rPr>
            </w:pPr>
          </w:p>
        </w:tc>
        <w:tc>
          <w:tcPr>
            <w:tcW w:w="992" w:type="dxa"/>
            <w:shd w:val="clear" w:color="auto" w:fill="BEBEBE"/>
            <w:vAlign w:val="center"/>
          </w:tcPr>
          <w:sdt>
            <w:sdtPr>
              <w:rPr>
                <w:rFonts w:ascii="Arial" w:hAnsi="Arial" w:eastAsia="Times New Roman" w:cs="Arial"/>
                <w:b/>
                <w:bCs/>
                <w:sz w:val="22"/>
                <w:szCs w:val="22"/>
                <w:lang w:val="en-GB" w:eastAsia="en-GB" w:bidi="ar-SA"/>
              </w:rPr>
              <w:id w:val="-1556230815"/>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49D2A60">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vAlign w:val="center"/>
          </w:tcPr>
          <w:sdt>
            <w:sdtPr>
              <w:rPr>
                <w:rFonts w:ascii="Arial" w:hAnsi="Arial" w:eastAsia="Times New Roman" w:cs="Arial"/>
                <w:b/>
                <w:bCs/>
                <w:sz w:val="22"/>
                <w:szCs w:val="22"/>
                <w:lang w:val="en-GB" w:eastAsia="en-GB" w:bidi="ar-SA"/>
              </w:rPr>
              <w:id w:val="1575544959"/>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C6F588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594C3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672E3151">
            <w:pPr>
              <w:widowControl/>
              <w:autoSpaceDE w:val="0"/>
              <w:autoSpaceDN w:val="0"/>
              <w:adjustRightInd w:val="0"/>
              <w:jc w:val="center"/>
              <w:rPr>
                <w:rFonts w:ascii="Arial" w:hAnsi="Arial" w:eastAsia="Times New Roman" w:cs="Arial"/>
                <w:bCs/>
                <w:kern w:val="0"/>
                <w:sz w:val="22"/>
                <w:szCs w:val="22"/>
                <w:lang w:val="en-GB" w:eastAsia="en-US"/>
              </w:rPr>
            </w:pPr>
            <w:r>
              <w:rPr>
                <w:rFonts w:ascii="Arial" w:hAnsi="Arial" w:eastAsia="Times New Roman" w:cs="Arial"/>
                <w:kern w:val="0"/>
                <w:sz w:val="22"/>
                <w:szCs w:val="22"/>
                <w:lang w:val="en-GB" w:eastAsia="en-US"/>
              </w:rPr>
              <w:t>12</w:t>
            </w:r>
          </w:p>
        </w:tc>
        <w:tc>
          <w:tcPr>
            <w:tcW w:w="9923" w:type="dxa"/>
            <w:gridSpan w:val="3"/>
            <w:shd w:val="clear" w:color="auto" w:fill="F1F1F1"/>
          </w:tcPr>
          <w:p w14:paraId="7226E5D6">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bCs/>
                <w:kern w:val="0"/>
                <w:sz w:val="22"/>
                <w:szCs w:val="22"/>
                <w:lang w:val="en-GB" w:eastAsia="en-US"/>
              </w:rPr>
              <w:t xml:space="preserve">For all stored data, explain the measures in place to ensure the security of the data collected, data confidentiality, including details of backup procedures, </w:t>
            </w:r>
            <w:r>
              <w:rPr>
                <w:rFonts w:ascii="Arial" w:hAnsi="Arial" w:eastAsia="Times New Roman" w:cs="Arial"/>
                <w:bCs/>
                <w:kern w:val="0"/>
                <w:sz w:val="22"/>
                <w:szCs w:val="22"/>
                <w:shd w:val="clear" w:color="auto" w:fill="F1F1F1"/>
                <w:lang w:val="en-GB" w:eastAsia="en-US"/>
              </w:rPr>
              <w:t>password</w:t>
            </w:r>
            <w:r>
              <w:rPr>
                <w:rFonts w:ascii="Arial" w:hAnsi="Arial" w:eastAsia="Times New Roman" w:cs="Arial"/>
                <w:bCs/>
                <w:kern w:val="0"/>
                <w:sz w:val="22"/>
                <w:szCs w:val="22"/>
                <w:lang w:val="en-GB" w:eastAsia="en-US"/>
              </w:rPr>
              <w:t xml:space="preserve"> protection, encryption, anonymisation and pseudonymisation</w:t>
            </w:r>
            <w:r>
              <w:rPr>
                <w:rFonts w:ascii="Arial" w:hAnsi="Arial" w:eastAsia="Times New Roman" w:cs="Arial"/>
                <w:kern w:val="0"/>
                <w:sz w:val="22"/>
                <w:szCs w:val="22"/>
                <w:lang w:val="en-GB" w:eastAsia="en-US"/>
              </w:rPr>
              <w:t>:</w:t>
            </w:r>
          </w:p>
        </w:tc>
      </w:tr>
      <w:tr w14:paraId="165E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B91C82D">
            <w:pPr>
              <w:widowControl/>
              <w:jc w:val="center"/>
              <w:rPr>
                <w:rFonts w:ascii="Arial" w:hAnsi="Arial" w:eastAsia="Times New Roman" w:cs="Arial"/>
                <w:kern w:val="0"/>
                <w:sz w:val="22"/>
                <w:szCs w:val="22"/>
                <w:lang w:val="en-GB" w:eastAsia="en-US"/>
              </w:rPr>
            </w:pPr>
          </w:p>
        </w:tc>
        <w:tc>
          <w:tcPr>
            <w:tcW w:w="9923" w:type="dxa"/>
            <w:gridSpan w:val="3"/>
          </w:tcPr>
          <w:p w14:paraId="02B9594B">
            <w:pPr>
              <w:widowControl/>
              <w:jc w:val="left"/>
              <w:rPr>
                <w:rFonts w:ascii="Arial" w:hAnsi="Arial" w:eastAsia="Times New Roman" w:cs="Arial"/>
                <w:kern w:val="0"/>
                <w:sz w:val="22"/>
                <w:szCs w:val="22"/>
                <w:lang w:val="en-GB" w:eastAsia="en-US"/>
              </w:rPr>
            </w:pPr>
          </w:p>
          <w:p w14:paraId="1BA337CA">
            <w:pPr>
              <w:widowControl/>
              <w:jc w:val="left"/>
              <w:rPr>
                <w:rFonts w:ascii="Times New Roman" w:hAnsi="Times New Roman" w:eastAsia="Times New Roman" w:cs="Times New Roman"/>
                <w:kern w:val="0"/>
                <w:sz w:val="22"/>
                <w:szCs w:val="22"/>
                <w:lang w:val="en-GB" w:eastAsia="en-US"/>
              </w:rPr>
            </w:pPr>
            <w:r>
              <w:rPr>
                <w:rFonts w:ascii="Times New Roman" w:hAnsi="Times New Roman" w:eastAsia="Times New Roman" w:cs="Times New Roman"/>
                <w:kern w:val="0"/>
                <w:sz w:val="22"/>
                <w:szCs w:val="22"/>
                <w:lang w:val="en-GB" w:eastAsia="en-US"/>
              </w:rPr>
              <w:t>Data will be stored in password-protected cloud storage (University Office 365). Data will be anonymised, encrypted, and backed up. Consent forms and identifiers will be kept separately from main data.</w:t>
            </w:r>
          </w:p>
          <w:p w14:paraId="5F9FF3EF">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r>
    </w:tbl>
    <w:p w14:paraId="305152CC">
      <w:pPr>
        <w:widowControl/>
        <w:jc w:val="left"/>
        <w:rPr>
          <w:rFonts w:ascii="Times New Roman" w:hAnsi="Times New Roman" w:eastAsia="Times New Roman" w:cs="Times New Roman"/>
          <w:kern w:val="0"/>
          <w:sz w:val="20"/>
          <w:szCs w:val="20"/>
          <w:lang w:val="en-GB" w:eastAsia="en-US"/>
        </w:rPr>
      </w:pPr>
    </w:p>
    <w:tbl>
      <w:tblPr>
        <w:tblStyle w:val="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256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cPr>
          <w:p w14:paraId="3AE22B89">
            <w:pPr>
              <w:widowControl/>
              <w:autoSpaceDE w:val="0"/>
              <w:autoSpaceDN w:val="0"/>
              <w:adjustRightInd w:val="0"/>
              <w:jc w:val="left"/>
              <w:rPr>
                <w:rFonts w:ascii="Arial" w:hAnsi="Arial" w:eastAsia="Times New Roman" w:cs="Arial"/>
                <w:kern w:val="0"/>
                <w:sz w:val="22"/>
                <w:szCs w:val="22"/>
                <w:lang w:val="en-GB" w:eastAsia="en-US"/>
              </w:rPr>
            </w:pPr>
          </w:p>
        </w:tc>
        <w:tc>
          <w:tcPr>
            <w:tcW w:w="9923" w:type="dxa"/>
            <w:gridSpan w:val="3"/>
            <w:shd w:val="clear" w:color="auto" w:fill="F1F1F1"/>
            <w:vAlign w:val="center"/>
          </w:tcPr>
          <w:p w14:paraId="11ACEEEE">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Data Protection</w:t>
            </w:r>
          </w:p>
        </w:tc>
      </w:tr>
      <w:tr w14:paraId="2021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47979529">
            <w:pPr>
              <w:widowControl/>
              <w:autoSpaceDE w:val="0"/>
              <w:autoSpaceDN w:val="0"/>
              <w:adjustRightInd w:val="0"/>
              <w:jc w:val="center"/>
              <w:rPr>
                <w:rFonts w:ascii="Arial" w:hAnsi="Arial" w:eastAsia="Times New Roman" w:cs="Arial"/>
                <w:kern w:val="0"/>
                <w:sz w:val="22"/>
                <w:szCs w:val="22"/>
                <w:lang w:val="en-GB" w:eastAsia="en-US"/>
              </w:rPr>
            </w:pPr>
          </w:p>
        </w:tc>
        <w:tc>
          <w:tcPr>
            <w:tcW w:w="7905" w:type="dxa"/>
            <w:shd w:val="clear" w:color="auto" w:fill="F1F1F1"/>
            <w:vAlign w:val="center"/>
          </w:tcPr>
          <w:p w14:paraId="1D422ECC">
            <w:pPr>
              <w:widowControl/>
              <w:autoSpaceDE w:val="0"/>
              <w:autoSpaceDN w:val="0"/>
              <w:adjustRightInd w:val="0"/>
              <w:jc w:val="left"/>
              <w:rPr>
                <w:rFonts w:ascii="Arial" w:hAnsi="Arial" w:eastAsia="Times New Roman" w:cs="Arial"/>
                <w:b/>
                <w:bCs/>
                <w:kern w:val="0"/>
                <w:sz w:val="22"/>
                <w:szCs w:val="22"/>
                <w:lang w:val="en-GB" w:eastAsia="en-US"/>
              </w:rPr>
            </w:pPr>
            <w:r>
              <w:rPr>
                <w:rFonts w:ascii="Arial" w:hAnsi="Arial" w:eastAsia="Times New Roman" w:cs="Arial"/>
                <w:kern w:val="0"/>
                <w:sz w:val="22"/>
                <w:szCs w:val="22"/>
                <w:lang w:val="en-GB" w:eastAsia="en-US"/>
              </w:rPr>
              <w:t xml:space="preserve">Will the research activity </w:t>
            </w:r>
            <w:r>
              <w:rPr>
                <w:rFonts w:ascii="Arial" w:hAnsi="Arial" w:eastAsia="Times New Roman" w:cs="Arial"/>
                <w:bCs/>
                <w:kern w:val="0"/>
                <w:sz w:val="22"/>
                <w:szCs w:val="22"/>
                <w:lang w:val="en-GB" w:eastAsia="en-US"/>
              </w:rPr>
              <w:t>involve any of the following activities:</w:t>
            </w:r>
          </w:p>
        </w:tc>
        <w:tc>
          <w:tcPr>
            <w:tcW w:w="992" w:type="dxa"/>
            <w:shd w:val="clear" w:color="auto" w:fill="F1F1F1"/>
            <w:vAlign w:val="center"/>
          </w:tcPr>
          <w:p w14:paraId="0F0A06FA">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YES</w:t>
            </w:r>
          </w:p>
        </w:tc>
        <w:tc>
          <w:tcPr>
            <w:tcW w:w="1026" w:type="dxa"/>
            <w:shd w:val="clear" w:color="auto" w:fill="F1F1F1"/>
            <w:vAlign w:val="center"/>
          </w:tcPr>
          <w:p w14:paraId="0EBA6783">
            <w:pPr>
              <w:widowControl/>
              <w:autoSpaceDE w:val="0"/>
              <w:autoSpaceDN w:val="0"/>
              <w:adjustRightInd w:val="0"/>
              <w:jc w:val="center"/>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NO</w:t>
            </w:r>
          </w:p>
        </w:tc>
      </w:tr>
      <w:tr w14:paraId="0CB3C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47DDF45A">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13</w:t>
            </w:r>
          </w:p>
        </w:tc>
        <w:tc>
          <w:tcPr>
            <w:tcW w:w="7905" w:type="dxa"/>
            <w:shd w:val="clear" w:color="auto" w:fill="F1F1F1"/>
            <w:vAlign w:val="center"/>
          </w:tcPr>
          <w:p w14:paraId="28F3EE3F">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Electronic transfer of data in any form?</w:t>
            </w:r>
          </w:p>
        </w:tc>
        <w:tc>
          <w:tcPr>
            <w:tcW w:w="992" w:type="dxa"/>
            <w:shd w:val="clear" w:color="auto" w:fill="BEBEBE"/>
            <w:vAlign w:val="center"/>
          </w:tcPr>
          <w:sdt>
            <w:sdtPr>
              <w:rPr>
                <w:rFonts w:ascii="Arial" w:hAnsi="Arial" w:eastAsia="Times New Roman" w:cs="Arial"/>
                <w:b/>
                <w:bCs/>
                <w:sz w:val="22"/>
                <w:szCs w:val="22"/>
                <w:lang w:val="en-GB" w:eastAsia="en-GB" w:bidi="ar-SA"/>
              </w:rPr>
              <w:id w:val="-24334734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3107C0A7">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vAlign w:val="center"/>
          </w:tcPr>
          <w:sdt>
            <w:sdtPr>
              <w:rPr>
                <w:rFonts w:ascii="Arial" w:hAnsi="Arial" w:eastAsia="Times New Roman" w:cs="Arial"/>
                <w:b/>
                <w:bCs/>
                <w:sz w:val="22"/>
                <w:szCs w:val="22"/>
                <w:lang w:val="en-GB" w:eastAsia="en-GB" w:bidi="ar-SA"/>
              </w:rPr>
              <w:id w:val="80913804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1769160">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1FFC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67E6FF07">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14</w:t>
            </w:r>
          </w:p>
        </w:tc>
        <w:tc>
          <w:tcPr>
            <w:tcW w:w="7905" w:type="dxa"/>
            <w:shd w:val="clear" w:color="auto" w:fill="F1F1F1"/>
            <w:vAlign w:val="center"/>
          </w:tcPr>
          <w:p w14:paraId="23D2A52F">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Sharing of data with others at the University outside of the immediate research team?</w:t>
            </w:r>
          </w:p>
        </w:tc>
        <w:tc>
          <w:tcPr>
            <w:tcW w:w="992" w:type="dxa"/>
            <w:shd w:val="clear" w:color="auto" w:fill="BEBEBE"/>
            <w:vAlign w:val="center"/>
          </w:tcPr>
          <w:sdt>
            <w:sdtPr>
              <w:rPr>
                <w:rFonts w:ascii="Arial" w:hAnsi="Arial" w:eastAsia="Times New Roman" w:cs="Arial"/>
                <w:b/>
                <w:bCs/>
                <w:sz w:val="22"/>
                <w:szCs w:val="22"/>
                <w:lang w:val="en-GB" w:eastAsia="en-GB" w:bidi="ar-SA"/>
              </w:rPr>
              <w:id w:val="20660997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317B64B">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vAlign w:val="center"/>
          </w:tcPr>
          <w:sdt>
            <w:sdtPr>
              <w:rPr>
                <w:rFonts w:ascii="Arial" w:hAnsi="Arial" w:eastAsia="Times New Roman" w:cs="Arial"/>
                <w:b/>
                <w:bCs/>
                <w:sz w:val="22"/>
                <w:szCs w:val="22"/>
                <w:lang w:val="en-GB" w:eastAsia="en-GB" w:bidi="ar-SA"/>
              </w:rPr>
              <w:id w:val="1162969108"/>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FB93A42">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0910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vAlign w:val="center"/>
          </w:tcPr>
          <w:p w14:paraId="3CD5039B">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15</w:t>
            </w:r>
          </w:p>
        </w:tc>
        <w:tc>
          <w:tcPr>
            <w:tcW w:w="7905" w:type="dxa"/>
            <w:shd w:val="clear" w:color="auto" w:fill="F1F1F1"/>
            <w:vAlign w:val="center"/>
          </w:tcPr>
          <w:p w14:paraId="52F81305">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Sharing of data with other organisations?</w:t>
            </w:r>
          </w:p>
        </w:tc>
        <w:tc>
          <w:tcPr>
            <w:tcW w:w="992" w:type="dxa"/>
            <w:shd w:val="clear" w:color="auto" w:fill="BEBEBE"/>
            <w:vAlign w:val="center"/>
          </w:tcPr>
          <w:sdt>
            <w:sdtPr>
              <w:rPr>
                <w:rFonts w:ascii="Arial" w:hAnsi="Arial" w:eastAsia="Times New Roman" w:cs="Arial"/>
                <w:b/>
                <w:bCs/>
                <w:sz w:val="22"/>
                <w:szCs w:val="22"/>
                <w:lang w:val="en-GB" w:eastAsia="en-GB" w:bidi="ar-SA"/>
              </w:rPr>
              <w:id w:val="-853718064"/>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1FE8C1F">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vAlign w:val="center"/>
          </w:tcPr>
          <w:sdt>
            <w:sdtPr>
              <w:rPr>
                <w:rFonts w:ascii="Arial" w:hAnsi="Arial" w:eastAsia="Times New Roman" w:cs="Arial"/>
                <w:b/>
                <w:bCs/>
                <w:sz w:val="22"/>
                <w:szCs w:val="22"/>
                <w:lang w:val="en-GB" w:eastAsia="en-GB" w:bidi="ar-SA"/>
              </w:rPr>
              <w:id w:val="-692922631"/>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6D524AEA">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0324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67BCEE0D">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16</w:t>
            </w:r>
          </w:p>
        </w:tc>
        <w:tc>
          <w:tcPr>
            <w:tcW w:w="7905" w:type="dxa"/>
            <w:shd w:val="clear" w:color="auto" w:fill="F1F1F1"/>
            <w:vAlign w:val="center"/>
          </w:tcPr>
          <w:p w14:paraId="5605670D">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Export of data outside the UK or importing of data from outside the UK?</w:t>
            </w:r>
          </w:p>
        </w:tc>
        <w:tc>
          <w:tcPr>
            <w:tcW w:w="992" w:type="dxa"/>
            <w:shd w:val="clear" w:color="auto" w:fill="BEBEBE"/>
            <w:vAlign w:val="center"/>
          </w:tcPr>
          <w:sdt>
            <w:sdtPr>
              <w:rPr>
                <w:rFonts w:ascii="Arial" w:hAnsi="Arial" w:eastAsia="Times New Roman" w:cs="Arial"/>
                <w:b/>
                <w:bCs/>
                <w:sz w:val="22"/>
                <w:szCs w:val="22"/>
                <w:lang w:val="en-GB" w:eastAsia="en-GB" w:bidi="ar-SA"/>
              </w:rPr>
              <w:id w:val="-1311477419"/>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84F4101">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vAlign w:val="center"/>
          </w:tcPr>
          <w:sdt>
            <w:sdtPr>
              <w:rPr>
                <w:rFonts w:ascii="Arial" w:hAnsi="Arial" w:eastAsia="Times New Roman" w:cs="Arial"/>
                <w:b/>
                <w:bCs/>
                <w:sz w:val="22"/>
                <w:szCs w:val="22"/>
                <w:lang w:val="en-GB" w:eastAsia="en-GB" w:bidi="ar-SA"/>
              </w:rPr>
              <w:id w:val="-982232726"/>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037D90B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22BD4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2E614AF6">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17</w:t>
            </w:r>
          </w:p>
        </w:tc>
        <w:tc>
          <w:tcPr>
            <w:tcW w:w="7905" w:type="dxa"/>
            <w:shd w:val="clear" w:color="auto" w:fill="F1F1F1"/>
            <w:vAlign w:val="center"/>
          </w:tcPr>
          <w:p w14:paraId="65859BC1">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Use of personal addresses, postcodes, faxes, emails or telephone numbers?</w:t>
            </w:r>
          </w:p>
        </w:tc>
        <w:tc>
          <w:tcPr>
            <w:tcW w:w="992" w:type="dxa"/>
            <w:shd w:val="clear" w:color="auto" w:fill="BEBEBE"/>
            <w:vAlign w:val="center"/>
          </w:tcPr>
          <w:sdt>
            <w:sdtPr>
              <w:rPr>
                <w:rFonts w:ascii="Arial" w:hAnsi="Arial" w:eastAsia="Times New Roman" w:cs="Arial"/>
                <w:b/>
                <w:bCs/>
                <w:sz w:val="22"/>
                <w:szCs w:val="22"/>
                <w:lang w:val="en-GB" w:eastAsia="en-GB" w:bidi="ar-SA"/>
              </w:rPr>
              <w:id w:val="580263657"/>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51B52A88">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vAlign w:val="center"/>
          </w:tcPr>
          <w:sdt>
            <w:sdtPr>
              <w:rPr>
                <w:rFonts w:ascii="Arial" w:hAnsi="Arial" w:eastAsia="Times New Roman" w:cs="Arial"/>
                <w:b/>
                <w:bCs/>
                <w:sz w:val="22"/>
                <w:szCs w:val="22"/>
                <w:lang w:val="en-GB" w:eastAsia="en-GB" w:bidi="ar-SA"/>
              </w:rPr>
              <w:id w:val="705679297"/>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E2D8111">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6EE4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20B7EC3">
            <w:pPr>
              <w:widowControl/>
              <w:autoSpaceDE w:val="0"/>
              <w:autoSpaceDN w:val="0"/>
              <w:adjustRightInd w:val="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18</w:t>
            </w:r>
          </w:p>
        </w:tc>
        <w:tc>
          <w:tcPr>
            <w:tcW w:w="7905" w:type="dxa"/>
            <w:shd w:val="clear" w:color="auto" w:fill="F1F1F1"/>
            <w:vAlign w:val="center"/>
          </w:tcPr>
          <w:p w14:paraId="1E0AE02D">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Publication of data that might allow identification of individuals?</w:t>
            </w:r>
          </w:p>
        </w:tc>
        <w:tc>
          <w:tcPr>
            <w:tcW w:w="992" w:type="dxa"/>
            <w:shd w:val="clear" w:color="auto" w:fill="BEBEBE"/>
            <w:vAlign w:val="center"/>
          </w:tcPr>
          <w:sdt>
            <w:sdtPr>
              <w:rPr>
                <w:rFonts w:ascii="Arial" w:hAnsi="Arial" w:eastAsia="Times New Roman" w:cs="Arial"/>
                <w:b/>
                <w:bCs/>
                <w:sz w:val="22"/>
                <w:szCs w:val="22"/>
                <w:lang w:val="en-GB" w:eastAsia="en-GB" w:bidi="ar-SA"/>
              </w:rPr>
              <w:id w:val="1833259881"/>
              <w14:checkbox>
                <w14:checked w14:val="0"/>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2246CFF4">
                <w:pPr>
                  <w:widowControl/>
                  <w:autoSpaceDE w:val="0"/>
                  <w:autoSpaceDN w:val="0"/>
                  <w:adjustRightInd w:val="0"/>
                  <w:jc w:val="center"/>
                  <w:rPr>
                    <w:rFonts w:ascii="Arial" w:hAnsi="Arial" w:eastAsia="Times New Roman" w:cs="Arial"/>
                    <w:bCs/>
                    <w:kern w:val="0"/>
                    <w:sz w:val="22"/>
                    <w:szCs w:val="22"/>
                    <w:lang w:val="en-GB" w:eastAsia="en-US"/>
                  </w:rPr>
                </w:pPr>
                <w:r>
                  <w:rPr>
                    <w:rFonts w:hint="eastAsia" w:ascii="MS Gothic" w:hAnsi="MS Gothic" w:eastAsia="MS Gothic" w:cs="Arial"/>
                    <w:b/>
                    <w:bCs/>
                    <w:kern w:val="0"/>
                    <w:sz w:val="22"/>
                    <w:szCs w:val="22"/>
                    <w:lang w:val="en-GB" w:eastAsia="en-US"/>
                  </w:rPr>
                  <w:t>☐</w:t>
                </w:r>
              </w:p>
            </w:sdtContent>
          </w:sdt>
        </w:tc>
        <w:tc>
          <w:tcPr>
            <w:tcW w:w="1026" w:type="dxa"/>
            <w:shd w:val="clear" w:color="auto" w:fill="BEBEBE"/>
            <w:vAlign w:val="center"/>
          </w:tcPr>
          <w:sdt>
            <w:sdtPr>
              <w:rPr>
                <w:rFonts w:ascii="Arial" w:hAnsi="Arial" w:eastAsia="Times New Roman" w:cs="Arial"/>
                <w:b/>
                <w:bCs/>
                <w:sz w:val="22"/>
                <w:szCs w:val="22"/>
                <w:lang w:val="en-GB" w:eastAsia="en-GB" w:bidi="ar-SA"/>
              </w:rPr>
              <w:id w:val="48495840"/>
              <w14:checkbox>
                <w14:checked w14:val="1"/>
                <w14:checkedState w14:val="2612" w14:font="MS Gothic"/>
                <w14:uncheckedState w14:val="2610" w14:font="MS Gothic"/>
              </w14:checkbox>
            </w:sdtPr>
            <w:sdtEndPr>
              <w:rPr>
                <w:rFonts w:ascii="Arial" w:hAnsi="Arial" w:eastAsia="Times New Roman" w:cs="Arial"/>
                <w:b/>
                <w:bCs/>
                <w:kern w:val="0"/>
                <w:sz w:val="22"/>
                <w:szCs w:val="22"/>
                <w:lang w:val="en-GB" w:eastAsia="en-GB" w:bidi="ar-SA"/>
              </w:rPr>
            </w:sdtEndPr>
            <w:sdtContent>
              <w:p w14:paraId="11A4808F">
                <w:pPr>
                  <w:widowControl/>
                  <w:autoSpaceDE w:val="0"/>
                  <w:autoSpaceDN w:val="0"/>
                  <w:adjustRightInd w:val="0"/>
                  <w:jc w:val="center"/>
                  <w:rPr>
                    <w:rFonts w:ascii="Arial" w:hAnsi="Arial" w:eastAsia="Times New Roman" w:cs="Arial"/>
                    <w:kern w:val="0"/>
                    <w:sz w:val="22"/>
                    <w:szCs w:val="22"/>
                    <w:lang w:val="en-GB" w:eastAsia="en-US"/>
                  </w:rPr>
                </w:pPr>
                <w:r>
                  <w:rPr>
                    <w:rFonts w:hint="eastAsia" w:ascii="MS Gothic" w:hAnsi="MS Gothic" w:eastAsia="MS Gothic" w:cs="Arial"/>
                    <w:b/>
                    <w:bCs/>
                    <w:kern w:val="0"/>
                    <w:sz w:val="22"/>
                    <w:szCs w:val="22"/>
                    <w:lang w:val="en-GB" w:eastAsia="en-US"/>
                  </w:rPr>
                  <w:t>☒</w:t>
                </w:r>
              </w:p>
            </w:sdtContent>
          </w:sdt>
        </w:tc>
      </w:tr>
      <w:tr w14:paraId="3973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57F157A7">
            <w:pPr>
              <w:widowControl/>
              <w:spacing w:before="120" w:after="120"/>
              <w:jc w:val="center"/>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19</w:t>
            </w:r>
          </w:p>
        </w:tc>
        <w:tc>
          <w:tcPr>
            <w:tcW w:w="9923" w:type="dxa"/>
            <w:gridSpan w:val="3"/>
            <w:shd w:val="clear" w:color="auto" w:fill="F1F1F1"/>
            <w:vAlign w:val="center"/>
          </w:tcPr>
          <w:p w14:paraId="60BC78CF">
            <w:pPr>
              <w:widowControl/>
              <w:spacing w:before="120" w:after="120"/>
              <w:jc w:val="left"/>
              <w:rPr>
                <w:rFonts w:ascii="Arial" w:hAnsi="Arial" w:eastAsia="Times New Roman" w:cs="Arial"/>
                <w:bCs/>
                <w:kern w:val="0"/>
                <w:sz w:val="22"/>
                <w:szCs w:val="22"/>
                <w:lang w:val="en-GB" w:eastAsia="en-US"/>
              </w:rPr>
            </w:pPr>
            <w:r>
              <w:rPr>
                <w:rFonts w:ascii="Arial" w:hAnsi="Arial" w:eastAsia="Times New Roman" w:cs="Arial"/>
                <w:kern w:val="0"/>
                <w:sz w:val="22"/>
                <w:szCs w:val="22"/>
                <w:lang w:val="en-GB" w:eastAsia="en-US"/>
              </w:rPr>
              <w:t>If YES</w:t>
            </w:r>
            <w:r>
              <w:rPr>
                <w:rFonts w:ascii="Arial" w:hAnsi="Arial" w:eastAsia="Times New Roman" w:cs="Arial"/>
                <w:b/>
                <w:bCs/>
                <w:kern w:val="0"/>
                <w:sz w:val="22"/>
                <w:szCs w:val="22"/>
                <w:lang w:val="en-GB" w:eastAsia="en-US"/>
              </w:rPr>
              <w:t xml:space="preserve"> </w:t>
            </w:r>
            <w:r>
              <w:rPr>
                <w:rFonts w:ascii="Arial" w:hAnsi="Arial" w:eastAsia="Times New Roman" w:cs="Arial"/>
                <w:kern w:val="0"/>
                <w:sz w:val="22"/>
                <w:szCs w:val="22"/>
                <w:lang w:val="en-GB" w:eastAsia="en-US"/>
              </w:rPr>
              <w:t xml:space="preserve">to any question, please provide full details, </w:t>
            </w:r>
            <w:r>
              <w:rPr>
                <w:rFonts w:ascii="Arial" w:hAnsi="Arial" w:eastAsia="Times New Roman" w:cs="Arial"/>
                <w:bCs/>
                <w:kern w:val="0"/>
                <w:sz w:val="22"/>
                <w:szCs w:val="22"/>
                <w:lang w:val="en-GB" w:eastAsia="en-US"/>
              </w:rPr>
              <w:t>explaining how this will be conducted in accordance with the GDPR and Data Protection Act (2018) (and/or any international equivalent):</w:t>
            </w:r>
          </w:p>
        </w:tc>
      </w:tr>
      <w:tr w14:paraId="3633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1F179BE2">
            <w:pPr>
              <w:widowControl/>
              <w:autoSpaceDE w:val="0"/>
              <w:autoSpaceDN w:val="0"/>
              <w:adjustRightInd w:val="0"/>
              <w:jc w:val="center"/>
              <w:rPr>
                <w:rFonts w:ascii="Arial" w:hAnsi="Arial" w:eastAsia="Times New Roman" w:cs="Arial"/>
                <w:kern w:val="0"/>
                <w:sz w:val="22"/>
                <w:szCs w:val="22"/>
                <w:lang w:val="en-GB" w:eastAsia="en-US"/>
              </w:rPr>
            </w:pPr>
          </w:p>
        </w:tc>
        <w:tc>
          <w:tcPr>
            <w:tcW w:w="9923" w:type="dxa"/>
            <w:gridSpan w:val="3"/>
            <w:vAlign w:val="center"/>
          </w:tcPr>
          <w:p w14:paraId="67C3EDD6">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All shared data will be anonymised and comply with GDPR.</w:t>
            </w:r>
          </w:p>
          <w:p w14:paraId="6288288C">
            <w:pPr>
              <w:widowControl/>
              <w:autoSpaceDE w:val="0"/>
              <w:autoSpaceDN w:val="0"/>
              <w:adjustRightInd w:val="0"/>
              <w:jc w:val="left"/>
              <w:rPr>
                <w:rFonts w:ascii="Arial" w:hAnsi="Arial" w:eastAsia="Times New Roman" w:cs="Arial"/>
                <w:kern w:val="0"/>
                <w:sz w:val="22"/>
                <w:szCs w:val="22"/>
                <w:lang w:val="en-GB" w:eastAsia="en-US"/>
              </w:rPr>
            </w:pPr>
          </w:p>
          <w:p w14:paraId="1C885BBA">
            <w:pPr>
              <w:widowControl/>
              <w:autoSpaceDE w:val="0"/>
              <w:autoSpaceDN w:val="0"/>
              <w:adjustRightInd w:val="0"/>
              <w:jc w:val="left"/>
              <w:rPr>
                <w:rFonts w:ascii="Times New Roman" w:hAnsi="Times New Roman" w:eastAsia="Times New Roman" w:cs="Arial"/>
                <w:kern w:val="0"/>
                <w:sz w:val="20"/>
                <w:szCs w:val="20"/>
                <w:lang w:val="en-GB" w:eastAsia="en-US"/>
              </w:rPr>
            </w:pPr>
            <w:r>
              <w:rPr>
                <w:rFonts w:ascii="Arial" w:hAnsi="Arial" w:eastAsia="Times New Roman" w:cs="Arial"/>
                <w:i/>
                <w:color w:val="808080"/>
                <w:kern w:val="0"/>
                <w:sz w:val="18"/>
                <w:szCs w:val="18"/>
                <w:lang w:val="en-GB" w:eastAsia="en-US"/>
              </w:rPr>
              <w:t>(this box should expand as you type)</w:t>
            </w:r>
          </w:p>
        </w:tc>
      </w:tr>
      <w:tr w14:paraId="2AA9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784F1BD6">
            <w:pPr>
              <w:widowControl/>
              <w:autoSpaceDE w:val="0"/>
              <w:autoSpaceDN w:val="0"/>
              <w:adjustRightInd w:val="0"/>
              <w:jc w:val="center"/>
              <w:rPr>
                <w:rFonts w:ascii="Arial" w:hAnsi="Arial" w:eastAsia="Times New Roman" w:cs="Arial"/>
                <w:bCs/>
                <w:kern w:val="0"/>
                <w:sz w:val="22"/>
                <w:szCs w:val="22"/>
                <w:lang w:val="en-GB" w:eastAsia="en-US"/>
              </w:rPr>
            </w:pPr>
            <w:r>
              <w:rPr>
                <w:rFonts w:ascii="Arial" w:hAnsi="Arial" w:eastAsia="Times New Roman" w:cs="Arial"/>
                <w:kern w:val="0"/>
                <w:sz w:val="22"/>
                <w:szCs w:val="22"/>
                <w:lang w:val="en-GB" w:eastAsia="en-US"/>
              </w:rPr>
              <w:t>20</w:t>
            </w:r>
          </w:p>
        </w:tc>
        <w:tc>
          <w:tcPr>
            <w:tcW w:w="9923" w:type="dxa"/>
            <w:gridSpan w:val="3"/>
            <w:shd w:val="clear" w:color="auto" w:fill="F1F1F1"/>
            <w:vAlign w:val="center"/>
          </w:tcPr>
          <w:p w14:paraId="0DEBD077">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bCs/>
                <w:kern w:val="0"/>
                <w:sz w:val="22"/>
                <w:szCs w:val="22"/>
                <w:lang w:val="en-GB" w:eastAsia="en-US"/>
              </w:rPr>
              <w:t>List all who will have access to the data generated by the research activity</w:t>
            </w:r>
            <w:r>
              <w:rPr>
                <w:rFonts w:ascii="Arial" w:hAnsi="Arial" w:eastAsia="Times New Roman" w:cs="Arial"/>
                <w:kern w:val="0"/>
                <w:sz w:val="22"/>
                <w:szCs w:val="22"/>
                <w:lang w:val="en-GB" w:eastAsia="en-US"/>
              </w:rPr>
              <w:t>:</w:t>
            </w:r>
          </w:p>
        </w:tc>
      </w:tr>
      <w:tr w14:paraId="1F28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328B4CF">
            <w:pPr>
              <w:widowControl/>
              <w:autoSpaceDE w:val="0"/>
              <w:autoSpaceDN w:val="0"/>
              <w:adjustRightInd w:val="0"/>
              <w:jc w:val="center"/>
              <w:rPr>
                <w:rFonts w:ascii="Arial" w:hAnsi="Arial" w:eastAsia="Times New Roman" w:cs="Arial"/>
                <w:kern w:val="0"/>
                <w:sz w:val="22"/>
                <w:szCs w:val="22"/>
                <w:lang w:val="en-GB" w:eastAsia="en-US"/>
              </w:rPr>
            </w:pPr>
          </w:p>
        </w:tc>
        <w:tc>
          <w:tcPr>
            <w:tcW w:w="9923" w:type="dxa"/>
            <w:gridSpan w:val="3"/>
            <w:vAlign w:val="center"/>
          </w:tcPr>
          <w:p w14:paraId="3BAD2D9C">
            <w:pPr>
              <w:widowControl/>
              <w:autoSpaceDE w:val="0"/>
              <w:autoSpaceDN w:val="0"/>
              <w:adjustRightInd w:val="0"/>
              <w:jc w:val="left"/>
              <w:rPr>
                <w:rFonts w:ascii="Arial" w:hAnsi="Arial" w:eastAsia="等线" w:cs="Arial"/>
                <w:kern w:val="0"/>
                <w:sz w:val="22"/>
                <w:szCs w:val="22"/>
                <w:lang w:val="en-GB" w:eastAsia="zh-CN"/>
              </w:rPr>
            </w:pPr>
            <w:r>
              <w:rPr>
                <w:rFonts w:ascii="Arial" w:hAnsi="Arial" w:eastAsia="Times New Roman" w:cs="Arial"/>
                <w:kern w:val="0"/>
                <w:sz w:val="22"/>
                <w:szCs w:val="22"/>
                <w:lang w:val="en-GB" w:eastAsia="en-US"/>
              </w:rPr>
              <w:t>Principal researche</w:t>
            </w:r>
            <w:r>
              <w:rPr>
                <w:rFonts w:hint="eastAsia" w:ascii="Arial" w:hAnsi="Arial" w:eastAsia="等线" w:cs="Arial"/>
                <w:kern w:val="0"/>
                <w:sz w:val="22"/>
                <w:szCs w:val="22"/>
                <w:lang w:val="en-GB" w:eastAsia="zh-CN"/>
              </w:rPr>
              <w:t>r Yitong Wang</w:t>
            </w:r>
          </w:p>
          <w:p w14:paraId="7DBB8D4A">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r>
      <w:tr w14:paraId="00D2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66EBC0E1">
            <w:pPr>
              <w:widowControl/>
              <w:autoSpaceDE w:val="0"/>
              <w:autoSpaceDN w:val="0"/>
              <w:adjustRightInd w:val="0"/>
              <w:jc w:val="center"/>
              <w:rPr>
                <w:rFonts w:ascii="Arial" w:hAnsi="Arial" w:eastAsia="Times New Roman" w:cs="Arial"/>
                <w:bCs/>
                <w:kern w:val="0"/>
                <w:sz w:val="22"/>
                <w:szCs w:val="22"/>
                <w:lang w:val="en-GB" w:eastAsia="en-US"/>
              </w:rPr>
            </w:pPr>
            <w:r>
              <w:rPr>
                <w:rFonts w:ascii="Arial" w:hAnsi="Arial" w:eastAsia="Times New Roman" w:cs="Arial"/>
                <w:kern w:val="0"/>
                <w:sz w:val="22"/>
                <w:szCs w:val="22"/>
                <w:lang w:val="en-GB" w:eastAsia="en-US"/>
              </w:rPr>
              <w:t>21</w:t>
            </w:r>
          </w:p>
        </w:tc>
        <w:tc>
          <w:tcPr>
            <w:tcW w:w="9923" w:type="dxa"/>
            <w:gridSpan w:val="3"/>
            <w:shd w:val="clear" w:color="auto" w:fill="F1F1F1"/>
          </w:tcPr>
          <w:p w14:paraId="7D535432">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bCs/>
                <w:kern w:val="0"/>
                <w:sz w:val="22"/>
                <w:szCs w:val="22"/>
                <w:lang w:val="en-GB" w:eastAsia="en-US"/>
              </w:rPr>
              <w:t>List who will have control of, and act as custodian(s) for, data generated by the research activity</w:t>
            </w:r>
            <w:r>
              <w:rPr>
                <w:rFonts w:ascii="Arial" w:hAnsi="Arial" w:eastAsia="Times New Roman" w:cs="Arial"/>
                <w:kern w:val="0"/>
                <w:sz w:val="22"/>
                <w:szCs w:val="22"/>
                <w:lang w:val="en-GB" w:eastAsia="en-US"/>
              </w:rPr>
              <w:t>:</w:t>
            </w:r>
          </w:p>
        </w:tc>
      </w:tr>
      <w:tr w14:paraId="04FF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14865854">
            <w:pPr>
              <w:widowControl/>
              <w:autoSpaceDE w:val="0"/>
              <w:autoSpaceDN w:val="0"/>
              <w:adjustRightInd w:val="0"/>
              <w:jc w:val="center"/>
              <w:rPr>
                <w:rFonts w:ascii="Arial" w:hAnsi="Arial" w:eastAsia="Times New Roman" w:cs="Arial"/>
                <w:kern w:val="0"/>
                <w:sz w:val="22"/>
                <w:szCs w:val="22"/>
                <w:lang w:val="en-GB" w:eastAsia="en-US"/>
              </w:rPr>
            </w:pPr>
          </w:p>
        </w:tc>
        <w:tc>
          <w:tcPr>
            <w:tcW w:w="9923" w:type="dxa"/>
            <w:gridSpan w:val="3"/>
          </w:tcPr>
          <w:p w14:paraId="00F74A77">
            <w:pPr>
              <w:widowControl/>
              <w:autoSpaceDE w:val="0"/>
              <w:autoSpaceDN w:val="0"/>
              <w:adjustRightInd w:val="0"/>
              <w:jc w:val="left"/>
              <w:rPr>
                <w:rFonts w:ascii="Arial" w:hAnsi="Arial" w:eastAsia="等线" w:cs="Arial"/>
                <w:kern w:val="0"/>
                <w:sz w:val="22"/>
                <w:szCs w:val="22"/>
                <w:lang w:val="en-GB" w:eastAsia="zh-CN"/>
              </w:rPr>
            </w:pPr>
            <w:r>
              <w:rPr>
                <w:rFonts w:ascii="Arial" w:hAnsi="Arial" w:eastAsia="Times New Roman" w:cs="Arial"/>
                <w:kern w:val="0"/>
                <w:sz w:val="22"/>
                <w:szCs w:val="22"/>
                <w:lang w:val="en-GB" w:eastAsia="en-US"/>
              </w:rPr>
              <w:t>Principal researche</w:t>
            </w:r>
            <w:r>
              <w:rPr>
                <w:rFonts w:hint="eastAsia" w:ascii="Arial" w:hAnsi="Arial" w:eastAsia="等线" w:cs="Arial"/>
                <w:kern w:val="0"/>
                <w:sz w:val="22"/>
                <w:szCs w:val="22"/>
                <w:lang w:val="en-GB" w:eastAsia="zh-CN"/>
              </w:rPr>
              <w:t xml:space="preserve">r Yitong Wang </w:t>
            </w:r>
          </w:p>
          <w:p w14:paraId="29F05BD6">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r>
      <w:tr w14:paraId="3D2B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vAlign w:val="center"/>
          </w:tcPr>
          <w:p w14:paraId="66D1E631">
            <w:pPr>
              <w:widowControl/>
              <w:autoSpaceDE w:val="0"/>
              <w:autoSpaceDN w:val="0"/>
              <w:adjustRightInd w:val="0"/>
              <w:jc w:val="center"/>
              <w:rPr>
                <w:rFonts w:ascii="Arial" w:hAnsi="Arial" w:eastAsia="Times New Roman" w:cs="Arial"/>
                <w:bCs/>
                <w:kern w:val="0"/>
                <w:sz w:val="22"/>
                <w:szCs w:val="22"/>
                <w:lang w:val="en-GB" w:eastAsia="en-US"/>
              </w:rPr>
            </w:pPr>
            <w:r>
              <w:rPr>
                <w:rFonts w:ascii="Arial" w:hAnsi="Arial" w:eastAsia="Times New Roman" w:cs="Arial"/>
                <w:kern w:val="0"/>
                <w:sz w:val="22"/>
                <w:szCs w:val="22"/>
                <w:lang w:val="en-GB" w:eastAsia="en-US"/>
              </w:rPr>
              <w:t>22</w:t>
            </w:r>
          </w:p>
        </w:tc>
        <w:tc>
          <w:tcPr>
            <w:tcW w:w="9923" w:type="dxa"/>
            <w:gridSpan w:val="3"/>
            <w:shd w:val="clear" w:color="auto" w:fill="F1F1F1"/>
          </w:tcPr>
          <w:p w14:paraId="1D78C509">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bCs/>
                <w:kern w:val="0"/>
                <w:sz w:val="22"/>
                <w:szCs w:val="22"/>
                <w:lang w:val="en-GB" w:eastAsia="en-US"/>
              </w:rPr>
              <w:t xml:space="preserve">Give details of data storage arrangements, including security measures in place to protect the data, where data will be stored, how long for, and in what form. </w:t>
            </w:r>
          </w:p>
        </w:tc>
      </w:tr>
      <w:tr w14:paraId="151CA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248E0C4">
            <w:pPr>
              <w:widowControl/>
              <w:autoSpaceDE w:val="0"/>
              <w:autoSpaceDN w:val="0"/>
              <w:adjustRightInd w:val="0"/>
              <w:jc w:val="center"/>
              <w:rPr>
                <w:rFonts w:ascii="Arial" w:hAnsi="Arial" w:eastAsia="Times New Roman" w:cs="Arial"/>
                <w:kern w:val="0"/>
                <w:sz w:val="22"/>
                <w:szCs w:val="22"/>
                <w:lang w:val="en-GB" w:eastAsia="en-US"/>
              </w:rPr>
            </w:pPr>
          </w:p>
        </w:tc>
        <w:tc>
          <w:tcPr>
            <w:tcW w:w="9923" w:type="dxa"/>
            <w:gridSpan w:val="3"/>
          </w:tcPr>
          <w:p w14:paraId="50E3A867">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kern w:val="0"/>
                <w:sz w:val="22"/>
                <w:szCs w:val="22"/>
                <w:lang w:val="en-GB" w:eastAsia="en-US"/>
              </w:rPr>
              <w:t>Data will be encrypted and kept in university cloud storage until project completion, then permanently deleted.</w:t>
            </w:r>
          </w:p>
          <w:p w14:paraId="48C05228">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i/>
                <w:color w:val="808080"/>
                <w:kern w:val="0"/>
                <w:sz w:val="18"/>
                <w:szCs w:val="18"/>
                <w:lang w:val="en-GB" w:eastAsia="en-US"/>
              </w:rPr>
              <w:t>(this box should expand as you type)</w:t>
            </w:r>
          </w:p>
        </w:tc>
      </w:tr>
      <w:tr w14:paraId="54BA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vAlign w:val="center"/>
          </w:tcPr>
          <w:p w14:paraId="065D0A63">
            <w:pPr>
              <w:widowControl/>
              <w:autoSpaceDE w:val="0"/>
              <w:autoSpaceDN w:val="0"/>
              <w:adjustRightInd w:val="0"/>
              <w:jc w:val="center"/>
              <w:rPr>
                <w:rFonts w:ascii="Arial" w:hAnsi="Arial" w:eastAsia="Times New Roman" w:cs="Arial"/>
                <w:bCs/>
                <w:kern w:val="0"/>
                <w:sz w:val="22"/>
                <w:szCs w:val="22"/>
                <w:lang w:val="en-GB" w:eastAsia="en-US"/>
              </w:rPr>
            </w:pPr>
            <w:r>
              <w:rPr>
                <w:rFonts w:ascii="Arial" w:hAnsi="Arial" w:eastAsia="Times New Roman" w:cs="Arial"/>
                <w:bCs/>
                <w:kern w:val="0"/>
                <w:sz w:val="22"/>
                <w:szCs w:val="22"/>
                <w:lang w:val="en-GB" w:eastAsia="en-US"/>
              </w:rPr>
              <w:t>22</w:t>
            </w:r>
          </w:p>
        </w:tc>
        <w:tc>
          <w:tcPr>
            <w:tcW w:w="7905" w:type="dxa"/>
            <w:shd w:val="clear" w:color="auto" w:fill="F1F1F1"/>
          </w:tcPr>
          <w:p w14:paraId="3A642453">
            <w:pPr>
              <w:widowControl/>
              <w:autoSpaceDE w:val="0"/>
              <w:autoSpaceDN w:val="0"/>
              <w:adjustRightInd w:val="0"/>
              <w:jc w:val="left"/>
              <w:rPr>
                <w:rFonts w:ascii="Arial" w:hAnsi="Arial" w:eastAsia="Times New Roman" w:cs="Arial"/>
                <w:color w:val="000000"/>
                <w:kern w:val="0"/>
                <w:sz w:val="22"/>
                <w:szCs w:val="22"/>
                <w:lang w:val="en-GB" w:eastAsia="en-US"/>
              </w:rPr>
            </w:pPr>
            <w:r>
              <w:rPr>
                <w:rFonts w:ascii="Arial" w:hAnsi="Arial" w:eastAsia="Times New Roman" w:cs="Arial"/>
                <w:bCs/>
                <w:kern w:val="0"/>
                <w:sz w:val="22"/>
                <w:szCs w:val="22"/>
                <w:lang w:val="en-GB" w:eastAsia="en-US"/>
              </w:rPr>
              <w:t xml:space="preserve">Confirm that you have read the UWTSD guidance on data management (see </w:t>
            </w:r>
            <w:r>
              <w:rPr>
                <w:rFonts w:ascii="Times New Roman" w:hAnsi="Times New Roman" w:eastAsia="Times New Roman" w:cs="Times New Roman"/>
                <w:kern w:val="0"/>
                <w:sz w:val="20"/>
                <w:szCs w:val="20"/>
                <w:lang w:val="en-GB" w:eastAsia="en-US"/>
              </w:rPr>
              <w:fldChar w:fldCharType="begin"/>
            </w:r>
            <w:r>
              <w:rPr>
                <w:rFonts w:ascii="Times New Roman" w:hAnsi="Times New Roman" w:eastAsia="Times New Roman" w:cs="Times New Roman"/>
                <w:kern w:val="0"/>
                <w:sz w:val="20"/>
                <w:szCs w:val="20"/>
                <w:lang w:val="en-GB" w:eastAsia="en-US"/>
              </w:rP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rFonts w:ascii="Times New Roman" w:hAnsi="Times New Roman" w:eastAsia="Times New Roman" w:cs="Times New Roman"/>
                <w:kern w:val="0"/>
                <w:sz w:val="20"/>
                <w:szCs w:val="20"/>
                <w:lang w:val="en-GB" w:eastAsia="en-US"/>
              </w:rPr>
              <w:fldChar w:fldCharType="separate"/>
            </w:r>
            <w:r>
              <w:rPr>
                <w:rFonts w:ascii="Arial" w:hAnsi="Arial" w:eastAsia="Times New Roman" w:cs="Arial"/>
                <w:color w:val="000000"/>
                <w:kern w:val="0"/>
                <w:sz w:val="22"/>
                <w:szCs w:val="22"/>
                <w:u w:val="single"/>
                <w:lang w:val="en-GB" w:eastAsia="en-US"/>
              </w:rPr>
              <w:t>https://www.uwtsd.ac.uk/library/research-data-management/</w:t>
            </w:r>
            <w:r>
              <w:rPr>
                <w:rFonts w:ascii="Arial" w:hAnsi="Arial" w:eastAsia="Times New Roman" w:cs="Arial"/>
                <w:color w:val="000000"/>
                <w:kern w:val="0"/>
                <w:sz w:val="22"/>
                <w:szCs w:val="22"/>
                <w:u w:val="single"/>
                <w:lang w:val="en-GB" w:eastAsia="en-US"/>
              </w:rPr>
              <w:fldChar w:fldCharType="end"/>
            </w:r>
            <w:r>
              <w:rPr>
                <w:rFonts w:ascii="Arial" w:hAnsi="Arial" w:eastAsia="Times New Roman" w:cs="Arial"/>
                <w:color w:val="000000"/>
                <w:kern w:val="0"/>
                <w:sz w:val="22"/>
                <w:szCs w:val="22"/>
                <w:lang w:val="en-GB" w:eastAsia="en-US"/>
              </w:rPr>
              <w:t>)</w:t>
            </w:r>
          </w:p>
        </w:tc>
        <w:tc>
          <w:tcPr>
            <w:tcW w:w="2018" w:type="dxa"/>
            <w:gridSpan w:val="2"/>
            <w:shd w:val="clear" w:color="auto" w:fill="auto"/>
            <w:vAlign w:val="center"/>
          </w:tcPr>
          <w:p w14:paraId="2ED24C03">
            <w:pPr>
              <w:widowControl/>
              <w:autoSpaceDE w:val="0"/>
              <w:autoSpaceDN w:val="0"/>
              <w:adjustRightInd w:val="0"/>
              <w:jc w:val="center"/>
              <w:rPr>
                <w:rFonts w:ascii="Arial" w:hAnsi="Arial" w:eastAsia="Times New Roman" w:cs="Arial"/>
                <w:kern w:val="0"/>
                <w:sz w:val="22"/>
                <w:szCs w:val="22"/>
                <w:lang w:val="en-GB" w:eastAsia="en-US"/>
              </w:rPr>
            </w:pPr>
            <w:sdt>
              <w:sdtPr>
                <w:rPr>
                  <w:rFonts w:ascii="Arial" w:hAnsi="Arial" w:eastAsia="Times New Roman" w:cs="Arial"/>
                  <w:b/>
                  <w:bCs/>
                  <w:kern w:val="0"/>
                  <w:sz w:val="20"/>
                  <w:szCs w:val="20"/>
                  <w:lang w:val="en-GB" w:eastAsia="en-US"/>
                </w:rPr>
                <w:id w:val="1821611795"/>
                <w14:checkbox>
                  <w14:checked w14:val="1"/>
                  <w14:checkedState w14:val="2612" w14:font="MS Gothic"/>
                  <w14:uncheckedState w14:val="2610" w14:font="MS Gothic"/>
                </w14:checkbox>
              </w:sdtPr>
              <w:sdtEndPr>
                <w:rPr>
                  <w:rFonts w:ascii="Arial" w:hAnsi="Arial" w:eastAsia="Times New Roman" w:cs="Arial"/>
                  <w:b/>
                  <w:bCs/>
                  <w:kern w:val="0"/>
                  <w:sz w:val="20"/>
                  <w:szCs w:val="20"/>
                  <w:lang w:val="en-GB" w:eastAsia="en-US"/>
                </w:rPr>
              </w:sdtEndPr>
              <w:sdtContent>
                <w:r>
                  <w:rPr>
                    <w:rFonts w:hint="eastAsia" w:ascii="MS Gothic" w:hAnsi="MS Gothic" w:eastAsia="MS Gothic" w:cs="Arial"/>
                    <w:b/>
                    <w:bCs/>
                    <w:kern w:val="0"/>
                    <w:sz w:val="20"/>
                    <w:szCs w:val="20"/>
                    <w:lang w:val="en-GB" w:eastAsia="en-US"/>
                  </w:rPr>
                  <w:t>☒</w:t>
                </w:r>
              </w:sdtContent>
            </w:sdt>
          </w:p>
        </w:tc>
      </w:tr>
      <w:tr w14:paraId="33E8C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vAlign w:val="center"/>
          </w:tcPr>
          <w:p w14:paraId="1CE3998C">
            <w:pPr>
              <w:widowControl/>
              <w:autoSpaceDE w:val="0"/>
              <w:autoSpaceDN w:val="0"/>
              <w:adjustRightInd w:val="0"/>
              <w:jc w:val="center"/>
              <w:rPr>
                <w:rFonts w:ascii="Arial" w:hAnsi="Arial" w:eastAsia="Times New Roman" w:cs="Arial"/>
                <w:bCs/>
                <w:kern w:val="0"/>
                <w:sz w:val="22"/>
                <w:szCs w:val="22"/>
                <w:lang w:val="en-GB" w:eastAsia="en-US"/>
              </w:rPr>
            </w:pPr>
            <w:r>
              <w:rPr>
                <w:rFonts w:ascii="Arial" w:hAnsi="Arial" w:eastAsia="Times New Roman" w:cs="Arial"/>
                <w:bCs/>
                <w:kern w:val="0"/>
                <w:sz w:val="22"/>
                <w:szCs w:val="22"/>
                <w:lang w:val="en-GB" w:eastAsia="en-US"/>
              </w:rPr>
              <w:t>23</w:t>
            </w:r>
          </w:p>
        </w:tc>
        <w:tc>
          <w:tcPr>
            <w:tcW w:w="7905" w:type="dxa"/>
            <w:shd w:val="clear" w:color="auto" w:fill="F1F1F1"/>
          </w:tcPr>
          <w:p w14:paraId="628650E5">
            <w:pPr>
              <w:widowControl/>
              <w:autoSpaceDE w:val="0"/>
              <w:autoSpaceDN w:val="0"/>
              <w:adjustRightInd w:val="0"/>
              <w:jc w:val="left"/>
              <w:rPr>
                <w:rFonts w:ascii="Arial" w:hAnsi="Arial" w:eastAsia="Times New Roman" w:cs="Arial"/>
                <w:kern w:val="0"/>
                <w:sz w:val="22"/>
                <w:szCs w:val="22"/>
                <w:lang w:val="en-GB" w:eastAsia="en-US"/>
              </w:rPr>
            </w:pPr>
            <w:r>
              <w:rPr>
                <w:rFonts w:ascii="Arial" w:hAnsi="Arial" w:eastAsia="Times New Roman" w:cs="Arial"/>
                <w:bCs/>
                <w:kern w:val="0"/>
                <w:sz w:val="22"/>
                <w:szCs w:val="22"/>
                <w:lang w:val="en-GB" w:eastAsia="en-US"/>
              </w:rPr>
              <w:t>Confirm that you are aware that you need to keep all data until after your research has completed or the end of your funding</w:t>
            </w:r>
          </w:p>
        </w:tc>
        <w:tc>
          <w:tcPr>
            <w:tcW w:w="2018" w:type="dxa"/>
            <w:gridSpan w:val="2"/>
            <w:shd w:val="clear" w:color="auto" w:fill="auto"/>
            <w:vAlign w:val="center"/>
          </w:tcPr>
          <w:p w14:paraId="55DA5481">
            <w:pPr>
              <w:widowControl/>
              <w:autoSpaceDE w:val="0"/>
              <w:autoSpaceDN w:val="0"/>
              <w:adjustRightInd w:val="0"/>
              <w:jc w:val="center"/>
              <w:rPr>
                <w:rFonts w:ascii="Arial" w:hAnsi="Arial" w:eastAsia="Times New Roman" w:cs="Arial"/>
                <w:kern w:val="0"/>
                <w:sz w:val="22"/>
                <w:szCs w:val="22"/>
                <w:lang w:val="en-GB" w:eastAsia="en-US"/>
              </w:rPr>
            </w:pPr>
            <w:sdt>
              <w:sdtPr>
                <w:rPr>
                  <w:rFonts w:ascii="Arial" w:hAnsi="Arial" w:eastAsia="Times New Roman" w:cs="Arial"/>
                  <w:b/>
                  <w:bCs/>
                  <w:kern w:val="0"/>
                  <w:sz w:val="20"/>
                  <w:szCs w:val="20"/>
                  <w:lang w:val="en-GB" w:eastAsia="en-US"/>
                </w:rPr>
                <w:id w:val="767737168"/>
                <w14:checkbox>
                  <w14:checked w14:val="1"/>
                  <w14:checkedState w14:val="2612" w14:font="MS Gothic"/>
                  <w14:uncheckedState w14:val="2610" w14:font="MS Gothic"/>
                </w14:checkbox>
              </w:sdtPr>
              <w:sdtEndPr>
                <w:rPr>
                  <w:rFonts w:ascii="Arial" w:hAnsi="Arial" w:eastAsia="Times New Roman" w:cs="Arial"/>
                  <w:b/>
                  <w:bCs/>
                  <w:kern w:val="0"/>
                  <w:sz w:val="20"/>
                  <w:szCs w:val="20"/>
                  <w:lang w:val="en-GB" w:eastAsia="en-US"/>
                </w:rPr>
              </w:sdtEndPr>
              <w:sdtContent>
                <w:r>
                  <w:rPr>
                    <w:rFonts w:hint="eastAsia" w:ascii="MS Gothic" w:hAnsi="MS Gothic" w:eastAsia="MS Gothic" w:cs="Arial"/>
                    <w:b/>
                    <w:bCs/>
                    <w:kern w:val="0"/>
                    <w:sz w:val="20"/>
                    <w:szCs w:val="20"/>
                    <w:lang w:val="en-GB" w:eastAsia="en-US"/>
                  </w:rPr>
                  <w:t>☒</w:t>
                </w:r>
              </w:sdtContent>
            </w:sdt>
          </w:p>
        </w:tc>
      </w:tr>
    </w:tbl>
    <w:p w14:paraId="043E70FC">
      <w:pPr>
        <w:widowControl/>
        <w:jc w:val="left"/>
        <w:rPr>
          <w:rFonts w:ascii="Arial" w:hAnsi="Arial" w:eastAsia="Times New Roman" w:cs="Arial"/>
          <w:b/>
          <w:bCs/>
          <w:kern w:val="0"/>
          <w:sz w:val="22"/>
          <w:szCs w:val="22"/>
          <w:lang w:val="en-GB" w:eastAsia="en-US"/>
        </w:rPr>
      </w:pPr>
    </w:p>
    <w:p w14:paraId="6A8127B2">
      <w:pPr>
        <w:widowControl/>
        <w:jc w:val="left"/>
        <w:rPr>
          <w:rFonts w:ascii="Arial" w:hAnsi="Arial" w:eastAsia="Times New Roman" w:cs="Arial"/>
          <w:b/>
          <w:bCs/>
          <w:kern w:val="0"/>
          <w:sz w:val="22"/>
          <w:szCs w:val="22"/>
          <w:lang w:val="en-GB" w:eastAsia="en-US"/>
        </w:rPr>
      </w:pPr>
    </w:p>
    <w:p w14:paraId="77DCC1AF">
      <w:pPr>
        <w:widowControl/>
        <w:autoSpaceDE w:val="0"/>
        <w:autoSpaceDN w:val="0"/>
        <w:adjustRightInd w:val="0"/>
        <w:spacing w:after="240"/>
        <w:jc w:val="both"/>
        <w:rPr>
          <w:rFonts w:ascii="Arial" w:hAnsi="Arial" w:eastAsia="Times New Roman" w:cs="Arial"/>
          <w:b/>
          <w:kern w:val="0"/>
          <w:sz w:val="22"/>
          <w:szCs w:val="22"/>
          <w:lang w:val="en-GB" w:eastAsia="en-US"/>
        </w:rPr>
      </w:pPr>
      <w:r>
        <w:rPr>
          <w:rFonts w:ascii="Arial" w:hAnsi="Arial" w:eastAsia="Times New Roman" w:cs="Arial"/>
          <w:b/>
          <w:kern w:val="0"/>
          <w:sz w:val="22"/>
          <w:szCs w:val="22"/>
          <w:lang w:val="en-GB" w:eastAsia="en-US"/>
        </w:rPr>
        <w:t>SECTION I: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58DC8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vAlign w:val="center"/>
          </w:tcPr>
          <w:p w14:paraId="6AFF5799">
            <w:pPr>
              <w:widowControl/>
              <w:jc w:val="center"/>
              <w:rPr>
                <w:rFonts w:ascii="Arial" w:hAnsi="Arial" w:eastAsia="Times New Roman" w:cs="Arial"/>
                <w:kern w:val="0"/>
                <w:sz w:val="22"/>
                <w:szCs w:val="22"/>
                <w:lang w:val="en-GB" w:eastAsia="en-US"/>
              </w:rPr>
            </w:pPr>
          </w:p>
        </w:tc>
        <w:tc>
          <w:tcPr>
            <w:tcW w:w="9923" w:type="dxa"/>
            <w:gridSpan w:val="5"/>
            <w:shd w:val="clear" w:color="auto" w:fill="F1F1F1"/>
            <w:vAlign w:val="center"/>
          </w:tcPr>
          <w:p w14:paraId="60D080B1">
            <w:pPr>
              <w:widowControl/>
              <w:jc w:val="both"/>
              <w:rPr>
                <w:rFonts w:ascii="Arial" w:hAnsi="Arial" w:eastAsia="Times New Roman" w:cs="Arial"/>
                <w:b/>
                <w:bCs/>
                <w:color w:val="000000"/>
                <w:kern w:val="0"/>
                <w:sz w:val="22"/>
                <w:szCs w:val="22"/>
                <w:lang w:val="en-GB" w:eastAsia="en-US"/>
              </w:rPr>
            </w:pPr>
            <w:r>
              <w:rPr>
                <w:rFonts w:ascii="Arial" w:hAnsi="Arial" w:eastAsia="Times New Roman" w:cs="Arial"/>
                <w:kern w:val="0"/>
                <w:sz w:val="22"/>
                <w:szCs w:val="22"/>
                <w:lang w:val="en-GB" w:eastAsia="en-US"/>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Times New Roman" w:cs="Arial"/>
                <w:b/>
                <w:bCs/>
                <w:color w:val="000000"/>
                <w:kern w:val="0"/>
                <w:sz w:val="22"/>
                <w:szCs w:val="22"/>
                <w:lang w:val="en-GB" w:eastAsia="en-US"/>
              </w:rPr>
              <w:t>.</w:t>
            </w:r>
          </w:p>
          <w:p w14:paraId="39E5E6BC">
            <w:pPr>
              <w:widowControl/>
              <w:jc w:val="both"/>
              <w:rPr>
                <w:rFonts w:ascii="Arial" w:hAnsi="Arial" w:eastAsia="Times New Roman" w:cs="Arial"/>
                <w:b/>
                <w:bCs/>
                <w:color w:val="000000"/>
                <w:kern w:val="0"/>
                <w:sz w:val="22"/>
                <w:szCs w:val="22"/>
                <w:lang w:val="en-GB" w:eastAsia="en-US"/>
              </w:rPr>
            </w:pPr>
          </w:p>
          <w:p w14:paraId="43D18B5F">
            <w:pPr>
              <w:widowControl/>
              <w:jc w:val="both"/>
              <w:rPr>
                <w:rFonts w:ascii="Arial" w:hAnsi="Arial" w:eastAsia="Times New Roman" w:cs="Arial"/>
                <w:color w:val="000080"/>
                <w:kern w:val="0"/>
                <w:sz w:val="22"/>
                <w:szCs w:val="22"/>
                <w:lang w:val="en-GB" w:eastAsia="en-US"/>
              </w:rPr>
            </w:pPr>
            <w:r>
              <w:rPr>
                <w:rFonts w:ascii="Arial" w:hAnsi="Arial" w:eastAsia="Times New Roman" w:cs="Arial"/>
                <w:kern w:val="0"/>
                <w:sz w:val="22"/>
                <w:szCs w:val="22"/>
                <w:lang w:val="en-GB" w:eastAsia="en-US"/>
              </w:rPr>
              <w:t xml:space="preserve">In submitting this application I hereby confirm that I undertake to ensure that the above named research activity will meet the University’s Research Ethics and Integrity Code of Practice which is published on the website: </w:t>
            </w:r>
            <w:r>
              <w:rPr>
                <w:rFonts w:ascii="Times New Roman" w:hAnsi="Times New Roman" w:eastAsia="Times New Roman" w:cs="Times New Roman"/>
                <w:kern w:val="0"/>
                <w:sz w:val="20"/>
                <w:szCs w:val="20"/>
                <w:lang w:val="en-GB" w:eastAsia="en-US"/>
              </w:rPr>
              <w:fldChar w:fldCharType="begin"/>
            </w:r>
            <w:r>
              <w:rPr>
                <w:rFonts w:ascii="Times New Roman" w:hAnsi="Times New Roman" w:eastAsia="Times New Roman" w:cs="Times New Roman"/>
                <w:kern w:val="0"/>
                <w:sz w:val="20"/>
                <w:szCs w:val="20"/>
                <w:lang w:val="en-GB" w:eastAsia="en-US"/>
              </w:rPr>
              <w:instrText xml:space="preserve"> HYPERLINK "https://www.uwtsd.ac.uk/research/research-ethics/" </w:instrText>
            </w:r>
            <w:r>
              <w:rPr>
                <w:rFonts w:ascii="Times New Roman" w:hAnsi="Times New Roman" w:eastAsia="Times New Roman" w:cs="Times New Roman"/>
                <w:kern w:val="0"/>
                <w:sz w:val="20"/>
                <w:szCs w:val="20"/>
                <w:lang w:val="en-GB" w:eastAsia="en-US"/>
              </w:rPr>
              <w:fldChar w:fldCharType="separate"/>
            </w:r>
            <w:r>
              <w:rPr>
                <w:rFonts w:ascii="Arial" w:hAnsi="Arial" w:eastAsia="Times New Roman" w:cs="Arial"/>
                <w:color w:val="0000FF"/>
                <w:kern w:val="0"/>
                <w:sz w:val="22"/>
                <w:szCs w:val="22"/>
                <w:u w:val="single"/>
                <w:lang w:val="en-GB" w:eastAsia="en-US"/>
              </w:rPr>
              <w:t>https://www.uwtsd.ac.uk/research/research-ethics/</w:t>
            </w:r>
            <w:r>
              <w:rPr>
                <w:rFonts w:ascii="Arial" w:hAnsi="Arial" w:eastAsia="Times New Roman" w:cs="Arial"/>
                <w:color w:val="0000FF"/>
                <w:kern w:val="0"/>
                <w:sz w:val="22"/>
                <w:szCs w:val="22"/>
                <w:u w:val="single"/>
                <w:lang w:val="en-GB" w:eastAsia="en-US"/>
              </w:rPr>
              <w:fldChar w:fldCharType="end"/>
            </w:r>
            <w:r>
              <w:rPr>
                <w:rFonts w:ascii="Arial" w:hAnsi="Arial" w:eastAsia="Times New Roman" w:cs="Arial"/>
                <w:kern w:val="0"/>
                <w:sz w:val="22"/>
                <w:szCs w:val="22"/>
                <w:lang w:val="en-GB" w:eastAsia="en-US"/>
              </w:rPr>
              <w:t xml:space="preserve"> </w:t>
            </w:r>
          </w:p>
        </w:tc>
      </w:tr>
      <w:tr w14:paraId="752E1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vAlign w:val="center"/>
          </w:tcPr>
          <w:p w14:paraId="1EAE4E26">
            <w:pPr>
              <w:widowControl/>
              <w:spacing w:before="100" w:beforeAutospacing="1" w:after="100" w:afterAutospacing="1"/>
              <w:jc w:val="center"/>
              <w:rPr>
                <w:rFonts w:ascii="Arial" w:hAnsi="Arial" w:eastAsia="Times New Roman" w:cs="Arial"/>
                <w:bCs/>
                <w:kern w:val="0"/>
                <w:sz w:val="22"/>
                <w:szCs w:val="22"/>
                <w:lang w:val="en-GB" w:eastAsia="en-US"/>
              </w:rPr>
            </w:pPr>
            <w:r>
              <w:rPr>
                <w:rFonts w:ascii="Arial" w:hAnsi="Arial" w:eastAsia="Times New Roman" w:cs="Arial"/>
                <w:bCs/>
                <w:kern w:val="0"/>
                <w:sz w:val="22"/>
                <w:szCs w:val="22"/>
                <w:lang w:val="en-GB" w:eastAsia="en-US"/>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vAlign w:val="center"/>
          </w:tcPr>
          <w:p w14:paraId="1FF8D090">
            <w:pPr>
              <w:widowControl/>
              <w:spacing w:before="100" w:beforeAutospacing="1" w:after="100" w:afterAutospacing="1"/>
              <w:jc w:val="left"/>
              <w:rPr>
                <w:rFonts w:ascii="Arial" w:hAnsi="Arial" w:eastAsia="Times New Roman" w:cs="Arial"/>
                <w:kern w:val="0"/>
                <w:sz w:val="22"/>
                <w:szCs w:val="22"/>
                <w:lang w:val="en-GB" w:eastAsia="en-US"/>
              </w:rPr>
            </w:pPr>
            <w:r>
              <w:rPr>
                <w:rFonts w:ascii="Arial" w:hAnsi="Arial" w:eastAsia="Times New Roman" w:cs="Arial"/>
                <w:b/>
                <w:bCs/>
                <w:kern w:val="0"/>
                <w:sz w:val="22"/>
                <w:szCs w:val="22"/>
                <w:lang w:val="en-GB" w:eastAsia="en-US"/>
              </w:rPr>
              <w:t>Signature of applicant:</w:t>
            </w:r>
          </w:p>
        </w:tc>
        <w:tc>
          <w:tcPr>
            <w:tcW w:w="4949" w:type="dxa"/>
            <w:tcBorders>
              <w:left w:val="single" w:color="auto" w:sz="4" w:space="0"/>
            </w:tcBorders>
            <w:vAlign w:val="center"/>
          </w:tcPr>
          <w:p w14:paraId="2765E61A">
            <w:pPr>
              <w:widowControl/>
              <w:spacing w:before="100" w:beforeAutospacing="1" w:after="100" w:afterAutospacing="1"/>
              <w:jc w:val="left"/>
              <w:rPr>
                <w:rFonts w:ascii="Arial" w:hAnsi="Arial" w:eastAsia="等线" w:cs="Arial"/>
                <w:kern w:val="0"/>
                <w:sz w:val="22"/>
                <w:szCs w:val="22"/>
                <w:lang w:val="en-GB" w:eastAsia="zh-CN"/>
              </w:rPr>
            </w:pPr>
            <w:r>
              <w:rPr>
                <w:rFonts w:hint="eastAsia" w:ascii="Arial" w:hAnsi="Arial" w:eastAsia="等线" w:cs="Arial"/>
                <w:kern w:val="0"/>
                <w:sz w:val="22"/>
                <w:szCs w:val="22"/>
                <w:lang w:val="en-GB" w:eastAsia="zh-CN"/>
              </w:rPr>
              <w:t>Yitong Wang</w:t>
            </w:r>
          </w:p>
        </w:tc>
        <w:tc>
          <w:tcPr>
            <w:tcW w:w="2139" w:type="dxa"/>
            <w:gridSpan w:val="3"/>
            <w:vAlign w:val="center"/>
          </w:tcPr>
          <w:p w14:paraId="0B39395B">
            <w:pPr>
              <w:widowControl/>
              <w:spacing w:before="100" w:beforeAutospacing="1" w:after="100" w:afterAutospacing="1"/>
              <w:jc w:val="left"/>
              <w:rPr>
                <w:rFonts w:ascii="Arial" w:hAnsi="Arial" w:eastAsia="等线" w:cs="Arial"/>
                <w:b/>
                <w:bCs/>
                <w:kern w:val="0"/>
                <w:sz w:val="22"/>
                <w:szCs w:val="22"/>
                <w:lang w:val="en-GB" w:eastAsia="zh-CN"/>
              </w:rPr>
            </w:pPr>
            <w:r>
              <w:rPr>
                <w:rFonts w:ascii="Arial" w:hAnsi="Arial" w:eastAsia="Times New Roman" w:cs="Arial"/>
                <w:b/>
                <w:bCs/>
                <w:kern w:val="0"/>
                <w:sz w:val="22"/>
                <w:szCs w:val="22"/>
                <w:lang w:val="en-GB" w:eastAsia="en-US"/>
              </w:rPr>
              <w:t>Date:</w:t>
            </w:r>
            <w:r>
              <w:rPr>
                <w:rFonts w:ascii="Arial" w:hAnsi="Arial" w:eastAsia="等线" w:cs="Arial"/>
                <w:b/>
                <w:bCs/>
                <w:kern w:val="0"/>
                <w:sz w:val="22"/>
                <w:szCs w:val="22"/>
                <w:lang w:val="en-GB" w:eastAsia="zh-CN"/>
              </w:rPr>
              <w:t xml:space="preserve"> June</w:t>
            </w:r>
            <w:r>
              <w:rPr>
                <w:rFonts w:hint="eastAsia" w:ascii="Arial" w:hAnsi="Arial" w:eastAsia="等线" w:cs="Arial"/>
                <w:b/>
                <w:bCs/>
                <w:kern w:val="0"/>
                <w:sz w:val="22"/>
                <w:szCs w:val="22"/>
                <w:lang w:val="en-GB" w:eastAsia="zh-CN"/>
              </w:rPr>
              <w:t xml:space="preserve"> </w:t>
            </w:r>
            <w:r>
              <w:rPr>
                <w:rFonts w:hint="eastAsia" w:ascii="Arial" w:hAnsi="Arial" w:eastAsia="等线" w:cs="Arial"/>
                <w:b/>
                <w:bCs/>
                <w:kern w:val="0"/>
                <w:sz w:val="22"/>
                <w:szCs w:val="22"/>
                <w:lang w:val="en-US" w:eastAsia="zh-CN"/>
              </w:rPr>
              <w:t>7</w:t>
            </w:r>
            <w:r>
              <w:rPr>
                <w:rFonts w:hint="eastAsia" w:ascii="Arial" w:hAnsi="Arial" w:eastAsia="等线" w:cs="Arial"/>
                <w:b/>
                <w:bCs/>
                <w:kern w:val="0"/>
                <w:sz w:val="22"/>
                <w:szCs w:val="22"/>
                <w:lang w:val="en-GB" w:eastAsia="zh-CN"/>
              </w:rPr>
              <w:t>.2025</w:t>
            </w:r>
          </w:p>
          <w:p w14:paraId="2D5A1D98">
            <w:pPr>
              <w:widowControl/>
              <w:spacing w:before="100" w:beforeAutospacing="1" w:after="100" w:afterAutospacing="1"/>
              <w:jc w:val="left"/>
              <w:rPr>
                <w:rFonts w:ascii="Arial" w:hAnsi="Arial" w:eastAsia="Times New Roman" w:cs="Arial"/>
                <w:kern w:val="0"/>
                <w:sz w:val="22"/>
                <w:szCs w:val="22"/>
                <w:lang w:val="en-GB" w:eastAsia="en-US"/>
              </w:rPr>
            </w:pPr>
          </w:p>
        </w:tc>
      </w:tr>
      <w:tr w14:paraId="524BF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vAlign w:val="center"/>
          </w:tcPr>
          <w:p w14:paraId="048C7018">
            <w:pPr>
              <w:ind w:left="0"/>
              <w:contextualSpacing/>
              <w:jc w:val="center"/>
              <w:rPr>
                <w:rFonts w:ascii="Arial" w:hAnsi="Arial" w:eastAsia="Calibri" w:cs="Arial"/>
                <w:sz w:val="22"/>
                <w:szCs w:val="22"/>
                <w:lang w:val="en-GB" w:eastAsia="en-US" w:bidi="ar-SA"/>
              </w:rPr>
            </w:pPr>
            <w:r>
              <w:rPr>
                <w:rFonts w:ascii="Arial" w:hAnsi="Arial" w:eastAsia="Calibri" w:cs="Arial"/>
                <w:sz w:val="22"/>
                <w:szCs w:val="22"/>
                <w:lang w:val="en-GB" w:eastAsia="en-US" w:bidi="ar-SA"/>
              </w:rPr>
              <w:t>2</w:t>
            </w:r>
          </w:p>
        </w:tc>
        <w:tc>
          <w:tcPr>
            <w:tcW w:w="2835" w:type="dxa"/>
            <w:shd w:val="clear" w:color="auto" w:fill="F1F1F1"/>
            <w:vAlign w:val="center"/>
          </w:tcPr>
          <w:p w14:paraId="1AB4FE4C">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Director of Studies/Supervisor:</w:t>
            </w:r>
          </w:p>
        </w:tc>
        <w:tc>
          <w:tcPr>
            <w:tcW w:w="4959" w:type="dxa"/>
            <w:gridSpan w:val="2"/>
            <w:shd w:val="clear" w:color="auto" w:fill="auto"/>
            <w:vAlign w:val="center"/>
          </w:tcPr>
          <w:p w14:paraId="2C8C5837">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Supervison: Daniela Hellyer</w:t>
            </w:r>
          </w:p>
        </w:tc>
        <w:tc>
          <w:tcPr>
            <w:tcW w:w="2123" w:type="dxa"/>
            <w:vMerge w:val="restart"/>
          </w:tcPr>
          <w:p w14:paraId="1F210F13">
            <w:pPr>
              <w:ind w:left="0"/>
              <w:contextualSpacing/>
              <w:rPr>
                <w:rFonts w:ascii="Arial" w:hAnsi="Arial" w:eastAsia="Calibri" w:cs="Arial"/>
                <w:sz w:val="22"/>
                <w:szCs w:val="22"/>
                <w:lang w:val="en-GB" w:eastAsia="en-US" w:bidi="ar-SA"/>
              </w:rPr>
            </w:pPr>
            <w:r>
              <w:rPr>
                <w:rFonts w:ascii="Arial" w:hAnsi="Arial" w:eastAsia="Calibri" w:cs="Arial"/>
                <w:b/>
                <w:bCs/>
                <w:sz w:val="22"/>
                <w:szCs w:val="22"/>
                <w:lang w:val="en-GB" w:eastAsia="en-US" w:bidi="ar-SA"/>
              </w:rPr>
              <w:t>Date: 10</w:t>
            </w:r>
            <w:r>
              <w:rPr>
                <w:rFonts w:ascii="Arial" w:hAnsi="Arial" w:eastAsia="Calibri" w:cs="Arial"/>
                <w:b/>
                <w:bCs/>
                <w:sz w:val="22"/>
                <w:szCs w:val="22"/>
                <w:vertAlign w:val="superscript"/>
                <w:lang w:val="en-GB" w:eastAsia="en-US" w:bidi="ar-SA"/>
              </w:rPr>
              <w:t>th</w:t>
            </w:r>
            <w:r>
              <w:rPr>
                <w:rFonts w:ascii="Arial" w:hAnsi="Arial" w:eastAsia="Calibri" w:cs="Arial"/>
                <w:b/>
                <w:bCs/>
                <w:sz w:val="22"/>
                <w:szCs w:val="22"/>
                <w:lang w:val="en-GB" w:eastAsia="en-US" w:bidi="ar-SA"/>
              </w:rPr>
              <w:t xml:space="preserve"> June 2025</w:t>
            </w:r>
          </w:p>
        </w:tc>
      </w:tr>
      <w:tr w14:paraId="37EB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vAlign w:val="center"/>
          </w:tcPr>
          <w:p w14:paraId="4865DFDA">
            <w:pPr>
              <w:ind w:left="0"/>
              <w:contextualSpacing/>
              <w:jc w:val="center"/>
              <w:rPr>
                <w:rFonts w:ascii="Arial" w:hAnsi="Arial" w:eastAsia="Calibri" w:cs="Arial"/>
                <w:sz w:val="22"/>
                <w:szCs w:val="22"/>
                <w:lang w:val="en-GB" w:eastAsia="en-US" w:bidi="ar-SA"/>
              </w:rPr>
            </w:pPr>
            <w:r>
              <w:rPr>
                <w:rFonts w:ascii="Arial" w:hAnsi="Arial" w:eastAsia="Calibri" w:cs="Arial"/>
                <w:sz w:val="22"/>
                <w:szCs w:val="22"/>
                <w:lang w:val="en-GB" w:eastAsia="en-US" w:bidi="ar-SA"/>
              </w:rPr>
              <w:t>3</w:t>
            </w:r>
          </w:p>
        </w:tc>
        <w:tc>
          <w:tcPr>
            <w:tcW w:w="2835" w:type="dxa"/>
            <w:shd w:val="clear" w:color="auto" w:fill="F1F1F1"/>
            <w:vAlign w:val="center"/>
          </w:tcPr>
          <w:p w14:paraId="074978AE">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Signature:</w:t>
            </w:r>
          </w:p>
        </w:tc>
        <w:tc>
          <w:tcPr>
            <w:tcW w:w="4959" w:type="dxa"/>
            <w:gridSpan w:val="2"/>
            <w:shd w:val="clear" w:color="auto" w:fill="auto"/>
            <w:vAlign w:val="center"/>
          </w:tcPr>
          <w:p w14:paraId="28A74D74">
            <w:pPr>
              <w:ind w:left="0"/>
              <w:contextualSpacing/>
              <w:rPr>
                <w:rFonts w:ascii="Arial" w:hAnsi="Arial" w:eastAsia="Calibri" w:cs="Arial"/>
                <w:sz w:val="22"/>
                <w:szCs w:val="22"/>
                <w:lang w:val="en-GB" w:eastAsia="en-US" w:bidi="ar-SA"/>
              </w:rPr>
            </w:pPr>
          </w:p>
          <w:p w14:paraId="3553355B">
            <w:pPr>
              <w:ind w:left="0"/>
              <w:contextualSpacing/>
              <w:rPr>
                <w:rFonts w:ascii="Arial" w:hAnsi="Arial" w:eastAsia="Calibri" w:cs="Arial"/>
                <w:sz w:val="22"/>
                <w:szCs w:val="22"/>
                <w:lang w:val="en-GB" w:eastAsia="en-US" w:bidi="ar-SA"/>
              </w:rPr>
            </w:pPr>
            <w:r>
              <w:rPr>
                <w:rFonts w:ascii="Arial" w:hAnsi="Arial" w:eastAsia="Calibri" w:cs="Arial"/>
                <w:sz w:val="22"/>
                <w:szCs w:val="22"/>
                <w:lang w:val="en-GB" w:eastAsia="en-US" w:bidi="ar-SA"/>
              </w:rPr>
              <w:t>D Hellyer</w:t>
            </w:r>
          </w:p>
        </w:tc>
        <w:tc>
          <w:tcPr>
            <w:tcW w:w="2123" w:type="dxa"/>
            <w:vMerge w:val="continue"/>
            <w:vAlign w:val="center"/>
          </w:tcPr>
          <w:p w14:paraId="5432B235">
            <w:pPr>
              <w:ind w:left="0"/>
              <w:contextualSpacing/>
              <w:rPr>
                <w:rFonts w:ascii="Arial" w:hAnsi="Arial" w:eastAsia="Calibri" w:cs="Arial"/>
                <w:sz w:val="22"/>
                <w:szCs w:val="22"/>
                <w:lang w:val="en-GB" w:eastAsia="en-US" w:bidi="ar-SA"/>
              </w:rPr>
            </w:pPr>
          </w:p>
        </w:tc>
      </w:tr>
    </w:tbl>
    <w:p w14:paraId="618FED84">
      <w:pPr>
        <w:widowControl/>
        <w:jc w:val="left"/>
        <w:rPr>
          <w:rFonts w:ascii="Arial" w:hAnsi="Arial" w:eastAsia="Times New Roman" w:cs="Arial"/>
          <w:kern w:val="0"/>
          <w:sz w:val="22"/>
          <w:szCs w:val="22"/>
          <w:lang w:val="en-GB" w:eastAsia="en-US"/>
        </w:rPr>
      </w:pPr>
    </w:p>
    <w:p w14:paraId="6997C175">
      <w:pPr>
        <w:widowControl/>
        <w:jc w:val="left"/>
        <w:rPr>
          <w:rFonts w:ascii="Arial" w:hAnsi="Arial" w:eastAsia="Times New Roman" w:cs="Arial"/>
          <w:i/>
          <w:kern w:val="0"/>
          <w:sz w:val="22"/>
          <w:szCs w:val="22"/>
          <w:lang w:val="en-GB" w:eastAsia="en-US"/>
        </w:rPr>
      </w:pPr>
    </w:p>
    <w:p w14:paraId="7DE5A3E8">
      <w:pPr>
        <w:widowControl/>
        <w:jc w:val="left"/>
        <w:rPr>
          <w:rFonts w:ascii="Arial" w:hAnsi="Arial" w:eastAsia="Times New Roman" w:cs="Arial"/>
          <w:i/>
          <w:kern w:val="0"/>
          <w:sz w:val="22"/>
          <w:szCs w:val="22"/>
          <w:lang w:val="en-GB" w:eastAsia="en-US"/>
        </w:rPr>
      </w:pPr>
    </w:p>
    <w:p w14:paraId="6DCDE587">
      <w:pPr>
        <w:widowControl/>
        <w:jc w:val="left"/>
        <w:rPr>
          <w:rFonts w:ascii="Arial" w:hAnsi="Arial" w:eastAsia="Times New Roman" w:cs="Arial"/>
          <w:b/>
          <w:i/>
          <w:kern w:val="0"/>
          <w:sz w:val="22"/>
          <w:szCs w:val="22"/>
          <w:lang w:val="en-GB" w:eastAsia="en-US"/>
        </w:rPr>
      </w:pPr>
      <w:r>
        <w:rPr>
          <w:rFonts w:ascii="Arial" w:hAnsi="Arial" w:eastAsia="Times New Roman" w:cs="Arial"/>
          <w:b/>
          <w:i/>
          <w:kern w:val="0"/>
          <w:sz w:val="22"/>
          <w:szCs w:val="22"/>
          <w:lang w:val="en-GB" w:eastAsia="en-US"/>
        </w:rPr>
        <w:t>FOR INTERNAL USE ONLY:</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835"/>
        <w:gridCol w:w="4949"/>
        <w:gridCol w:w="2139"/>
      </w:tblGrid>
      <w:tr w14:paraId="1517E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554" w:type="dxa"/>
            <w:shd w:val="clear" w:color="auto" w:fill="F1F1F1"/>
            <w:vAlign w:val="center"/>
          </w:tcPr>
          <w:p w14:paraId="0EEB5BC4">
            <w:pPr>
              <w:widowControl/>
              <w:jc w:val="center"/>
              <w:rPr>
                <w:rFonts w:ascii="Arial" w:hAnsi="Arial" w:eastAsia="Times New Roman" w:cs="Arial"/>
                <w:kern w:val="0"/>
                <w:sz w:val="22"/>
                <w:szCs w:val="22"/>
                <w:lang w:val="en-GB" w:eastAsia="en-US"/>
              </w:rPr>
            </w:pPr>
          </w:p>
        </w:tc>
        <w:tc>
          <w:tcPr>
            <w:tcW w:w="9923" w:type="dxa"/>
            <w:gridSpan w:val="3"/>
            <w:shd w:val="clear" w:color="auto" w:fill="F1F1F1"/>
            <w:vAlign w:val="center"/>
          </w:tcPr>
          <w:p w14:paraId="762C1B15">
            <w:pPr>
              <w:widowControl/>
              <w:jc w:val="both"/>
              <w:rPr>
                <w:rFonts w:ascii="Arial" w:hAnsi="Arial" w:eastAsia="Times New Roman" w:cs="Arial"/>
                <w:b/>
                <w:color w:val="000080"/>
                <w:kern w:val="0"/>
                <w:sz w:val="22"/>
                <w:szCs w:val="22"/>
                <w:lang w:val="en-GB" w:eastAsia="en-US"/>
              </w:rPr>
            </w:pPr>
            <w:r>
              <w:rPr>
                <w:rFonts w:ascii="Arial" w:hAnsi="Arial" w:eastAsia="Times New Roman" w:cs="Arial"/>
                <w:b/>
                <w:kern w:val="0"/>
                <w:sz w:val="22"/>
                <w:szCs w:val="22"/>
                <w:lang w:val="en-GB" w:eastAsia="en-US"/>
              </w:rPr>
              <w:t xml:space="preserve">Ethical approval given </w:t>
            </w:r>
          </w:p>
        </w:tc>
      </w:tr>
      <w:tr w14:paraId="225CB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vAlign w:val="center"/>
          </w:tcPr>
          <w:p w14:paraId="51F60E43">
            <w:pPr>
              <w:widowControl/>
              <w:spacing w:before="100" w:beforeAutospacing="1" w:after="100" w:afterAutospacing="1"/>
              <w:jc w:val="center"/>
              <w:rPr>
                <w:rFonts w:ascii="Arial" w:hAnsi="Arial" w:eastAsia="Times New Roman" w:cs="Arial"/>
                <w:bCs/>
                <w:kern w:val="0"/>
                <w:sz w:val="22"/>
                <w:szCs w:val="22"/>
                <w:lang w:val="en-GB" w:eastAsia="en-US"/>
              </w:rPr>
            </w:pPr>
            <w:r>
              <w:rPr>
                <w:rFonts w:ascii="Arial" w:hAnsi="Arial" w:eastAsia="Times New Roman" w:cs="Arial"/>
                <w:bCs/>
                <w:kern w:val="0"/>
                <w:sz w:val="22"/>
                <w:szCs w:val="22"/>
                <w:lang w:val="en-GB" w:eastAsia="en-US"/>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vAlign w:val="center"/>
          </w:tcPr>
          <w:p w14:paraId="678E01E5">
            <w:pPr>
              <w:widowControl/>
              <w:spacing w:before="100" w:beforeAutospacing="1" w:after="100" w:afterAutospacing="1"/>
              <w:jc w:val="left"/>
              <w:rPr>
                <w:rFonts w:ascii="Arial" w:hAnsi="Arial" w:eastAsia="Times New Roman" w:cs="Arial"/>
                <w:kern w:val="0"/>
                <w:sz w:val="22"/>
                <w:szCs w:val="22"/>
                <w:lang w:val="en-GB" w:eastAsia="en-US"/>
              </w:rPr>
            </w:pPr>
            <w:r>
              <w:rPr>
                <w:rFonts w:ascii="Arial" w:hAnsi="Arial" w:eastAsia="Times New Roman" w:cs="Arial"/>
                <w:b/>
                <w:bCs/>
                <w:kern w:val="0"/>
                <w:sz w:val="22"/>
                <w:szCs w:val="22"/>
                <w:lang w:val="en-GB" w:eastAsia="en-US"/>
              </w:rPr>
              <w:t>Signature of assessor:</w:t>
            </w:r>
          </w:p>
        </w:tc>
        <w:tc>
          <w:tcPr>
            <w:tcW w:w="4949" w:type="dxa"/>
            <w:tcBorders>
              <w:left w:val="single" w:color="auto" w:sz="4" w:space="0"/>
            </w:tcBorders>
            <w:vAlign w:val="center"/>
          </w:tcPr>
          <w:p w14:paraId="4DEB9B10">
            <w:pPr>
              <w:widowControl/>
              <w:spacing w:before="100" w:beforeAutospacing="1" w:after="100" w:afterAutospacing="1"/>
              <w:jc w:val="left"/>
              <w:rPr>
                <w:rFonts w:ascii="Arial" w:hAnsi="Arial" w:eastAsia="Times New Roman" w:cs="Arial"/>
                <w:kern w:val="0"/>
                <w:sz w:val="22"/>
                <w:szCs w:val="22"/>
                <w:lang w:val="en-GB" w:eastAsia="en-US"/>
              </w:rPr>
            </w:pPr>
          </w:p>
        </w:tc>
        <w:tc>
          <w:tcPr>
            <w:tcW w:w="2139" w:type="dxa"/>
            <w:vAlign w:val="center"/>
          </w:tcPr>
          <w:p w14:paraId="62A88BBA">
            <w:pPr>
              <w:widowControl/>
              <w:spacing w:before="100" w:beforeAutospacing="1" w:after="100" w:afterAutospacing="1"/>
              <w:jc w:val="left"/>
              <w:rPr>
                <w:rFonts w:ascii="Arial" w:hAnsi="Arial" w:eastAsia="Times New Roman" w:cs="Arial"/>
                <w:b/>
                <w:bCs/>
                <w:kern w:val="0"/>
                <w:sz w:val="22"/>
                <w:szCs w:val="22"/>
                <w:lang w:val="en-GB" w:eastAsia="en-US"/>
              </w:rPr>
            </w:pPr>
            <w:r>
              <w:rPr>
                <w:rFonts w:ascii="Arial" w:hAnsi="Arial" w:eastAsia="Times New Roman" w:cs="Arial"/>
                <w:b/>
                <w:bCs/>
                <w:kern w:val="0"/>
                <w:sz w:val="22"/>
                <w:szCs w:val="22"/>
                <w:lang w:val="en-GB" w:eastAsia="en-US"/>
              </w:rPr>
              <w:t>Date:</w:t>
            </w:r>
          </w:p>
          <w:p w14:paraId="77055361">
            <w:pPr>
              <w:widowControl/>
              <w:spacing w:before="100" w:beforeAutospacing="1" w:after="100" w:afterAutospacing="1"/>
              <w:jc w:val="left"/>
              <w:rPr>
                <w:rFonts w:ascii="Arial" w:hAnsi="Arial" w:eastAsia="Times New Roman" w:cs="Arial"/>
                <w:kern w:val="0"/>
                <w:sz w:val="22"/>
                <w:szCs w:val="22"/>
                <w:lang w:val="en-GB" w:eastAsia="en-US"/>
              </w:rPr>
            </w:pPr>
          </w:p>
        </w:tc>
      </w:tr>
      <w:tr w14:paraId="39630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vAlign w:val="center"/>
          </w:tcPr>
          <w:p w14:paraId="59EF451A">
            <w:pPr>
              <w:widowControl/>
              <w:spacing w:before="100" w:beforeAutospacing="1" w:after="100" w:afterAutospacing="1"/>
              <w:jc w:val="center"/>
              <w:rPr>
                <w:rFonts w:ascii="Arial" w:hAnsi="Arial" w:eastAsia="Times New Roman" w:cs="Arial"/>
                <w:bCs/>
                <w:kern w:val="0"/>
                <w:sz w:val="22"/>
                <w:szCs w:val="22"/>
                <w:lang w:val="en-GB" w:eastAsia="en-US"/>
              </w:rPr>
            </w:pPr>
            <w:r>
              <w:rPr>
                <w:rFonts w:ascii="Arial" w:hAnsi="Arial" w:eastAsia="Times New Roman" w:cs="Arial"/>
                <w:kern w:val="0"/>
                <w:sz w:val="20"/>
                <w:szCs w:val="20"/>
                <w:lang w:val="en-GB" w:eastAsia="en-US"/>
              </w:rPr>
              <w:t>2</w:t>
            </w:r>
          </w:p>
        </w:tc>
        <w:tc>
          <w:tcPr>
            <w:tcW w:w="2835" w:type="dxa"/>
            <w:tcBorders>
              <w:top w:val="single" w:color="auto" w:sz="4" w:space="0"/>
              <w:left w:val="single" w:color="auto" w:sz="4" w:space="0"/>
              <w:bottom w:val="single" w:color="auto" w:sz="4" w:space="0"/>
              <w:right w:val="single" w:color="auto" w:sz="4" w:space="0"/>
            </w:tcBorders>
            <w:shd w:val="clear" w:color="auto" w:fill="F1F1F1"/>
            <w:vAlign w:val="center"/>
          </w:tcPr>
          <w:p w14:paraId="4B3AE663">
            <w:pPr>
              <w:widowControl/>
              <w:spacing w:before="100" w:beforeAutospacing="1" w:after="100" w:afterAutospacing="1"/>
              <w:jc w:val="left"/>
              <w:rPr>
                <w:rFonts w:ascii="Arial" w:hAnsi="Arial" w:eastAsia="Times New Roman" w:cs="Arial"/>
                <w:b/>
                <w:bCs/>
                <w:kern w:val="0"/>
                <w:sz w:val="22"/>
                <w:szCs w:val="22"/>
                <w:lang w:val="en-GB" w:eastAsia="en-US"/>
              </w:rPr>
            </w:pPr>
            <w:r>
              <w:rPr>
                <w:rFonts w:ascii="Arial" w:hAnsi="Arial" w:eastAsia="Times New Roman" w:cs="Arial"/>
                <w:kern w:val="0"/>
                <w:sz w:val="20"/>
                <w:szCs w:val="20"/>
                <w:lang w:val="en-GB" w:eastAsia="en-US"/>
              </w:rPr>
              <w:t>Name:</w:t>
            </w:r>
          </w:p>
        </w:tc>
        <w:tc>
          <w:tcPr>
            <w:tcW w:w="7088" w:type="dxa"/>
            <w:gridSpan w:val="2"/>
            <w:tcBorders>
              <w:left w:val="single" w:color="auto" w:sz="4" w:space="0"/>
            </w:tcBorders>
            <w:vAlign w:val="center"/>
          </w:tcPr>
          <w:p w14:paraId="2DA54C0B">
            <w:pPr>
              <w:widowControl/>
              <w:spacing w:before="100" w:beforeAutospacing="1" w:after="100" w:afterAutospacing="1"/>
              <w:jc w:val="left"/>
              <w:rPr>
                <w:rFonts w:ascii="Arial" w:hAnsi="Arial" w:eastAsia="Times New Roman" w:cs="Arial"/>
                <w:b/>
                <w:bCs/>
                <w:kern w:val="0"/>
                <w:sz w:val="22"/>
                <w:szCs w:val="22"/>
                <w:lang w:val="en-GB" w:eastAsia="en-US"/>
              </w:rPr>
            </w:pPr>
          </w:p>
        </w:tc>
      </w:tr>
      <w:tr w14:paraId="04A31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vAlign w:val="center"/>
          </w:tcPr>
          <w:p w14:paraId="2627C0D8">
            <w:pPr>
              <w:widowControl/>
              <w:spacing w:before="100" w:beforeAutospacing="1" w:after="100" w:afterAutospacing="1"/>
              <w:jc w:val="center"/>
              <w:rPr>
                <w:rFonts w:ascii="Arial" w:hAnsi="Arial" w:eastAsia="Times New Roman" w:cs="Arial"/>
                <w:bCs/>
                <w:kern w:val="0"/>
                <w:sz w:val="22"/>
                <w:szCs w:val="22"/>
                <w:lang w:val="en-GB" w:eastAsia="en-US"/>
              </w:rPr>
            </w:pPr>
            <w:r>
              <w:rPr>
                <w:rFonts w:ascii="Arial" w:hAnsi="Arial" w:eastAsia="Times New Roman" w:cs="Arial"/>
                <w:kern w:val="0"/>
                <w:sz w:val="20"/>
                <w:szCs w:val="20"/>
                <w:lang w:val="en-GB" w:eastAsia="en-US"/>
              </w:rPr>
              <w:t>3</w:t>
            </w:r>
          </w:p>
        </w:tc>
        <w:tc>
          <w:tcPr>
            <w:tcW w:w="2835" w:type="dxa"/>
            <w:tcBorders>
              <w:top w:val="single" w:color="auto" w:sz="4" w:space="0"/>
              <w:left w:val="single" w:color="auto" w:sz="4" w:space="0"/>
              <w:bottom w:val="single" w:color="auto" w:sz="4" w:space="0"/>
              <w:right w:val="single" w:color="auto" w:sz="4" w:space="0"/>
            </w:tcBorders>
            <w:shd w:val="clear" w:color="auto" w:fill="F1F1F1"/>
            <w:vAlign w:val="center"/>
          </w:tcPr>
          <w:p w14:paraId="5E1DE726">
            <w:pPr>
              <w:widowControl/>
              <w:spacing w:before="100" w:beforeAutospacing="1" w:after="100" w:afterAutospacing="1"/>
              <w:jc w:val="left"/>
              <w:rPr>
                <w:rFonts w:ascii="Arial" w:hAnsi="Arial" w:eastAsia="Times New Roman" w:cs="Arial"/>
                <w:b/>
                <w:bCs/>
                <w:kern w:val="0"/>
                <w:sz w:val="22"/>
                <w:szCs w:val="22"/>
                <w:lang w:val="en-GB" w:eastAsia="en-US"/>
              </w:rPr>
            </w:pPr>
            <w:r>
              <w:rPr>
                <w:rFonts w:ascii="Arial" w:hAnsi="Arial" w:eastAsia="Times New Roman" w:cs="Arial"/>
                <w:kern w:val="0"/>
                <w:sz w:val="20"/>
                <w:szCs w:val="20"/>
                <w:lang w:val="en-GB" w:eastAsia="en-US"/>
              </w:rPr>
              <w:t>Role:</w:t>
            </w:r>
          </w:p>
        </w:tc>
        <w:tc>
          <w:tcPr>
            <w:tcW w:w="7088" w:type="dxa"/>
            <w:gridSpan w:val="2"/>
            <w:tcBorders>
              <w:left w:val="single" w:color="auto" w:sz="4" w:space="0"/>
            </w:tcBorders>
            <w:vAlign w:val="center"/>
          </w:tcPr>
          <w:p w14:paraId="3C397DFD">
            <w:pPr>
              <w:widowControl/>
              <w:spacing w:before="100" w:beforeAutospacing="1" w:after="100" w:afterAutospacing="1"/>
              <w:jc w:val="left"/>
              <w:rPr>
                <w:rFonts w:ascii="Arial" w:hAnsi="Arial" w:eastAsia="Times New Roman" w:cs="Arial"/>
                <w:b/>
                <w:bCs/>
                <w:kern w:val="0"/>
                <w:sz w:val="22"/>
                <w:szCs w:val="22"/>
                <w:lang w:val="en-GB" w:eastAsia="en-US"/>
              </w:rPr>
            </w:pPr>
          </w:p>
        </w:tc>
      </w:tr>
    </w:tbl>
    <w:p w14:paraId="009A0EB7">
      <w:pPr>
        <w:widowControl/>
        <w:jc w:val="left"/>
        <w:rPr>
          <w:rFonts w:ascii="Arial" w:hAnsi="Arial" w:eastAsia="Times New Roman" w:cs="Arial"/>
          <w:kern w:val="0"/>
          <w:sz w:val="22"/>
          <w:szCs w:val="22"/>
          <w:lang w:val="en-GB" w:eastAsia="en-US"/>
        </w:rPr>
      </w:pPr>
    </w:p>
    <w:p w14:paraId="60346354">
      <w:pPr>
        <w:widowControl/>
        <w:spacing w:after="200" w:line="276" w:lineRule="auto"/>
        <w:jc w:val="left"/>
        <w:rPr>
          <w:rFonts w:ascii="Times New Roman" w:hAnsi="Times New Roman" w:eastAsia="宋体" w:cs="Times New Roman"/>
          <w:color w:val="000000"/>
          <w:kern w:val="0"/>
          <w:sz w:val="22"/>
          <w:szCs w:val="22"/>
          <w:lang w:eastAsia="en-US"/>
        </w:rPr>
      </w:pPr>
    </w:p>
    <w:p w14:paraId="6CDB15FA">
      <w:pPr>
        <w:widowControl/>
        <w:spacing w:after="160" w:line="360" w:lineRule="auto"/>
        <w:rPr>
          <w:rFonts w:ascii="Times New Roman" w:hAnsi="Times New Roman" w:eastAsia="Calibri" w:cs="Times New Roman"/>
          <w:color w:val="000000"/>
          <w:sz w:val="24"/>
          <w:lang w:eastAsia="en-US"/>
          <w14:ligatures w14:val="standardContextual"/>
        </w:rPr>
      </w:pPr>
    </w:p>
    <w:p w14:paraId="2BE6FE40">
      <w:pPr>
        <w:widowControl/>
        <w:spacing w:after="160" w:line="360" w:lineRule="auto"/>
        <w:rPr>
          <w:rFonts w:ascii="Times New Roman" w:hAnsi="Times New Roman" w:eastAsia="Calibri" w:cs="Times New Roman"/>
          <w:color w:val="000000"/>
          <w:sz w:val="24"/>
          <w:lang w:eastAsia="en-US"/>
          <w14:ligatures w14:val="standardContextual"/>
        </w:rPr>
      </w:pPr>
    </w:p>
    <w:p w14:paraId="57B49C6A">
      <w:pPr>
        <w:widowControl/>
        <w:spacing w:after="160" w:line="360" w:lineRule="auto"/>
        <w:rPr>
          <w:rFonts w:ascii="Times New Roman" w:hAnsi="Times New Roman" w:eastAsia="Calibri" w:cs="Times New Roman"/>
          <w:color w:val="000000"/>
          <w:sz w:val="24"/>
          <w:lang w:eastAsia="en-US"/>
          <w14:ligatures w14:val="standardContextual"/>
        </w:rPr>
      </w:pPr>
    </w:p>
    <w:p w14:paraId="46E16D11">
      <w:pPr>
        <w:widowControl/>
        <w:spacing w:after="160" w:line="360" w:lineRule="auto"/>
        <w:rPr>
          <w:rFonts w:ascii="Times New Roman" w:hAnsi="Times New Roman" w:eastAsia="Calibri" w:cs="Times New Roman"/>
          <w:color w:val="000000"/>
          <w:sz w:val="24"/>
          <w:lang w:eastAsia="en-US"/>
          <w14:ligatures w14:val="standardContextual"/>
        </w:rPr>
      </w:pPr>
    </w:p>
    <w:p w14:paraId="512207DB">
      <w:pPr>
        <w:widowControl/>
        <w:spacing w:after="160" w:line="360" w:lineRule="auto"/>
        <w:rPr>
          <w:rFonts w:ascii="Times New Roman" w:hAnsi="Times New Roman" w:eastAsia="Calibri" w:cs="Times New Roman"/>
          <w:color w:val="000000"/>
          <w:sz w:val="24"/>
          <w:lang w:eastAsia="en-US"/>
          <w14:ligatures w14:val="standardContextual"/>
        </w:rPr>
      </w:pPr>
    </w:p>
    <w:p w14:paraId="21943EDE">
      <w:pPr>
        <w:widowControl/>
        <w:spacing w:after="160" w:line="360" w:lineRule="auto"/>
        <w:rPr>
          <w:rFonts w:ascii="Times New Roman" w:hAnsi="Times New Roman" w:eastAsia="Calibri" w:cs="Times New Roman"/>
          <w:color w:val="000000"/>
          <w:sz w:val="24"/>
          <w:lang w:eastAsia="en-US"/>
          <w14:ligatures w14:val="standardContextual"/>
        </w:rPr>
      </w:pPr>
    </w:p>
    <w:p w14:paraId="4F3C8A1D">
      <w:pPr>
        <w:widowControl/>
        <w:spacing w:after="160" w:line="360" w:lineRule="auto"/>
        <w:rPr>
          <w:rFonts w:ascii="Times New Roman" w:hAnsi="Times New Roman" w:eastAsia="Calibri" w:cs="Times New Roman"/>
          <w:color w:val="000000"/>
          <w:sz w:val="24"/>
          <w:lang w:eastAsia="en-US"/>
          <w14:ligatures w14:val="standardContextual"/>
        </w:rPr>
      </w:pPr>
    </w:p>
    <w:p w14:paraId="608B4E9A"/>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33B67"/>
    <w:multiLevelType w:val="multilevel"/>
    <w:tmpl w:val="03033B67"/>
    <w:lvl w:ilvl="0" w:tentative="0">
      <w:start w:val="12"/>
      <w:numFmt w:val="decimal"/>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
    <w:nsid w:val="03B6008C"/>
    <w:multiLevelType w:val="multilevel"/>
    <w:tmpl w:val="03B6008C"/>
    <w:lvl w:ilvl="0" w:tentative="0">
      <w:start w:val="14"/>
      <w:numFmt w:val="decimal"/>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2">
    <w:nsid w:val="05652EF2"/>
    <w:multiLevelType w:val="multilevel"/>
    <w:tmpl w:val="05652EF2"/>
    <w:lvl w:ilvl="0" w:tentative="0">
      <w:start w:val="1"/>
      <w:numFmt w:val="decimal"/>
      <w:lvlText w:val="%1."/>
      <w:lvlJc w:val="left"/>
      <w:pPr>
        <w:ind w:left="720" w:hanging="360"/>
      </w:p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3">
    <w:nsid w:val="150750B1"/>
    <w:multiLevelType w:val="multilevel"/>
    <w:tmpl w:val="150750B1"/>
    <w:lvl w:ilvl="0" w:tentative="0">
      <w:start w:val="1"/>
      <w:numFmt w:val="bullet"/>
      <w:lvlText w:val=""/>
      <w:lvlJc w:val="left"/>
      <w:pPr>
        <w:tabs>
          <w:tab w:val="left" w:pos="720"/>
        </w:tabs>
        <w:ind w:left="720" w:hanging="360"/>
      </w:pPr>
      <w:rPr>
        <w:rFonts w:hint="default" w:ascii="Symbol" w:hAnsi="Symbol"/>
        <w:sz w:val="20"/>
        <w:szCs w:val="20"/>
      </w:rPr>
    </w:lvl>
    <w:lvl w:ilvl="1" w:tentative="0">
      <w:start w:val="1"/>
      <w:numFmt w:val="bullet"/>
      <w:lvlText w:val="o"/>
      <w:lvlJc w:val="left"/>
      <w:pPr>
        <w:tabs>
          <w:tab w:val="left" w:pos="1440"/>
        </w:tabs>
        <w:ind w:left="1440" w:hanging="360"/>
      </w:pPr>
      <w:rPr>
        <w:rFonts w:hint="default" w:ascii="Courier New" w:hAnsi="Courier New" w:cs="Courier New"/>
        <w:sz w:val="20"/>
        <w:szCs w:val="20"/>
      </w:rPr>
    </w:lvl>
    <w:lvl w:ilvl="2" w:tentative="0">
      <w:start w:val="1"/>
      <w:numFmt w:val="bullet"/>
      <w:lvlText w:val=""/>
      <w:lvlJc w:val="left"/>
      <w:pPr>
        <w:tabs>
          <w:tab w:val="left" w:pos="2160"/>
        </w:tabs>
        <w:ind w:left="2160" w:hanging="360"/>
      </w:pPr>
      <w:rPr>
        <w:rFonts w:hint="default" w:ascii="Wingdings" w:hAnsi="Wingdings"/>
        <w:sz w:val="20"/>
        <w:szCs w:val="20"/>
      </w:rPr>
    </w:lvl>
    <w:lvl w:ilvl="3" w:tentative="0">
      <w:start w:val="1"/>
      <w:numFmt w:val="bullet"/>
      <w:lvlText w:val=""/>
      <w:lvlJc w:val="left"/>
      <w:pPr>
        <w:tabs>
          <w:tab w:val="left" w:pos="2880"/>
        </w:tabs>
        <w:ind w:left="2880" w:hanging="360"/>
      </w:pPr>
      <w:rPr>
        <w:rFonts w:hint="default" w:ascii="Wingdings" w:hAnsi="Wingdings"/>
        <w:sz w:val="20"/>
        <w:szCs w:val="20"/>
      </w:rPr>
    </w:lvl>
    <w:lvl w:ilvl="4" w:tentative="0">
      <w:start w:val="1"/>
      <w:numFmt w:val="bullet"/>
      <w:lvlText w:val=""/>
      <w:lvlJc w:val="left"/>
      <w:pPr>
        <w:tabs>
          <w:tab w:val="left" w:pos="3600"/>
        </w:tabs>
        <w:ind w:left="3600" w:hanging="360"/>
      </w:pPr>
      <w:rPr>
        <w:rFonts w:hint="default" w:ascii="Wingdings" w:hAnsi="Wingdings"/>
        <w:sz w:val="20"/>
        <w:szCs w:val="20"/>
      </w:rPr>
    </w:lvl>
    <w:lvl w:ilvl="5" w:tentative="0">
      <w:start w:val="1"/>
      <w:numFmt w:val="bullet"/>
      <w:lvlText w:val=""/>
      <w:lvlJc w:val="left"/>
      <w:pPr>
        <w:tabs>
          <w:tab w:val="left" w:pos="4320"/>
        </w:tabs>
        <w:ind w:left="4320" w:hanging="360"/>
      </w:pPr>
      <w:rPr>
        <w:rFonts w:hint="default" w:ascii="Wingdings" w:hAnsi="Wingdings"/>
        <w:sz w:val="20"/>
        <w:szCs w:val="20"/>
      </w:rPr>
    </w:lvl>
    <w:lvl w:ilvl="6" w:tentative="0">
      <w:start w:val="1"/>
      <w:numFmt w:val="bullet"/>
      <w:lvlText w:val=""/>
      <w:lvlJc w:val="left"/>
      <w:pPr>
        <w:tabs>
          <w:tab w:val="left" w:pos="5040"/>
        </w:tabs>
        <w:ind w:left="5040" w:hanging="360"/>
      </w:pPr>
      <w:rPr>
        <w:rFonts w:hint="default" w:ascii="Wingdings" w:hAnsi="Wingdings"/>
        <w:sz w:val="20"/>
        <w:szCs w:val="20"/>
      </w:rPr>
    </w:lvl>
    <w:lvl w:ilvl="7" w:tentative="0">
      <w:start w:val="1"/>
      <w:numFmt w:val="bullet"/>
      <w:lvlText w:val=""/>
      <w:lvlJc w:val="left"/>
      <w:pPr>
        <w:tabs>
          <w:tab w:val="left" w:pos="5760"/>
        </w:tabs>
        <w:ind w:left="5760" w:hanging="360"/>
      </w:pPr>
      <w:rPr>
        <w:rFonts w:hint="default" w:ascii="Wingdings" w:hAnsi="Wingdings"/>
        <w:sz w:val="20"/>
        <w:szCs w:val="20"/>
      </w:rPr>
    </w:lvl>
    <w:lvl w:ilvl="8" w:tentative="0">
      <w:start w:val="1"/>
      <w:numFmt w:val="bullet"/>
      <w:lvlText w:val=""/>
      <w:lvlJc w:val="left"/>
      <w:pPr>
        <w:tabs>
          <w:tab w:val="left" w:pos="6480"/>
        </w:tabs>
        <w:ind w:left="6480" w:hanging="360"/>
      </w:pPr>
      <w:rPr>
        <w:rFonts w:hint="default" w:ascii="Wingdings" w:hAnsi="Wingdings"/>
        <w:sz w:val="20"/>
        <w:szCs w:val="20"/>
      </w:rPr>
    </w:lvl>
  </w:abstractNum>
  <w:abstractNum w:abstractNumId="4">
    <w:nsid w:val="20476ABC"/>
    <w:multiLevelType w:val="multilevel"/>
    <w:tmpl w:val="20476ABC"/>
    <w:lvl w:ilvl="0" w:tentative="0">
      <w:start w:val="1"/>
      <w:numFmt w:val="bullet"/>
      <w:lvlText w:val=""/>
      <w:lvlJc w:val="left"/>
      <w:pPr>
        <w:tabs>
          <w:tab w:val="left" w:pos="720"/>
        </w:tabs>
        <w:ind w:left="720" w:hanging="360"/>
      </w:pPr>
      <w:rPr>
        <w:rFonts w:hint="default" w:ascii="Symbol" w:hAnsi="Symbol"/>
        <w:sz w:val="20"/>
        <w:szCs w:val="20"/>
      </w:rPr>
    </w:lvl>
    <w:lvl w:ilvl="1" w:tentative="0">
      <w:start w:val="1"/>
      <w:numFmt w:val="bullet"/>
      <w:lvlText w:val="o"/>
      <w:lvlJc w:val="left"/>
      <w:pPr>
        <w:tabs>
          <w:tab w:val="left" w:pos="1440"/>
        </w:tabs>
        <w:ind w:left="1440" w:hanging="360"/>
      </w:pPr>
      <w:rPr>
        <w:rFonts w:hint="default" w:ascii="Courier New" w:hAnsi="Courier New" w:cs="Courier New"/>
        <w:sz w:val="20"/>
        <w:szCs w:val="20"/>
      </w:rPr>
    </w:lvl>
    <w:lvl w:ilvl="2" w:tentative="0">
      <w:start w:val="1"/>
      <w:numFmt w:val="bullet"/>
      <w:lvlText w:val=""/>
      <w:lvlJc w:val="left"/>
      <w:pPr>
        <w:tabs>
          <w:tab w:val="left" w:pos="2160"/>
        </w:tabs>
        <w:ind w:left="2160" w:hanging="360"/>
      </w:pPr>
      <w:rPr>
        <w:rFonts w:hint="default" w:ascii="Wingdings" w:hAnsi="Wingdings"/>
        <w:sz w:val="20"/>
        <w:szCs w:val="20"/>
      </w:rPr>
    </w:lvl>
    <w:lvl w:ilvl="3" w:tentative="0">
      <w:start w:val="1"/>
      <w:numFmt w:val="bullet"/>
      <w:lvlText w:val=""/>
      <w:lvlJc w:val="left"/>
      <w:pPr>
        <w:tabs>
          <w:tab w:val="left" w:pos="2880"/>
        </w:tabs>
        <w:ind w:left="2880" w:hanging="360"/>
      </w:pPr>
      <w:rPr>
        <w:rFonts w:hint="default" w:ascii="Wingdings" w:hAnsi="Wingdings"/>
        <w:sz w:val="20"/>
        <w:szCs w:val="20"/>
      </w:rPr>
    </w:lvl>
    <w:lvl w:ilvl="4" w:tentative="0">
      <w:start w:val="1"/>
      <w:numFmt w:val="bullet"/>
      <w:lvlText w:val=""/>
      <w:lvlJc w:val="left"/>
      <w:pPr>
        <w:tabs>
          <w:tab w:val="left" w:pos="3600"/>
        </w:tabs>
        <w:ind w:left="3600" w:hanging="360"/>
      </w:pPr>
      <w:rPr>
        <w:rFonts w:hint="default" w:ascii="Wingdings" w:hAnsi="Wingdings"/>
        <w:sz w:val="20"/>
        <w:szCs w:val="20"/>
      </w:rPr>
    </w:lvl>
    <w:lvl w:ilvl="5" w:tentative="0">
      <w:start w:val="1"/>
      <w:numFmt w:val="bullet"/>
      <w:lvlText w:val=""/>
      <w:lvlJc w:val="left"/>
      <w:pPr>
        <w:tabs>
          <w:tab w:val="left" w:pos="4320"/>
        </w:tabs>
        <w:ind w:left="4320" w:hanging="360"/>
      </w:pPr>
      <w:rPr>
        <w:rFonts w:hint="default" w:ascii="Wingdings" w:hAnsi="Wingdings"/>
        <w:sz w:val="20"/>
        <w:szCs w:val="20"/>
      </w:rPr>
    </w:lvl>
    <w:lvl w:ilvl="6" w:tentative="0">
      <w:start w:val="1"/>
      <w:numFmt w:val="bullet"/>
      <w:lvlText w:val=""/>
      <w:lvlJc w:val="left"/>
      <w:pPr>
        <w:tabs>
          <w:tab w:val="left" w:pos="5040"/>
        </w:tabs>
        <w:ind w:left="5040" w:hanging="360"/>
      </w:pPr>
      <w:rPr>
        <w:rFonts w:hint="default" w:ascii="Wingdings" w:hAnsi="Wingdings"/>
        <w:sz w:val="20"/>
        <w:szCs w:val="20"/>
      </w:rPr>
    </w:lvl>
    <w:lvl w:ilvl="7" w:tentative="0">
      <w:start w:val="1"/>
      <w:numFmt w:val="bullet"/>
      <w:lvlText w:val=""/>
      <w:lvlJc w:val="left"/>
      <w:pPr>
        <w:tabs>
          <w:tab w:val="left" w:pos="5760"/>
        </w:tabs>
        <w:ind w:left="5760" w:hanging="360"/>
      </w:pPr>
      <w:rPr>
        <w:rFonts w:hint="default" w:ascii="Wingdings" w:hAnsi="Wingdings"/>
        <w:sz w:val="20"/>
        <w:szCs w:val="20"/>
      </w:rPr>
    </w:lvl>
    <w:lvl w:ilvl="8" w:tentative="0">
      <w:start w:val="1"/>
      <w:numFmt w:val="bullet"/>
      <w:lvlText w:val=""/>
      <w:lvlJc w:val="left"/>
      <w:pPr>
        <w:tabs>
          <w:tab w:val="left" w:pos="6480"/>
        </w:tabs>
        <w:ind w:left="6480" w:hanging="360"/>
      </w:pPr>
      <w:rPr>
        <w:rFonts w:hint="default" w:ascii="Wingdings" w:hAnsi="Wingdings"/>
        <w:sz w:val="20"/>
        <w:szCs w:val="20"/>
      </w:rPr>
    </w:lvl>
  </w:abstractNum>
  <w:abstractNum w:abstractNumId="5">
    <w:nsid w:val="236628B5"/>
    <w:multiLevelType w:val="multilevel"/>
    <w:tmpl w:val="236628B5"/>
    <w:lvl w:ilvl="0" w:tentative="0">
      <w:start w:val="1"/>
      <w:numFmt w:val="bullet"/>
      <w:lvlText w:val=""/>
      <w:lvlJc w:val="left"/>
      <w:pPr>
        <w:tabs>
          <w:tab w:val="left" w:pos="720"/>
        </w:tabs>
        <w:ind w:left="720" w:hanging="360"/>
      </w:pPr>
      <w:rPr>
        <w:rFonts w:hint="default" w:ascii="Symbol" w:hAnsi="Symbol"/>
        <w:sz w:val="20"/>
        <w:szCs w:val="20"/>
      </w:rPr>
    </w:lvl>
    <w:lvl w:ilvl="1" w:tentative="0">
      <w:start w:val="1"/>
      <w:numFmt w:val="bullet"/>
      <w:lvlText w:val="o"/>
      <w:lvlJc w:val="left"/>
      <w:pPr>
        <w:tabs>
          <w:tab w:val="left" w:pos="1440"/>
        </w:tabs>
        <w:ind w:left="1440" w:hanging="360"/>
      </w:pPr>
      <w:rPr>
        <w:rFonts w:hint="default" w:ascii="Courier New" w:hAnsi="Courier New" w:cs="Courier New"/>
        <w:sz w:val="20"/>
        <w:szCs w:val="20"/>
      </w:rPr>
    </w:lvl>
    <w:lvl w:ilvl="2" w:tentative="0">
      <w:start w:val="1"/>
      <w:numFmt w:val="bullet"/>
      <w:lvlText w:val=""/>
      <w:lvlJc w:val="left"/>
      <w:pPr>
        <w:tabs>
          <w:tab w:val="left" w:pos="2160"/>
        </w:tabs>
        <w:ind w:left="2160" w:hanging="360"/>
      </w:pPr>
      <w:rPr>
        <w:rFonts w:hint="default" w:ascii="Wingdings" w:hAnsi="Wingdings"/>
        <w:sz w:val="20"/>
        <w:szCs w:val="20"/>
      </w:rPr>
    </w:lvl>
    <w:lvl w:ilvl="3" w:tentative="0">
      <w:start w:val="1"/>
      <w:numFmt w:val="bullet"/>
      <w:lvlText w:val=""/>
      <w:lvlJc w:val="left"/>
      <w:pPr>
        <w:tabs>
          <w:tab w:val="left" w:pos="2880"/>
        </w:tabs>
        <w:ind w:left="2880" w:hanging="360"/>
      </w:pPr>
      <w:rPr>
        <w:rFonts w:hint="default" w:ascii="Wingdings" w:hAnsi="Wingdings"/>
        <w:sz w:val="20"/>
        <w:szCs w:val="20"/>
      </w:rPr>
    </w:lvl>
    <w:lvl w:ilvl="4" w:tentative="0">
      <w:start w:val="1"/>
      <w:numFmt w:val="bullet"/>
      <w:lvlText w:val=""/>
      <w:lvlJc w:val="left"/>
      <w:pPr>
        <w:tabs>
          <w:tab w:val="left" w:pos="3600"/>
        </w:tabs>
        <w:ind w:left="3600" w:hanging="360"/>
      </w:pPr>
      <w:rPr>
        <w:rFonts w:hint="default" w:ascii="Wingdings" w:hAnsi="Wingdings"/>
        <w:sz w:val="20"/>
        <w:szCs w:val="20"/>
      </w:rPr>
    </w:lvl>
    <w:lvl w:ilvl="5" w:tentative="0">
      <w:start w:val="1"/>
      <w:numFmt w:val="bullet"/>
      <w:lvlText w:val=""/>
      <w:lvlJc w:val="left"/>
      <w:pPr>
        <w:tabs>
          <w:tab w:val="left" w:pos="4320"/>
        </w:tabs>
        <w:ind w:left="4320" w:hanging="360"/>
      </w:pPr>
      <w:rPr>
        <w:rFonts w:hint="default" w:ascii="Wingdings" w:hAnsi="Wingdings"/>
        <w:sz w:val="20"/>
        <w:szCs w:val="20"/>
      </w:rPr>
    </w:lvl>
    <w:lvl w:ilvl="6" w:tentative="0">
      <w:start w:val="1"/>
      <w:numFmt w:val="bullet"/>
      <w:lvlText w:val=""/>
      <w:lvlJc w:val="left"/>
      <w:pPr>
        <w:tabs>
          <w:tab w:val="left" w:pos="5040"/>
        </w:tabs>
        <w:ind w:left="5040" w:hanging="360"/>
      </w:pPr>
      <w:rPr>
        <w:rFonts w:hint="default" w:ascii="Wingdings" w:hAnsi="Wingdings"/>
        <w:sz w:val="20"/>
        <w:szCs w:val="20"/>
      </w:rPr>
    </w:lvl>
    <w:lvl w:ilvl="7" w:tentative="0">
      <w:start w:val="1"/>
      <w:numFmt w:val="bullet"/>
      <w:lvlText w:val=""/>
      <w:lvlJc w:val="left"/>
      <w:pPr>
        <w:tabs>
          <w:tab w:val="left" w:pos="5760"/>
        </w:tabs>
        <w:ind w:left="5760" w:hanging="360"/>
      </w:pPr>
      <w:rPr>
        <w:rFonts w:hint="default" w:ascii="Wingdings" w:hAnsi="Wingdings"/>
        <w:sz w:val="20"/>
        <w:szCs w:val="20"/>
      </w:rPr>
    </w:lvl>
    <w:lvl w:ilvl="8" w:tentative="0">
      <w:start w:val="1"/>
      <w:numFmt w:val="bullet"/>
      <w:lvlText w:val=""/>
      <w:lvlJc w:val="left"/>
      <w:pPr>
        <w:tabs>
          <w:tab w:val="left" w:pos="6480"/>
        </w:tabs>
        <w:ind w:left="6480" w:hanging="360"/>
      </w:pPr>
      <w:rPr>
        <w:rFonts w:hint="default" w:ascii="Wingdings" w:hAnsi="Wingdings"/>
        <w:sz w:val="20"/>
        <w:szCs w:val="20"/>
      </w:rPr>
    </w:lvl>
  </w:abstractNum>
  <w:abstractNum w:abstractNumId="6">
    <w:nsid w:val="26704CCA"/>
    <w:multiLevelType w:val="multilevel"/>
    <w:tmpl w:val="26704CC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E5D57D0"/>
    <w:multiLevelType w:val="multilevel"/>
    <w:tmpl w:val="2E5D57D0"/>
    <w:lvl w:ilvl="0" w:tentative="0">
      <w:start w:val="15"/>
      <w:numFmt w:val="decimal"/>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8">
    <w:nsid w:val="397914D5"/>
    <w:multiLevelType w:val="multilevel"/>
    <w:tmpl w:val="397914D5"/>
    <w:lvl w:ilvl="0" w:tentative="0">
      <w:start w:val="1"/>
      <w:numFmt w:val="bullet"/>
      <w:lvlText w:val=""/>
      <w:lvlJc w:val="left"/>
      <w:pPr>
        <w:tabs>
          <w:tab w:val="left" w:pos="720"/>
        </w:tabs>
        <w:ind w:left="720" w:hanging="360"/>
      </w:pPr>
      <w:rPr>
        <w:rFonts w:hint="default" w:ascii="Symbol" w:hAnsi="Symbol"/>
        <w:sz w:val="20"/>
        <w:szCs w:val="20"/>
      </w:rPr>
    </w:lvl>
    <w:lvl w:ilvl="1" w:tentative="0">
      <w:start w:val="1"/>
      <w:numFmt w:val="bullet"/>
      <w:lvlText w:val="o"/>
      <w:lvlJc w:val="left"/>
      <w:pPr>
        <w:tabs>
          <w:tab w:val="left" w:pos="1440"/>
        </w:tabs>
        <w:ind w:left="1440" w:hanging="360"/>
      </w:pPr>
      <w:rPr>
        <w:rFonts w:hint="default" w:ascii="Courier New" w:hAnsi="Courier New" w:cs="Courier New"/>
        <w:sz w:val="20"/>
        <w:szCs w:val="20"/>
      </w:rPr>
    </w:lvl>
    <w:lvl w:ilvl="2" w:tentative="0">
      <w:start w:val="1"/>
      <w:numFmt w:val="bullet"/>
      <w:lvlText w:val=""/>
      <w:lvlJc w:val="left"/>
      <w:pPr>
        <w:tabs>
          <w:tab w:val="left" w:pos="2160"/>
        </w:tabs>
        <w:ind w:left="2160" w:hanging="360"/>
      </w:pPr>
      <w:rPr>
        <w:rFonts w:hint="default" w:ascii="Wingdings" w:hAnsi="Wingdings"/>
        <w:sz w:val="20"/>
        <w:szCs w:val="20"/>
      </w:rPr>
    </w:lvl>
    <w:lvl w:ilvl="3" w:tentative="0">
      <w:start w:val="1"/>
      <w:numFmt w:val="bullet"/>
      <w:lvlText w:val=""/>
      <w:lvlJc w:val="left"/>
      <w:pPr>
        <w:tabs>
          <w:tab w:val="left" w:pos="2880"/>
        </w:tabs>
        <w:ind w:left="2880" w:hanging="360"/>
      </w:pPr>
      <w:rPr>
        <w:rFonts w:hint="default" w:ascii="Wingdings" w:hAnsi="Wingdings"/>
        <w:sz w:val="20"/>
        <w:szCs w:val="20"/>
      </w:rPr>
    </w:lvl>
    <w:lvl w:ilvl="4" w:tentative="0">
      <w:start w:val="1"/>
      <w:numFmt w:val="bullet"/>
      <w:lvlText w:val=""/>
      <w:lvlJc w:val="left"/>
      <w:pPr>
        <w:tabs>
          <w:tab w:val="left" w:pos="3600"/>
        </w:tabs>
        <w:ind w:left="3600" w:hanging="360"/>
      </w:pPr>
      <w:rPr>
        <w:rFonts w:hint="default" w:ascii="Wingdings" w:hAnsi="Wingdings"/>
        <w:sz w:val="20"/>
        <w:szCs w:val="20"/>
      </w:rPr>
    </w:lvl>
    <w:lvl w:ilvl="5" w:tentative="0">
      <w:start w:val="1"/>
      <w:numFmt w:val="bullet"/>
      <w:lvlText w:val=""/>
      <w:lvlJc w:val="left"/>
      <w:pPr>
        <w:tabs>
          <w:tab w:val="left" w:pos="4320"/>
        </w:tabs>
        <w:ind w:left="4320" w:hanging="360"/>
      </w:pPr>
      <w:rPr>
        <w:rFonts w:hint="default" w:ascii="Wingdings" w:hAnsi="Wingdings"/>
        <w:sz w:val="20"/>
        <w:szCs w:val="20"/>
      </w:rPr>
    </w:lvl>
    <w:lvl w:ilvl="6" w:tentative="0">
      <w:start w:val="1"/>
      <w:numFmt w:val="bullet"/>
      <w:lvlText w:val=""/>
      <w:lvlJc w:val="left"/>
      <w:pPr>
        <w:tabs>
          <w:tab w:val="left" w:pos="5040"/>
        </w:tabs>
        <w:ind w:left="5040" w:hanging="360"/>
      </w:pPr>
      <w:rPr>
        <w:rFonts w:hint="default" w:ascii="Wingdings" w:hAnsi="Wingdings"/>
        <w:sz w:val="20"/>
        <w:szCs w:val="20"/>
      </w:rPr>
    </w:lvl>
    <w:lvl w:ilvl="7" w:tentative="0">
      <w:start w:val="1"/>
      <w:numFmt w:val="bullet"/>
      <w:lvlText w:val=""/>
      <w:lvlJc w:val="left"/>
      <w:pPr>
        <w:tabs>
          <w:tab w:val="left" w:pos="5760"/>
        </w:tabs>
        <w:ind w:left="5760" w:hanging="360"/>
      </w:pPr>
      <w:rPr>
        <w:rFonts w:hint="default" w:ascii="Wingdings" w:hAnsi="Wingdings"/>
        <w:sz w:val="20"/>
        <w:szCs w:val="20"/>
      </w:rPr>
    </w:lvl>
    <w:lvl w:ilvl="8" w:tentative="0">
      <w:start w:val="1"/>
      <w:numFmt w:val="bullet"/>
      <w:lvlText w:val=""/>
      <w:lvlJc w:val="left"/>
      <w:pPr>
        <w:tabs>
          <w:tab w:val="left" w:pos="6480"/>
        </w:tabs>
        <w:ind w:left="6480" w:hanging="360"/>
      </w:pPr>
      <w:rPr>
        <w:rFonts w:hint="default" w:ascii="Wingdings" w:hAnsi="Wingdings"/>
        <w:sz w:val="20"/>
        <w:szCs w:val="20"/>
      </w:rPr>
    </w:lvl>
  </w:abstractNum>
  <w:abstractNum w:abstractNumId="9">
    <w:nsid w:val="437403E9"/>
    <w:multiLevelType w:val="multilevel"/>
    <w:tmpl w:val="437403E9"/>
    <w:lvl w:ilvl="0" w:tentative="0">
      <w:start w:val="13"/>
      <w:numFmt w:val="decimal"/>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0">
    <w:nsid w:val="44633E21"/>
    <w:multiLevelType w:val="multilevel"/>
    <w:tmpl w:val="44633E21"/>
    <w:lvl w:ilvl="0" w:tentative="0">
      <w:start w:val="6"/>
      <w:numFmt w:val="decimal"/>
      <w:lvlText w:val="%1."/>
      <w:lvlJc w:val="left"/>
      <w:pPr>
        <w:tabs>
          <w:tab w:val="left" w:pos="720"/>
        </w:tabs>
        <w:ind w:left="720" w:hanging="360"/>
      </w:pPr>
      <w:rPr>
        <w:rFonts w:hint="default" w:ascii="Times New Roman" w:hAnsi="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sz w:val="20"/>
        <w:szCs w:val="20"/>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1">
    <w:nsid w:val="476E0893"/>
    <w:multiLevelType w:val="multilevel"/>
    <w:tmpl w:val="476E0893"/>
    <w:lvl w:ilvl="0" w:tentative="0">
      <w:start w:val="2"/>
      <w:numFmt w:val="decimal"/>
      <w:lvlText w:val="%1."/>
      <w:lvlJc w:val="left"/>
      <w:pPr>
        <w:ind w:left="480" w:hanging="48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12">
    <w:nsid w:val="60404BFC"/>
    <w:multiLevelType w:val="multilevel"/>
    <w:tmpl w:val="60404BFC"/>
    <w:lvl w:ilvl="0" w:tentative="0">
      <w:start w:val="11"/>
      <w:numFmt w:val="decimal"/>
      <w:lvlText w:val="%1."/>
      <w:lvlJc w:val="left"/>
      <w:pPr>
        <w:tabs>
          <w:tab w:val="left" w:pos="720"/>
        </w:tabs>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3">
    <w:nsid w:val="66495E5E"/>
    <w:multiLevelType w:val="multilevel"/>
    <w:tmpl w:val="66495E5E"/>
    <w:lvl w:ilvl="0" w:tentative="0">
      <w:start w:val="5"/>
      <w:numFmt w:val="decimal"/>
      <w:lvlText w:val="%1."/>
      <w:lvlJc w:val="left"/>
      <w:pPr>
        <w:ind w:left="480" w:hanging="480"/>
      </w:pPr>
      <w:rPr>
        <w:rFonts w:hint="default"/>
      </w:rPr>
    </w:lvl>
    <w:lvl w:ilvl="1" w:tentative="0">
      <w:start w:val="2"/>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14">
    <w:nsid w:val="67FE4DD2"/>
    <w:multiLevelType w:val="multilevel"/>
    <w:tmpl w:val="67FE4DD2"/>
    <w:lvl w:ilvl="0" w:tentative="0">
      <w:start w:val="1"/>
      <w:numFmt w:val="bullet"/>
      <w:lvlText w:val=""/>
      <w:lvlJc w:val="left"/>
      <w:pPr>
        <w:tabs>
          <w:tab w:val="left" w:pos="720"/>
        </w:tabs>
        <w:ind w:left="720" w:hanging="360"/>
      </w:pPr>
      <w:rPr>
        <w:rFonts w:hint="default" w:ascii="Symbol" w:hAnsi="Symbol"/>
        <w:sz w:val="20"/>
        <w:szCs w:val="20"/>
      </w:rPr>
    </w:lvl>
    <w:lvl w:ilvl="1" w:tentative="0">
      <w:start w:val="1"/>
      <w:numFmt w:val="bullet"/>
      <w:lvlText w:val="o"/>
      <w:lvlJc w:val="left"/>
      <w:pPr>
        <w:tabs>
          <w:tab w:val="left" w:pos="1440"/>
        </w:tabs>
        <w:ind w:left="1440" w:hanging="360"/>
      </w:pPr>
      <w:rPr>
        <w:rFonts w:hint="default" w:ascii="Courier New" w:hAnsi="Courier New" w:cs="Courier New"/>
        <w:sz w:val="20"/>
        <w:szCs w:val="20"/>
      </w:rPr>
    </w:lvl>
    <w:lvl w:ilvl="2" w:tentative="0">
      <w:start w:val="1"/>
      <w:numFmt w:val="bullet"/>
      <w:lvlText w:val=""/>
      <w:lvlJc w:val="left"/>
      <w:pPr>
        <w:tabs>
          <w:tab w:val="left" w:pos="2160"/>
        </w:tabs>
        <w:ind w:left="2160" w:hanging="360"/>
      </w:pPr>
      <w:rPr>
        <w:rFonts w:hint="default" w:ascii="Wingdings" w:hAnsi="Wingdings"/>
        <w:sz w:val="20"/>
        <w:szCs w:val="20"/>
      </w:rPr>
    </w:lvl>
    <w:lvl w:ilvl="3" w:tentative="0">
      <w:start w:val="1"/>
      <w:numFmt w:val="bullet"/>
      <w:lvlText w:val=""/>
      <w:lvlJc w:val="left"/>
      <w:pPr>
        <w:tabs>
          <w:tab w:val="left" w:pos="2880"/>
        </w:tabs>
        <w:ind w:left="2880" w:hanging="360"/>
      </w:pPr>
      <w:rPr>
        <w:rFonts w:hint="default" w:ascii="Wingdings" w:hAnsi="Wingdings"/>
        <w:sz w:val="20"/>
        <w:szCs w:val="20"/>
      </w:rPr>
    </w:lvl>
    <w:lvl w:ilvl="4" w:tentative="0">
      <w:start w:val="1"/>
      <w:numFmt w:val="bullet"/>
      <w:lvlText w:val=""/>
      <w:lvlJc w:val="left"/>
      <w:pPr>
        <w:tabs>
          <w:tab w:val="left" w:pos="3600"/>
        </w:tabs>
        <w:ind w:left="3600" w:hanging="360"/>
      </w:pPr>
      <w:rPr>
        <w:rFonts w:hint="default" w:ascii="Wingdings" w:hAnsi="Wingdings"/>
        <w:sz w:val="20"/>
        <w:szCs w:val="20"/>
      </w:rPr>
    </w:lvl>
    <w:lvl w:ilvl="5" w:tentative="0">
      <w:start w:val="1"/>
      <w:numFmt w:val="bullet"/>
      <w:lvlText w:val=""/>
      <w:lvlJc w:val="left"/>
      <w:pPr>
        <w:tabs>
          <w:tab w:val="left" w:pos="4320"/>
        </w:tabs>
        <w:ind w:left="4320" w:hanging="360"/>
      </w:pPr>
      <w:rPr>
        <w:rFonts w:hint="default" w:ascii="Wingdings" w:hAnsi="Wingdings"/>
        <w:sz w:val="20"/>
        <w:szCs w:val="20"/>
      </w:rPr>
    </w:lvl>
    <w:lvl w:ilvl="6" w:tentative="0">
      <w:start w:val="1"/>
      <w:numFmt w:val="bullet"/>
      <w:lvlText w:val=""/>
      <w:lvlJc w:val="left"/>
      <w:pPr>
        <w:tabs>
          <w:tab w:val="left" w:pos="5040"/>
        </w:tabs>
        <w:ind w:left="5040" w:hanging="360"/>
      </w:pPr>
      <w:rPr>
        <w:rFonts w:hint="default" w:ascii="Wingdings" w:hAnsi="Wingdings"/>
        <w:sz w:val="20"/>
        <w:szCs w:val="20"/>
      </w:rPr>
    </w:lvl>
    <w:lvl w:ilvl="7" w:tentative="0">
      <w:start w:val="1"/>
      <w:numFmt w:val="bullet"/>
      <w:lvlText w:val=""/>
      <w:lvlJc w:val="left"/>
      <w:pPr>
        <w:tabs>
          <w:tab w:val="left" w:pos="5760"/>
        </w:tabs>
        <w:ind w:left="5760" w:hanging="360"/>
      </w:pPr>
      <w:rPr>
        <w:rFonts w:hint="default" w:ascii="Wingdings" w:hAnsi="Wingdings"/>
        <w:sz w:val="20"/>
        <w:szCs w:val="20"/>
      </w:rPr>
    </w:lvl>
    <w:lvl w:ilvl="8" w:tentative="0">
      <w:start w:val="1"/>
      <w:numFmt w:val="bullet"/>
      <w:lvlText w:val=""/>
      <w:lvlJc w:val="left"/>
      <w:pPr>
        <w:tabs>
          <w:tab w:val="left" w:pos="6480"/>
        </w:tabs>
        <w:ind w:left="6480" w:hanging="360"/>
      </w:pPr>
      <w:rPr>
        <w:rFonts w:hint="default" w:ascii="Wingdings" w:hAnsi="Wingdings"/>
        <w:sz w:val="20"/>
        <w:szCs w:val="20"/>
      </w:rPr>
    </w:lvl>
  </w:abstractNum>
  <w:abstractNum w:abstractNumId="15">
    <w:nsid w:val="69023B2C"/>
    <w:multiLevelType w:val="multilevel"/>
    <w:tmpl w:val="69023B2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BC752EC"/>
    <w:multiLevelType w:val="multilevel"/>
    <w:tmpl w:val="7BC752E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15"/>
  </w:num>
  <w:num w:numId="3">
    <w:abstractNumId w:val="11"/>
  </w:num>
  <w:num w:numId="4">
    <w:abstractNumId w:val="6"/>
  </w:num>
  <w:num w:numId="5">
    <w:abstractNumId w:val="13"/>
  </w:num>
  <w:num w:numId="6">
    <w:abstractNumId w:val="10"/>
    <w:lvlOverride w:ilvl="0">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4C2"/>
    <w:rsid w:val="001B59FE"/>
    <w:rsid w:val="00241767"/>
    <w:rsid w:val="00706EBE"/>
    <w:rsid w:val="007E04C2"/>
    <w:rsid w:val="00884E5A"/>
    <w:rsid w:val="00980C5F"/>
    <w:rsid w:val="009B5133"/>
    <w:rsid w:val="00BB2398"/>
    <w:rsid w:val="00DE1465"/>
    <w:rsid w:val="00FF15E1"/>
    <w:rsid w:val="09F9637D"/>
    <w:rsid w:val="16840CAA"/>
    <w:rsid w:val="24B83ECE"/>
    <w:rsid w:val="3A445C0E"/>
    <w:rsid w:val="4D317BA5"/>
    <w:rsid w:val="70C27B33"/>
    <w:rsid w:val="74284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39"/>
    <w:pPr>
      <w:ind w:left="840" w:leftChars="400"/>
    </w:pPr>
  </w:style>
  <w:style w:type="paragraph" w:styleId="3">
    <w:name w:val="toc 1"/>
    <w:basedOn w:val="1"/>
    <w:next w:val="1"/>
    <w:qFormat/>
    <w:uiPriority w:val="39"/>
  </w:style>
  <w:style w:type="paragraph" w:styleId="4">
    <w:name w:val="toc 2"/>
    <w:basedOn w:val="1"/>
    <w:next w:val="1"/>
    <w:qFormat/>
    <w:uiPriority w:val="39"/>
    <w:pPr>
      <w:ind w:left="420" w:leftChars="200"/>
    </w:pPr>
  </w:style>
  <w:style w:type="table" w:styleId="6">
    <w:name w:val="Table Grid"/>
    <w:qFormat/>
    <w:uiPriority w:val="59"/>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026E5" w:themeColor="hyperlink"/>
      <w:u w:val="single"/>
      <w14:textFill>
        <w14:solidFill>
          <w14:schemeClr w14:val="hlink"/>
        </w14:solidFill>
      </w14:textFill>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5c30c7d-f505-4e61-9473-aa25261c0f9b}"/>
        <w:style w:val=""/>
        <w:category>
          <w:name w:val="General"/>
          <w:gallery w:val="placeholder"/>
        </w:category>
        <w:types>
          <w:type w:val="bbPlcHdr"/>
        </w:types>
        <w:behaviors>
          <w:behavior w:val="content"/>
        </w:behaviors>
        <w:description w:val=""/>
        <w:guid w:val="{35C30C7D-F505-4E61-9473-AA25261C0F9B}"/>
      </w:docPartPr>
      <w:docPartBody>
        <w:p w14:paraId="77CBBB35">
          <w:pPr>
            <w:pStyle w:val="4"/>
            <w:rPr>
              <w:rFonts w:hint="eastAsia"/>
            </w:rPr>
          </w:pPr>
          <w:r>
            <w:rPr>
              <w:color w:val="4874CB" w:themeColor="accent1"/>
              <w:sz w:val="28"/>
              <w:szCs w:val="28"/>
              <w14:textFill>
                <w14:solidFill>
                  <w14:schemeClr w14:val="accent1"/>
                </w14:solidFill>
              </w14:textFill>
            </w:rPr>
            <w:t>[Document subtitle]</w:t>
          </w:r>
        </w:p>
      </w:docPartBody>
    </w:docPart>
    <w:docPart>
      <w:docPartPr>
        <w:name w:val="{9aa9698e-3236-41e2-b963-289bfbb44e1e}"/>
        <w:style w:val=""/>
        <w:category>
          <w:name w:val="常规"/>
          <w:gallery w:val="placeholder"/>
        </w:category>
        <w:types>
          <w:type w:val="bbPlcHdr"/>
        </w:types>
        <w:behaviors>
          <w:behavior w:val="content"/>
        </w:behaviors>
        <w:description w:val=""/>
        <w:guid w:val="{9aa9698e-3236-41e2-b963-289bfbb44e1e}"/>
      </w:docPartPr>
      <w:docPartBody>
        <w:p w14:paraId="0C7230F2">
          <w:pPr>
            <w:widowControl/>
            <w:rPr>
              <w:lang w:val="en-GB" w:eastAsia="en-GB"/>
            </w:rPr>
          </w:pPr>
          <w:r>
            <w:rPr>
              <w:color w:val="808080"/>
              <w:lang w:val="en-GB" w:eastAsia="en-GB"/>
            </w:rPr>
            <w:t>选择一个构建基块。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5F220D"/>
    <w:rsid w:val="00164315"/>
    <w:rsid w:val="005D60C8"/>
    <w:rsid w:val="005F220D"/>
    <w:rsid w:val="009B5133"/>
    <w:rsid w:val="00BB2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169039D7744545CC9A74698C35B48E53"/>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73</Pages>
  <Words>343</Words>
  <Characters>1988</Characters>
  <Lines>2066</Lines>
  <Paragraphs>744</Paragraphs>
  <TotalTime>1</TotalTime>
  <ScaleCrop>false</ScaleCrop>
  <LinksUpToDate>false</LinksUpToDate>
  <CharactersWithSpaces>2391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2025-07-09T09:00:00Z</dcterms:created>
  <dc:creator>wangy</dc:creator>
  <cp:lastModifiedBy>wangyitong</cp:lastModifiedBy>
  <dcterms:modified xsi:type="dcterms:W3CDTF">2025-09-26T03:47:09Z</dcterms:modified>
  <dc:subject>Master of Business Administration Dissertation</dc:subject>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eyJoZGlkIjoiZTg5ZDA0NTFiZDkyMTU2MWMxYzc2NmNlODI4OTI1OTMiLCJ1c2VySWQiOiI2OTA2MTI4NTAifQ==</vt:lpwstr>
  </property>
  <property fmtid="{D5CDD505-2E9C-101B-9397-08002B2CF9AE}" pid="4" name="ICV">
    <vt:lpwstr>70F39C746BFC44B1B2D5087B0E4BFAD1_12</vt:lpwstr>
  </property>
</Properties>
</file>