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1055247"/>
        <w:docPartObj>
          <w:docPartGallery w:val="Cover Pages"/>
          <w:docPartUnique/>
        </w:docPartObj>
      </w:sdtPr>
      <w:sdtEndPr>
        <w:rPr>
          <w:rFonts w:ascii="Times New Roman" w:hAnsi="Times New Roman" w:cs="Times New Roman"/>
        </w:rPr>
      </w:sdtEndPr>
      <w:sdtContent>
        <w:p w14:paraId="18F8FD31" w14:textId="5ED015C8" w:rsidR="0060744C" w:rsidRDefault="0060744C"/>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0744C" w14:paraId="1D3A8E9B" w14:textId="77777777">
            <w:tc>
              <w:tcPr>
                <w:tcW w:w="7672" w:type="dxa"/>
                <w:tcMar>
                  <w:top w:w="216" w:type="dxa"/>
                  <w:left w:w="115" w:type="dxa"/>
                  <w:bottom w:w="216" w:type="dxa"/>
                  <w:right w:w="115" w:type="dxa"/>
                </w:tcMar>
              </w:tcPr>
              <w:p w14:paraId="2315FA93" w14:textId="53CFA45E" w:rsidR="0060744C" w:rsidRDefault="0060744C">
                <w:pPr>
                  <w:pStyle w:val="NoSpacing"/>
                  <w:rPr>
                    <w:color w:val="0F4761" w:themeColor="accent1" w:themeShade="BF"/>
                    <w:sz w:val="24"/>
                  </w:rPr>
                </w:pPr>
              </w:p>
            </w:tc>
          </w:tr>
          <w:tr w:rsidR="0060744C" w14:paraId="6C01CA04" w14:textId="77777777">
            <w:tc>
              <w:tcPr>
                <w:tcW w:w="7672" w:type="dxa"/>
              </w:tcPr>
              <w:sdt>
                <w:sdtPr>
                  <w:rPr>
                    <w:rFonts w:ascii="Times New Roman" w:eastAsiaTheme="majorEastAsia" w:hAnsi="Times New Roman" w:cs="Times New Roman"/>
                    <w:b/>
                    <w:bCs/>
                    <w:color w:val="156082" w:themeColor="accent1"/>
                    <w:sz w:val="72"/>
                    <w:szCs w:val="72"/>
                    <w:u w:val="wave"/>
                  </w:rPr>
                  <w:alias w:val="Title"/>
                  <w:id w:val="13406919"/>
                  <w:placeholder>
                    <w:docPart w:val="B795A1B497B74DA2BB0A25A3FA224A6C"/>
                  </w:placeholder>
                  <w:dataBinding w:prefixMappings="xmlns:ns0='http://schemas.openxmlformats.org/package/2006/metadata/core-properties' xmlns:ns1='http://purl.org/dc/elements/1.1/'" w:xpath="/ns0:coreProperties[1]/ns1:title[1]" w:storeItemID="{6C3C8BC8-F283-45AE-878A-BAB7291924A1}"/>
                  <w:text/>
                </w:sdtPr>
                <w:sdtContent>
                  <w:p w14:paraId="6A7D826F" w14:textId="62197A1B" w:rsidR="0060744C" w:rsidRPr="0060744C" w:rsidRDefault="0060744C">
                    <w:pPr>
                      <w:pStyle w:val="NoSpacing"/>
                      <w:spacing w:line="216" w:lineRule="auto"/>
                      <w:rPr>
                        <w:rFonts w:ascii="Times New Roman" w:eastAsiaTheme="majorEastAsia" w:hAnsi="Times New Roman" w:cs="Times New Roman"/>
                        <w:b/>
                        <w:bCs/>
                        <w:color w:val="156082" w:themeColor="accent1"/>
                        <w:sz w:val="72"/>
                        <w:szCs w:val="72"/>
                        <w:u w:val="wave"/>
                      </w:rPr>
                    </w:pPr>
                    <w:r w:rsidRPr="0060744C">
                      <w:rPr>
                        <w:rFonts w:ascii="Times New Roman" w:eastAsiaTheme="majorEastAsia" w:hAnsi="Times New Roman" w:cs="Times New Roman"/>
                        <w:b/>
                        <w:bCs/>
                        <w:color w:val="156082" w:themeColor="accent1"/>
                        <w:sz w:val="72"/>
                        <w:szCs w:val="72"/>
                        <w:u w:val="wave"/>
                      </w:rPr>
                      <w:t xml:space="preserve">Sustainable Enterprise </w:t>
                    </w:r>
                  </w:p>
                </w:sdtContent>
              </w:sdt>
            </w:tc>
          </w:tr>
          <w:tr w:rsidR="0060744C" w14:paraId="48E332F3" w14:textId="77777777">
            <w:sdt>
              <w:sdtPr>
                <w:rPr>
                  <w:rFonts w:ascii="Times New Roman" w:hAnsi="Times New Roman" w:cs="Times New Roman"/>
                  <w:b/>
                  <w:bCs/>
                  <w:color w:val="0F4761" w:themeColor="accent1" w:themeShade="BF"/>
                  <w:sz w:val="72"/>
                  <w:szCs w:val="72"/>
                  <w:u w:val="wave"/>
                </w:rPr>
                <w:alias w:val="Subtitle"/>
                <w:id w:val="13406923"/>
                <w:placeholder>
                  <w:docPart w:val="46331A98A8B8499A9FA38B4E2F45667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BAFF8A9" w14:textId="4504245A" w:rsidR="0060744C" w:rsidRPr="0060744C" w:rsidRDefault="0060744C">
                    <w:pPr>
                      <w:pStyle w:val="NoSpacing"/>
                      <w:rPr>
                        <w:rFonts w:ascii="Times New Roman" w:hAnsi="Times New Roman" w:cs="Times New Roman"/>
                        <w:b/>
                        <w:bCs/>
                        <w:color w:val="0F4761" w:themeColor="accent1" w:themeShade="BF"/>
                        <w:sz w:val="72"/>
                        <w:szCs w:val="72"/>
                        <w:u w:val="wave"/>
                      </w:rPr>
                    </w:pPr>
                    <w:r w:rsidRPr="0060744C">
                      <w:rPr>
                        <w:rFonts w:ascii="Times New Roman" w:hAnsi="Times New Roman" w:cs="Times New Roman"/>
                        <w:b/>
                        <w:bCs/>
                        <w:color w:val="0F4761" w:themeColor="accent1" w:themeShade="BF"/>
                        <w:sz w:val="72"/>
                        <w:szCs w:val="72"/>
                        <w:u w:val="wave"/>
                      </w:rPr>
                      <w:t>Business Model for New Start Up</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0744C" w14:paraId="26EDB2A6" w14:textId="77777777">
            <w:tc>
              <w:tcPr>
                <w:tcW w:w="7221" w:type="dxa"/>
                <w:tcMar>
                  <w:top w:w="216" w:type="dxa"/>
                  <w:left w:w="115" w:type="dxa"/>
                  <w:bottom w:w="216" w:type="dxa"/>
                  <w:right w:w="115" w:type="dxa"/>
                </w:tcMar>
              </w:tcPr>
              <w:sdt>
                <w:sdtPr>
                  <w:rPr>
                    <w:rFonts w:ascii="Times New Roman" w:hAnsi="Times New Roman" w:cs="Times New Roman"/>
                    <w:color w:val="156082" w:themeColor="accent1"/>
                    <w:sz w:val="40"/>
                    <w:szCs w:val="40"/>
                  </w:rPr>
                  <w:alias w:val="Author"/>
                  <w:id w:val="13406928"/>
                  <w:placeholder>
                    <w:docPart w:val="2D20E58AF1BE4536BE3397BAC9276DF5"/>
                  </w:placeholder>
                  <w:dataBinding w:prefixMappings="xmlns:ns0='http://schemas.openxmlformats.org/package/2006/metadata/core-properties' xmlns:ns1='http://purl.org/dc/elements/1.1/'" w:xpath="/ns0:coreProperties[1]/ns1:creator[1]" w:storeItemID="{6C3C8BC8-F283-45AE-878A-BAB7291924A1}"/>
                  <w:text/>
                </w:sdtPr>
                <w:sdtContent>
                  <w:p w14:paraId="4F268006" w14:textId="4F71B6CA" w:rsidR="0060744C" w:rsidRPr="0060744C" w:rsidRDefault="0060744C">
                    <w:pPr>
                      <w:pStyle w:val="NoSpacing"/>
                      <w:rPr>
                        <w:rFonts w:ascii="Times New Roman" w:hAnsi="Times New Roman" w:cs="Times New Roman"/>
                        <w:color w:val="156082" w:themeColor="accent1"/>
                        <w:sz w:val="40"/>
                        <w:szCs w:val="40"/>
                      </w:rPr>
                    </w:pPr>
                    <w:r w:rsidRPr="0060744C">
                      <w:rPr>
                        <w:rFonts w:ascii="Times New Roman" w:hAnsi="Times New Roman" w:cs="Times New Roman"/>
                        <w:color w:val="156082" w:themeColor="accent1"/>
                        <w:sz w:val="40"/>
                        <w:szCs w:val="40"/>
                      </w:rPr>
                      <w:t xml:space="preserve">Maria Laura Nita </w:t>
                    </w:r>
                  </w:p>
                </w:sdtContent>
              </w:sdt>
              <w:sdt>
                <w:sdtPr>
                  <w:rPr>
                    <w:rFonts w:ascii="Times New Roman" w:hAnsi="Times New Roman" w:cs="Times New Roman"/>
                    <w:color w:val="156082" w:themeColor="accent1"/>
                    <w:sz w:val="40"/>
                    <w:szCs w:val="40"/>
                  </w:rPr>
                  <w:alias w:val="Date"/>
                  <w:tag w:val="Date"/>
                  <w:id w:val="13406932"/>
                  <w:placeholder>
                    <w:docPart w:val="FE877A35901149E79A0E86E4D883DA3E"/>
                  </w:placeholder>
                  <w:dataBinding w:prefixMappings="xmlns:ns0='http://schemas.microsoft.com/office/2006/coverPageProps'" w:xpath="/ns0:CoverPageProperties[1]/ns0:PublishDate[1]" w:storeItemID="{55AF091B-3C7A-41E3-B477-F2FDAA23CFDA}"/>
                  <w:date w:fullDate="2025-03-14T00:00:00Z">
                    <w:dateFormat w:val="M-d-yyyy"/>
                    <w:lid w:val="en-US"/>
                    <w:storeMappedDataAs w:val="dateTime"/>
                    <w:calendar w:val="gregorian"/>
                  </w:date>
                </w:sdtPr>
                <w:sdtContent>
                  <w:p w14:paraId="130A47AA" w14:textId="50DADF36" w:rsidR="0060744C" w:rsidRPr="0060744C" w:rsidRDefault="0060744C">
                    <w:pPr>
                      <w:pStyle w:val="NoSpacing"/>
                      <w:rPr>
                        <w:rFonts w:ascii="Times New Roman" w:hAnsi="Times New Roman" w:cs="Times New Roman"/>
                        <w:color w:val="156082" w:themeColor="accent1"/>
                        <w:sz w:val="40"/>
                        <w:szCs w:val="40"/>
                      </w:rPr>
                    </w:pPr>
                    <w:r w:rsidRPr="0060744C">
                      <w:rPr>
                        <w:rFonts w:ascii="Times New Roman" w:hAnsi="Times New Roman" w:cs="Times New Roman"/>
                        <w:color w:val="156082" w:themeColor="accent1"/>
                        <w:sz w:val="40"/>
                        <w:szCs w:val="40"/>
                      </w:rPr>
                      <w:t>3-14-2025</w:t>
                    </w:r>
                  </w:p>
                </w:sdtContent>
              </w:sdt>
              <w:p w14:paraId="0C6C044D" w14:textId="77777777" w:rsidR="0060744C" w:rsidRDefault="0060744C">
                <w:pPr>
                  <w:pStyle w:val="NoSpacing"/>
                  <w:rPr>
                    <w:color w:val="156082" w:themeColor="accent1"/>
                  </w:rPr>
                </w:pPr>
              </w:p>
            </w:tc>
          </w:tr>
        </w:tbl>
        <w:p w14:paraId="4C594D58" w14:textId="333DA42D" w:rsidR="0060744C" w:rsidRPr="0060744C" w:rsidRDefault="0060744C">
          <w:pPr>
            <w:rPr>
              <w:rFonts w:ascii="Times New Roman" w:hAnsi="Times New Roman" w:cs="Times New Roman"/>
            </w:rPr>
          </w:pPr>
          <w:r w:rsidRPr="0060744C">
            <w:rPr>
              <w:rFonts w:ascii="Times New Roman" w:hAnsi="Times New Roman" w:cs="Times New Roman"/>
            </w:rPr>
            <w:br w:type="page"/>
          </w:r>
        </w:p>
      </w:sdtContent>
    </w:sdt>
    <w:p w14:paraId="23F1FB30" w14:textId="30D3E733"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lastRenderedPageBreak/>
        <w:t xml:space="preserve">Executive Summary </w:t>
      </w:r>
    </w:p>
    <w:p w14:paraId="582B485B" w14:textId="580A7331" w:rsidR="009E0335" w:rsidRP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The present business plan provides a comprehensive overview of a start-up enterprise that specialises in the development and production of biodegradable textiles. Through the provision of cutting-edge, environmentally friendly goods that address issues of waste reduction, resource efficiency, and social responsibility, the commercial venture intends to bring about a revolution in the textile industry. The plan specifies the vision, objectives, resource requirements, market strategy, external and internal analyses, projected financial cash flow, and contingency plan. </w:t>
      </w:r>
    </w:p>
    <w:p w14:paraId="48E3D705" w14:textId="5E79EEDD"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t>Introduction</w:t>
      </w:r>
    </w:p>
    <w:p w14:paraId="1906B120"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The enterprise was founded with a clear mission: to introduce a biodegradable textile that not only meets market demands but also substantially reduces the environmental impacts associated with conventional textile production. A cutting-edge, closed-loop manufacturing method is utilised in the production of the product, which is brought to life through the utilisation of organic waste materials acquired from the immediate vicinity. Through the process of converting waste into a useful resource, the company aims to decrease the negative impact that textile waste has on the environment and to encourage the development of a circular economy. The enterprise aligns its objectives with contemporary frameworks in sustainable business by utilising principles of sustainable product design and production (Tischner and Charter, 2001; Tojo et al., 2012).</w:t>
      </w:r>
    </w:p>
    <w:p w14:paraId="4CDCEF01" w14:textId="0DB99189"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t>Product Description and Sustainability</w:t>
      </w:r>
    </w:p>
    <w:p w14:paraId="7CDE1B6D"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A </w:t>
      </w:r>
      <w:r w:rsidRPr="009E0335">
        <w:rPr>
          <w:rFonts w:ascii="Times New Roman" w:hAnsi="Times New Roman" w:cs="Times New Roman"/>
        </w:rPr>
        <w:t>biodegradable textile</w:t>
      </w:r>
      <w:r w:rsidRPr="009E0335">
        <w:rPr>
          <w:rFonts w:ascii="Times New Roman" w:hAnsi="Times New Roman" w:cs="Times New Roman"/>
        </w:rPr>
        <w:t xml:space="preserve"> that combines cutting-edge materials science with environmentally responsible production methods is the primary product that the company offers to its customers. The fabric is designed to disintegrate in a natural way without releasing any dangerous compounds, which will result in a decrease in waste being dumped in landfills and less </w:t>
      </w:r>
      <w:r w:rsidRPr="009E0335">
        <w:rPr>
          <w:rFonts w:ascii="Times New Roman" w:hAnsi="Times New Roman" w:cs="Times New Roman"/>
        </w:rPr>
        <w:lastRenderedPageBreak/>
        <w:t>pollution being released into the environment. The design process integrates sustainable product design principles, which prioritise waste prevention and material efficiency through innovative manufacturing techniques (Walker, 2007). The product lifecycle is meticulously handled, beginning with the procurement of raw materials and ending with the disposal of the product at the end of its useful life. This ensures that each phase makes a positive contribution to environmental stewardship and the conservation of resources.</w:t>
      </w:r>
    </w:p>
    <w:p w14:paraId="696E8DA1"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Every step of the manufacturing process is designed with sustainability in mind. The company uses renewable energy sources, and the manufacturing facility is designed to reduce water and energy use. It is possible to collect and recycle manufacturing waste </w:t>
      </w:r>
      <w:r w:rsidRPr="009E0335">
        <w:rPr>
          <w:rFonts w:ascii="Times New Roman" w:hAnsi="Times New Roman" w:cs="Times New Roman"/>
        </w:rPr>
        <w:t>using</w:t>
      </w:r>
      <w:r w:rsidRPr="009E0335">
        <w:rPr>
          <w:rFonts w:ascii="Times New Roman" w:hAnsi="Times New Roman" w:cs="Times New Roman"/>
        </w:rPr>
        <w:t xml:space="preserve"> non-toxic dyes and chemicals, as well as through the implementation of a closed-loop system. This comprehensive sustainability approach is based on theoretical frameworks and case studies in corporate sustainability and sustainable enterprise excellence (Elkington, 1997; </w:t>
      </w:r>
      <w:proofErr w:type="spellStart"/>
      <w:r w:rsidRPr="009E0335">
        <w:rPr>
          <w:rFonts w:ascii="Times New Roman" w:hAnsi="Times New Roman" w:cs="Times New Roman"/>
        </w:rPr>
        <w:t>Schaltegger</w:t>
      </w:r>
      <w:proofErr w:type="spellEnd"/>
      <w:r w:rsidRPr="009E0335">
        <w:rPr>
          <w:rFonts w:ascii="Times New Roman" w:hAnsi="Times New Roman" w:cs="Times New Roman"/>
        </w:rPr>
        <w:t xml:space="preserve"> et al., 2012).</w:t>
      </w:r>
    </w:p>
    <w:p w14:paraId="0B2D29B2" w14:textId="38F20B52"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t>Strategic Objectives and Business Objectives</w:t>
      </w:r>
    </w:p>
    <w:p w14:paraId="7CE1CC17"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The primary purpose of the firm is to capture a niche market that is made of customers who are environmentally concerned as well as institutional buyers who are devoted to sustainable practices. Among the short-term objectives are the establishment of a reliable supply chain for organic waste materials, the achievement of production scalability, and the acquisition of early adopters through the implementation of focused marketing campaigns. The enterprise's long-term objectives include the expansion of its product line, the establishment of new markets, and the ongoing improvement of its environmental and social performance. </w:t>
      </w:r>
      <w:r w:rsidRPr="009E0335">
        <w:rPr>
          <w:rFonts w:ascii="Times New Roman" w:hAnsi="Times New Roman" w:cs="Times New Roman"/>
        </w:rPr>
        <w:t>To</w:t>
      </w:r>
      <w:r w:rsidRPr="009E0335">
        <w:rPr>
          <w:rFonts w:ascii="Times New Roman" w:hAnsi="Times New Roman" w:cs="Times New Roman"/>
        </w:rPr>
        <w:t xml:space="preserve"> assess the reductions in waste creation, increases in energy efficiency, and the positive social impact that has resulted from the engagement of the local community, measurable benchmarks have been established. These goals are defined using frameworks that emphasise the triple bottom line </w:t>
      </w:r>
      <w:r w:rsidRPr="009E0335">
        <w:rPr>
          <w:rFonts w:ascii="Times New Roman" w:hAnsi="Times New Roman" w:cs="Times New Roman"/>
        </w:rPr>
        <w:lastRenderedPageBreak/>
        <w:t>approach, ensuring that economic, environmental, and social outcomes are all optimised (Hess, 2014).</w:t>
      </w:r>
    </w:p>
    <w:p w14:paraId="44A50BA4" w14:textId="1AF2C1DC"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t>Resource Requirements</w:t>
      </w:r>
    </w:p>
    <w:p w14:paraId="17F3339E"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The strategic distribution of the company's physical, human, and financial resources is essential to the successful execution of the business plan. A cutting-edge production facility will be established by the company, and it will be situated </w:t>
      </w:r>
      <w:r w:rsidRPr="009E0335">
        <w:rPr>
          <w:rFonts w:ascii="Times New Roman" w:hAnsi="Times New Roman" w:cs="Times New Roman"/>
        </w:rPr>
        <w:t>near</w:t>
      </w:r>
      <w:r w:rsidRPr="009E0335">
        <w:rPr>
          <w:rFonts w:ascii="Times New Roman" w:hAnsi="Times New Roman" w:cs="Times New Roman"/>
        </w:rPr>
        <w:t xml:space="preserve"> organic waste sources. This will help to reduce emissions from transportation and will also be beneficial to the economies of the surrounding areas. In accordance with the principles of sustainable system design, the facility will house cutting-edge machinery that is designed to maximise energy efficiency and recover waste (Vezzoli, 2007).</w:t>
      </w:r>
    </w:p>
    <w:p w14:paraId="15018194"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A multidisciplinary team of experts in materials science, engineering, production, marketing, and sustainability is necessary to support the enterprise's human resources, which serve as its foundation. The recruitment strategy prioritises local talent and incorporates provisions for continuous training and development, thereby promoting the development of human capital and aligning with research on sustainable business performance in emerging markets (Monday, 2015; </w:t>
      </w:r>
      <w:proofErr w:type="spellStart"/>
      <w:r w:rsidRPr="009E0335">
        <w:rPr>
          <w:rFonts w:ascii="Times New Roman" w:hAnsi="Times New Roman" w:cs="Times New Roman"/>
        </w:rPr>
        <w:t>Lathabhavan</w:t>
      </w:r>
      <w:proofErr w:type="spellEnd"/>
      <w:r w:rsidRPr="009E0335">
        <w:rPr>
          <w:rFonts w:ascii="Times New Roman" w:hAnsi="Times New Roman" w:cs="Times New Roman"/>
        </w:rPr>
        <w:t>, 2021).</w:t>
      </w:r>
    </w:p>
    <w:p w14:paraId="76A2F9A7"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The acquisition of financial resources is accomplished by a combination of investments in venture capital, grants from the government for environmentally responsible initiatives, and the reinvestment of early earnings. The funds are going to be used for the establishment of a facility, the purchase of machinery, research and development, and the launch of a marketing campaign that is going to be geared to establish the product in the market. The literature that supports this financial strategy places a strong emphasis on the role that new business models play, as well as the strategic integration of sustainability into organisational performance (</w:t>
      </w:r>
      <w:proofErr w:type="spellStart"/>
      <w:r w:rsidRPr="009E0335">
        <w:rPr>
          <w:rFonts w:ascii="Times New Roman" w:hAnsi="Times New Roman" w:cs="Times New Roman"/>
        </w:rPr>
        <w:t>Høgevold</w:t>
      </w:r>
      <w:proofErr w:type="spellEnd"/>
      <w:r w:rsidRPr="009E0335">
        <w:rPr>
          <w:rFonts w:ascii="Times New Roman" w:hAnsi="Times New Roman" w:cs="Times New Roman"/>
        </w:rPr>
        <w:t xml:space="preserve"> et al., 2014).</w:t>
      </w:r>
    </w:p>
    <w:p w14:paraId="3A39A8CE" w14:textId="38B55281"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lastRenderedPageBreak/>
        <w:t>Marketing Strategy</w:t>
      </w:r>
    </w:p>
    <w:p w14:paraId="0A20B7E0"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A marketing plan is being designed for the biodegradable cloth, with the goal of highlighting the product's outstanding quality, as well as its creative design and environmental benefits. An approach that is narrative-driven will be adopted by the business </w:t>
      </w:r>
      <w:r w:rsidRPr="009E0335">
        <w:rPr>
          <w:rFonts w:ascii="Times New Roman" w:hAnsi="Times New Roman" w:cs="Times New Roman"/>
        </w:rPr>
        <w:t>to</w:t>
      </w:r>
      <w:r w:rsidRPr="009E0335">
        <w:rPr>
          <w:rFonts w:ascii="Times New Roman" w:hAnsi="Times New Roman" w:cs="Times New Roman"/>
        </w:rPr>
        <w:t xml:space="preserve"> educate customers about the backgrounds of the product, the technology that is used in its manufacture, and the benefits that it offers throughout its existence. </w:t>
      </w:r>
      <w:r w:rsidRPr="009E0335">
        <w:rPr>
          <w:rFonts w:ascii="Times New Roman" w:hAnsi="Times New Roman" w:cs="Times New Roman"/>
        </w:rPr>
        <w:t>To</w:t>
      </w:r>
      <w:r w:rsidRPr="009E0335">
        <w:rPr>
          <w:rFonts w:ascii="Times New Roman" w:hAnsi="Times New Roman" w:cs="Times New Roman"/>
        </w:rPr>
        <w:t xml:space="preserve"> disseminating detailed information that highlights the scientific and design-driven innovation that underpins the product, the firm will leverage digital media platforms. This content will draw on lessons from design-driven innovation literature (</w:t>
      </w:r>
      <w:proofErr w:type="spellStart"/>
      <w:r w:rsidRPr="009E0335">
        <w:rPr>
          <w:rFonts w:ascii="Times New Roman" w:hAnsi="Times New Roman" w:cs="Times New Roman"/>
        </w:rPr>
        <w:t>Verganti</w:t>
      </w:r>
      <w:proofErr w:type="spellEnd"/>
      <w:r w:rsidRPr="009E0335">
        <w:rPr>
          <w:rFonts w:ascii="Times New Roman" w:hAnsi="Times New Roman" w:cs="Times New Roman"/>
        </w:rPr>
        <w:t>, 2009).</w:t>
      </w:r>
    </w:p>
    <w:p w14:paraId="149C7715"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Among the marketing initiatives that will be undertaken are internet advertising, seminars for the industry, and strategic partnerships with organisations that advocate for environmentally responsible practices. According to Nichols (2012), the enterprise's objective is to establish itself as a thought leader in sustainable production. This will be accomplished by engaging with stakeholders, taking part in industry events, and making use of media platforms that are dedicated to reporting on sustainable business practices. Additionally, the strategy includes direct engagement with institutional buyers, with an emphasis on the product's potential to contribute to lower environmental footprints and its compatibility with the sustainability goals of the corporation.</w:t>
      </w:r>
    </w:p>
    <w:p w14:paraId="3889B015" w14:textId="48EB0C8A"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t>PESTLE Analysis.</w:t>
      </w:r>
    </w:p>
    <w:p w14:paraId="11DC9D3F"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A thorough examination of the external environment is essential for recognising the opportunities and difficulties that the company will face. Renewable energy and sustainable manufacturing practices are prioritised by government policies and regulations in the political context in which the enterprise operates. The enterprise's sustainable production practices are supported by legislation that aims to reduce carbon emissions and the development of waste. </w:t>
      </w:r>
      <w:r w:rsidRPr="009E0335">
        <w:rPr>
          <w:rFonts w:ascii="Times New Roman" w:hAnsi="Times New Roman" w:cs="Times New Roman"/>
        </w:rPr>
        <w:lastRenderedPageBreak/>
        <w:t xml:space="preserve">Many consumers are ready to pay a higher price for environmentally friendly alternatives, which produces a favourable market dynamic. This means that the growing demand for responsible products among consumers is beneficial to the economy. There is a change in purchasing patterns towards products that bring real benefits to sustainability, which is a social trend that indicates a greater awareness of environmental challenges. In terms of technology, the firm </w:t>
      </w:r>
      <w:r w:rsidRPr="009E0335">
        <w:rPr>
          <w:rFonts w:ascii="Times New Roman" w:hAnsi="Times New Roman" w:cs="Times New Roman"/>
        </w:rPr>
        <w:t>can</w:t>
      </w:r>
      <w:r w:rsidRPr="009E0335">
        <w:rPr>
          <w:rFonts w:ascii="Times New Roman" w:hAnsi="Times New Roman" w:cs="Times New Roman"/>
        </w:rPr>
        <w:t xml:space="preserve"> keep a competitive advantage while simultaneously optimising efficiency thanks to continual developments in production processes and material sciences. Legally, the company is committed to meeting international standards for product safety, environmental protection, and sustainability claims. In terms of the environment, the business model is intrinsically congruent with worldwide initiatives to lessen the amount of waste produced and to encourage the conservation of resources. This thorough external analysis illustrates that the organisation is well-positioned to prosper in an advantageous macroeconomic environment (Tukker et al., 2008).</w:t>
      </w:r>
    </w:p>
    <w:p w14:paraId="2D7E918A" w14:textId="2E8DD7C8"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t>SWOT analysis</w:t>
      </w:r>
    </w:p>
    <w:p w14:paraId="04A095BE" w14:textId="7777777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The SWOT framework's internal analysis demonstrates an equilibrium of strengths, weaknesses, opportunities, and threats. The enterprise's strengths lay in the creative product design it has developed as well as the incorporation of principles of circular economies into the production process. The dependable supply chain that is based on organic waste that is sourced locally offers a significant competitive advantage and encourages community engagement. The business, on the other hand, has several shortcomings, such as the large initial capital investment requirements and the possible difficulties in swiftly scaling up production. Opportunities are many in the expanding market for sustainable products, which is seeing substantial growth potential </w:t>
      </w:r>
      <w:r w:rsidRPr="009E0335">
        <w:rPr>
          <w:rFonts w:ascii="Times New Roman" w:hAnsi="Times New Roman" w:cs="Times New Roman"/>
        </w:rPr>
        <w:t>because of</w:t>
      </w:r>
      <w:r w:rsidRPr="009E0335">
        <w:rPr>
          <w:rFonts w:ascii="Times New Roman" w:hAnsi="Times New Roman" w:cs="Times New Roman"/>
        </w:rPr>
        <w:t xml:space="preserve"> consumer and institutional demand that is developing at an increasing rate. The company hopes to gain further advantages </w:t>
      </w:r>
      <w:r w:rsidRPr="009E0335">
        <w:rPr>
          <w:rFonts w:ascii="Times New Roman" w:hAnsi="Times New Roman" w:cs="Times New Roman"/>
        </w:rPr>
        <w:t>because of</w:t>
      </w:r>
      <w:r w:rsidRPr="009E0335">
        <w:rPr>
          <w:rFonts w:ascii="Times New Roman" w:hAnsi="Times New Roman" w:cs="Times New Roman"/>
        </w:rPr>
        <w:t xml:space="preserve"> the broader shift towards environmentally responsible business practices in international markets. Threats </w:t>
      </w:r>
      <w:r w:rsidRPr="009E0335">
        <w:rPr>
          <w:rFonts w:ascii="Times New Roman" w:hAnsi="Times New Roman" w:cs="Times New Roman"/>
        </w:rPr>
        <w:lastRenderedPageBreak/>
        <w:t xml:space="preserve">do exist, however, and they come in the form of quick technical advances, the prospect of legislative alterations, and the possibility of competitive responses from existing industry players. The organisation is strategically positioned to harness its strengths and prospects for long-term success, as shown by the SWOT analysis (Edgeman and Eskildsen, 2014). This is </w:t>
      </w:r>
      <w:r w:rsidRPr="009E0335">
        <w:rPr>
          <w:rFonts w:ascii="Times New Roman" w:hAnsi="Times New Roman" w:cs="Times New Roman"/>
        </w:rPr>
        <w:t>even though</w:t>
      </w:r>
      <w:r w:rsidRPr="009E0335">
        <w:rPr>
          <w:rFonts w:ascii="Times New Roman" w:hAnsi="Times New Roman" w:cs="Times New Roman"/>
        </w:rPr>
        <w:t xml:space="preserve"> there are obstacles that lie ahead.</w:t>
      </w:r>
    </w:p>
    <w:p w14:paraId="19401E40" w14:textId="3A1DDED4" w:rsidR="009E0335" w:rsidRPr="009E0335" w:rsidRDefault="009E0335" w:rsidP="009E0335">
      <w:pPr>
        <w:pStyle w:val="ListParagraph"/>
        <w:numPr>
          <w:ilvl w:val="0"/>
          <w:numId w:val="1"/>
        </w:numPr>
        <w:spacing w:line="480" w:lineRule="auto"/>
        <w:jc w:val="both"/>
        <w:rPr>
          <w:rFonts w:ascii="Times New Roman" w:hAnsi="Times New Roman" w:cs="Times New Roman"/>
          <w:b/>
          <w:bCs/>
          <w:u w:val="wave"/>
        </w:rPr>
      </w:pPr>
      <w:r w:rsidRPr="009E0335">
        <w:rPr>
          <w:rFonts w:ascii="Times New Roman" w:hAnsi="Times New Roman" w:cs="Times New Roman"/>
          <w:b/>
          <w:bCs/>
          <w:u w:val="wave"/>
        </w:rPr>
        <w:t>Financial Cash Flow</w:t>
      </w:r>
    </w:p>
    <w:p w14:paraId="199AD0CC" w14:textId="20FE0489" w:rsidR="009E0335" w:rsidRP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t>The enterprise anticipates a consistent growth trajectory during its initial year of operations, which will be bolstered by meticulous financial planning and cash flow management. A conservative approach to the generating of revenue and the management of expenses is demonstrated by the accompanying table, which provides an overview of the anticipated levels of monthly income and expenses. Sales of products are the primary source of revenue, whereas expenses include those incurred for the procurement of raw materials, production, personnel, and marketing endeavours.</w:t>
      </w: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C50458" w:rsidRPr="00C50458" w14:paraId="1867A5EC" w14:textId="77777777" w:rsidTr="00C50458">
        <w:trPr>
          <w:tblHeader/>
          <w:tblCellSpacing w:w="15" w:type="dxa"/>
        </w:trPr>
        <w:tc>
          <w:tcPr>
            <w:tcW w:w="1793" w:type="dxa"/>
            <w:shd w:val="clear" w:color="auto" w:fill="8DD873" w:themeFill="accent6" w:themeFillTint="99"/>
            <w:vAlign w:val="center"/>
            <w:hideMark/>
          </w:tcPr>
          <w:p w14:paraId="45EC39D4" w14:textId="77777777" w:rsidR="009E0335" w:rsidRPr="009E0335" w:rsidRDefault="009E0335" w:rsidP="00C50458">
            <w:pPr>
              <w:spacing w:line="240" w:lineRule="auto"/>
              <w:jc w:val="both"/>
              <w:rPr>
                <w:rFonts w:ascii="Times New Roman" w:hAnsi="Times New Roman" w:cs="Times New Roman"/>
                <w:b/>
                <w:bCs/>
              </w:rPr>
            </w:pPr>
            <w:r w:rsidRPr="009E0335">
              <w:rPr>
                <w:rFonts w:ascii="Times New Roman" w:hAnsi="Times New Roman" w:cs="Times New Roman"/>
                <w:b/>
                <w:bCs/>
              </w:rPr>
              <w:t>Month</w:t>
            </w:r>
          </w:p>
        </w:tc>
        <w:tc>
          <w:tcPr>
            <w:tcW w:w="3372" w:type="dxa"/>
            <w:shd w:val="clear" w:color="auto" w:fill="8DD873" w:themeFill="accent6" w:themeFillTint="99"/>
            <w:vAlign w:val="center"/>
            <w:hideMark/>
          </w:tcPr>
          <w:p w14:paraId="12734D90" w14:textId="2F366099" w:rsidR="009E0335" w:rsidRPr="009E0335" w:rsidRDefault="009E0335" w:rsidP="00C50458">
            <w:pPr>
              <w:spacing w:line="240" w:lineRule="auto"/>
              <w:jc w:val="both"/>
              <w:rPr>
                <w:rFonts w:ascii="Times New Roman" w:hAnsi="Times New Roman" w:cs="Times New Roman"/>
                <w:b/>
                <w:bCs/>
              </w:rPr>
            </w:pPr>
            <w:r w:rsidRPr="009E0335">
              <w:rPr>
                <w:rFonts w:ascii="Times New Roman" w:hAnsi="Times New Roman" w:cs="Times New Roman"/>
                <w:b/>
                <w:bCs/>
              </w:rPr>
              <w:t>Expected</w:t>
            </w:r>
            <w:r w:rsidR="00C50458" w:rsidRPr="00C50458">
              <w:rPr>
                <w:rFonts w:ascii="Times New Roman" w:hAnsi="Times New Roman" w:cs="Times New Roman"/>
                <w:b/>
                <w:bCs/>
              </w:rPr>
              <w:t xml:space="preserve"> </w:t>
            </w:r>
            <w:r w:rsidRPr="009E0335">
              <w:rPr>
                <w:rFonts w:ascii="Times New Roman" w:hAnsi="Times New Roman" w:cs="Times New Roman"/>
                <w:b/>
                <w:bCs/>
              </w:rPr>
              <w:t>Income (£)</w:t>
            </w:r>
          </w:p>
        </w:tc>
        <w:tc>
          <w:tcPr>
            <w:tcW w:w="2238" w:type="dxa"/>
            <w:shd w:val="clear" w:color="auto" w:fill="8DD873" w:themeFill="accent6" w:themeFillTint="99"/>
            <w:vAlign w:val="center"/>
            <w:hideMark/>
          </w:tcPr>
          <w:p w14:paraId="6C735517" w14:textId="77777777" w:rsidR="009E0335" w:rsidRPr="009E0335" w:rsidRDefault="009E0335" w:rsidP="00C50458">
            <w:pPr>
              <w:spacing w:line="240" w:lineRule="auto"/>
              <w:jc w:val="both"/>
              <w:rPr>
                <w:rFonts w:ascii="Times New Roman" w:hAnsi="Times New Roman" w:cs="Times New Roman"/>
                <w:b/>
                <w:bCs/>
              </w:rPr>
            </w:pPr>
            <w:r w:rsidRPr="009E0335">
              <w:rPr>
                <w:rFonts w:ascii="Times New Roman" w:hAnsi="Times New Roman" w:cs="Times New Roman"/>
                <w:b/>
                <w:bCs/>
              </w:rPr>
              <w:t>Expected Costs (£)</w:t>
            </w:r>
          </w:p>
        </w:tc>
        <w:tc>
          <w:tcPr>
            <w:tcW w:w="1940" w:type="dxa"/>
            <w:shd w:val="clear" w:color="auto" w:fill="8DD873" w:themeFill="accent6" w:themeFillTint="99"/>
            <w:vAlign w:val="center"/>
            <w:hideMark/>
          </w:tcPr>
          <w:p w14:paraId="1F945402" w14:textId="77777777" w:rsidR="009E0335" w:rsidRPr="009E0335" w:rsidRDefault="009E0335" w:rsidP="00C50458">
            <w:pPr>
              <w:spacing w:line="240" w:lineRule="auto"/>
              <w:jc w:val="both"/>
              <w:rPr>
                <w:rFonts w:ascii="Times New Roman" w:hAnsi="Times New Roman" w:cs="Times New Roman"/>
                <w:b/>
                <w:bCs/>
              </w:rPr>
            </w:pPr>
            <w:r w:rsidRPr="009E0335">
              <w:rPr>
                <w:rFonts w:ascii="Times New Roman" w:hAnsi="Times New Roman" w:cs="Times New Roman"/>
                <w:b/>
                <w:bCs/>
              </w:rPr>
              <w:t>Net Cashflow (£)</w:t>
            </w:r>
          </w:p>
        </w:tc>
      </w:tr>
    </w:tbl>
    <w:p w14:paraId="5B55165D"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C50458" w:rsidRPr="00C50458" w14:paraId="22D6F6D5" w14:textId="77777777" w:rsidTr="00C50458">
        <w:trPr>
          <w:tblCellSpacing w:w="15" w:type="dxa"/>
        </w:trPr>
        <w:tc>
          <w:tcPr>
            <w:tcW w:w="1793" w:type="dxa"/>
            <w:vAlign w:val="center"/>
            <w:hideMark/>
          </w:tcPr>
          <w:p w14:paraId="6A47E080"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1</w:t>
            </w:r>
          </w:p>
        </w:tc>
        <w:tc>
          <w:tcPr>
            <w:tcW w:w="3372" w:type="dxa"/>
            <w:vAlign w:val="center"/>
            <w:hideMark/>
          </w:tcPr>
          <w:p w14:paraId="627C6BDC"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20,000</w:t>
            </w:r>
          </w:p>
        </w:tc>
        <w:tc>
          <w:tcPr>
            <w:tcW w:w="2238" w:type="dxa"/>
            <w:vAlign w:val="center"/>
            <w:hideMark/>
          </w:tcPr>
          <w:p w14:paraId="5A42BD33"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35,000</w:t>
            </w:r>
          </w:p>
        </w:tc>
        <w:tc>
          <w:tcPr>
            <w:tcW w:w="1940" w:type="dxa"/>
            <w:vAlign w:val="center"/>
            <w:hideMark/>
          </w:tcPr>
          <w:p w14:paraId="4D61250B"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-15,000</w:t>
            </w:r>
          </w:p>
        </w:tc>
      </w:tr>
    </w:tbl>
    <w:p w14:paraId="2BC80912"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C50458" w:rsidRPr="00C50458" w14:paraId="54288500" w14:textId="77777777" w:rsidTr="00C50458">
        <w:trPr>
          <w:tblCellSpacing w:w="15" w:type="dxa"/>
        </w:trPr>
        <w:tc>
          <w:tcPr>
            <w:tcW w:w="1793" w:type="dxa"/>
            <w:vAlign w:val="center"/>
            <w:hideMark/>
          </w:tcPr>
          <w:p w14:paraId="3410BA27"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2</w:t>
            </w:r>
          </w:p>
        </w:tc>
        <w:tc>
          <w:tcPr>
            <w:tcW w:w="3372" w:type="dxa"/>
            <w:vAlign w:val="center"/>
            <w:hideMark/>
          </w:tcPr>
          <w:p w14:paraId="00C23001"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25,000</w:t>
            </w:r>
          </w:p>
        </w:tc>
        <w:tc>
          <w:tcPr>
            <w:tcW w:w="2238" w:type="dxa"/>
            <w:vAlign w:val="center"/>
            <w:hideMark/>
          </w:tcPr>
          <w:p w14:paraId="34B854EE"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30,000</w:t>
            </w:r>
          </w:p>
        </w:tc>
        <w:tc>
          <w:tcPr>
            <w:tcW w:w="1940" w:type="dxa"/>
            <w:vAlign w:val="center"/>
            <w:hideMark/>
          </w:tcPr>
          <w:p w14:paraId="1E9EFBA4"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-5,000</w:t>
            </w:r>
          </w:p>
        </w:tc>
      </w:tr>
    </w:tbl>
    <w:p w14:paraId="31833EF5"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9E0335" w:rsidRPr="009E0335" w14:paraId="285342BF" w14:textId="77777777" w:rsidTr="00C50458">
        <w:trPr>
          <w:tblCellSpacing w:w="15" w:type="dxa"/>
        </w:trPr>
        <w:tc>
          <w:tcPr>
            <w:tcW w:w="1793" w:type="dxa"/>
            <w:vAlign w:val="center"/>
            <w:hideMark/>
          </w:tcPr>
          <w:p w14:paraId="13131905"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3</w:t>
            </w:r>
          </w:p>
        </w:tc>
        <w:tc>
          <w:tcPr>
            <w:tcW w:w="3372" w:type="dxa"/>
            <w:vAlign w:val="center"/>
            <w:hideMark/>
          </w:tcPr>
          <w:p w14:paraId="5EB38A63"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30,000</w:t>
            </w:r>
          </w:p>
        </w:tc>
        <w:tc>
          <w:tcPr>
            <w:tcW w:w="2238" w:type="dxa"/>
            <w:vAlign w:val="center"/>
            <w:hideMark/>
          </w:tcPr>
          <w:p w14:paraId="28D0F34C"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28,000</w:t>
            </w:r>
          </w:p>
        </w:tc>
        <w:tc>
          <w:tcPr>
            <w:tcW w:w="1940" w:type="dxa"/>
            <w:vAlign w:val="center"/>
            <w:hideMark/>
          </w:tcPr>
          <w:p w14:paraId="731283B2"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+2,000</w:t>
            </w:r>
          </w:p>
        </w:tc>
      </w:tr>
    </w:tbl>
    <w:p w14:paraId="1D344F43"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C50458" w:rsidRPr="00C50458" w14:paraId="257E3080" w14:textId="77777777" w:rsidTr="00C50458">
        <w:trPr>
          <w:tblCellSpacing w:w="15" w:type="dxa"/>
        </w:trPr>
        <w:tc>
          <w:tcPr>
            <w:tcW w:w="1793" w:type="dxa"/>
            <w:vAlign w:val="center"/>
            <w:hideMark/>
          </w:tcPr>
          <w:p w14:paraId="7AD187D1"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4</w:t>
            </w:r>
          </w:p>
        </w:tc>
        <w:tc>
          <w:tcPr>
            <w:tcW w:w="3372" w:type="dxa"/>
            <w:vAlign w:val="center"/>
            <w:hideMark/>
          </w:tcPr>
          <w:p w14:paraId="53544BE5"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35,000</w:t>
            </w:r>
          </w:p>
        </w:tc>
        <w:tc>
          <w:tcPr>
            <w:tcW w:w="2238" w:type="dxa"/>
            <w:vAlign w:val="center"/>
            <w:hideMark/>
          </w:tcPr>
          <w:p w14:paraId="63F06A7A"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27,000</w:t>
            </w:r>
          </w:p>
        </w:tc>
        <w:tc>
          <w:tcPr>
            <w:tcW w:w="1940" w:type="dxa"/>
            <w:vAlign w:val="center"/>
            <w:hideMark/>
          </w:tcPr>
          <w:p w14:paraId="1931C5CE"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+8,000</w:t>
            </w:r>
          </w:p>
        </w:tc>
      </w:tr>
    </w:tbl>
    <w:p w14:paraId="75176EF8"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9E0335" w:rsidRPr="009E0335" w14:paraId="0BF5E673" w14:textId="77777777" w:rsidTr="00C50458">
        <w:trPr>
          <w:tblCellSpacing w:w="15" w:type="dxa"/>
        </w:trPr>
        <w:tc>
          <w:tcPr>
            <w:tcW w:w="1793" w:type="dxa"/>
            <w:vAlign w:val="center"/>
            <w:hideMark/>
          </w:tcPr>
          <w:p w14:paraId="1F092372"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5</w:t>
            </w:r>
          </w:p>
        </w:tc>
        <w:tc>
          <w:tcPr>
            <w:tcW w:w="3372" w:type="dxa"/>
            <w:vAlign w:val="center"/>
            <w:hideMark/>
          </w:tcPr>
          <w:p w14:paraId="3CA18FED"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40,000</w:t>
            </w:r>
          </w:p>
        </w:tc>
        <w:tc>
          <w:tcPr>
            <w:tcW w:w="2238" w:type="dxa"/>
            <w:vAlign w:val="center"/>
            <w:hideMark/>
          </w:tcPr>
          <w:p w14:paraId="1D1B43D4"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26,000</w:t>
            </w:r>
          </w:p>
        </w:tc>
        <w:tc>
          <w:tcPr>
            <w:tcW w:w="1940" w:type="dxa"/>
            <w:vAlign w:val="center"/>
            <w:hideMark/>
          </w:tcPr>
          <w:p w14:paraId="3A05CF7E"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+14,000</w:t>
            </w:r>
          </w:p>
        </w:tc>
      </w:tr>
    </w:tbl>
    <w:p w14:paraId="73967CCD"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9E0335" w:rsidRPr="009E0335" w14:paraId="42B87EA2" w14:textId="77777777" w:rsidTr="00C50458">
        <w:trPr>
          <w:tblCellSpacing w:w="15" w:type="dxa"/>
        </w:trPr>
        <w:tc>
          <w:tcPr>
            <w:tcW w:w="1793" w:type="dxa"/>
            <w:vAlign w:val="center"/>
            <w:hideMark/>
          </w:tcPr>
          <w:p w14:paraId="6F3EB90F"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6</w:t>
            </w:r>
          </w:p>
        </w:tc>
        <w:tc>
          <w:tcPr>
            <w:tcW w:w="3372" w:type="dxa"/>
            <w:vAlign w:val="center"/>
            <w:hideMark/>
          </w:tcPr>
          <w:p w14:paraId="544E6690"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45,000</w:t>
            </w:r>
          </w:p>
        </w:tc>
        <w:tc>
          <w:tcPr>
            <w:tcW w:w="2238" w:type="dxa"/>
            <w:vAlign w:val="center"/>
            <w:hideMark/>
          </w:tcPr>
          <w:p w14:paraId="5EC194BA"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25,000</w:t>
            </w:r>
          </w:p>
        </w:tc>
        <w:tc>
          <w:tcPr>
            <w:tcW w:w="1940" w:type="dxa"/>
            <w:vAlign w:val="center"/>
            <w:hideMark/>
          </w:tcPr>
          <w:p w14:paraId="43738B6C"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+20,000</w:t>
            </w:r>
          </w:p>
        </w:tc>
      </w:tr>
    </w:tbl>
    <w:p w14:paraId="3ADEE2DF"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9E0335" w:rsidRPr="009E0335" w14:paraId="60102EA3" w14:textId="77777777" w:rsidTr="00C50458">
        <w:trPr>
          <w:tblCellSpacing w:w="15" w:type="dxa"/>
        </w:trPr>
        <w:tc>
          <w:tcPr>
            <w:tcW w:w="1793" w:type="dxa"/>
            <w:vAlign w:val="center"/>
            <w:hideMark/>
          </w:tcPr>
          <w:p w14:paraId="13B24C92"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7</w:t>
            </w:r>
          </w:p>
        </w:tc>
        <w:tc>
          <w:tcPr>
            <w:tcW w:w="3372" w:type="dxa"/>
            <w:vAlign w:val="center"/>
            <w:hideMark/>
          </w:tcPr>
          <w:p w14:paraId="3A30426C"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50,000</w:t>
            </w:r>
          </w:p>
        </w:tc>
        <w:tc>
          <w:tcPr>
            <w:tcW w:w="2238" w:type="dxa"/>
            <w:vAlign w:val="center"/>
            <w:hideMark/>
          </w:tcPr>
          <w:p w14:paraId="68710AB7"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25,000</w:t>
            </w:r>
          </w:p>
        </w:tc>
        <w:tc>
          <w:tcPr>
            <w:tcW w:w="1940" w:type="dxa"/>
            <w:vAlign w:val="center"/>
            <w:hideMark/>
          </w:tcPr>
          <w:p w14:paraId="53B4F462"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+25,000</w:t>
            </w:r>
          </w:p>
        </w:tc>
      </w:tr>
    </w:tbl>
    <w:p w14:paraId="67DA17A7"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9E0335" w:rsidRPr="009E0335" w14:paraId="0B544AE8" w14:textId="77777777" w:rsidTr="00C50458">
        <w:trPr>
          <w:tblCellSpacing w:w="15" w:type="dxa"/>
        </w:trPr>
        <w:tc>
          <w:tcPr>
            <w:tcW w:w="1793" w:type="dxa"/>
            <w:vAlign w:val="center"/>
            <w:hideMark/>
          </w:tcPr>
          <w:p w14:paraId="34CA45D9"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8</w:t>
            </w:r>
          </w:p>
        </w:tc>
        <w:tc>
          <w:tcPr>
            <w:tcW w:w="3372" w:type="dxa"/>
            <w:vAlign w:val="center"/>
            <w:hideMark/>
          </w:tcPr>
          <w:p w14:paraId="4EE66A0D"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55,000</w:t>
            </w:r>
          </w:p>
        </w:tc>
        <w:tc>
          <w:tcPr>
            <w:tcW w:w="2238" w:type="dxa"/>
            <w:vAlign w:val="center"/>
            <w:hideMark/>
          </w:tcPr>
          <w:p w14:paraId="787F54DA"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26,000</w:t>
            </w:r>
          </w:p>
        </w:tc>
        <w:tc>
          <w:tcPr>
            <w:tcW w:w="1940" w:type="dxa"/>
            <w:vAlign w:val="center"/>
            <w:hideMark/>
          </w:tcPr>
          <w:p w14:paraId="47E7311F"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+29,000</w:t>
            </w:r>
          </w:p>
        </w:tc>
      </w:tr>
    </w:tbl>
    <w:p w14:paraId="3BCA5530"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C50458" w:rsidRPr="00C50458" w14:paraId="55199450" w14:textId="77777777" w:rsidTr="00C50458">
        <w:trPr>
          <w:tblCellSpacing w:w="15" w:type="dxa"/>
        </w:trPr>
        <w:tc>
          <w:tcPr>
            <w:tcW w:w="1793" w:type="dxa"/>
            <w:vAlign w:val="center"/>
            <w:hideMark/>
          </w:tcPr>
          <w:p w14:paraId="5C32E109"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9</w:t>
            </w:r>
          </w:p>
        </w:tc>
        <w:tc>
          <w:tcPr>
            <w:tcW w:w="3372" w:type="dxa"/>
            <w:vAlign w:val="center"/>
            <w:hideMark/>
          </w:tcPr>
          <w:p w14:paraId="26F004DE"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60,000</w:t>
            </w:r>
          </w:p>
        </w:tc>
        <w:tc>
          <w:tcPr>
            <w:tcW w:w="2238" w:type="dxa"/>
            <w:vAlign w:val="center"/>
            <w:hideMark/>
          </w:tcPr>
          <w:p w14:paraId="60F77005"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27,000</w:t>
            </w:r>
          </w:p>
        </w:tc>
        <w:tc>
          <w:tcPr>
            <w:tcW w:w="1940" w:type="dxa"/>
            <w:vAlign w:val="center"/>
            <w:hideMark/>
          </w:tcPr>
          <w:p w14:paraId="0F915293"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+33,000</w:t>
            </w:r>
          </w:p>
        </w:tc>
      </w:tr>
    </w:tbl>
    <w:p w14:paraId="515BA2C5"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9E0335" w:rsidRPr="009E0335" w14:paraId="16DF720A" w14:textId="77777777" w:rsidTr="00C50458">
        <w:trPr>
          <w:tblCellSpacing w:w="15" w:type="dxa"/>
        </w:trPr>
        <w:tc>
          <w:tcPr>
            <w:tcW w:w="1793" w:type="dxa"/>
            <w:vAlign w:val="center"/>
            <w:hideMark/>
          </w:tcPr>
          <w:p w14:paraId="43803403"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10</w:t>
            </w:r>
          </w:p>
        </w:tc>
        <w:tc>
          <w:tcPr>
            <w:tcW w:w="3372" w:type="dxa"/>
            <w:vAlign w:val="center"/>
            <w:hideMark/>
          </w:tcPr>
          <w:p w14:paraId="285825C4"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65,000</w:t>
            </w:r>
          </w:p>
        </w:tc>
        <w:tc>
          <w:tcPr>
            <w:tcW w:w="2238" w:type="dxa"/>
            <w:vAlign w:val="center"/>
            <w:hideMark/>
          </w:tcPr>
          <w:p w14:paraId="58AD9F67"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28,000</w:t>
            </w:r>
          </w:p>
        </w:tc>
        <w:tc>
          <w:tcPr>
            <w:tcW w:w="1940" w:type="dxa"/>
            <w:vAlign w:val="center"/>
            <w:hideMark/>
          </w:tcPr>
          <w:p w14:paraId="17C90C09"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+37,000</w:t>
            </w:r>
          </w:p>
        </w:tc>
      </w:tr>
    </w:tbl>
    <w:p w14:paraId="1526A906"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9E0335" w:rsidRPr="009E0335" w14:paraId="2A07860D" w14:textId="77777777" w:rsidTr="00C50458">
        <w:trPr>
          <w:tblCellSpacing w:w="15" w:type="dxa"/>
        </w:trPr>
        <w:tc>
          <w:tcPr>
            <w:tcW w:w="1793" w:type="dxa"/>
            <w:vAlign w:val="center"/>
            <w:hideMark/>
          </w:tcPr>
          <w:p w14:paraId="072F1849"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lastRenderedPageBreak/>
              <w:t>Month 11</w:t>
            </w:r>
          </w:p>
        </w:tc>
        <w:tc>
          <w:tcPr>
            <w:tcW w:w="3372" w:type="dxa"/>
            <w:vAlign w:val="center"/>
            <w:hideMark/>
          </w:tcPr>
          <w:p w14:paraId="34C3587A"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70,000</w:t>
            </w:r>
          </w:p>
        </w:tc>
        <w:tc>
          <w:tcPr>
            <w:tcW w:w="2238" w:type="dxa"/>
            <w:vAlign w:val="center"/>
            <w:hideMark/>
          </w:tcPr>
          <w:p w14:paraId="4525FD63"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29,000</w:t>
            </w:r>
          </w:p>
        </w:tc>
        <w:tc>
          <w:tcPr>
            <w:tcW w:w="1940" w:type="dxa"/>
            <w:vAlign w:val="center"/>
            <w:hideMark/>
          </w:tcPr>
          <w:p w14:paraId="5D769A3A"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+41,000</w:t>
            </w:r>
          </w:p>
        </w:tc>
      </w:tr>
    </w:tbl>
    <w:p w14:paraId="7DAE7889" w14:textId="77777777" w:rsidR="009E0335" w:rsidRPr="009E0335" w:rsidRDefault="009E0335" w:rsidP="00C50458">
      <w:pPr>
        <w:spacing w:line="240" w:lineRule="auto"/>
        <w:jc w:val="both"/>
        <w:rPr>
          <w:rFonts w:ascii="Times New Roman" w:hAnsi="Times New Roman" w:cs="Times New Roman"/>
          <w:vanish/>
        </w:rPr>
      </w:pP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402"/>
        <w:gridCol w:w="2268"/>
        <w:gridCol w:w="1985"/>
      </w:tblGrid>
      <w:tr w:rsidR="00C50458" w:rsidRPr="009E0335" w14:paraId="184E2DCA" w14:textId="77777777" w:rsidTr="00C50458">
        <w:trPr>
          <w:tblCellSpacing w:w="15" w:type="dxa"/>
        </w:trPr>
        <w:tc>
          <w:tcPr>
            <w:tcW w:w="1793" w:type="dxa"/>
            <w:vAlign w:val="center"/>
            <w:hideMark/>
          </w:tcPr>
          <w:p w14:paraId="29531B7A"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Month 12</w:t>
            </w:r>
          </w:p>
        </w:tc>
        <w:tc>
          <w:tcPr>
            <w:tcW w:w="3372" w:type="dxa"/>
            <w:vAlign w:val="center"/>
            <w:hideMark/>
          </w:tcPr>
          <w:p w14:paraId="7451ECF6"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75,000</w:t>
            </w:r>
          </w:p>
        </w:tc>
        <w:tc>
          <w:tcPr>
            <w:tcW w:w="2238" w:type="dxa"/>
            <w:vAlign w:val="center"/>
            <w:hideMark/>
          </w:tcPr>
          <w:p w14:paraId="05FC8AD0"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30,000</w:t>
            </w:r>
          </w:p>
        </w:tc>
        <w:tc>
          <w:tcPr>
            <w:tcW w:w="1940" w:type="dxa"/>
            <w:vAlign w:val="center"/>
            <w:hideMark/>
          </w:tcPr>
          <w:p w14:paraId="44660157" w14:textId="77777777" w:rsidR="009E0335" w:rsidRPr="009E0335" w:rsidRDefault="009E0335" w:rsidP="00C50458">
            <w:pPr>
              <w:spacing w:line="240" w:lineRule="auto"/>
              <w:jc w:val="both"/>
              <w:rPr>
                <w:rFonts w:ascii="Times New Roman" w:hAnsi="Times New Roman" w:cs="Times New Roman"/>
              </w:rPr>
            </w:pPr>
            <w:r w:rsidRPr="009E0335">
              <w:rPr>
                <w:rFonts w:ascii="Times New Roman" w:hAnsi="Times New Roman" w:cs="Times New Roman"/>
              </w:rPr>
              <w:t>+45,000</w:t>
            </w:r>
          </w:p>
        </w:tc>
      </w:tr>
    </w:tbl>
    <w:p w14:paraId="1DA68DA3" w14:textId="77777777" w:rsidR="00C50458" w:rsidRDefault="00C50458" w:rsidP="009E0335">
      <w:pPr>
        <w:spacing w:line="480" w:lineRule="auto"/>
        <w:jc w:val="both"/>
        <w:rPr>
          <w:rFonts w:ascii="Times New Roman" w:hAnsi="Times New Roman" w:cs="Times New Roman"/>
        </w:rPr>
      </w:pPr>
    </w:p>
    <w:p w14:paraId="57D64326" w14:textId="0201E478" w:rsidR="00C50458" w:rsidRDefault="00C50458" w:rsidP="009E0335">
      <w:pPr>
        <w:spacing w:line="480" w:lineRule="auto"/>
        <w:jc w:val="both"/>
        <w:rPr>
          <w:rFonts w:ascii="Times New Roman" w:hAnsi="Times New Roman" w:cs="Times New Roman"/>
        </w:rPr>
      </w:pPr>
      <w:r w:rsidRPr="00C50458">
        <w:rPr>
          <w:rFonts w:ascii="Times New Roman" w:hAnsi="Times New Roman" w:cs="Times New Roman"/>
        </w:rPr>
        <w:t>The cash flow projections are predicated on the assumption of effective cost management, gradual scale-up of production, and consistent market penetration. This forecast supports the enterprise's survival and serves as a solid platform for future growth (</w:t>
      </w:r>
      <w:proofErr w:type="spellStart"/>
      <w:r w:rsidRPr="00C50458">
        <w:rPr>
          <w:rFonts w:ascii="Times New Roman" w:hAnsi="Times New Roman" w:cs="Times New Roman"/>
        </w:rPr>
        <w:t>Schaltegger</w:t>
      </w:r>
      <w:proofErr w:type="spellEnd"/>
      <w:r w:rsidRPr="00C50458">
        <w:rPr>
          <w:rFonts w:ascii="Times New Roman" w:hAnsi="Times New Roman" w:cs="Times New Roman"/>
        </w:rPr>
        <w:t xml:space="preserve"> et al., 2012).</w:t>
      </w:r>
    </w:p>
    <w:p w14:paraId="7F390A80" w14:textId="15D78CBB" w:rsidR="009E0335" w:rsidRPr="00C50458" w:rsidRDefault="009E0335" w:rsidP="00C50458">
      <w:pPr>
        <w:pStyle w:val="ListParagraph"/>
        <w:numPr>
          <w:ilvl w:val="0"/>
          <w:numId w:val="1"/>
        </w:numPr>
        <w:spacing w:line="480" w:lineRule="auto"/>
        <w:jc w:val="both"/>
        <w:rPr>
          <w:rFonts w:ascii="Times New Roman" w:hAnsi="Times New Roman" w:cs="Times New Roman"/>
          <w:b/>
          <w:bCs/>
          <w:u w:val="wave"/>
        </w:rPr>
      </w:pPr>
      <w:r w:rsidRPr="00C50458">
        <w:rPr>
          <w:rFonts w:ascii="Times New Roman" w:hAnsi="Times New Roman" w:cs="Times New Roman"/>
          <w:b/>
          <w:bCs/>
          <w:u w:val="wave"/>
        </w:rPr>
        <w:t>Contingency Plan</w:t>
      </w:r>
    </w:p>
    <w:p w14:paraId="0F4934FB" w14:textId="77777777" w:rsidR="00C50458"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An extensive contingency plan has been prepared by the company </w:t>
      </w:r>
      <w:r w:rsidRPr="009E0335">
        <w:rPr>
          <w:rFonts w:ascii="Times New Roman" w:hAnsi="Times New Roman" w:cs="Times New Roman"/>
        </w:rPr>
        <w:t>to</w:t>
      </w:r>
      <w:r w:rsidRPr="009E0335">
        <w:rPr>
          <w:rFonts w:ascii="Times New Roman" w:hAnsi="Times New Roman" w:cs="Times New Roman"/>
        </w:rPr>
        <w:t xml:space="preserve"> reduce the likelihood of potential risks. This is done in recognition of the inherent uncertainties that are present in each new business venture. </w:t>
      </w:r>
      <w:r w:rsidRPr="009E0335">
        <w:rPr>
          <w:rFonts w:ascii="Times New Roman" w:hAnsi="Times New Roman" w:cs="Times New Roman"/>
        </w:rPr>
        <w:t>To</w:t>
      </w:r>
      <w:r w:rsidRPr="009E0335">
        <w:rPr>
          <w:rFonts w:ascii="Times New Roman" w:hAnsi="Times New Roman" w:cs="Times New Roman"/>
        </w:rPr>
        <w:t xml:space="preserve"> manage fluctuations in the availability of raw materials, production delays, and unanticipated swings in market demand, the plan contains ways to manage these factors. It is necessary to keep financial reserves </w:t>
      </w:r>
      <w:r w:rsidR="00C50458" w:rsidRPr="009E0335">
        <w:rPr>
          <w:rFonts w:ascii="Times New Roman" w:hAnsi="Times New Roman" w:cs="Times New Roman"/>
        </w:rPr>
        <w:t>to</w:t>
      </w:r>
      <w:r w:rsidRPr="009E0335">
        <w:rPr>
          <w:rFonts w:ascii="Times New Roman" w:hAnsi="Times New Roman" w:cs="Times New Roman"/>
        </w:rPr>
        <w:t xml:space="preserve"> meet operational expenditures </w:t>
      </w:r>
      <w:r w:rsidR="00C50458" w:rsidRPr="009E0335">
        <w:rPr>
          <w:rFonts w:ascii="Times New Roman" w:hAnsi="Times New Roman" w:cs="Times New Roman"/>
        </w:rPr>
        <w:t>if</w:t>
      </w:r>
      <w:r w:rsidRPr="009E0335">
        <w:rPr>
          <w:rFonts w:ascii="Times New Roman" w:hAnsi="Times New Roman" w:cs="Times New Roman"/>
        </w:rPr>
        <w:t xml:space="preserve"> there is a shortfall in revenue. Additionally, strategic alliances are developed with alternative suppliers </w:t>
      </w:r>
      <w:r w:rsidR="00C50458" w:rsidRPr="009E0335">
        <w:rPr>
          <w:rFonts w:ascii="Times New Roman" w:hAnsi="Times New Roman" w:cs="Times New Roman"/>
        </w:rPr>
        <w:t>to</w:t>
      </w:r>
      <w:r w:rsidRPr="009E0335">
        <w:rPr>
          <w:rFonts w:ascii="Times New Roman" w:hAnsi="Times New Roman" w:cs="Times New Roman"/>
        </w:rPr>
        <w:t xml:space="preserve"> guarantee that production will continue uninterrupted. Additionally, the business will keep a close eye on developments in technology as well as changes in regulatory policies, which will enable it to make frequent adjustments to its operating strategy. It is intended to conduct regular reviews of the performance of the business in comparison to key sustainability criteria </w:t>
      </w:r>
      <w:r w:rsidR="00C50458" w:rsidRPr="009E0335">
        <w:rPr>
          <w:rFonts w:ascii="Times New Roman" w:hAnsi="Times New Roman" w:cs="Times New Roman"/>
        </w:rPr>
        <w:t>to</w:t>
      </w:r>
      <w:r w:rsidRPr="009E0335">
        <w:rPr>
          <w:rFonts w:ascii="Times New Roman" w:hAnsi="Times New Roman" w:cs="Times New Roman"/>
        </w:rPr>
        <w:t xml:space="preserve"> guarantee that the firm will continue to be adaptable and resilient. This proactive risk management strategy is essential for the venture's long-term success (Hess, 2014; Monday, 2015).</w:t>
      </w:r>
    </w:p>
    <w:p w14:paraId="4BCC2D55" w14:textId="77777777" w:rsidR="00C50458" w:rsidRDefault="00C50458" w:rsidP="009E0335">
      <w:pPr>
        <w:spacing w:line="480" w:lineRule="auto"/>
        <w:jc w:val="both"/>
        <w:rPr>
          <w:rFonts w:ascii="Times New Roman" w:hAnsi="Times New Roman" w:cs="Times New Roman"/>
        </w:rPr>
      </w:pPr>
    </w:p>
    <w:p w14:paraId="1650F436" w14:textId="77777777" w:rsidR="00C50458" w:rsidRDefault="00C50458" w:rsidP="009E0335">
      <w:pPr>
        <w:spacing w:line="480" w:lineRule="auto"/>
        <w:jc w:val="both"/>
        <w:rPr>
          <w:rFonts w:ascii="Times New Roman" w:hAnsi="Times New Roman" w:cs="Times New Roman"/>
        </w:rPr>
      </w:pPr>
    </w:p>
    <w:p w14:paraId="6145116B" w14:textId="77777777" w:rsidR="00C50458" w:rsidRDefault="00C50458" w:rsidP="009E0335">
      <w:pPr>
        <w:spacing w:line="480" w:lineRule="auto"/>
        <w:jc w:val="both"/>
        <w:rPr>
          <w:rFonts w:ascii="Times New Roman" w:hAnsi="Times New Roman" w:cs="Times New Roman"/>
        </w:rPr>
      </w:pPr>
    </w:p>
    <w:p w14:paraId="7ADE5EEB" w14:textId="20D5961B" w:rsidR="009E0335" w:rsidRPr="00C50458" w:rsidRDefault="009E0335" w:rsidP="00C50458">
      <w:pPr>
        <w:pStyle w:val="ListParagraph"/>
        <w:numPr>
          <w:ilvl w:val="0"/>
          <w:numId w:val="1"/>
        </w:numPr>
        <w:spacing w:line="480" w:lineRule="auto"/>
        <w:jc w:val="both"/>
        <w:rPr>
          <w:rFonts w:ascii="Times New Roman" w:hAnsi="Times New Roman" w:cs="Times New Roman"/>
          <w:b/>
          <w:bCs/>
          <w:u w:val="wave"/>
        </w:rPr>
      </w:pPr>
      <w:r w:rsidRPr="00C50458">
        <w:rPr>
          <w:rFonts w:ascii="Times New Roman" w:hAnsi="Times New Roman" w:cs="Times New Roman"/>
          <w:b/>
          <w:bCs/>
          <w:u w:val="wave"/>
        </w:rPr>
        <w:lastRenderedPageBreak/>
        <w:t>Conclusion</w:t>
      </w:r>
    </w:p>
    <w:p w14:paraId="0592A1D7" w14:textId="77777777" w:rsidR="00C50458" w:rsidRDefault="009E0335" w:rsidP="009E0335">
      <w:pPr>
        <w:spacing w:line="480" w:lineRule="auto"/>
        <w:jc w:val="both"/>
        <w:rPr>
          <w:rFonts w:ascii="Times New Roman" w:hAnsi="Times New Roman" w:cs="Times New Roman"/>
        </w:rPr>
      </w:pPr>
      <w:r w:rsidRPr="009E0335">
        <w:rPr>
          <w:rFonts w:ascii="Times New Roman" w:hAnsi="Times New Roman" w:cs="Times New Roman"/>
        </w:rPr>
        <w:t>This business plan delineates a strategic and comprehensive approach to the establishment of a sustainable biodegradable textile enterprise. A commitment to social responsibility, environmental stewardship, and innovation are the guiding principles upon which this enterprise was established. The company is well positioned to seize a rising market sector that is committed to responsible consumption since it has well defined objectives and has a strong emphasis on developing production techniques that are environmentally friendly. A solid basis for long-term performance is provided by a comprehensive examination of both internal and external elements, as well as a financial projection that is cautious and a contingency plan that has been thoroughly created.</w:t>
      </w:r>
    </w:p>
    <w:p w14:paraId="168CF9F0" w14:textId="77777777" w:rsidR="00C50458" w:rsidRDefault="009E0335" w:rsidP="009E0335">
      <w:pPr>
        <w:spacing w:line="480" w:lineRule="auto"/>
        <w:jc w:val="both"/>
        <w:rPr>
          <w:rFonts w:ascii="Times New Roman" w:hAnsi="Times New Roman" w:cs="Times New Roman"/>
        </w:rPr>
      </w:pPr>
      <w:r w:rsidRPr="009E0335">
        <w:rPr>
          <w:rFonts w:ascii="Times New Roman" w:hAnsi="Times New Roman" w:cs="Times New Roman"/>
        </w:rPr>
        <w:t>Not only does the company intend to provide a product that is of superior quality and inventive, but it also intends to make a significant contribution to the reduction of textile waste and the promotion of ideas that are associated with circular economies. The start-up will be a driving force behind positive change within the textile industry by utilising contemporary production processes, cultivating strong links with the community, and establishing stakeholder interactions. Through the implementation of cutting-edge design techniques and environmentally responsible business practices, the enterprise is guaranteed to continue to be competitive, resilient, and in line with the ever-changing requirements of regulatory frameworks and consumer expectations.</w:t>
      </w:r>
    </w:p>
    <w:p w14:paraId="76461C38" w14:textId="77777777" w:rsidR="00C50458" w:rsidRDefault="009E0335" w:rsidP="009E0335">
      <w:pPr>
        <w:spacing w:line="480" w:lineRule="auto"/>
        <w:jc w:val="both"/>
        <w:rPr>
          <w:rFonts w:ascii="Times New Roman" w:hAnsi="Times New Roman" w:cs="Times New Roman"/>
        </w:rPr>
      </w:pPr>
      <w:r w:rsidRPr="009E0335">
        <w:rPr>
          <w:rFonts w:ascii="Times New Roman" w:hAnsi="Times New Roman" w:cs="Times New Roman"/>
        </w:rPr>
        <w:t xml:space="preserve"> The enterprise is well positioned to make a significant contribution to the development of sustainable business models and the creation of a circular textile economy </w:t>
      </w:r>
      <w:r w:rsidR="00C50458" w:rsidRPr="009E0335">
        <w:rPr>
          <w:rFonts w:ascii="Times New Roman" w:hAnsi="Times New Roman" w:cs="Times New Roman"/>
        </w:rPr>
        <w:t>because of</w:t>
      </w:r>
      <w:r w:rsidRPr="009E0335">
        <w:rPr>
          <w:rFonts w:ascii="Times New Roman" w:hAnsi="Times New Roman" w:cs="Times New Roman"/>
        </w:rPr>
        <w:t xml:space="preserve"> its alignment of its operational and strategic goals with internationally recognised sustainability standards and best practices in the sector.</w:t>
      </w:r>
    </w:p>
    <w:p w14:paraId="76841580" w14:textId="23011667" w:rsidR="009E0335" w:rsidRDefault="009E0335" w:rsidP="009E0335">
      <w:pPr>
        <w:spacing w:line="480" w:lineRule="auto"/>
        <w:jc w:val="both"/>
        <w:rPr>
          <w:rFonts w:ascii="Times New Roman" w:hAnsi="Times New Roman" w:cs="Times New Roman"/>
        </w:rPr>
      </w:pPr>
      <w:r w:rsidRPr="009E0335">
        <w:rPr>
          <w:rFonts w:ascii="Times New Roman" w:hAnsi="Times New Roman" w:cs="Times New Roman"/>
        </w:rPr>
        <w:lastRenderedPageBreak/>
        <w:t xml:space="preserve">The success of this venture will be evaluated not only by its financial performance but also by its capacity to produce environmental and social benefits. The enterprise is well-positioned to confront the obstacles of the contemporary marketplace and establish itself as a leader in sustainable manufacturing, as it is dedicated to sustainable practices and maintains a strong emphasis on innovation. As a result, this business plan functions as a road map for achieving excellence in sustainable entrepreneurship while simultaneously providing substantial value to consumers, stakeholders, and </w:t>
      </w:r>
      <w:r w:rsidR="00C50458" w:rsidRPr="009E0335">
        <w:rPr>
          <w:rFonts w:ascii="Times New Roman" w:hAnsi="Times New Roman" w:cs="Times New Roman"/>
        </w:rPr>
        <w:t>society</w:t>
      </w:r>
      <w:r w:rsidRPr="009E0335">
        <w:rPr>
          <w:rFonts w:ascii="Times New Roman" w:hAnsi="Times New Roman" w:cs="Times New Roman"/>
        </w:rPr>
        <w:t>.</w:t>
      </w:r>
    </w:p>
    <w:p w14:paraId="54A2C1D4" w14:textId="77777777" w:rsidR="00C50458" w:rsidRDefault="00C50458" w:rsidP="009E0335">
      <w:pPr>
        <w:spacing w:line="480" w:lineRule="auto"/>
        <w:jc w:val="both"/>
        <w:rPr>
          <w:rFonts w:ascii="Times New Roman" w:hAnsi="Times New Roman" w:cs="Times New Roman"/>
        </w:rPr>
      </w:pPr>
    </w:p>
    <w:p w14:paraId="35E10970" w14:textId="77777777" w:rsidR="00C50458" w:rsidRDefault="00C50458" w:rsidP="009E0335">
      <w:pPr>
        <w:spacing w:line="480" w:lineRule="auto"/>
        <w:jc w:val="both"/>
        <w:rPr>
          <w:rFonts w:ascii="Times New Roman" w:hAnsi="Times New Roman" w:cs="Times New Roman"/>
        </w:rPr>
      </w:pPr>
    </w:p>
    <w:p w14:paraId="017463AC" w14:textId="77777777" w:rsidR="00C50458" w:rsidRDefault="00C50458" w:rsidP="009E0335">
      <w:pPr>
        <w:spacing w:line="480" w:lineRule="auto"/>
        <w:jc w:val="both"/>
        <w:rPr>
          <w:rFonts w:ascii="Times New Roman" w:hAnsi="Times New Roman" w:cs="Times New Roman"/>
        </w:rPr>
      </w:pPr>
    </w:p>
    <w:p w14:paraId="1D7D74D3" w14:textId="77777777" w:rsidR="00C50458" w:rsidRDefault="00C50458" w:rsidP="009E0335">
      <w:pPr>
        <w:spacing w:line="480" w:lineRule="auto"/>
        <w:jc w:val="both"/>
        <w:rPr>
          <w:rFonts w:ascii="Times New Roman" w:hAnsi="Times New Roman" w:cs="Times New Roman"/>
        </w:rPr>
      </w:pPr>
    </w:p>
    <w:p w14:paraId="65162CA2" w14:textId="77777777" w:rsidR="00C50458" w:rsidRDefault="00C50458" w:rsidP="009E0335">
      <w:pPr>
        <w:spacing w:line="480" w:lineRule="auto"/>
        <w:jc w:val="both"/>
        <w:rPr>
          <w:rFonts w:ascii="Times New Roman" w:hAnsi="Times New Roman" w:cs="Times New Roman"/>
        </w:rPr>
      </w:pPr>
    </w:p>
    <w:p w14:paraId="10B7C562" w14:textId="77777777" w:rsidR="00C50458" w:rsidRDefault="00C50458" w:rsidP="009E0335">
      <w:pPr>
        <w:spacing w:line="480" w:lineRule="auto"/>
        <w:jc w:val="both"/>
        <w:rPr>
          <w:rFonts w:ascii="Times New Roman" w:hAnsi="Times New Roman" w:cs="Times New Roman"/>
        </w:rPr>
      </w:pPr>
    </w:p>
    <w:p w14:paraId="4C69B532" w14:textId="77777777" w:rsidR="00C50458" w:rsidRDefault="00C50458" w:rsidP="009E0335">
      <w:pPr>
        <w:spacing w:line="480" w:lineRule="auto"/>
        <w:jc w:val="both"/>
        <w:rPr>
          <w:rFonts w:ascii="Times New Roman" w:hAnsi="Times New Roman" w:cs="Times New Roman"/>
        </w:rPr>
      </w:pPr>
    </w:p>
    <w:p w14:paraId="0C4BFF97" w14:textId="77777777" w:rsidR="00C50458" w:rsidRDefault="00C50458" w:rsidP="009E0335">
      <w:pPr>
        <w:spacing w:line="480" w:lineRule="auto"/>
        <w:jc w:val="both"/>
        <w:rPr>
          <w:rFonts w:ascii="Times New Roman" w:hAnsi="Times New Roman" w:cs="Times New Roman"/>
        </w:rPr>
      </w:pPr>
    </w:p>
    <w:p w14:paraId="384715B5" w14:textId="77777777" w:rsidR="00C50458" w:rsidRDefault="00C50458" w:rsidP="009E0335">
      <w:pPr>
        <w:spacing w:line="480" w:lineRule="auto"/>
        <w:jc w:val="both"/>
        <w:rPr>
          <w:rFonts w:ascii="Times New Roman" w:hAnsi="Times New Roman" w:cs="Times New Roman"/>
        </w:rPr>
      </w:pPr>
    </w:p>
    <w:p w14:paraId="3D6E0533" w14:textId="77777777" w:rsidR="00C50458" w:rsidRDefault="00C50458" w:rsidP="009E0335">
      <w:pPr>
        <w:spacing w:line="480" w:lineRule="auto"/>
        <w:jc w:val="both"/>
        <w:rPr>
          <w:rFonts w:ascii="Times New Roman" w:hAnsi="Times New Roman" w:cs="Times New Roman"/>
        </w:rPr>
      </w:pPr>
    </w:p>
    <w:p w14:paraId="2DD4C97E" w14:textId="77777777" w:rsidR="00C50458" w:rsidRDefault="00C50458" w:rsidP="009E0335">
      <w:pPr>
        <w:spacing w:line="480" w:lineRule="auto"/>
        <w:jc w:val="both"/>
        <w:rPr>
          <w:rFonts w:ascii="Times New Roman" w:hAnsi="Times New Roman" w:cs="Times New Roman"/>
        </w:rPr>
      </w:pPr>
    </w:p>
    <w:p w14:paraId="348E339C" w14:textId="77777777" w:rsidR="00C50458" w:rsidRDefault="00C50458" w:rsidP="009E0335">
      <w:pPr>
        <w:spacing w:line="480" w:lineRule="auto"/>
        <w:jc w:val="both"/>
        <w:rPr>
          <w:rFonts w:ascii="Times New Roman" w:hAnsi="Times New Roman" w:cs="Times New Roman"/>
        </w:rPr>
      </w:pPr>
    </w:p>
    <w:p w14:paraId="205B7C7E" w14:textId="77777777" w:rsidR="00C50458" w:rsidRDefault="00C50458" w:rsidP="009E0335">
      <w:pPr>
        <w:spacing w:line="480" w:lineRule="auto"/>
        <w:jc w:val="both"/>
        <w:rPr>
          <w:rFonts w:ascii="Times New Roman" w:hAnsi="Times New Roman" w:cs="Times New Roman"/>
        </w:rPr>
      </w:pPr>
    </w:p>
    <w:p w14:paraId="019516DC" w14:textId="77777777" w:rsidR="00C50458" w:rsidRDefault="00C50458" w:rsidP="009E0335">
      <w:pPr>
        <w:spacing w:line="480" w:lineRule="auto"/>
        <w:jc w:val="both"/>
        <w:rPr>
          <w:rFonts w:ascii="Times New Roman" w:hAnsi="Times New Roman" w:cs="Times New Roman"/>
        </w:rPr>
      </w:pPr>
    </w:p>
    <w:p w14:paraId="7C52F4DC" w14:textId="64A953BE" w:rsidR="00C50458" w:rsidRPr="0060744C" w:rsidRDefault="00C50458" w:rsidP="009E0335">
      <w:pPr>
        <w:spacing w:line="480" w:lineRule="auto"/>
        <w:jc w:val="both"/>
        <w:rPr>
          <w:rFonts w:ascii="Times New Roman" w:hAnsi="Times New Roman" w:cs="Times New Roman"/>
          <w:b/>
          <w:bCs/>
          <w:u w:val="wave"/>
        </w:rPr>
      </w:pPr>
      <w:r w:rsidRPr="0060744C">
        <w:rPr>
          <w:rFonts w:ascii="Times New Roman" w:hAnsi="Times New Roman" w:cs="Times New Roman"/>
          <w:b/>
          <w:bCs/>
          <w:u w:val="wave"/>
        </w:rPr>
        <w:lastRenderedPageBreak/>
        <w:t xml:space="preserve">References </w:t>
      </w:r>
    </w:p>
    <w:p w14:paraId="37F7F4CB" w14:textId="77777777" w:rsid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Edgeman, R., &amp; Eskildsen, J. (2014). Modelling and assessing sustainable enterprise excellence. </w:t>
      </w:r>
      <w:r w:rsidRPr="0060744C">
        <w:rPr>
          <w:rFonts w:ascii="Times New Roman" w:hAnsi="Times New Roman" w:cs="Times New Roman"/>
          <w:i/>
          <w:iCs/>
        </w:rPr>
        <w:t>Business Strategy and the Environment, 23</w:t>
      </w:r>
      <w:r w:rsidRPr="0060744C">
        <w:rPr>
          <w:rFonts w:ascii="Times New Roman" w:hAnsi="Times New Roman" w:cs="Times New Roman"/>
        </w:rPr>
        <w:t>(3), 173–187.</w:t>
      </w:r>
    </w:p>
    <w:p w14:paraId="4E3C917E" w14:textId="77777777" w:rsid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Elkington, J. (1997). </w:t>
      </w:r>
      <w:r w:rsidRPr="0060744C">
        <w:rPr>
          <w:rFonts w:ascii="Times New Roman" w:hAnsi="Times New Roman" w:cs="Times New Roman"/>
          <w:i/>
          <w:iCs/>
        </w:rPr>
        <w:t>Cannibals with forks: The triple bottom line of 21st century business.</w:t>
      </w:r>
      <w:r w:rsidRPr="0060744C">
        <w:rPr>
          <w:rFonts w:ascii="Times New Roman" w:hAnsi="Times New Roman" w:cs="Times New Roman"/>
        </w:rPr>
        <w:t xml:space="preserve"> Capstone Publishing.</w:t>
      </w:r>
    </w:p>
    <w:p w14:paraId="6FAA7886" w14:textId="77777777" w:rsidR="0060744C" w:rsidRDefault="0060744C" w:rsidP="0060744C">
      <w:pPr>
        <w:spacing w:line="480" w:lineRule="auto"/>
        <w:jc w:val="both"/>
        <w:rPr>
          <w:rFonts w:ascii="Times New Roman" w:hAnsi="Times New Roman" w:cs="Times New Roman"/>
        </w:rPr>
      </w:pPr>
      <w:proofErr w:type="spellStart"/>
      <w:r w:rsidRPr="0060744C">
        <w:rPr>
          <w:rFonts w:ascii="Times New Roman" w:hAnsi="Times New Roman" w:cs="Times New Roman"/>
        </w:rPr>
        <w:t>Febrizal</w:t>
      </w:r>
      <w:proofErr w:type="spellEnd"/>
      <w:r w:rsidRPr="0060744C">
        <w:rPr>
          <w:rFonts w:ascii="Times New Roman" w:hAnsi="Times New Roman" w:cs="Times New Roman"/>
        </w:rPr>
        <w:t xml:space="preserve"> </w:t>
      </w:r>
      <w:proofErr w:type="spellStart"/>
      <w:r w:rsidRPr="0060744C">
        <w:rPr>
          <w:rFonts w:ascii="Times New Roman" w:hAnsi="Times New Roman" w:cs="Times New Roman"/>
        </w:rPr>
        <w:t>Rahmana</w:t>
      </w:r>
      <w:proofErr w:type="spellEnd"/>
      <w:r w:rsidRPr="0060744C">
        <w:rPr>
          <w:rFonts w:ascii="Times New Roman" w:hAnsi="Times New Roman" w:cs="Times New Roman"/>
        </w:rPr>
        <w:t xml:space="preserve">, F., &amp; </w:t>
      </w:r>
      <w:proofErr w:type="spellStart"/>
      <w:r w:rsidRPr="0060744C">
        <w:rPr>
          <w:rFonts w:ascii="Times New Roman" w:hAnsi="Times New Roman" w:cs="Times New Roman"/>
        </w:rPr>
        <w:t>Bawono</w:t>
      </w:r>
      <w:proofErr w:type="spellEnd"/>
      <w:r w:rsidRPr="0060744C">
        <w:rPr>
          <w:rFonts w:ascii="Times New Roman" w:hAnsi="Times New Roman" w:cs="Times New Roman"/>
        </w:rPr>
        <w:t xml:space="preserve">, A. (2020). Sustainable development toward sustainable enterprise. </w:t>
      </w:r>
      <w:r w:rsidRPr="0060744C">
        <w:rPr>
          <w:rFonts w:ascii="Times New Roman" w:hAnsi="Times New Roman" w:cs="Times New Roman"/>
          <w:i/>
          <w:iCs/>
        </w:rPr>
        <w:t>Management Science Letters, 11(</w:t>
      </w:r>
      <w:r w:rsidRPr="0060744C">
        <w:rPr>
          <w:rFonts w:ascii="Times New Roman" w:hAnsi="Times New Roman" w:cs="Times New Roman"/>
        </w:rPr>
        <w:t>2), 657–668.</w:t>
      </w:r>
    </w:p>
    <w:p w14:paraId="5666804A" w14:textId="77777777" w:rsid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Hess, D. W. (2014). </w:t>
      </w:r>
      <w:r w:rsidRPr="0060744C">
        <w:rPr>
          <w:rFonts w:ascii="Times New Roman" w:hAnsi="Times New Roman" w:cs="Times New Roman"/>
          <w:i/>
          <w:iCs/>
        </w:rPr>
        <w:t>The framework for CSR assessment, measurement, and reporting</w:t>
      </w:r>
      <w:r w:rsidRPr="0060744C">
        <w:rPr>
          <w:rFonts w:ascii="Times New Roman" w:hAnsi="Times New Roman" w:cs="Times New Roman"/>
        </w:rPr>
        <w:t>. In Corporate Social Responsibility and Environmental Management (pp. 177–192). Springer, Cham.</w:t>
      </w:r>
    </w:p>
    <w:p w14:paraId="16A184F2" w14:textId="69E6CD7F" w:rsidR="0060744C" w:rsidRPr="0060744C" w:rsidRDefault="0060744C" w:rsidP="0060744C">
      <w:pPr>
        <w:spacing w:line="480" w:lineRule="auto"/>
        <w:jc w:val="both"/>
        <w:rPr>
          <w:rFonts w:ascii="Times New Roman" w:hAnsi="Times New Roman" w:cs="Times New Roman"/>
        </w:rPr>
      </w:pPr>
      <w:proofErr w:type="spellStart"/>
      <w:r w:rsidRPr="0060744C">
        <w:rPr>
          <w:rFonts w:ascii="Times New Roman" w:hAnsi="Times New Roman" w:cs="Times New Roman"/>
        </w:rPr>
        <w:t>Høgevold</w:t>
      </w:r>
      <w:proofErr w:type="spellEnd"/>
      <w:r w:rsidRPr="0060744C">
        <w:rPr>
          <w:rFonts w:ascii="Times New Roman" w:hAnsi="Times New Roman" w:cs="Times New Roman"/>
        </w:rPr>
        <w:t xml:space="preserve">, N., et al. (2014). A corporate effort towards a sustainable business model: A case study from the Norwegian furniture industry. </w:t>
      </w:r>
      <w:r w:rsidRPr="0060744C">
        <w:rPr>
          <w:rFonts w:ascii="Times New Roman" w:hAnsi="Times New Roman" w:cs="Times New Roman"/>
          <w:i/>
          <w:iCs/>
        </w:rPr>
        <w:t>European Business Review, 26</w:t>
      </w:r>
      <w:r w:rsidRPr="0060744C">
        <w:rPr>
          <w:rFonts w:ascii="Times New Roman" w:hAnsi="Times New Roman" w:cs="Times New Roman"/>
        </w:rPr>
        <w:t>(4), 342–365.</w:t>
      </w:r>
    </w:p>
    <w:p w14:paraId="4423FB57" w14:textId="77777777" w:rsidR="0060744C" w:rsidRPr="0060744C" w:rsidRDefault="0060744C" w:rsidP="0060744C">
      <w:pPr>
        <w:spacing w:line="480" w:lineRule="auto"/>
        <w:jc w:val="both"/>
        <w:rPr>
          <w:rFonts w:ascii="Times New Roman" w:hAnsi="Times New Roman" w:cs="Times New Roman"/>
        </w:rPr>
      </w:pPr>
      <w:proofErr w:type="spellStart"/>
      <w:r w:rsidRPr="0060744C">
        <w:rPr>
          <w:rFonts w:ascii="Times New Roman" w:hAnsi="Times New Roman" w:cs="Times New Roman"/>
        </w:rPr>
        <w:t>Lathabhavan</w:t>
      </w:r>
      <w:proofErr w:type="spellEnd"/>
      <w:r w:rsidRPr="0060744C">
        <w:rPr>
          <w:rFonts w:ascii="Times New Roman" w:hAnsi="Times New Roman" w:cs="Times New Roman"/>
        </w:rPr>
        <w:t xml:space="preserve">, R. (2021). Sustainable business practices and challenges in Asia: A systematic review. </w:t>
      </w:r>
      <w:r w:rsidRPr="0060744C">
        <w:rPr>
          <w:rFonts w:ascii="Times New Roman" w:hAnsi="Times New Roman" w:cs="Times New Roman"/>
          <w:i/>
          <w:iCs/>
        </w:rPr>
        <w:t>International Journal of Organizational Analysis</w:t>
      </w:r>
      <w:r w:rsidRPr="0060744C">
        <w:rPr>
          <w:rFonts w:ascii="Times New Roman" w:hAnsi="Times New Roman" w:cs="Times New Roman"/>
        </w:rPr>
        <w:t>.</w:t>
      </w:r>
    </w:p>
    <w:p w14:paraId="25AC8053" w14:textId="6CCDF2F8" w:rsidR="0060744C" w:rsidRP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Monday, J. U. (2015). Local content policy, human capital development and sustainable business performance in the Nigerian oil and gas industry. </w:t>
      </w:r>
      <w:r w:rsidRPr="0060744C">
        <w:rPr>
          <w:rFonts w:ascii="Times New Roman" w:hAnsi="Times New Roman" w:cs="Times New Roman"/>
          <w:i/>
          <w:iCs/>
        </w:rPr>
        <w:t>Journal of Management and Sustainability, 5</w:t>
      </w:r>
      <w:r w:rsidRPr="0060744C">
        <w:rPr>
          <w:rFonts w:ascii="Times New Roman" w:hAnsi="Times New Roman" w:cs="Times New Roman"/>
        </w:rPr>
        <w:t>(1).</w:t>
      </w:r>
    </w:p>
    <w:p w14:paraId="65C3BB14" w14:textId="77777777" w:rsidR="0060744C" w:rsidRPr="0060744C" w:rsidRDefault="0060744C" w:rsidP="0060744C">
      <w:pPr>
        <w:spacing w:line="480" w:lineRule="auto"/>
        <w:jc w:val="both"/>
        <w:rPr>
          <w:rFonts w:ascii="Times New Roman" w:hAnsi="Times New Roman" w:cs="Times New Roman"/>
        </w:rPr>
      </w:pPr>
      <w:proofErr w:type="spellStart"/>
      <w:r w:rsidRPr="0060744C">
        <w:rPr>
          <w:rFonts w:ascii="Times New Roman" w:hAnsi="Times New Roman" w:cs="Times New Roman"/>
        </w:rPr>
        <w:t>Schaltegger</w:t>
      </w:r>
      <w:proofErr w:type="spellEnd"/>
      <w:r w:rsidRPr="0060744C">
        <w:rPr>
          <w:rFonts w:ascii="Times New Roman" w:hAnsi="Times New Roman" w:cs="Times New Roman"/>
        </w:rPr>
        <w:t xml:space="preserve">, S., </w:t>
      </w:r>
      <w:proofErr w:type="spellStart"/>
      <w:r w:rsidRPr="0060744C">
        <w:rPr>
          <w:rFonts w:ascii="Times New Roman" w:hAnsi="Times New Roman" w:cs="Times New Roman"/>
        </w:rPr>
        <w:t>Lüdeke</w:t>
      </w:r>
      <w:proofErr w:type="spellEnd"/>
      <w:r w:rsidRPr="0060744C">
        <w:rPr>
          <w:rFonts w:ascii="Times New Roman" w:hAnsi="Times New Roman" w:cs="Times New Roman"/>
        </w:rPr>
        <w:t xml:space="preserve">-Freund, F., &amp; Hansen, E. G. (2012). Business cases for sustainability: The role of business model innovation for corporate sustainability. </w:t>
      </w:r>
      <w:r w:rsidRPr="0060744C">
        <w:rPr>
          <w:rFonts w:ascii="Times New Roman" w:hAnsi="Times New Roman" w:cs="Times New Roman"/>
          <w:i/>
          <w:iCs/>
        </w:rPr>
        <w:t>International Journal of Innovation and Sustainable Development, 6</w:t>
      </w:r>
      <w:r w:rsidRPr="0060744C">
        <w:rPr>
          <w:rFonts w:ascii="Times New Roman" w:hAnsi="Times New Roman" w:cs="Times New Roman"/>
        </w:rPr>
        <w:t>(2), 95–119.</w:t>
      </w:r>
    </w:p>
    <w:p w14:paraId="20ECE0AF" w14:textId="77777777" w:rsidR="0060744C" w:rsidRPr="0060744C" w:rsidRDefault="0060744C" w:rsidP="0060744C">
      <w:pPr>
        <w:spacing w:line="480" w:lineRule="auto"/>
        <w:jc w:val="both"/>
        <w:rPr>
          <w:rFonts w:ascii="Times New Roman" w:hAnsi="Times New Roman" w:cs="Times New Roman"/>
        </w:rPr>
      </w:pPr>
    </w:p>
    <w:p w14:paraId="3A745B10" w14:textId="77777777" w:rsidR="0060744C" w:rsidRP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lastRenderedPageBreak/>
        <w:t xml:space="preserve">Tischner, U., &amp; Charter, M. (2001). Sustainable product design. In M. Charter &amp; U. Tischner (Eds.), </w:t>
      </w:r>
      <w:r w:rsidRPr="0060744C">
        <w:rPr>
          <w:rFonts w:ascii="Times New Roman" w:hAnsi="Times New Roman" w:cs="Times New Roman"/>
          <w:i/>
          <w:iCs/>
        </w:rPr>
        <w:t>Sustainable solutions: Developing products and services for the future</w:t>
      </w:r>
      <w:r w:rsidRPr="0060744C">
        <w:rPr>
          <w:rFonts w:ascii="Times New Roman" w:hAnsi="Times New Roman" w:cs="Times New Roman"/>
        </w:rPr>
        <w:t xml:space="preserve"> (pp. 118–138). Greenleaf.</w:t>
      </w:r>
    </w:p>
    <w:p w14:paraId="6329FEA2" w14:textId="77777777" w:rsidR="0060744C" w:rsidRP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Tojo, N., </w:t>
      </w:r>
      <w:proofErr w:type="spellStart"/>
      <w:r w:rsidRPr="0060744C">
        <w:rPr>
          <w:rFonts w:ascii="Times New Roman" w:hAnsi="Times New Roman" w:cs="Times New Roman"/>
        </w:rPr>
        <w:t>Kogg</w:t>
      </w:r>
      <w:proofErr w:type="spellEnd"/>
      <w:r w:rsidRPr="0060744C">
        <w:rPr>
          <w:rFonts w:ascii="Times New Roman" w:hAnsi="Times New Roman" w:cs="Times New Roman"/>
        </w:rPr>
        <w:t xml:space="preserve">, B., Kiørboe, N., Kjær, B., &amp; Aalto, K. (2012). </w:t>
      </w:r>
      <w:r w:rsidRPr="0060744C">
        <w:rPr>
          <w:rFonts w:ascii="Times New Roman" w:hAnsi="Times New Roman" w:cs="Times New Roman"/>
          <w:i/>
          <w:iCs/>
        </w:rPr>
        <w:t>Prevention of textile waste: Material flows of textile in three Nordic countries and suggestions on policy instruments.</w:t>
      </w:r>
      <w:r w:rsidRPr="0060744C">
        <w:rPr>
          <w:rFonts w:ascii="Times New Roman" w:hAnsi="Times New Roman" w:cs="Times New Roman"/>
        </w:rPr>
        <w:t xml:space="preserve"> Nordic Council of Ministers.</w:t>
      </w:r>
    </w:p>
    <w:p w14:paraId="5BE4C350" w14:textId="714D0E6E" w:rsidR="0060744C" w:rsidRP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Tukker, A., Emmert, S., Charter, M., Vezzoli, C., </w:t>
      </w:r>
      <w:proofErr w:type="spellStart"/>
      <w:r w:rsidRPr="0060744C">
        <w:rPr>
          <w:rFonts w:ascii="Times New Roman" w:hAnsi="Times New Roman" w:cs="Times New Roman"/>
        </w:rPr>
        <w:t>Stø</w:t>
      </w:r>
      <w:proofErr w:type="spellEnd"/>
      <w:r w:rsidRPr="0060744C">
        <w:rPr>
          <w:rFonts w:ascii="Times New Roman" w:hAnsi="Times New Roman" w:cs="Times New Roman"/>
        </w:rPr>
        <w:t xml:space="preserve">, E., Andersen, M. M., et al. (2008). Fostering change to sustainable consumption and production: An </w:t>
      </w:r>
      <w:r w:rsidRPr="0060744C">
        <w:rPr>
          <w:rFonts w:ascii="Times New Roman" w:hAnsi="Times New Roman" w:cs="Times New Roman"/>
        </w:rPr>
        <w:t>evidence-based</w:t>
      </w:r>
      <w:r w:rsidRPr="0060744C">
        <w:rPr>
          <w:rFonts w:ascii="Times New Roman" w:hAnsi="Times New Roman" w:cs="Times New Roman"/>
        </w:rPr>
        <w:t xml:space="preserve"> view. </w:t>
      </w:r>
      <w:r w:rsidRPr="0060744C">
        <w:rPr>
          <w:rFonts w:ascii="Times New Roman" w:hAnsi="Times New Roman" w:cs="Times New Roman"/>
          <w:i/>
          <w:iCs/>
        </w:rPr>
        <w:t>Journal of Cleaner Production, 16,</w:t>
      </w:r>
      <w:r w:rsidRPr="0060744C">
        <w:rPr>
          <w:rFonts w:ascii="Times New Roman" w:hAnsi="Times New Roman" w:cs="Times New Roman"/>
        </w:rPr>
        <w:t xml:space="preserve"> 1218–1225.</w:t>
      </w:r>
    </w:p>
    <w:p w14:paraId="2BB27B66" w14:textId="77777777" w:rsidR="0060744C" w:rsidRPr="0060744C" w:rsidRDefault="0060744C" w:rsidP="0060744C">
      <w:pPr>
        <w:spacing w:line="480" w:lineRule="auto"/>
        <w:jc w:val="both"/>
        <w:rPr>
          <w:rFonts w:ascii="Times New Roman" w:hAnsi="Times New Roman" w:cs="Times New Roman"/>
        </w:rPr>
      </w:pPr>
      <w:proofErr w:type="spellStart"/>
      <w:r w:rsidRPr="0060744C">
        <w:rPr>
          <w:rFonts w:ascii="Times New Roman" w:hAnsi="Times New Roman" w:cs="Times New Roman"/>
        </w:rPr>
        <w:t>Verganti</w:t>
      </w:r>
      <w:proofErr w:type="spellEnd"/>
      <w:r w:rsidRPr="0060744C">
        <w:rPr>
          <w:rFonts w:ascii="Times New Roman" w:hAnsi="Times New Roman" w:cs="Times New Roman"/>
        </w:rPr>
        <w:t xml:space="preserve">, R. (2009). </w:t>
      </w:r>
      <w:r w:rsidRPr="0060744C">
        <w:rPr>
          <w:rFonts w:ascii="Times New Roman" w:hAnsi="Times New Roman" w:cs="Times New Roman"/>
          <w:i/>
          <w:iCs/>
        </w:rPr>
        <w:t>Design driven innovation: Changing the rules of competition by radically innovating what things mean.</w:t>
      </w:r>
      <w:r w:rsidRPr="0060744C">
        <w:rPr>
          <w:rFonts w:ascii="Times New Roman" w:hAnsi="Times New Roman" w:cs="Times New Roman"/>
        </w:rPr>
        <w:t xml:space="preserve"> Harvard Business Press.</w:t>
      </w:r>
    </w:p>
    <w:p w14:paraId="7A930DCA" w14:textId="77777777" w:rsidR="0060744C" w:rsidRP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Vezzoli, C. (2007). </w:t>
      </w:r>
      <w:r w:rsidRPr="0060744C">
        <w:rPr>
          <w:rFonts w:ascii="Times New Roman" w:hAnsi="Times New Roman" w:cs="Times New Roman"/>
          <w:i/>
          <w:iCs/>
        </w:rPr>
        <w:t>System design for sustainability: Theory, methods and tools for a sustainable “satisfaction-system” design</w:t>
      </w:r>
      <w:r w:rsidRPr="0060744C">
        <w:rPr>
          <w:rFonts w:ascii="Times New Roman" w:hAnsi="Times New Roman" w:cs="Times New Roman"/>
        </w:rPr>
        <w:t xml:space="preserve">. </w:t>
      </w:r>
      <w:proofErr w:type="spellStart"/>
      <w:r w:rsidRPr="0060744C">
        <w:rPr>
          <w:rFonts w:ascii="Times New Roman" w:hAnsi="Times New Roman" w:cs="Times New Roman"/>
        </w:rPr>
        <w:t>Maggioli</w:t>
      </w:r>
      <w:proofErr w:type="spellEnd"/>
      <w:r w:rsidRPr="0060744C">
        <w:rPr>
          <w:rFonts w:ascii="Times New Roman" w:hAnsi="Times New Roman" w:cs="Times New Roman"/>
        </w:rPr>
        <w:t xml:space="preserve"> </w:t>
      </w:r>
      <w:proofErr w:type="spellStart"/>
      <w:r w:rsidRPr="0060744C">
        <w:rPr>
          <w:rFonts w:ascii="Times New Roman" w:hAnsi="Times New Roman" w:cs="Times New Roman"/>
        </w:rPr>
        <w:t>Editore</w:t>
      </w:r>
      <w:proofErr w:type="spellEnd"/>
      <w:r w:rsidRPr="0060744C">
        <w:rPr>
          <w:rFonts w:ascii="Times New Roman" w:hAnsi="Times New Roman" w:cs="Times New Roman"/>
        </w:rPr>
        <w:t>.</w:t>
      </w:r>
    </w:p>
    <w:p w14:paraId="68BA0022" w14:textId="77777777" w:rsidR="0060744C" w:rsidRPr="0060744C"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van Dyk, L. (2008). </w:t>
      </w:r>
      <w:r w:rsidRPr="0060744C">
        <w:rPr>
          <w:rFonts w:ascii="Times New Roman" w:hAnsi="Times New Roman" w:cs="Times New Roman"/>
          <w:i/>
          <w:iCs/>
        </w:rPr>
        <w:t>Developing strategies for a typology of sustainable fashion design.</w:t>
      </w:r>
      <w:r w:rsidRPr="0060744C">
        <w:rPr>
          <w:rFonts w:ascii="Times New Roman" w:hAnsi="Times New Roman" w:cs="Times New Roman"/>
        </w:rPr>
        <w:t xml:space="preserve"> In J. </w:t>
      </w:r>
      <w:proofErr w:type="spellStart"/>
      <w:r w:rsidRPr="0060744C">
        <w:rPr>
          <w:rFonts w:ascii="Times New Roman" w:hAnsi="Times New Roman" w:cs="Times New Roman"/>
        </w:rPr>
        <w:t>Hethorn</w:t>
      </w:r>
      <w:proofErr w:type="spellEnd"/>
      <w:r w:rsidRPr="0060744C">
        <w:rPr>
          <w:rFonts w:ascii="Times New Roman" w:hAnsi="Times New Roman" w:cs="Times New Roman"/>
        </w:rPr>
        <w:t xml:space="preserve"> &amp; C. </w:t>
      </w:r>
      <w:proofErr w:type="spellStart"/>
      <w:r w:rsidRPr="0060744C">
        <w:rPr>
          <w:rFonts w:ascii="Times New Roman" w:hAnsi="Times New Roman" w:cs="Times New Roman"/>
        </w:rPr>
        <w:t>Ulasewicz</w:t>
      </w:r>
      <w:proofErr w:type="spellEnd"/>
      <w:r w:rsidRPr="0060744C">
        <w:rPr>
          <w:rFonts w:ascii="Times New Roman" w:hAnsi="Times New Roman" w:cs="Times New Roman"/>
        </w:rPr>
        <w:t xml:space="preserve"> (Eds.), Sustainable fashion: Why now? (pp. 233–263). Fairchild Books.</w:t>
      </w:r>
    </w:p>
    <w:p w14:paraId="16EB9E8D" w14:textId="27528AAE" w:rsidR="00C50458" w:rsidRPr="009E0335" w:rsidRDefault="0060744C" w:rsidP="0060744C">
      <w:pPr>
        <w:spacing w:line="480" w:lineRule="auto"/>
        <w:jc w:val="both"/>
        <w:rPr>
          <w:rFonts w:ascii="Times New Roman" w:hAnsi="Times New Roman" w:cs="Times New Roman"/>
        </w:rPr>
      </w:pPr>
      <w:r w:rsidRPr="0060744C">
        <w:rPr>
          <w:rFonts w:ascii="Times New Roman" w:hAnsi="Times New Roman" w:cs="Times New Roman"/>
        </w:rPr>
        <w:t xml:space="preserve">Walker, S. (2007). </w:t>
      </w:r>
      <w:r w:rsidRPr="0060744C">
        <w:rPr>
          <w:rFonts w:ascii="Times New Roman" w:hAnsi="Times New Roman" w:cs="Times New Roman"/>
          <w:i/>
          <w:iCs/>
        </w:rPr>
        <w:t>Sustainable by design: Exploration in theory and practice</w:t>
      </w:r>
      <w:r w:rsidRPr="0060744C">
        <w:rPr>
          <w:rFonts w:ascii="Times New Roman" w:hAnsi="Times New Roman" w:cs="Times New Roman"/>
        </w:rPr>
        <w:t>. Earthscan.</w:t>
      </w:r>
    </w:p>
    <w:sectPr w:rsidR="00C50458" w:rsidRPr="009E0335" w:rsidSect="0060744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A24A1" w14:textId="77777777" w:rsidR="00D20FE4" w:rsidRDefault="00D20FE4" w:rsidP="009E0335">
      <w:pPr>
        <w:spacing w:after="0" w:line="240" w:lineRule="auto"/>
      </w:pPr>
      <w:r>
        <w:separator/>
      </w:r>
    </w:p>
  </w:endnote>
  <w:endnote w:type="continuationSeparator" w:id="0">
    <w:p w14:paraId="0D7E4E6E" w14:textId="77777777" w:rsidR="00D20FE4" w:rsidRDefault="00D20FE4" w:rsidP="009E0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7848643"/>
      <w:docPartObj>
        <w:docPartGallery w:val="Page Numbers (Bottom of Page)"/>
        <w:docPartUnique/>
      </w:docPartObj>
    </w:sdtPr>
    <w:sdtEndPr>
      <w:rPr>
        <w:color w:val="7F7F7F" w:themeColor="background1" w:themeShade="7F"/>
        <w:spacing w:val="60"/>
      </w:rPr>
    </w:sdtEndPr>
    <w:sdtContent>
      <w:p w14:paraId="12722964" w14:textId="6553D634" w:rsidR="009E0335" w:rsidRDefault="009E033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07F27BD" w14:textId="77777777" w:rsidR="009E0335" w:rsidRDefault="009E0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AE7DB" w14:textId="77777777" w:rsidR="00D20FE4" w:rsidRDefault="00D20FE4" w:rsidP="009E0335">
      <w:pPr>
        <w:spacing w:after="0" w:line="240" w:lineRule="auto"/>
      </w:pPr>
      <w:r>
        <w:separator/>
      </w:r>
    </w:p>
  </w:footnote>
  <w:footnote w:type="continuationSeparator" w:id="0">
    <w:p w14:paraId="78643E99" w14:textId="77777777" w:rsidR="00D20FE4" w:rsidRDefault="00D20FE4" w:rsidP="009E0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2838A4"/>
    <w:multiLevelType w:val="hybridMultilevel"/>
    <w:tmpl w:val="0C72C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446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335"/>
    <w:rsid w:val="0042312D"/>
    <w:rsid w:val="0060744C"/>
    <w:rsid w:val="009E0335"/>
    <w:rsid w:val="00C50458"/>
    <w:rsid w:val="00D20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AF3C8"/>
  <w15:chartTrackingRefBased/>
  <w15:docId w15:val="{C5325922-D0E1-4874-98C6-8BCC9F342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3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3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3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3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3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3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3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03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3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3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335"/>
    <w:rPr>
      <w:rFonts w:eastAsiaTheme="majorEastAsia" w:cstheme="majorBidi"/>
      <w:color w:val="272727" w:themeColor="text1" w:themeTint="D8"/>
    </w:rPr>
  </w:style>
  <w:style w:type="paragraph" w:styleId="Title">
    <w:name w:val="Title"/>
    <w:basedOn w:val="Normal"/>
    <w:next w:val="Normal"/>
    <w:link w:val="TitleChar"/>
    <w:uiPriority w:val="10"/>
    <w:qFormat/>
    <w:rsid w:val="009E0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335"/>
    <w:pPr>
      <w:spacing w:before="160"/>
      <w:jc w:val="center"/>
    </w:pPr>
    <w:rPr>
      <w:i/>
      <w:iCs/>
      <w:color w:val="404040" w:themeColor="text1" w:themeTint="BF"/>
    </w:rPr>
  </w:style>
  <w:style w:type="character" w:customStyle="1" w:styleId="QuoteChar">
    <w:name w:val="Quote Char"/>
    <w:basedOn w:val="DefaultParagraphFont"/>
    <w:link w:val="Quote"/>
    <w:uiPriority w:val="29"/>
    <w:rsid w:val="009E0335"/>
    <w:rPr>
      <w:i/>
      <w:iCs/>
      <w:color w:val="404040" w:themeColor="text1" w:themeTint="BF"/>
    </w:rPr>
  </w:style>
  <w:style w:type="paragraph" w:styleId="ListParagraph">
    <w:name w:val="List Paragraph"/>
    <w:basedOn w:val="Normal"/>
    <w:uiPriority w:val="34"/>
    <w:qFormat/>
    <w:rsid w:val="009E0335"/>
    <w:pPr>
      <w:ind w:left="720"/>
      <w:contextualSpacing/>
    </w:pPr>
  </w:style>
  <w:style w:type="character" w:styleId="IntenseEmphasis">
    <w:name w:val="Intense Emphasis"/>
    <w:basedOn w:val="DefaultParagraphFont"/>
    <w:uiPriority w:val="21"/>
    <w:qFormat/>
    <w:rsid w:val="009E0335"/>
    <w:rPr>
      <w:i/>
      <w:iCs/>
      <w:color w:val="0F4761" w:themeColor="accent1" w:themeShade="BF"/>
    </w:rPr>
  </w:style>
  <w:style w:type="paragraph" w:styleId="IntenseQuote">
    <w:name w:val="Intense Quote"/>
    <w:basedOn w:val="Normal"/>
    <w:next w:val="Normal"/>
    <w:link w:val="IntenseQuoteChar"/>
    <w:uiPriority w:val="30"/>
    <w:qFormat/>
    <w:rsid w:val="009E03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335"/>
    <w:rPr>
      <w:i/>
      <w:iCs/>
      <w:color w:val="0F4761" w:themeColor="accent1" w:themeShade="BF"/>
    </w:rPr>
  </w:style>
  <w:style w:type="character" w:styleId="IntenseReference">
    <w:name w:val="Intense Reference"/>
    <w:basedOn w:val="DefaultParagraphFont"/>
    <w:uiPriority w:val="32"/>
    <w:qFormat/>
    <w:rsid w:val="009E0335"/>
    <w:rPr>
      <w:b/>
      <w:bCs/>
      <w:smallCaps/>
      <w:color w:val="0F4761" w:themeColor="accent1" w:themeShade="BF"/>
      <w:spacing w:val="5"/>
    </w:rPr>
  </w:style>
  <w:style w:type="paragraph" w:styleId="Header">
    <w:name w:val="header"/>
    <w:basedOn w:val="Normal"/>
    <w:link w:val="HeaderChar"/>
    <w:uiPriority w:val="99"/>
    <w:unhideWhenUsed/>
    <w:rsid w:val="009E0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335"/>
  </w:style>
  <w:style w:type="paragraph" w:styleId="Footer">
    <w:name w:val="footer"/>
    <w:basedOn w:val="Normal"/>
    <w:link w:val="FooterChar"/>
    <w:uiPriority w:val="99"/>
    <w:unhideWhenUsed/>
    <w:rsid w:val="009E0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335"/>
  </w:style>
  <w:style w:type="paragraph" w:styleId="NoSpacing">
    <w:name w:val="No Spacing"/>
    <w:link w:val="NoSpacingChar"/>
    <w:uiPriority w:val="1"/>
    <w:qFormat/>
    <w:rsid w:val="006074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744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751715">
      <w:bodyDiv w:val="1"/>
      <w:marLeft w:val="0"/>
      <w:marRight w:val="0"/>
      <w:marTop w:val="0"/>
      <w:marBottom w:val="0"/>
      <w:divBdr>
        <w:top w:val="none" w:sz="0" w:space="0" w:color="auto"/>
        <w:left w:val="none" w:sz="0" w:space="0" w:color="auto"/>
        <w:bottom w:val="none" w:sz="0" w:space="0" w:color="auto"/>
        <w:right w:val="none" w:sz="0" w:space="0" w:color="auto"/>
      </w:divBdr>
    </w:div>
    <w:div w:id="1737583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795A1B497B74DA2BB0A25A3FA224A6C"/>
        <w:category>
          <w:name w:val="General"/>
          <w:gallery w:val="placeholder"/>
        </w:category>
        <w:types>
          <w:type w:val="bbPlcHdr"/>
        </w:types>
        <w:behaviors>
          <w:behavior w:val="content"/>
        </w:behaviors>
        <w:guid w:val="{AB3A07F2-10FA-44F3-AEE6-C095722E6F0E}"/>
      </w:docPartPr>
      <w:docPartBody>
        <w:p w:rsidR="00000000" w:rsidRDefault="00AC1B09" w:rsidP="00AC1B09">
          <w:pPr>
            <w:pStyle w:val="B795A1B497B74DA2BB0A25A3FA224A6C"/>
          </w:pPr>
          <w:r>
            <w:rPr>
              <w:rFonts w:asciiTheme="majorHAnsi" w:eastAsiaTheme="majorEastAsia" w:hAnsiTheme="majorHAnsi" w:cstheme="majorBidi"/>
              <w:color w:val="156082" w:themeColor="accent1"/>
              <w:sz w:val="88"/>
              <w:szCs w:val="88"/>
            </w:rPr>
            <w:t>[Document title]</w:t>
          </w:r>
        </w:p>
      </w:docPartBody>
    </w:docPart>
    <w:docPart>
      <w:docPartPr>
        <w:name w:val="46331A98A8B8499A9FA38B4E2F45667C"/>
        <w:category>
          <w:name w:val="General"/>
          <w:gallery w:val="placeholder"/>
        </w:category>
        <w:types>
          <w:type w:val="bbPlcHdr"/>
        </w:types>
        <w:behaviors>
          <w:behavior w:val="content"/>
        </w:behaviors>
        <w:guid w:val="{B9FFA592-6C7C-4A2D-A5CF-919631113256}"/>
      </w:docPartPr>
      <w:docPartBody>
        <w:p w:rsidR="00000000" w:rsidRDefault="00AC1B09" w:rsidP="00AC1B09">
          <w:pPr>
            <w:pStyle w:val="46331A98A8B8499A9FA38B4E2F45667C"/>
          </w:pPr>
          <w:r>
            <w:rPr>
              <w:color w:val="0F4761" w:themeColor="accent1" w:themeShade="BF"/>
            </w:rPr>
            <w:t>[Document subtitle]</w:t>
          </w:r>
        </w:p>
      </w:docPartBody>
    </w:docPart>
    <w:docPart>
      <w:docPartPr>
        <w:name w:val="2D20E58AF1BE4536BE3397BAC9276DF5"/>
        <w:category>
          <w:name w:val="General"/>
          <w:gallery w:val="placeholder"/>
        </w:category>
        <w:types>
          <w:type w:val="bbPlcHdr"/>
        </w:types>
        <w:behaviors>
          <w:behavior w:val="content"/>
        </w:behaviors>
        <w:guid w:val="{E776DA4E-8C24-45DE-BF6E-A6361AE04B02}"/>
      </w:docPartPr>
      <w:docPartBody>
        <w:p w:rsidR="00000000" w:rsidRDefault="00AC1B09" w:rsidP="00AC1B09">
          <w:pPr>
            <w:pStyle w:val="2D20E58AF1BE4536BE3397BAC9276DF5"/>
          </w:pPr>
          <w:r>
            <w:rPr>
              <w:color w:val="156082" w:themeColor="accent1"/>
              <w:sz w:val="28"/>
              <w:szCs w:val="28"/>
            </w:rPr>
            <w:t>[Author name]</w:t>
          </w:r>
        </w:p>
      </w:docPartBody>
    </w:docPart>
    <w:docPart>
      <w:docPartPr>
        <w:name w:val="FE877A35901149E79A0E86E4D883DA3E"/>
        <w:category>
          <w:name w:val="General"/>
          <w:gallery w:val="placeholder"/>
        </w:category>
        <w:types>
          <w:type w:val="bbPlcHdr"/>
        </w:types>
        <w:behaviors>
          <w:behavior w:val="content"/>
        </w:behaviors>
        <w:guid w:val="{451A346F-8A3B-4076-9E19-4CB654F07909}"/>
      </w:docPartPr>
      <w:docPartBody>
        <w:p w:rsidR="00000000" w:rsidRDefault="00AC1B09" w:rsidP="00AC1B09">
          <w:pPr>
            <w:pStyle w:val="FE877A35901149E79A0E86E4D883DA3E"/>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B09"/>
    <w:rsid w:val="0042312D"/>
    <w:rsid w:val="00AC1B09"/>
    <w:rsid w:val="00C57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869535AB8F4A83BF5F5D97CA9A3148">
    <w:name w:val="47869535AB8F4A83BF5F5D97CA9A3148"/>
    <w:rsid w:val="00AC1B09"/>
  </w:style>
  <w:style w:type="paragraph" w:customStyle="1" w:styleId="B795A1B497B74DA2BB0A25A3FA224A6C">
    <w:name w:val="B795A1B497B74DA2BB0A25A3FA224A6C"/>
    <w:rsid w:val="00AC1B09"/>
  </w:style>
  <w:style w:type="paragraph" w:customStyle="1" w:styleId="46331A98A8B8499A9FA38B4E2F45667C">
    <w:name w:val="46331A98A8B8499A9FA38B4E2F45667C"/>
    <w:rsid w:val="00AC1B09"/>
  </w:style>
  <w:style w:type="paragraph" w:customStyle="1" w:styleId="2D20E58AF1BE4536BE3397BAC9276DF5">
    <w:name w:val="2D20E58AF1BE4536BE3397BAC9276DF5"/>
    <w:rsid w:val="00AC1B09"/>
  </w:style>
  <w:style w:type="paragraph" w:customStyle="1" w:styleId="FE877A35901149E79A0E86E4D883DA3E">
    <w:name w:val="FE877A35901149E79A0E86E4D883DA3E"/>
    <w:rsid w:val="00AC1B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2677</Words>
  <Characters>15262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Business Model for New Start Up</dc:subject>
  <dc:creator>Maria Laura Nita</dc:creator>
  <cp:keywords/>
  <dc:description/>
  <cp:lastModifiedBy>Mirabela Voican (1907947)</cp:lastModifiedBy>
  <cp:revision>1</cp:revision>
  <dcterms:created xsi:type="dcterms:W3CDTF">2025-03-14T18:26:00Z</dcterms:created>
  <dcterms:modified xsi:type="dcterms:W3CDTF">2025-03-14T18:54:00Z</dcterms:modified>
</cp:coreProperties>
</file>