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4F38" w:rsidRDefault="00BD4F38"/>
    <w:p w:rsidR="00BD4F38" w:rsidRPr="007C06EC" w:rsidRDefault="00BD4F38" w:rsidP="00BD4F38">
      <w:pPr>
        <w:spacing w:after="0" w:line="240" w:lineRule="auto"/>
        <w:ind w:left="426"/>
        <w:jc w:val="both"/>
        <w:rPr>
          <w:rFonts w:ascii="Arial" w:eastAsia="Times New Roman" w:hAnsi="Arial" w:cs="Arial"/>
          <w:bCs/>
          <w:i/>
          <w:iCs/>
          <w:lang w:eastAsia="en-GB"/>
        </w:rPr>
      </w:pPr>
      <w:r w:rsidRPr="007C06EC">
        <w:rPr>
          <w:rFonts w:ascii="Arial" w:eastAsia="Times New Roman" w:hAnsi="Arial" w:cs="Arial"/>
          <w:bCs/>
          <w:i/>
          <w:iCs/>
          <w:lang w:eastAsia="en-GB"/>
        </w:rPr>
        <w:t>Policing responsibilities in the 21</w:t>
      </w:r>
      <w:r w:rsidRPr="007C06EC">
        <w:rPr>
          <w:rFonts w:ascii="Arial" w:eastAsia="Times New Roman" w:hAnsi="Arial" w:cs="Arial"/>
          <w:bCs/>
          <w:i/>
          <w:iCs/>
          <w:vertAlign w:val="superscript"/>
          <w:lang w:eastAsia="en-GB"/>
        </w:rPr>
        <w:t>st</w:t>
      </w:r>
      <w:r w:rsidRPr="007C06EC">
        <w:rPr>
          <w:rFonts w:ascii="Arial" w:eastAsia="Times New Roman" w:hAnsi="Arial" w:cs="Arial"/>
          <w:bCs/>
          <w:i/>
          <w:iCs/>
          <w:lang w:eastAsia="en-GB"/>
        </w:rPr>
        <w:t xml:space="preserve"> Century </w:t>
      </w:r>
      <w:proofErr w:type="gramStart"/>
      <w:r w:rsidRPr="007C06EC">
        <w:rPr>
          <w:rFonts w:ascii="Arial" w:eastAsia="Times New Roman" w:hAnsi="Arial" w:cs="Arial"/>
          <w:bCs/>
          <w:i/>
          <w:iCs/>
          <w:lang w:eastAsia="en-GB"/>
        </w:rPr>
        <w:t>are shared</w:t>
      </w:r>
      <w:proofErr w:type="gramEnd"/>
      <w:r w:rsidRPr="007C06EC">
        <w:rPr>
          <w:rFonts w:ascii="Arial" w:eastAsia="Times New Roman" w:hAnsi="Arial" w:cs="Arial"/>
          <w:bCs/>
          <w:i/>
          <w:iCs/>
          <w:lang w:eastAsia="en-GB"/>
        </w:rPr>
        <w:t xml:space="preserve"> amongst several agencies. Multi agency Public Protection Arrangements (MAPPA) are key to the successful management of serious offenders and their reintegration into society following their prison sentences. </w:t>
      </w:r>
    </w:p>
    <w:p w:rsidR="00BD4F38" w:rsidRDefault="00BD4F38" w:rsidP="00BD4F38">
      <w:pPr>
        <w:spacing w:after="0" w:line="240" w:lineRule="auto"/>
        <w:ind w:left="426"/>
        <w:rPr>
          <w:rFonts w:ascii="Arial" w:eastAsia="Times New Roman" w:hAnsi="Arial" w:cs="Arial"/>
          <w:sz w:val="24"/>
          <w:szCs w:val="24"/>
          <w:lang w:eastAsia="en-GB"/>
        </w:rPr>
      </w:pPr>
    </w:p>
    <w:p w:rsidR="00BD4F38" w:rsidRDefault="00BD4F38" w:rsidP="00BD4F38">
      <w:pPr>
        <w:spacing w:after="0" w:line="240" w:lineRule="auto"/>
        <w:ind w:left="426"/>
        <w:rPr>
          <w:rFonts w:ascii="Arial" w:eastAsia="Times New Roman" w:hAnsi="Arial" w:cs="Arial"/>
          <w:sz w:val="24"/>
          <w:szCs w:val="24"/>
          <w:lang w:eastAsia="en-GB"/>
        </w:rPr>
      </w:pPr>
    </w:p>
    <w:p w:rsidR="00BD4F38" w:rsidRPr="002161A0" w:rsidRDefault="00BD4F38" w:rsidP="00BD4F38">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rsidR="00BD4F38" w:rsidRPr="002161A0"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57265">
        <w:rPr>
          <w:rFonts w:ascii="Arial" w:eastAsia="Times New Roman" w:hAnsi="Arial" w:cs="Arial"/>
          <w:lang w:eastAsia="en-GB"/>
        </w:rPr>
        <w:t>Analyse potential links between serious and organised crime and public protection issues and assess the role and impact of MAPPA</w:t>
      </w:r>
      <w:r>
        <w:rPr>
          <w:rFonts w:ascii="Arial" w:eastAsia="Times New Roman" w:hAnsi="Arial" w:cs="Arial"/>
          <w:lang w:eastAsia="en-GB"/>
        </w:rPr>
        <w:t>. Consider</w:t>
      </w:r>
      <w:r w:rsidRPr="00157265">
        <w:rPr>
          <w:rFonts w:ascii="Arial" w:eastAsia="Times New Roman" w:hAnsi="Arial" w:cs="Arial"/>
          <w:lang w:eastAsia="en-GB"/>
        </w:rPr>
        <w:t xml:space="preserve"> the use of community intelligence in managing offenders</w:t>
      </w:r>
      <w:r>
        <w:rPr>
          <w:rFonts w:ascii="Arial" w:eastAsia="Times New Roman" w:hAnsi="Arial" w:cs="Arial"/>
          <w:lang w:eastAsia="en-GB"/>
        </w:rPr>
        <w:t xml:space="preserve"> and e</w:t>
      </w:r>
      <w:r w:rsidRPr="002161A0">
        <w:rPr>
          <w:rFonts w:ascii="Arial" w:eastAsia="Times New Roman" w:hAnsi="Arial" w:cs="Arial"/>
          <w:lang w:eastAsia="en-GB"/>
        </w:rPr>
        <w:t>valuate the effectiveness of current pub</w:t>
      </w:r>
      <w:bookmarkStart w:id="0" w:name="_GoBack"/>
      <w:bookmarkEnd w:id="0"/>
      <w:r w:rsidRPr="002161A0">
        <w:rPr>
          <w:rFonts w:ascii="Arial" w:eastAsia="Times New Roman" w:hAnsi="Arial" w:cs="Arial"/>
          <w:lang w:eastAsia="en-GB"/>
        </w:rPr>
        <w:t>lic protection practices in investigating public protection incidents and the effect of media coverage on public protection policing strategy</w:t>
      </w:r>
      <w:r>
        <w:rPr>
          <w:rFonts w:ascii="Arial" w:eastAsia="Times New Roman" w:hAnsi="Arial" w:cs="Arial"/>
          <w:lang w:eastAsia="en-GB"/>
        </w:rPr>
        <w:t>.</w:t>
      </w:r>
    </w:p>
    <w:p w:rsidR="00BD4F38" w:rsidRDefault="00BD4F38" w:rsidP="00BD4F38"/>
    <w:p w:rsidR="00BD4F38" w:rsidRDefault="00BD4F38" w:rsidP="00BD4F38"/>
    <w:p w:rsidR="00BD4F38" w:rsidRDefault="00BD4F38" w:rsidP="00BD4F38">
      <w:r>
        <w:t>This essay will look at the role of multi-agency public protection arrangements (MAPPA) and its effectiveness. On the 31</w:t>
      </w:r>
      <w:r w:rsidRPr="005B447A">
        <w:rPr>
          <w:vertAlign w:val="superscript"/>
        </w:rPr>
        <w:t>st</w:t>
      </w:r>
      <w:r>
        <w:t xml:space="preserve"> March 2020 it is said that there were 85,709 offenders under MAPPA management within England and Wales, the number of offenders has increased 75% from 2010 (Ministry of Justice 2019/20). MAPPA is used to manage and mitigate the risks offenders pose to the wider general public, this is done by managing offenders who are placed in three different categories of the following, registered sexual offenders, violent offenders, offenders that pose a serious risk of harm to the public. The sharing of information is a vital aspect of MAPPA but can also have its drawbacks in terms of whom this information </w:t>
      </w:r>
      <w:proofErr w:type="gramStart"/>
      <w:r>
        <w:t>is disseminated</w:t>
      </w:r>
      <w:proofErr w:type="gramEnd"/>
      <w:r>
        <w:t xml:space="preserve"> to.</w:t>
      </w:r>
    </w:p>
    <w:p w:rsidR="00BD4F38" w:rsidRDefault="00BD4F38" w:rsidP="00BD4F38"/>
    <w:p w:rsidR="00BD4F38" w:rsidRDefault="00BD4F38" w:rsidP="00BD4F38">
      <w:r>
        <w:t xml:space="preserve">Under category 3 these persons are listed as being the most at risk of harm to members of the public, when looking at the levels of offenders who reach this category this has stayed the same since 2010 however the number of persons being managed by MAPPA has seen an exponential increase since 2010 (Ministry of Justice 2019/20). MAPPA was formally created by sections 67 and 68 of the criminal justice and court services act of 2000 and had the aim of making probation and prison authorities the main managing factor whilst also incorporating the support of other third party support from agencies such as social services, medical, employment and more (Wood &amp; </w:t>
      </w:r>
      <w:proofErr w:type="spellStart"/>
      <w:r>
        <w:t>Kemshall</w:t>
      </w:r>
      <w:proofErr w:type="spellEnd"/>
      <w:r>
        <w:t xml:space="preserve"> 2007). </w:t>
      </w:r>
      <w:proofErr w:type="spellStart"/>
      <w:r>
        <w:t>Nacro</w:t>
      </w:r>
      <w:proofErr w:type="spellEnd"/>
      <w:r>
        <w:t xml:space="preserve"> (2021) supports the function of MAPPA services being in place to allow various agencies including those mentioned above to work together with the aim of protecting the public against offenders who fit into categories 1 – 3. </w:t>
      </w:r>
      <w:proofErr w:type="gramStart"/>
      <w:r>
        <w:t>However</w:t>
      </w:r>
      <w:proofErr w:type="gramEnd"/>
      <w:r>
        <w:t xml:space="preserve"> it can be seen in a report from Wood &amp; </w:t>
      </w:r>
      <w:proofErr w:type="spellStart"/>
      <w:r>
        <w:t>Kemshall</w:t>
      </w:r>
      <w:proofErr w:type="spellEnd"/>
      <w:r>
        <w:t xml:space="preserve"> (2007) that there is a clear focus on public protection whereas the focus on offender rehabilitation was less clear. </w:t>
      </w:r>
      <w:proofErr w:type="spellStart"/>
      <w:r>
        <w:t>Kemshall</w:t>
      </w:r>
      <w:proofErr w:type="spellEnd"/>
      <w:r>
        <w:t xml:space="preserve"> et al (2005) outlines the setting up on ‘panels’ in MAPPA to manage offenders however the minimum guidelines being to share relevant information, assessing the level of risk, recommending actions to manage these risks and to monitor and review these actions regularly.</w:t>
      </w:r>
    </w:p>
    <w:p w:rsidR="00BD4F38" w:rsidRDefault="00BD4F38" w:rsidP="00BD4F38">
      <w:r>
        <w:t xml:space="preserve">Disclosure of the information shared through MAPPA is also part of this process (Wood &amp; </w:t>
      </w:r>
      <w:proofErr w:type="spellStart"/>
      <w:r>
        <w:t>Kemshall</w:t>
      </w:r>
      <w:proofErr w:type="spellEnd"/>
      <w:r>
        <w:t xml:space="preserve"> 2007). </w:t>
      </w:r>
      <w:proofErr w:type="spellStart"/>
      <w:r>
        <w:t>Kemshall</w:t>
      </w:r>
      <w:proofErr w:type="spellEnd"/>
      <w:r>
        <w:t xml:space="preserve"> et al (2005) however did highlight in a report that disclosure would often lead to the information shared by MAPPA to the community would lead to this information being disclosed to third parties/others without consent and thus breaching </w:t>
      </w:r>
      <w:proofErr w:type="gramStart"/>
      <w:r>
        <w:t>confidentiality.</w:t>
      </w:r>
      <w:proofErr w:type="gramEnd"/>
      <w:r>
        <w:t xml:space="preserve"> It </w:t>
      </w:r>
      <w:proofErr w:type="gramStart"/>
      <w:r>
        <w:t>can be drawn</w:t>
      </w:r>
      <w:proofErr w:type="gramEnd"/>
      <w:r>
        <w:t xml:space="preserve"> from this that by these disclosures occurring there is the potential of the information no longer being in the control of the agencies that have that information therefore creating an increased risk to the </w:t>
      </w:r>
      <w:r>
        <w:lastRenderedPageBreak/>
        <w:t xml:space="preserve">offender. </w:t>
      </w:r>
      <w:proofErr w:type="gramStart"/>
      <w:r>
        <w:t xml:space="preserve">In an interview conducted with offenders (Wood and </w:t>
      </w:r>
      <w:proofErr w:type="spellStart"/>
      <w:r>
        <w:t>Kemshall</w:t>
      </w:r>
      <w:proofErr w:type="spellEnd"/>
      <w:r>
        <w:t xml:space="preserve"> 2007) the idea that disclosure would cause greater issues instead of mitigating them was supported by the views of the offenders in that they would express fear of reprisals or ‘public order incident’ and as a result would be more likely to disengage with probation services especially when looking at sexual offenders who would need to sign in/register every month on a sex offenders register.</w:t>
      </w:r>
      <w:proofErr w:type="gramEnd"/>
    </w:p>
    <w:p w:rsidR="00BD4F38" w:rsidRDefault="00BD4F38" w:rsidP="00BD4F38">
      <w:r>
        <w:t xml:space="preserve">This creates a dilemma in that MAPPA ‘panels’ would in theory need to decide upon what was more important protecting the offender or the wider public. Bullock (2012) looks at the importance of community led policing which </w:t>
      </w:r>
      <w:proofErr w:type="gramStart"/>
      <w:r>
        <w:t>was proven</w:t>
      </w:r>
      <w:proofErr w:type="gramEnd"/>
      <w:r>
        <w:t xml:space="preserve"> more effective than the standard reactive policing. It </w:t>
      </w:r>
      <w:proofErr w:type="gramStart"/>
      <w:r>
        <w:t>could be argued</w:t>
      </w:r>
      <w:proofErr w:type="gramEnd"/>
      <w:r>
        <w:t xml:space="preserve"> that without the process of disclosure a bond of trust could not be formed with other agencies or the community. </w:t>
      </w:r>
      <w:proofErr w:type="spellStart"/>
      <w:r>
        <w:t>Kemshall</w:t>
      </w:r>
      <w:proofErr w:type="spellEnd"/>
      <w:r>
        <w:t xml:space="preserve"> (2005) supports this as in a report an advantage of disclosure can be seen, as in some instances </w:t>
      </w:r>
      <w:proofErr w:type="gramStart"/>
      <w:r>
        <w:t>non MAPPA</w:t>
      </w:r>
      <w:proofErr w:type="gramEnd"/>
      <w:r>
        <w:t xml:space="preserve"> agencies have in turn worked with MAPPA staff to draw up systems for sharing confidential information.</w:t>
      </w:r>
    </w:p>
    <w:p w:rsidR="00BD4F38" w:rsidRDefault="00BD4F38" w:rsidP="00BD4F38">
      <w:proofErr w:type="gramStart"/>
      <w:r>
        <w:t xml:space="preserve">When looking at MAPPA’s effectiveness in terms of offender rehabilitation the Ministry </w:t>
      </w:r>
      <w:proofErr w:type="spellStart"/>
      <w:r>
        <w:t>if</w:t>
      </w:r>
      <w:proofErr w:type="spellEnd"/>
      <w:r>
        <w:t xml:space="preserve"> Justice (2019/20) provides an insight into the statistics of the effectiveness at MAPPA in reintegrating offenders into society, it can be seen that in the last two years there has been an increase in the number of offenders from categories 2 and 3 returning to custody for breaching license conditions and recalls for bad behaviour.</w:t>
      </w:r>
      <w:proofErr w:type="gramEnd"/>
      <w:r>
        <w:t xml:space="preserve"> </w:t>
      </w:r>
      <w:proofErr w:type="gramStart"/>
      <w:r>
        <w:t xml:space="preserve">This support the claims made by Wood and </w:t>
      </w:r>
      <w:proofErr w:type="spellStart"/>
      <w:r>
        <w:t>Kemshall</w:t>
      </w:r>
      <w:proofErr w:type="spellEnd"/>
      <w:r>
        <w:t xml:space="preserve"> (2007) that there is a more clear focus on protecting the public rather that the reintegration of the offender this is also supported by </w:t>
      </w:r>
      <w:proofErr w:type="spellStart"/>
      <w:r>
        <w:t>Nacro</w:t>
      </w:r>
      <w:proofErr w:type="spellEnd"/>
      <w:r>
        <w:t xml:space="preserve"> (2021) in that management plans for offenders are aimed more so at mitigating the risks offenders pose to the public and there the plans in place are preventing the offenders the opportunity to commit crimes through the use of orders, license conditions, monitoring etc.</w:t>
      </w:r>
      <w:proofErr w:type="gramEnd"/>
      <w:r>
        <w:t xml:space="preserve"> </w:t>
      </w:r>
    </w:p>
    <w:p w:rsidR="00BD4F38" w:rsidRDefault="00BD4F38" w:rsidP="00BD4F38">
      <w:r>
        <w:t xml:space="preserve">In </w:t>
      </w:r>
      <w:proofErr w:type="gramStart"/>
      <w:r>
        <w:t>conclusion</w:t>
      </w:r>
      <w:proofErr w:type="gramEnd"/>
      <w:r>
        <w:t xml:space="preserve"> the limitations of MAPPA are clearly shown by the focused view in protection of the public without a better emphasis on support for the offender in order to prevent them from committing further offences. This is </w:t>
      </w:r>
      <w:proofErr w:type="gramStart"/>
      <w:r>
        <w:t>clear</w:t>
      </w:r>
      <w:proofErr w:type="gramEnd"/>
      <w:r>
        <w:t xml:space="preserve"> as there is an increase in offenders being recalled for breaching conditions or being brought into custody on recall. When looking at the overall aim of MAPPA it can be claimed that it is working in that the risk to the public </w:t>
      </w:r>
      <w:proofErr w:type="gramStart"/>
      <w:r>
        <w:t>is</w:t>
      </w:r>
      <w:proofErr w:type="gramEnd"/>
      <w:r>
        <w:t xml:space="preserve"> being managed however it can also be claimed that as effective as this process is, it would be more beneficial to offer support to offenders in order to prevent offences being committed in the first place.</w:t>
      </w:r>
    </w:p>
    <w:p w:rsidR="00BD4F38" w:rsidRPr="007A67C1" w:rsidRDefault="00BD4F38" w:rsidP="00BD4F38"/>
    <w:p w:rsidR="00BD4F38" w:rsidRDefault="00BD4F38" w:rsidP="00BD4F38"/>
    <w:p w:rsidR="00BD4F38" w:rsidRDefault="00BD4F38" w:rsidP="00BD4F38"/>
    <w:p w:rsidR="00BD4F38" w:rsidRDefault="00BD4F38" w:rsidP="00BD4F38">
      <w:r>
        <w:rPr>
          <w:b/>
          <w:u w:val="single"/>
        </w:rPr>
        <w:t>References</w:t>
      </w:r>
    </w:p>
    <w:p w:rsidR="00BD4F38" w:rsidRDefault="00BD4F38" w:rsidP="00BD4F38"/>
    <w:p w:rsidR="00BD4F38" w:rsidRDefault="00BD4F38" w:rsidP="00BD4F38">
      <w:r>
        <w:t xml:space="preserve">Wood, J &amp; </w:t>
      </w:r>
      <w:proofErr w:type="spellStart"/>
      <w:r>
        <w:t>Kemshall</w:t>
      </w:r>
      <w:proofErr w:type="spellEnd"/>
      <w:r>
        <w:t xml:space="preserve">, H. (2007), </w:t>
      </w:r>
      <w:proofErr w:type="gramStart"/>
      <w:r>
        <w:t>The</w:t>
      </w:r>
      <w:proofErr w:type="gramEnd"/>
      <w:r>
        <w:t xml:space="preserve"> operation and experience of Multi-Agency Public Protection Arrangements (MAPPA), Leicester: Home Office.</w:t>
      </w:r>
    </w:p>
    <w:p w:rsidR="00BD4F38" w:rsidRDefault="00BD4F38" w:rsidP="00BD4F38">
      <w:proofErr w:type="spellStart"/>
      <w:r>
        <w:t>Nacro</w:t>
      </w:r>
      <w:proofErr w:type="spellEnd"/>
      <w:r>
        <w:t xml:space="preserve"> (2021), Advice for people under MAPPA, [Online]. Available: </w:t>
      </w:r>
      <w:hyperlink r:id="rId6" w:anchor="what" w:history="1">
        <w:r>
          <w:rPr>
            <w:rStyle w:val="Hyperlink"/>
          </w:rPr>
          <w:t xml:space="preserve">Advice for people under MAPPA | </w:t>
        </w:r>
        <w:proofErr w:type="spellStart"/>
        <w:r>
          <w:rPr>
            <w:rStyle w:val="Hyperlink"/>
          </w:rPr>
          <w:t>Nacro</w:t>
        </w:r>
        <w:proofErr w:type="spellEnd"/>
      </w:hyperlink>
      <w:r>
        <w:t xml:space="preserve"> [01 February 2021]</w:t>
      </w:r>
    </w:p>
    <w:p w:rsidR="00BD4F38" w:rsidRDefault="00BD4F38" w:rsidP="00BD4F38">
      <w:r>
        <w:t xml:space="preserve">Ministry of Justice (2019/20),’Ministry of Justice Statistics Bulletin’, Multi-Agency Public Protection Arrangements – Annual Report 2019/20, [Online]. Available at: </w:t>
      </w:r>
      <w:hyperlink r:id="rId7" w:history="1">
        <w:r>
          <w:rPr>
            <w:rStyle w:val="Hyperlink"/>
          </w:rPr>
          <w:t>Multi Agency Public Protection Arrangements Annual Report 2009/2010 (publishing.service.gov.uk)</w:t>
        </w:r>
      </w:hyperlink>
      <w:r>
        <w:t xml:space="preserve"> (Accessed 02 February 2021)</w:t>
      </w:r>
    </w:p>
    <w:p w:rsidR="00BD4F38" w:rsidRDefault="00BD4F38" w:rsidP="00BD4F38">
      <w:proofErr w:type="spellStart"/>
      <w:r>
        <w:lastRenderedPageBreak/>
        <w:t>Kemshall</w:t>
      </w:r>
      <w:proofErr w:type="spellEnd"/>
      <w:r>
        <w:t xml:space="preserve">, H et al. (2005), ‘Strengthening Multi-Agency Public Protection Arrangements (MAPPAs)’ Home Office Development and Practise Report, [Online]. Available at: </w:t>
      </w:r>
      <w:hyperlink r:id="rId8" w:anchor=":~:text=Strengthening%20Multi-Agency%20Public%20Protection%20Arrangements%20(MAPPAs)%20A%20review,The%20key%20recommendations%20from%20the%20study%20were%20to:" w:history="1">
        <w:r>
          <w:rPr>
            <w:rStyle w:val="Hyperlink"/>
          </w:rPr>
          <w:t>Strengthening Multi-Agency Public Protection Arrangements (MAPPAs) (cedus.it)</w:t>
        </w:r>
      </w:hyperlink>
      <w:r>
        <w:t xml:space="preserve"> (Accessed 02 February 2021)</w:t>
      </w:r>
    </w:p>
    <w:p w:rsidR="00BD4F38" w:rsidRDefault="00BD4F38" w:rsidP="00BD4F38">
      <w:r>
        <w:t xml:space="preserve">Bullock, K. (2012),’Community, intelligence-led policing and crime control’, Policing and Society, [Online]. Available at: </w:t>
      </w:r>
      <w:hyperlink r:id="rId9" w:history="1">
        <w:r>
          <w:rPr>
            <w:rStyle w:val="Hyperlink"/>
          </w:rPr>
          <w:t>Community, intelligence-led policing and crime control: Policing and Society: Vol 23, No 2 (tandfonline.com)</w:t>
        </w:r>
      </w:hyperlink>
      <w:r>
        <w:t xml:space="preserve"> (Accessed 02 February 2021)</w:t>
      </w:r>
    </w:p>
    <w:p w:rsidR="00BD4F38" w:rsidRDefault="00BD4F38" w:rsidP="00BD4F38"/>
    <w:p w:rsidR="00BD4F38" w:rsidRPr="007A67C1" w:rsidRDefault="00BD4F38" w:rsidP="00BD4F38"/>
    <w:p w:rsidR="00BD4F38" w:rsidRDefault="00BD4F38"/>
    <w:p w:rsidR="00BD4F38" w:rsidRPr="00BF4C9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 xml:space="preserve">The actions of police officers </w:t>
      </w:r>
      <w:proofErr w:type="gramStart"/>
      <w:r>
        <w:rPr>
          <w:rFonts w:ascii="Arial" w:eastAsia="Times New Roman" w:hAnsi="Arial" w:cs="Arial"/>
          <w:i/>
          <w:iCs/>
          <w:lang w:eastAsia="en-GB"/>
        </w:rPr>
        <w:t>are governed</w:t>
      </w:r>
      <w:proofErr w:type="gramEnd"/>
      <w:r>
        <w:rPr>
          <w:rFonts w:ascii="Arial" w:eastAsia="Times New Roman" w:hAnsi="Arial" w:cs="Arial"/>
          <w:i/>
          <w:iCs/>
          <w:lang w:eastAsia="en-GB"/>
        </w:rPr>
        <w:t xml:space="preserve"> by the 10 standards of professional behaviour and the general attitudes and approaches to police work are underpinned by the policing principles of accountability, fairness, honesty, integrity, leadership, objectivity, openness, respect and selflessness. </w:t>
      </w:r>
    </w:p>
    <w:p w:rsidR="00BD4F38" w:rsidRPr="00157265"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BD4F38" w:rsidRPr="002161A0" w:rsidRDefault="00BD4F38" w:rsidP="00BD4F38">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rsidR="00BD4F38" w:rsidRDefault="00BD4F38" w:rsidP="00BD4F38">
      <w:pPr>
        <w:spacing w:after="0" w:line="240" w:lineRule="auto"/>
        <w:ind w:left="426"/>
        <w:rPr>
          <w:rFonts w:ascii="Arial" w:eastAsia="Times New Roman" w:hAnsi="Arial" w:cs="Arial"/>
          <w:b/>
          <w:sz w:val="24"/>
          <w:szCs w:val="24"/>
          <w:lang w:eastAsia="en-GB"/>
        </w:rPr>
      </w:pP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7C06EC">
        <w:rPr>
          <w:rFonts w:ascii="Arial" w:eastAsia="Times New Roman" w:hAnsi="Arial" w:cs="Arial"/>
          <w:lang w:eastAsia="en-GB"/>
        </w:rPr>
        <w:t xml:space="preserve">Analyse the role </w:t>
      </w:r>
      <w:r>
        <w:rPr>
          <w:rFonts w:ascii="Arial" w:eastAsia="Times New Roman" w:hAnsi="Arial" w:cs="Arial"/>
          <w:lang w:eastAsia="en-GB"/>
        </w:rPr>
        <w:t>of professional standards and</w:t>
      </w:r>
      <w:r w:rsidRPr="007C06EC">
        <w:rPr>
          <w:rFonts w:ascii="Arial" w:eastAsia="Times New Roman" w:hAnsi="Arial" w:cs="Arial"/>
          <w:lang w:eastAsia="en-GB"/>
        </w:rPr>
        <w:t xml:space="preserve"> independent bodies such as the I</w:t>
      </w:r>
      <w:r>
        <w:rPr>
          <w:rFonts w:ascii="Arial" w:eastAsia="Times New Roman" w:hAnsi="Arial" w:cs="Arial"/>
          <w:lang w:eastAsia="en-GB"/>
        </w:rPr>
        <w:t>O</w:t>
      </w:r>
      <w:r w:rsidRPr="007C06EC">
        <w:rPr>
          <w:rFonts w:ascii="Arial" w:eastAsia="Times New Roman" w:hAnsi="Arial" w:cs="Arial"/>
          <w:lang w:eastAsia="en-GB"/>
        </w:rPr>
        <w:t xml:space="preserve">PC or HMICFRS </w:t>
      </w:r>
      <w:r>
        <w:rPr>
          <w:rFonts w:ascii="Arial" w:eastAsia="Times New Roman" w:hAnsi="Arial" w:cs="Arial"/>
          <w:lang w:eastAsia="en-GB"/>
        </w:rPr>
        <w:t>in holding the police accountable to the public and the impact of malpractice and corruption on policing using examples to support your argument.</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As of 2019 in 43 territorial police forces, there were 2362 matters involving misconduct or gross misconduct and in addition to </w:t>
      </w:r>
      <w:proofErr w:type="gramStart"/>
      <w:r>
        <w:rPr>
          <w:rFonts w:ascii="Arial" w:eastAsia="Times New Roman" w:hAnsi="Arial" w:cs="Arial"/>
          <w:lang w:eastAsia="en-GB"/>
        </w:rPr>
        <w:t>this</w:t>
      </w:r>
      <w:proofErr w:type="gramEnd"/>
      <w:r>
        <w:rPr>
          <w:rFonts w:ascii="Arial" w:eastAsia="Times New Roman" w:hAnsi="Arial" w:cs="Arial"/>
          <w:lang w:eastAsia="en-GB"/>
        </w:rPr>
        <w:t xml:space="preserve"> there were 136 criminal investigations carried out in 2019 against police officers and staff (Home Office 2019). The IOPC (2018/19) report has found overall since the period of 2017/18 to the period of 2018/19 there were 2% fewer recorded complaints. This essay will look at and analyse the effectiveness of the varying governing bodies over </w:t>
      </w:r>
      <w:proofErr w:type="gramStart"/>
      <w:r>
        <w:rPr>
          <w:rFonts w:ascii="Arial" w:eastAsia="Times New Roman" w:hAnsi="Arial" w:cs="Arial"/>
          <w:lang w:eastAsia="en-GB"/>
        </w:rPr>
        <w:t>organisations such as the police and what it is these independent organisations are responsible for and how they operate</w:t>
      </w:r>
      <w:proofErr w:type="gramEnd"/>
      <w:r>
        <w:rPr>
          <w:rFonts w:ascii="Arial" w:eastAsia="Times New Roman" w:hAnsi="Arial" w:cs="Arial"/>
          <w:lang w:eastAsia="en-GB"/>
        </w:rPr>
        <w:t>. In addition, this essay will look at the effect misconduct by police affects the public perception. Governing bodies such as the independent office of police complaints (IOPC) and Her Majesty’s Inspectorate of Constabulary and fire &amp; rescue services (HMICFRS) have been supplemented using legislation such as The Policing and Crime Act of 2017 (GOV.UK 2017).</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When looking internally a police force will make use of internal departments such as PSD’s (professional standards department’s) </w:t>
      </w:r>
      <w:proofErr w:type="spellStart"/>
      <w:r>
        <w:rPr>
          <w:rFonts w:ascii="Arial" w:eastAsia="Times New Roman" w:hAnsi="Arial" w:cs="Arial"/>
          <w:lang w:eastAsia="en-GB"/>
        </w:rPr>
        <w:t>Torrible</w:t>
      </w:r>
      <w:proofErr w:type="spellEnd"/>
      <w:r>
        <w:rPr>
          <w:rFonts w:ascii="Arial" w:eastAsia="Times New Roman" w:hAnsi="Arial" w:cs="Arial"/>
          <w:lang w:eastAsia="en-GB"/>
        </w:rPr>
        <w:t xml:space="preserve"> (2020) claims that by using the policing and crime act this aims to promote a reformed police complaints process and discipline process that leans towards the lesson learning and as such serves a more reactive purpose. </w:t>
      </w:r>
      <w:proofErr w:type="spellStart"/>
      <w:r>
        <w:rPr>
          <w:rFonts w:ascii="Arial" w:eastAsia="Times New Roman" w:hAnsi="Arial" w:cs="Arial"/>
          <w:lang w:eastAsia="en-GB"/>
        </w:rPr>
        <w:t>Torrible</w:t>
      </w:r>
      <w:proofErr w:type="spellEnd"/>
      <w:r>
        <w:rPr>
          <w:rFonts w:ascii="Arial" w:eastAsia="Times New Roman" w:hAnsi="Arial" w:cs="Arial"/>
          <w:lang w:eastAsia="en-GB"/>
        </w:rPr>
        <w:t xml:space="preserve"> (2020) argues that the act in itself may do more to promote undesirable features of the complaints process because of an increased control a force would have over its complaints, which would instead be better off with more scrutiny from external bodies. </w:t>
      </w:r>
      <w:proofErr w:type="gramStart"/>
      <w:r>
        <w:rPr>
          <w:rFonts w:ascii="Arial" w:eastAsia="Times New Roman" w:hAnsi="Arial" w:cs="Arial"/>
          <w:lang w:eastAsia="en-GB"/>
        </w:rPr>
        <w:t>This is further supported by the IOPC (2018/19) as they have stated an increase or decrease in any particular statistic is not a reflection on weather this change would be positive or negative as forces are recording fewer complaints as they are being handled informally which in turn means that these informal complaints are therefore not included in any statistical data published by the IOPC.</w:t>
      </w:r>
      <w:proofErr w:type="gramEnd"/>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lastRenderedPageBreak/>
        <w:t xml:space="preserve">The IOPC is a regulatory body set to govern any complaints referred to them by a police service or member of the public. </w:t>
      </w:r>
      <w:proofErr w:type="gramStart"/>
      <w:r>
        <w:rPr>
          <w:rFonts w:ascii="Arial" w:eastAsia="Times New Roman" w:hAnsi="Arial" w:cs="Arial"/>
          <w:lang w:eastAsia="en-GB"/>
        </w:rPr>
        <w:t>The Home Office (2019) explains that initially any behaviour which breaches the standards set out in the police regulations of 2012 or the code of ethics set by the college of policing would need to be raised as a complaint however this is not always the case and complaints may be raised by the police service themselves following a ‘death or serious injury after/following police contact’.</w:t>
      </w:r>
      <w:proofErr w:type="gramEnd"/>
      <w:r>
        <w:rPr>
          <w:rFonts w:ascii="Arial" w:eastAsia="Times New Roman" w:hAnsi="Arial" w:cs="Arial"/>
          <w:lang w:eastAsia="en-GB"/>
        </w:rPr>
        <w:t xml:space="preserve"> It is from here a police service would then make a decision as to if a complaint would then need to be referred to the IOPC formally. In some </w:t>
      </w:r>
      <w:proofErr w:type="gramStart"/>
      <w:r>
        <w:rPr>
          <w:rFonts w:ascii="Arial" w:eastAsia="Times New Roman" w:hAnsi="Arial" w:cs="Arial"/>
          <w:lang w:eastAsia="en-GB"/>
        </w:rPr>
        <w:t>instances</w:t>
      </w:r>
      <w:proofErr w:type="gramEnd"/>
      <w:r>
        <w:rPr>
          <w:rFonts w:ascii="Arial" w:eastAsia="Times New Roman" w:hAnsi="Arial" w:cs="Arial"/>
          <w:lang w:eastAsia="en-GB"/>
        </w:rPr>
        <w:t xml:space="preserve"> complaints may be held publically to increase transparency but in other cases may be private to due sensitive issues.</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From a policing perspective, the IOPC and other independent bodies are there to ensure the correct procedures have been followed and guidelines met and to provide greater transparency, </w:t>
      </w:r>
      <w:proofErr w:type="gramStart"/>
      <w:r>
        <w:rPr>
          <w:rFonts w:ascii="Arial" w:eastAsia="Times New Roman" w:hAnsi="Arial" w:cs="Arial"/>
          <w:lang w:eastAsia="en-GB"/>
        </w:rPr>
        <w:t>however</w:t>
      </w:r>
      <w:proofErr w:type="gramEnd"/>
      <w:r>
        <w:rPr>
          <w:rFonts w:ascii="Arial" w:eastAsia="Times New Roman" w:hAnsi="Arial" w:cs="Arial"/>
          <w:lang w:eastAsia="en-GB"/>
        </w:rPr>
        <w:t xml:space="preserve"> in recent high profile cases this has proved to be a difficult task. The recent disorder and outcry over the killing of a black man, George Floyd sparked a movement unlike before. </w:t>
      </w:r>
      <w:proofErr w:type="spellStart"/>
      <w:r>
        <w:rPr>
          <w:rFonts w:ascii="Arial" w:eastAsia="Times New Roman" w:hAnsi="Arial" w:cs="Arial"/>
          <w:lang w:eastAsia="en-GB"/>
        </w:rPr>
        <w:t>Peeples</w:t>
      </w:r>
      <w:proofErr w:type="spellEnd"/>
      <w:r>
        <w:rPr>
          <w:rFonts w:ascii="Arial" w:eastAsia="Times New Roman" w:hAnsi="Arial" w:cs="Arial"/>
          <w:lang w:eastAsia="en-GB"/>
        </w:rPr>
        <w:t xml:space="preserve"> (2020) highlights the distrust the public in the US had especially in black communities where it </w:t>
      </w:r>
      <w:proofErr w:type="gramStart"/>
      <w:r>
        <w:rPr>
          <w:rFonts w:ascii="Arial" w:eastAsia="Times New Roman" w:hAnsi="Arial" w:cs="Arial"/>
          <w:lang w:eastAsia="en-GB"/>
        </w:rPr>
        <w:t>was seen</w:t>
      </w:r>
      <w:proofErr w:type="gramEnd"/>
      <w:r>
        <w:rPr>
          <w:rFonts w:ascii="Arial" w:eastAsia="Times New Roman" w:hAnsi="Arial" w:cs="Arial"/>
          <w:lang w:eastAsia="en-GB"/>
        </w:rPr>
        <w:t xml:space="preserve"> that statistics pointed a higher use of force in their neighbourhoods when in comparison to their white counterparts. It can easily be drawn from this that regardless of any governing bodies the effect misconduct by police in areas such as use of force can impact heavily on the everyday workings of a police not just locally or nationally but internationally.</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More </w:t>
      </w:r>
      <w:proofErr w:type="gramStart"/>
      <w:r>
        <w:rPr>
          <w:rFonts w:ascii="Arial" w:eastAsia="Times New Roman" w:hAnsi="Arial" w:cs="Arial"/>
          <w:lang w:eastAsia="en-GB"/>
        </w:rPr>
        <w:t>locally</w:t>
      </w:r>
      <w:proofErr w:type="gramEnd"/>
      <w:r>
        <w:rPr>
          <w:rFonts w:ascii="Arial" w:eastAsia="Times New Roman" w:hAnsi="Arial" w:cs="Arial"/>
          <w:lang w:eastAsia="en-GB"/>
        </w:rPr>
        <w:t xml:space="preserve"> the case of Lynette White and the Cardiff five has had an effect on policing in Cardiff for years and still effects the way policing is done to this day. An article by Hudson (2018) highlighted the impact this case had on South Wales Police over the years due to the wrongful conviction of </w:t>
      </w:r>
      <w:proofErr w:type="gramStart"/>
      <w:r>
        <w:rPr>
          <w:rFonts w:ascii="Arial" w:eastAsia="Times New Roman" w:hAnsi="Arial" w:cs="Arial"/>
          <w:lang w:eastAsia="en-GB"/>
        </w:rPr>
        <w:t>3</w:t>
      </w:r>
      <w:proofErr w:type="gramEnd"/>
      <w:r>
        <w:rPr>
          <w:rFonts w:ascii="Arial" w:eastAsia="Times New Roman" w:hAnsi="Arial" w:cs="Arial"/>
          <w:lang w:eastAsia="en-GB"/>
        </w:rPr>
        <w:t xml:space="preserve"> men who were later acquitted some 2 years later. As a result of and independent enquiry conducted by the PCC (police complaints commission) some 30 other people were arrested of which 19 were either serving or retired police officers. This case led to the biggest corruption case against the police in south wales police history and as a result community distrust was at an </w:t>
      </w:r>
      <w:proofErr w:type="spellStart"/>
      <w:r>
        <w:rPr>
          <w:rFonts w:ascii="Arial" w:eastAsia="Times New Roman" w:hAnsi="Arial" w:cs="Arial"/>
          <w:lang w:eastAsia="en-GB"/>
        </w:rPr>
        <w:t>all time</w:t>
      </w:r>
      <w:proofErr w:type="spellEnd"/>
      <w:r>
        <w:rPr>
          <w:rFonts w:ascii="Arial" w:eastAsia="Times New Roman" w:hAnsi="Arial" w:cs="Arial"/>
          <w:lang w:eastAsia="en-GB"/>
        </w:rPr>
        <w:t xml:space="preserve"> high regardless of the </w:t>
      </w:r>
      <w:proofErr w:type="gramStart"/>
      <w:r>
        <w:rPr>
          <w:rFonts w:ascii="Arial" w:eastAsia="Times New Roman" w:hAnsi="Arial" w:cs="Arial"/>
          <w:lang w:eastAsia="en-GB"/>
        </w:rPr>
        <w:t>end result</w:t>
      </w:r>
      <w:proofErr w:type="gramEnd"/>
      <w:r>
        <w:rPr>
          <w:rFonts w:ascii="Arial" w:eastAsia="Times New Roman" w:hAnsi="Arial" w:cs="Arial"/>
          <w:lang w:eastAsia="en-GB"/>
        </w:rPr>
        <w:t xml:space="preserve"> being appropriate.</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A study conducted by </w:t>
      </w:r>
      <w:proofErr w:type="spellStart"/>
      <w:r>
        <w:rPr>
          <w:rFonts w:ascii="Arial" w:eastAsia="Times New Roman" w:hAnsi="Arial" w:cs="Arial"/>
          <w:lang w:eastAsia="en-GB"/>
        </w:rPr>
        <w:t>Wietzer</w:t>
      </w:r>
      <w:proofErr w:type="spellEnd"/>
      <w:r>
        <w:rPr>
          <w:rFonts w:ascii="Arial" w:eastAsia="Times New Roman" w:hAnsi="Arial" w:cs="Arial"/>
          <w:lang w:eastAsia="en-GB"/>
        </w:rPr>
        <w:t xml:space="preserve"> (2002) into the effect of police misconduct on public opinion showed that the effects from a ‘scandal’ as such would continue to have long lasting effects regardless of the extent of the misconduct. The research particularly found that among the African American community the distrust of the police was highest in comparison to their counterparts. </w:t>
      </w:r>
      <w:proofErr w:type="spellStart"/>
      <w:r>
        <w:rPr>
          <w:rFonts w:ascii="Arial" w:eastAsia="Times New Roman" w:hAnsi="Arial" w:cs="Arial"/>
          <w:lang w:eastAsia="en-GB"/>
        </w:rPr>
        <w:t>Wietzer</w:t>
      </w:r>
      <w:proofErr w:type="spellEnd"/>
      <w:r>
        <w:rPr>
          <w:rFonts w:ascii="Arial" w:eastAsia="Times New Roman" w:hAnsi="Arial" w:cs="Arial"/>
          <w:lang w:eastAsia="en-GB"/>
        </w:rPr>
        <w:t xml:space="preserve"> explained </w:t>
      </w:r>
      <w:proofErr w:type="gramStart"/>
      <w:r>
        <w:rPr>
          <w:rFonts w:ascii="Arial" w:eastAsia="Times New Roman" w:hAnsi="Arial" w:cs="Arial"/>
          <w:lang w:eastAsia="en-GB"/>
        </w:rPr>
        <w:t>as a result</w:t>
      </w:r>
      <w:proofErr w:type="gramEnd"/>
      <w:r>
        <w:rPr>
          <w:rFonts w:ascii="Arial" w:eastAsia="Times New Roman" w:hAnsi="Arial" w:cs="Arial"/>
          <w:lang w:eastAsia="en-GB"/>
        </w:rPr>
        <w:t xml:space="preserve"> of this mistrust this led to an decrease in the cooperation of towards officers and more predisposed deposition to accept instances of misconduct as the ‘norm’.</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roofErr w:type="gramStart"/>
      <w:r>
        <w:rPr>
          <w:rFonts w:ascii="Arial" w:eastAsia="Times New Roman" w:hAnsi="Arial" w:cs="Arial"/>
          <w:lang w:eastAsia="en-GB"/>
        </w:rPr>
        <w:t xml:space="preserve">In conclusion this essay touches upon the fundamentals behind the reasoning behind regulatory bodies in particular with police complaints, numerous legislation and reform have been adopted following high profile cases however the statistics cannot accurately account for all complaints as there is still an element of </w:t>
      </w:r>
      <w:proofErr w:type="spellStart"/>
      <w:r>
        <w:rPr>
          <w:rFonts w:ascii="Arial" w:eastAsia="Times New Roman" w:hAnsi="Arial" w:cs="Arial"/>
          <w:lang w:eastAsia="en-GB"/>
        </w:rPr>
        <w:t>self serving</w:t>
      </w:r>
      <w:proofErr w:type="spellEnd"/>
      <w:r>
        <w:rPr>
          <w:rFonts w:ascii="Arial" w:eastAsia="Times New Roman" w:hAnsi="Arial" w:cs="Arial"/>
          <w:lang w:eastAsia="en-GB"/>
        </w:rPr>
        <w:t xml:space="preserve"> amongst police forces in that some matters can be dealt with internally rather </w:t>
      </w:r>
      <w:proofErr w:type="spellStart"/>
      <w:r>
        <w:rPr>
          <w:rFonts w:ascii="Arial" w:eastAsia="Times New Roman" w:hAnsi="Arial" w:cs="Arial"/>
          <w:lang w:eastAsia="en-GB"/>
        </w:rPr>
        <w:t>then</w:t>
      </w:r>
      <w:proofErr w:type="spellEnd"/>
      <w:r>
        <w:rPr>
          <w:rFonts w:ascii="Arial" w:eastAsia="Times New Roman" w:hAnsi="Arial" w:cs="Arial"/>
          <w:lang w:eastAsia="en-GB"/>
        </w:rPr>
        <w:t xml:space="preserve"> being referred to and independent party such as the IOPC.</w:t>
      </w:r>
      <w:proofErr w:type="gramEnd"/>
      <w:r>
        <w:rPr>
          <w:rFonts w:ascii="Arial" w:eastAsia="Times New Roman" w:hAnsi="Arial" w:cs="Arial"/>
          <w:lang w:eastAsia="en-GB"/>
        </w:rPr>
        <w:t xml:space="preserve"> </w:t>
      </w:r>
      <w:proofErr w:type="gramStart"/>
      <w:r>
        <w:rPr>
          <w:rFonts w:ascii="Arial" w:eastAsia="Times New Roman" w:hAnsi="Arial" w:cs="Arial"/>
          <w:lang w:eastAsia="en-GB"/>
        </w:rPr>
        <w:t>Overall</w:t>
      </w:r>
      <w:proofErr w:type="gramEnd"/>
      <w:r>
        <w:rPr>
          <w:rFonts w:ascii="Arial" w:eastAsia="Times New Roman" w:hAnsi="Arial" w:cs="Arial"/>
          <w:lang w:eastAsia="en-GB"/>
        </w:rPr>
        <w:t xml:space="preserve"> the effectiveness of the governing bodies is limited in the sense that not all data is collected by some and there are instances in which allegations of misconduct aren’t reported in the first place due to a lack of trust in the system. To improve this issues a clear focus and emphasis needs to be placed on the individuality of cases and for more transparent sharing of data between forces regardless of erroneous it may seem and in </w:t>
      </w:r>
      <w:proofErr w:type="gramStart"/>
      <w:r>
        <w:rPr>
          <w:rFonts w:ascii="Arial" w:eastAsia="Times New Roman" w:hAnsi="Arial" w:cs="Arial"/>
          <w:lang w:eastAsia="en-GB"/>
        </w:rPr>
        <w:t>turn</w:t>
      </w:r>
      <w:proofErr w:type="gramEnd"/>
      <w:r>
        <w:rPr>
          <w:rFonts w:ascii="Arial" w:eastAsia="Times New Roman" w:hAnsi="Arial" w:cs="Arial"/>
          <w:lang w:eastAsia="en-GB"/>
        </w:rPr>
        <w:t xml:space="preserve"> this information would need to be made public or publicized in order to show transparency. </w:t>
      </w:r>
    </w:p>
    <w:p w:rsidR="00BD4F38" w:rsidRPr="00082C10"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b/>
          <w:u w:val="single"/>
          <w:lang w:eastAsia="en-GB"/>
        </w:rPr>
      </w:pPr>
      <w:r w:rsidRPr="00082C10">
        <w:rPr>
          <w:rFonts w:ascii="Arial" w:eastAsia="Times New Roman" w:hAnsi="Arial" w:cs="Arial"/>
          <w:b/>
          <w:u w:val="single"/>
          <w:lang w:eastAsia="en-GB"/>
        </w:rPr>
        <w:t>References</w:t>
      </w:r>
    </w:p>
    <w:p w:rsidR="00BD4F38" w:rsidRPr="00082C10"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082C10">
        <w:rPr>
          <w:rFonts w:ascii="Arial" w:eastAsia="Times New Roman" w:hAnsi="Arial" w:cs="Arial"/>
          <w:lang w:eastAsia="en-GB"/>
        </w:rPr>
        <w:lastRenderedPageBreak/>
        <w:t xml:space="preserve">Home Office. (2019), ‘Police Workforce’, National Statistics, [Online]. Available at: </w:t>
      </w:r>
      <w:hyperlink r:id="rId10" w:history="1">
        <w:r w:rsidRPr="00082C10">
          <w:rPr>
            <w:rStyle w:val="Hyperlink"/>
            <w:rFonts w:ascii="Arial" w:hAnsi="Arial" w:cs="Arial"/>
          </w:rPr>
          <w:t>Police workforce, England and Wales, 30 September 2019 (publishing.service.gov.uk)</w:t>
        </w:r>
      </w:hyperlink>
      <w:r w:rsidRPr="00082C10">
        <w:rPr>
          <w:rFonts w:ascii="Arial" w:hAnsi="Arial" w:cs="Arial"/>
        </w:rPr>
        <w:t xml:space="preserve"> (Accessed 07 February 2021)</w:t>
      </w:r>
    </w:p>
    <w:p w:rsidR="00BD4F38" w:rsidRPr="00082C10" w:rsidRDefault="00BD4F38" w:rsidP="00BD4F38">
      <w:pPr>
        <w:overflowPunct w:val="0"/>
        <w:autoSpaceDE w:val="0"/>
        <w:autoSpaceDN w:val="0"/>
        <w:adjustRightInd w:val="0"/>
        <w:spacing w:before="240" w:after="0" w:line="240" w:lineRule="auto"/>
        <w:ind w:left="426"/>
        <w:textAlignment w:val="baseline"/>
        <w:rPr>
          <w:rFonts w:ascii="Arial" w:hAnsi="Arial" w:cs="Arial"/>
        </w:rPr>
      </w:pPr>
      <w:r w:rsidRPr="00082C10">
        <w:rPr>
          <w:rFonts w:ascii="Arial" w:eastAsia="Times New Roman" w:hAnsi="Arial" w:cs="Arial"/>
          <w:lang w:eastAsia="en-GB"/>
        </w:rPr>
        <w:t xml:space="preserve">IOPC. (2018/19), ’Police Complaints’, [Online]. Available at: </w:t>
      </w:r>
      <w:hyperlink r:id="rId11" w:history="1">
        <w:r w:rsidRPr="00082C10">
          <w:rPr>
            <w:rStyle w:val="Hyperlink"/>
            <w:rFonts w:ascii="Arial" w:hAnsi="Arial" w:cs="Arial"/>
          </w:rPr>
          <w:t>complaints_statistics_2018_19_v2.pdf (policeconduct.gov.uk)</w:t>
        </w:r>
      </w:hyperlink>
      <w:r w:rsidRPr="00082C10">
        <w:rPr>
          <w:rFonts w:ascii="Arial" w:hAnsi="Arial" w:cs="Arial"/>
        </w:rPr>
        <w:t xml:space="preserve"> (Accessed 07 February 2021)</w:t>
      </w:r>
    </w:p>
    <w:p w:rsidR="00BD4F38" w:rsidRPr="00082C10" w:rsidRDefault="00BD4F38" w:rsidP="00BD4F38">
      <w:pPr>
        <w:overflowPunct w:val="0"/>
        <w:autoSpaceDE w:val="0"/>
        <w:autoSpaceDN w:val="0"/>
        <w:adjustRightInd w:val="0"/>
        <w:spacing w:before="240" w:after="0" w:line="240" w:lineRule="auto"/>
        <w:ind w:left="426"/>
        <w:textAlignment w:val="baseline"/>
        <w:rPr>
          <w:rFonts w:ascii="Arial" w:hAnsi="Arial" w:cs="Arial"/>
        </w:rPr>
      </w:pPr>
      <w:proofErr w:type="spellStart"/>
      <w:r w:rsidRPr="00082C10">
        <w:rPr>
          <w:rFonts w:ascii="Arial" w:eastAsia="Times New Roman" w:hAnsi="Arial" w:cs="Arial"/>
          <w:lang w:eastAsia="en-GB"/>
        </w:rPr>
        <w:t>Torrible</w:t>
      </w:r>
      <w:proofErr w:type="spellEnd"/>
      <w:r w:rsidRPr="00082C10">
        <w:rPr>
          <w:rFonts w:ascii="Arial" w:eastAsia="Times New Roman" w:hAnsi="Arial" w:cs="Arial"/>
          <w:lang w:eastAsia="en-GB"/>
        </w:rPr>
        <w:t xml:space="preserve">, C. (2020), ‘Police complaints and discipline: integrity, lesson learning, independence and accountability: some implications of the reforms under the Policing and Crime Act 2017’, Policing and Society, [Online]. Available at: </w:t>
      </w:r>
      <w:hyperlink r:id="rId12" w:history="1">
        <w:r w:rsidRPr="00082C10">
          <w:rPr>
            <w:rStyle w:val="Hyperlink"/>
            <w:rFonts w:ascii="Arial" w:hAnsi="Arial" w:cs="Arial"/>
          </w:rPr>
          <w:t>Police complaints and discipline: integrity, lesson learning, independence and accountability: some implications of the reforms under the Policing and Crime Act 2017: Policing and Society: Vol 0, No 0 (tandfonline.com)</w:t>
        </w:r>
      </w:hyperlink>
      <w:r w:rsidRPr="00082C10">
        <w:rPr>
          <w:rFonts w:ascii="Arial" w:hAnsi="Arial" w:cs="Arial"/>
        </w:rPr>
        <w:t xml:space="preserve"> (Accessed 07 February 2021</w:t>
      </w:r>
    </w:p>
    <w:p w:rsidR="00BD4F38" w:rsidRPr="00082C10" w:rsidRDefault="00BD4F38" w:rsidP="00BD4F38">
      <w:pPr>
        <w:overflowPunct w:val="0"/>
        <w:autoSpaceDE w:val="0"/>
        <w:autoSpaceDN w:val="0"/>
        <w:adjustRightInd w:val="0"/>
        <w:spacing w:before="240" w:after="0" w:line="240" w:lineRule="auto"/>
        <w:ind w:left="426"/>
        <w:textAlignment w:val="baseline"/>
        <w:rPr>
          <w:rFonts w:ascii="Arial" w:hAnsi="Arial" w:cs="Arial"/>
        </w:rPr>
      </w:pPr>
      <w:r w:rsidRPr="00082C10">
        <w:rPr>
          <w:rFonts w:ascii="Arial" w:hAnsi="Arial" w:cs="Arial"/>
        </w:rPr>
        <w:t xml:space="preserve">GOV.UK. 2017, Policing and Crime Act, [Online], Available: </w:t>
      </w:r>
      <w:hyperlink r:id="rId13" w:anchor=":~:text=The%20Policing%20and%20Crime%20Act%202017%20further%20reforms%20policing%20and,and%20further%20enhance%20local%20accountability." w:history="1">
        <w:r w:rsidRPr="00082C10">
          <w:rPr>
            <w:rStyle w:val="Hyperlink"/>
            <w:rFonts w:ascii="Arial" w:hAnsi="Arial" w:cs="Arial"/>
          </w:rPr>
          <w:t>Policing and Crime Act - GOV.UK (www.gov.uk)</w:t>
        </w:r>
      </w:hyperlink>
      <w:r w:rsidRPr="00082C10">
        <w:rPr>
          <w:rFonts w:ascii="Arial" w:hAnsi="Arial" w:cs="Arial"/>
        </w:rPr>
        <w:t xml:space="preserve"> (Accessed: 07 February 2021)</w:t>
      </w:r>
    </w:p>
    <w:p w:rsidR="00BD4F38" w:rsidRPr="00082C10" w:rsidRDefault="00BD4F38" w:rsidP="00BD4F38">
      <w:pPr>
        <w:overflowPunct w:val="0"/>
        <w:autoSpaceDE w:val="0"/>
        <w:autoSpaceDN w:val="0"/>
        <w:adjustRightInd w:val="0"/>
        <w:spacing w:before="240" w:after="0" w:line="240" w:lineRule="auto"/>
        <w:ind w:left="426"/>
        <w:textAlignment w:val="baseline"/>
        <w:rPr>
          <w:rFonts w:ascii="Arial" w:hAnsi="Arial" w:cs="Arial"/>
        </w:rPr>
      </w:pPr>
      <w:r w:rsidRPr="00082C10">
        <w:rPr>
          <w:rFonts w:ascii="Arial" w:hAnsi="Arial" w:cs="Arial"/>
        </w:rPr>
        <w:t>Roth, L. (2015), ‘External Oversight of Police Conduct Briefing paper No 6’</w:t>
      </w:r>
    </w:p>
    <w:p w:rsidR="00BD4F38" w:rsidRPr="00082C10" w:rsidRDefault="00BD4F38" w:rsidP="00BD4F38">
      <w:pPr>
        <w:overflowPunct w:val="0"/>
        <w:autoSpaceDE w:val="0"/>
        <w:autoSpaceDN w:val="0"/>
        <w:adjustRightInd w:val="0"/>
        <w:spacing w:before="240" w:after="0" w:line="240" w:lineRule="auto"/>
        <w:ind w:left="426"/>
        <w:textAlignment w:val="baseline"/>
        <w:rPr>
          <w:rFonts w:ascii="Arial" w:hAnsi="Arial" w:cs="Arial"/>
        </w:rPr>
      </w:pPr>
      <w:proofErr w:type="spellStart"/>
      <w:r w:rsidRPr="00082C10">
        <w:rPr>
          <w:rFonts w:ascii="Arial" w:hAnsi="Arial" w:cs="Arial"/>
        </w:rPr>
        <w:t>Peeples</w:t>
      </w:r>
      <w:proofErr w:type="spellEnd"/>
      <w:r w:rsidRPr="00082C10">
        <w:rPr>
          <w:rFonts w:ascii="Arial" w:hAnsi="Arial" w:cs="Arial"/>
        </w:rPr>
        <w:t xml:space="preserve">, L. (2020), ‘What the data say about police brutality and racial bias – and which reforms might work’, Nature, [Online], Available: </w:t>
      </w:r>
      <w:hyperlink r:id="rId14" w:history="1">
        <w:r w:rsidRPr="00082C10">
          <w:rPr>
            <w:rStyle w:val="Hyperlink"/>
            <w:rFonts w:ascii="Arial" w:hAnsi="Arial" w:cs="Arial"/>
          </w:rPr>
          <w:t>What the data say about police brutality and racial bias — and which reforms might work (nature.com)</w:t>
        </w:r>
      </w:hyperlink>
      <w:r w:rsidRPr="00082C10">
        <w:rPr>
          <w:rFonts w:ascii="Arial" w:hAnsi="Arial" w:cs="Arial"/>
        </w:rPr>
        <w:t xml:space="preserve"> (Accessed: 08 February 2021)</w:t>
      </w:r>
    </w:p>
    <w:p w:rsidR="00BD4F38" w:rsidRPr="00082C10" w:rsidRDefault="00BD4F38" w:rsidP="00BD4F38">
      <w:pPr>
        <w:overflowPunct w:val="0"/>
        <w:autoSpaceDE w:val="0"/>
        <w:autoSpaceDN w:val="0"/>
        <w:adjustRightInd w:val="0"/>
        <w:spacing w:before="240" w:after="0" w:line="240" w:lineRule="auto"/>
        <w:ind w:left="426"/>
        <w:textAlignment w:val="baseline"/>
        <w:rPr>
          <w:rFonts w:ascii="Arial" w:hAnsi="Arial" w:cs="Arial"/>
        </w:rPr>
      </w:pPr>
      <w:r w:rsidRPr="00082C10">
        <w:rPr>
          <w:rFonts w:ascii="Arial" w:hAnsi="Arial" w:cs="Arial"/>
        </w:rPr>
        <w:t xml:space="preserve">Hudson, N. (2018),’ Lynette White murder legacy will haunt force ‘for a generation’, admits chief constable’, Police Professional. [Online]. Available at: </w:t>
      </w:r>
      <w:hyperlink r:id="rId15" w:history="1">
        <w:r w:rsidRPr="00082C10">
          <w:rPr>
            <w:rStyle w:val="Hyperlink"/>
            <w:rFonts w:ascii="Arial" w:hAnsi="Arial" w:cs="Arial"/>
          </w:rPr>
          <w:t>Police Professional | Lynette White murder legacy will haunt force ‘for a generation’, admits chief constable</w:t>
        </w:r>
      </w:hyperlink>
      <w:r w:rsidRPr="00082C10">
        <w:rPr>
          <w:rFonts w:ascii="Arial" w:hAnsi="Arial" w:cs="Arial"/>
        </w:rPr>
        <w:t xml:space="preserve"> Accessed: 08 February 2021)</w:t>
      </w:r>
    </w:p>
    <w:p w:rsidR="00BD4F38" w:rsidRPr="00082C10" w:rsidRDefault="00BD4F38" w:rsidP="00BD4F38">
      <w:pPr>
        <w:overflowPunct w:val="0"/>
        <w:autoSpaceDE w:val="0"/>
        <w:autoSpaceDN w:val="0"/>
        <w:adjustRightInd w:val="0"/>
        <w:spacing w:before="240" w:after="0" w:line="240" w:lineRule="auto"/>
        <w:ind w:left="426"/>
        <w:textAlignment w:val="baseline"/>
        <w:rPr>
          <w:rFonts w:ascii="Arial" w:eastAsia="Times New Roman" w:hAnsi="Arial" w:cs="Arial"/>
          <w:b/>
          <w:lang w:eastAsia="en-GB"/>
        </w:rPr>
      </w:pPr>
      <w:proofErr w:type="spellStart"/>
      <w:r w:rsidRPr="00082C10">
        <w:rPr>
          <w:rFonts w:ascii="Arial" w:hAnsi="Arial" w:cs="Arial"/>
        </w:rPr>
        <w:t>Weitzer</w:t>
      </w:r>
      <w:proofErr w:type="spellEnd"/>
      <w:r w:rsidRPr="00082C10">
        <w:rPr>
          <w:rFonts w:ascii="Arial" w:hAnsi="Arial" w:cs="Arial"/>
        </w:rPr>
        <w:t xml:space="preserve">, R. (2002), ‘Incidents of police misconduct and public opinion’, Journal of Criminal Justice. [Online]. Available at: </w:t>
      </w:r>
      <w:hyperlink r:id="rId16" w:history="1">
        <w:r w:rsidRPr="00082C10">
          <w:rPr>
            <w:rStyle w:val="Hyperlink"/>
            <w:rFonts w:ascii="Arial" w:hAnsi="Arial" w:cs="Arial"/>
          </w:rPr>
          <w:t xml:space="preserve">Incidents of police misconduct and public opinion - </w:t>
        </w:r>
        <w:proofErr w:type="spellStart"/>
        <w:r w:rsidRPr="00082C10">
          <w:rPr>
            <w:rStyle w:val="Hyperlink"/>
            <w:rFonts w:ascii="Arial" w:hAnsi="Arial" w:cs="Arial"/>
          </w:rPr>
          <w:t>ScienceDirect</w:t>
        </w:r>
        <w:proofErr w:type="spellEnd"/>
      </w:hyperlink>
      <w:r w:rsidRPr="00082C10">
        <w:rPr>
          <w:rFonts w:ascii="Arial" w:hAnsi="Arial" w:cs="Arial"/>
        </w:rPr>
        <w:t xml:space="preserve"> (Accessed: 08 February 2021)</w:t>
      </w:r>
    </w:p>
    <w:p w:rsidR="00BD4F38" w:rsidRDefault="00BD4F38"/>
    <w:p w:rsidR="00BD4F38" w:rsidRDefault="00BD4F38"/>
    <w:p w:rsidR="00BD4F38" w:rsidRDefault="00BD4F38"/>
    <w:p w:rsidR="00BD4F38" w:rsidRPr="00180632"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 xml:space="preserve">In recent </w:t>
      </w:r>
      <w:proofErr w:type="gramStart"/>
      <w:r>
        <w:rPr>
          <w:rFonts w:ascii="Arial" w:eastAsia="Times New Roman" w:hAnsi="Arial" w:cs="Arial"/>
          <w:i/>
          <w:iCs/>
          <w:lang w:eastAsia="en-GB"/>
        </w:rPr>
        <w:t>years</w:t>
      </w:r>
      <w:proofErr w:type="gramEnd"/>
      <w:r>
        <w:rPr>
          <w:rFonts w:ascii="Arial" w:eastAsia="Times New Roman" w:hAnsi="Arial" w:cs="Arial"/>
          <w:i/>
          <w:iCs/>
          <w:lang w:eastAsia="en-GB"/>
        </w:rPr>
        <w:t xml:space="preserve"> there has been a developing trend of criminality through organised crime groups including youth gangs.  </w:t>
      </w:r>
    </w:p>
    <w:p w:rsidR="00BD4F38" w:rsidRPr="00180632"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rsidR="00BD4F38" w:rsidRPr="002161A0" w:rsidRDefault="00BD4F38" w:rsidP="00BD4F38">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84916">
        <w:rPr>
          <w:rFonts w:ascii="Arial" w:eastAsia="Times New Roman" w:hAnsi="Arial" w:cs="Arial"/>
          <w:lang w:eastAsia="en-GB"/>
        </w:rPr>
        <w:t>Analyse the developing issue</w:t>
      </w:r>
      <w:r>
        <w:rPr>
          <w:rFonts w:ascii="Arial" w:eastAsia="Times New Roman" w:hAnsi="Arial" w:cs="Arial"/>
          <w:lang w:eastAsia="en-GB"/>
        </w:rPr>
        <w:t>s</w:t>
      </w:r>
      <w:r w:rsidRPr="00F84916">
        <w:rPr>
          <w:rFonts w:ascii="Arial" w:eastAsia="Times New Roman" w:hAnsi="Arial" w:cs="Arial"/>
          <w:lang w:eastAsia="en-GB"/>
        </w:rPr>
        <w:t xml:space="preserve"> of youth gangs</w:t>
      </w:r>
      <w:r>
        <w:rPr>
          <w:rFonts w:ascii="Arial" w:eastAsia="Times New Roman" w:hAnsi="Arial" w:cs="Arial"/>
          <w:lang w:eastAsia="en-GB"/>
        </w:rPr>
        <w:t xml:space="preserve">, and why people </w:t>
      </w:r>
      <w:proofErr w:type="gramStart"/>
      <w:r>
        <w:rPr>
          <w:rFonts w:ascii="Arial" w:eastAsia="Times New Roman" w:hAnsi="Arial" w:cs="Arial"/>
          <w:lang w:eastAsia="en-GB"/>
        </w:rPr>
        <w:t>are drawn</w:t>
      </w:r>
      <w:proofErr w:type="gramEnd"/>
      <w:r>
        <w:rPr>
          <w:rFonts w:ascii="Arial" w:eastAsia="Times New Roman" w:hAnsi="Arial" w:cs="Arial"/>
          <w:lang w:eastAsia="en-GB"/>
        </w:rPr>
        <w:t xml:space="preserve"> into becoming part of a gang culture. </w:t>
      </w:r>
    </w:p>
    <w:p w:rsidR="00BD4F38" w:rsidRDefault="00BD4F38" w:rsidP="00BD4F38">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w:t>
      </w:r>
      <w:r w:rsidRPr="00F84916">
        <w:rPr>
          <w:rFonts w:ascii="Arial" w:eastAsia="Times New Roman" w:hAnsi="Arial" w:cs="Arial"/>
          <w:lang w:eastAsia="en-GB"/>
        </w:rPr>
        <w:t xml:space="preserve"> targe</w:t>
      </w:r>
      <w:r>
        <w:rPr>
          <w:rFonts w:ascii="Arial" w:eastAsia="Times New Roman" w:hAnsi="Arial" w:cs="Arial"/>
          <w:lang w:eastAsia="en-GB"/>
        </w:rPr>
        <w:t>t</w:t>
      </w:r>
      <w:r w:rsidRPr="00F84916">
        <w:rPr>
          <w:rFonts w:ascii="Arial" w:eastAsia="Times New Roman" w:hAnsi="Arial" w:cs="Arial"/>
          <w:lang w:eastAsia="en-GB"/>
        </w:rPr>
        <w:t xml:space="preserve"> vulnerable people, people at risk of harm </w:t>
      </w:r>
      <w:r>
        <w:rPr>
          <w:rFonts w:ascii="Arial" w:eastAsia="Times New Roman" w:hAnsi="Arial" w:cs="Arial"/>
          <w:lang w:eastAsia="en-GB"/>
        </w:rPr>
        <w:t xml:space="preserve">and the </w:t>
      </w:r>
      <w:r w:rsidRPr="00F84916">
        <w:rPr>
          <w:rFonts w:ascii="Arial" w:eastAsia="Times New Roman" w:hAnsi="Arial" w:cs="Arial"/>
          <w:lang w:eastAsia="en-GB"/>
        </w:rPr>
        <w:t xml:space="preserve">theories of </w:t>
      </w:r>
      <w:r>
        <w:rPr>
          <w:rFonts w:ascii="Arial" w:eastAsia="Times New Roman" w:hAnsi="Arial" w:cs="Arial"/>
          <w:lang w:eastAsia="en-GB"/>
        </w:rPr>
        <w:t>victimology.</w:t>
      </w:r>
    </w:p>
    <w:p w:rsidR="00BD4F38" w:rsidRDefault="00BD4F38" w:rsidP="00BD4F38"/>
    <w:p w:rsidR="00BD4F38" w:rsidRDefault="00BD4F38" w:rsidP="00BD4F38"/>
    <w:p w:rsidR="00BD4F38" w:rsidRPr="006C2A77" w:rsidRDefault="00BD4F38" w:rsidP="00BD4F38">
      <w:r w:rsidRPr="006C2A77">
        <w:lastRenderedPageBreak/>
        <w:t>It</w:t>
      </w:r>
      <w:r>
        <w:t xml:space="preserve"> </w:t>
      </w:r>
      <w:proofErr w:type="gramStart"/>
      <w:r>
        <w:t>is estimated that in the United Kingdom</w:t>
      </w:r>
      <w:r w:rsidRPr="006C2A77">
        <w:t xml:space="preserve"> 27,000 children aged 10 to 17 years of age are believed</w:t>
      </w:r>
      <w:proofErr w:type="gramEnd"/>
      <w:r w:rsidRPr="006C2A77">
        <w:t xml:space="preserve"> to be street gang members (Children’s Commissioner, 2018). This essay will aim to examine the reasons as to why so many young people turn to youth gangs and the various factors as to why people join gangs.</w:t>
      </w:r>
      <w:r>
        <w:t xml:space="preserve"> Many</w:t>
      </w:r>
      <w:r w:rsidRPr="006C2A77">
        <w:t xml:space="preserve"> reports and studies have looked into the social media, economi</w:t>
      </w:r>
      <w:r>
        <w:t>c, educational and psychological</w:t>
      </w:r>
      <w:r w:rsidRPr="006C2A77">
        <w:t xml:space="preserve"> factors that draw young people into gangs and how those in gangs target vulnerable people. In addition</w:t>
      </w:r>
      <w:r>
        <w:t>,</w:t>
      </w:r>
      <w:r w:rsidRPr="006C2A77">
        <w:t xml:space="preserve"> this essay will highlight </w:t>
      </w:r>
      <w:proofErr w:type="gramStart"/>
      <w:r w:rsidRPr="006C2A77">
        <w:t xml:space="preserve">ethnicity </w:t>
      </w:r>
      <w:r>
        <w:t>factors and whether</w:t>
      </w:r>
      <w:r w:rsidRPr="006C2A77">
        <w:t xml:space="preserve"> this has any influence on those who join gangs</w:t>
      </w:r>
      <w:proofErr w:type="gramEnd"/>
      <w:r w:rsidRPr="006C2A77">
        <w:t>.</w:t>
      </w:r>
    </w:p>
    <w:p w:rsidR="00BD4F38" w:rsidRPr="006C2A77" w:rsidRDefault="00BD4F38" w:rsidP="00BD4F38"/>
    <w:p w:rsidR="00BD4F38" w:rsidRDefault="00BD4F38" w:rsidP="00BD4F38">
      <w:r w:rsidRPr="006C2A77">
        <w:t xml:space="preserve">An article by </w:t>
      </w:r>
      <w:proofErr w:type="spellStart"/>
      <w:r w:rsidRPr="006C2A77">
        <w:t>Storrod</w:t>
      </w:r>
      <w:proofErr w:type="spellEnd"/>
      <w:r w:rsidRPr="006C2A77">
        <w:t xml:space="preserve"> and </w:t>
      </w:r>
      <w:proofErr w:type="spellStart"/>
      <w:r w:rsidRPr="006C2A77">
        <w:t>Densley</w:t>
      </w:r>
      <w:proofErr w:type="spellEnd"/>
      <w:r w:rsidRPr="006C2A77">
        <w:t xml:space="preserve"> (2016) explores the use of ‘TRAP videos’ posted to sites such as Youtube which showcases the life around being a drug dealer/gang member. This demonstrates how social media </w:t>
      </w:r>
      <w:proofErr w:type="gramStart"/>
      <w:r w:rsidRPr="006C2A77">
        <w:t>is used</w:t>
      </w:r>
      <w:proofErr w:type="gramEnd"/>
      <w:r w:rsidRPr="006C2A77">
        <w:t xml:space="preserve"> to glorify this type of life style to those outside of it. Drill music </w:t>
      </w:r>
      <w:proofErr w:type="gramStart"/>
      <w:r w:rsidRPr="006C2A77">
        <w:t>is also published</w:t>
      </w:r>
      <w:proofErr w:type="gramEnd"/>
      <w:r w:rsidRPr="006C2A77">
        <w:t xml:space="preserve"> on the internet on platforms such as Youtube and is heavily related to ‘TRAP’ music that is shared and viewed by thousands of people. It is said that this type of music makes the lifestyle of a gang member more appealing as the videos often show </w:t>
      </w:r>
      <w:r>
        <w:t>gang members having valuable</w:t>
      </w:r>
      <w:r w:rsidRPr="006C2A77">
        <w:t xml:space="preserve"> items such as clothing and cars</w:t>
      </w:r>
      <w:r>
        <w:t xml:space="preserve">, </w:t>
      </w:r>
      <w:r w:rsidRPr="006C2A77">
        <w:t>therefore</w:t>
      </w:r>
      <w:r>
        <w:t xml:space="preserve"> are being</w:t>
      </w:r>
      <w:r w:rsidRPr="006C2A77">
        <w:t xml:space="preserve"> used a method of grooming young people into</w:t>
      </w:r>
      <w:r>
        <w:t xml:space="preserve"> joining gangs (Thurrock 2021). </w:t>
      </w:r>
      <w:r w:rsidRPr="006C2A77">
        <w:t>This draws on the ideal that there is a financial gain to being part of or joining a gang. Children are at risk for a multitude of reasons however</w:t>
      </w:r>
      <w:r>
        <w:t>,</w:t>
      </w:r>
      <w:r w:rsidRPr="006C2A77">
        <w:t xml:space="preserve"> being in a household of severe low income also places them as </w:t>
      </w:r>
      <w:r>
        <w:t>‘</w:t>
      </w:r>
      <w:r w:rsidRPr="006C2A77">
        <w:t>at risk</w:t>
      </w:r>
      <w:r>
        <w:t>’</w:t>
      </w:r>
      <w:r w:rsidRPr="006C2A77">
        <w:t xml:space="preserve"> individuals (Children’s Commissioner, 2018).</w:t>
      </w:r>
    </w:p>
    <w:p w:rsidR="00BD4F38" w:rsidRDefault="00BD4F38" w:rsidP="00BD4F38">
      <w:proofErr w:type="spellStart"/>
      <w:r>
        <w:t>Densley</w:t>
      </w:r>
      <w:proofErr w:type="spellEnd"/>
      <w:r>
        <w:t xml:space="preserve"> (2014) suggested that gangs look for certain </w:t>
      </w:r>
      <w:proofErr w:type="gramStart"/>
      <w:r>
        <w:t>factors which</w:t>
      </w:r>
      <w:proofErr w:type="gramEnd"/>
      <w:r>
        <w:t xml:space="preserve"> are more favourable when it comes to the selection of ‘candidates’ to join a gang. Furthermore, </w:t>
      </w:r>
      <w:proofErr w:type="spellStart"/>
      <w:r>
        <w:t>Densley</w:t>
      </w:r>
      <w:proofErr w:type="spellEnd"/>
      <w:r>
        <w:t xml:space="preserve"> (2014) mentioned that gangs </w:t>
      </w:r>
      <w:proofErr w:type="gramStart"/>
      <w:r>
        <w:t>will</w:t>
      </w:r>
      <w:proofErr w:type="gramEnd"/>
      <w:r>
        <w:t xml:space="preserve"> target those who are vulnerable and naïve as they are from a deprived area or simply being less fortunate, consequently, may be easier to persuade into the life of a gang member</w:t>
      </w:r>
      <w:r w:rsidRPr="006C2A77">
        <w:t>.</w:t>
      </w:r>
      <w:r>
        <w:t xml:space="preserve"> </w:t>
      </w:r>
      <w:proofErr w:type="gramStart"/>
      <w:r>
        <w:t>Gangs will often be related to a specific area and thus a gang will recruit from a particular pool of people of which they will select those who are vulnerable, Young (2014) argues that the main influence on youth gang joining/criminality is down to the close family relationships any person has whereby there is poor supervision or a history of criminality among the family.</w:t>
      </w:r>
      <w:proofErr w:type="gramEnd"/>
      <w:r>
        <w:t xml:space="preserve"> In addition, Young (2014) also supports the idea that there are still a number of other factors, which will influence this by way of the educational needs of any one person. There is a clear correlation between criminality and gang membership when looking at the educational needs and levels of those who join </w:t>
      </w:r>
      <w:proofErr w:type="gramStart"/>
      <w:r>
        <w:t>gangs,</w:t>
      </w:r>
      <w:proofErr w:type="gramEnd"/>
      <w:r>
        <w:t xml:space="preserve"> this is argued by Young (2014). </w:t>
      </w:r>
      <w:proofErr w:type="gramStart"/>
      <w:r>
        <w:t>Young (2014) discusses that most notable factors are poor educational achievement or low educational expectations etc. from this it can be drawn that this directly translates to lower levels of employment leading to a type of financial vulnerability which as mentioned is most likely leading to young people to be exposed to the idea that being in a gang is lucrative by means of social media glamourizing this lifestyle.</w:t>
      </w:r>
      <w:proofErr w:type="gramEnd"/>
      <w:r>
        <w:t xml:space="preserve"> Young (2014) also explores the correlation of gang membership and the levels of victimisation in those who are part of gangs in comparison to those who are not. It is shown that there are higher levels of assaults being reported among gang members than others suggesting that those persons are facing higher levels of victimisation themselves which supports the idea that when gangs look to recruit people they chose to do so from the most vulnerable and impressionable of persons. </w:t>
      </w:r>
    </w:p>
    <w:p w:rsidR="00BD4F38" w:rsidRDefault="00BD4F38" w:rsidP="00BD4F38"/>
    <w:p w:rsidR="00BD4F38" w:rsidRDefault="00BD4F38" w:rsidP="00BD4F38">
      <w:r>
        <w:t xml:space="preserve">Macfarlane (2019) explores the psychological factors affecting the likelihood or joining a gang. In addition to poor educational performance, those who suffer from mental health issues in the way of learning difficulties or social problems from family relationships are at higher risk of being susceptible to delinquency. It </w:t>
      </w:r>
      <w:proofErr w:type="gramStart"/>
      <w:r>
        <w:t>is explained</w:t>
      </w:r>
      <w:proofErr w:type="gramEnd"/>
      <w:r>
        <w:t xml:space="preserve"> that gangs will select those who show a delinquency, then </w:t>
      </w:r>
      <w:r>
        <w:lastRenderedPageBreak/>
        <w:t xml:space="preserve">provide opportunities for criminal behaviour then enhancing the ‘bad’ behaviours they already exhibit thus leading to some individuals developing mental health issues. However, this </w:t>
      </w:r>
      <w:proofErr w:type="gramStart"/>
      <w:r>
        <w:t>could also be attributed</w:t>
      </w:r>
      <w:proofErr w:type="gramEnd"/>
      <w:r>
        <w:t xml:space="preserve"> to substance misuse and the mental impact </w:t>
      </w:r>
      <w:proofErr w:type="spellStart"/>
      <w:r>
        <w:t>commiting</w:t>
      </w:r>
      <w:proofErr w:type="spellEnd"/>
      <w:r>
        <w:t xml:space="preserve"> crimes could have on someone. Gang members seem to show higher levels of mental health disorders, Macfarlane (2019) shows in their research that gang members will suffers from disorders such as </w:t>
      </w:r>
      <w:r w:rsidRPr="00CD272B">
        <w:t xml:space="preserve">Attention Deficit Hyperactivity disorder, suicide, depression, </w:t>
      </w:r>
      <w:r>
        <w:t>antisocial personality disorder or</w:t>
      </w:r>
      <w:r w:rsidRPr="00CD272B">
        <w:t xml:space="preserve"> psychosis</w:t>
      </w:r>
      <w:r>
        <w:t xml:space="preserve">, many of which can be explained through the regular abuse of recreational drugs. Nevertheless, this leads to explain why the number of violent crimes experienced and committed by gangs are so high. Furthermore, this </w:t>
      </w:r>
      <w:proofErr w:type="gramStart"/>
      <w:r>
        <w:t>can be seen</w:t>
      </w:r>
      <w:proofErr w:type="gramEnd"/>
      <w:r>
        <w:t xml:space="preserve"> in the studies of those people who are in gangs in comparison to those who are violent Individuals and this in turn supports that gangs will enhance the traits and effects of these mental health disorders (Macfarlane, 2019).</w:t>
      </w:r>
    </w:p>
    <w:p w:rsidR="00BD4F38" w:rsidRDefault="00BD4F38" w:rsidP="00BD4F38">
      <w:r>
        <w:t xml:space="preserve">When looking at ethnicity/BAME communities the Jan Trust (2018) suggests that members of the BAME community are most at risk of being victims and </w:t>
      </w:r>
      <w:proofErr w:type="gramStart"/>
      <w:r>
        <w:t>being suspected</w:t>
      </w:r>
      <w:proofErr w:type="gramEnd"/>
      <w:r>
        <w:t xml:space="preserve"> of enacting violent crimes, particularly when looking at knife crime in London. However, Hopper and </w:t>
      </w:r>
      <w:proofErr w:type="spellStart"/>
      <w:r>
        <w:t>Herridge</w:t>
      </w:r>
      <w:proofErr w:type="spellEnd"/>
      <w:r>
        <w:t xml:space="preserve"> (2020) challenges this and finds no significant association between ethnicity and gangs and points more at adverse childhood experiences (ACE). </w:t>
      </w:r>
    </w:p>
    <w:p w:rsidR="00BD4F38" w:rsidRDefault="00BD4F38" w:rsidP="00BD4F38">
      <w:r>
        <w:t xml:space="preserve">In conclusion, there are numerous </w:t>
      </w:r>
      <w:proofErr w:type="gramStart"/>
      <w:r>
        <w:t>studies which</w:t>
      </w:r>
      <w:proofErr w:type="gramEnd"/>
      <w:r>
        <w:t xml:space="preserve"> explores the individual factors which influence the pressures young people face increasing the likelihood of them joining a gang. </w:t>
      </w:r>
      <w:proofErr w:type="gramStart"/>
      <w:r>
        <w:t>This issue cannot be solved through policing alone as early preventative measures would be more effective in combating this problem as research suggests once someone is in a gang they are at higher risks of experiencing/developing mental health problems or entering a cycle of violence which ultimately leads to a path where it may be too late to intervene indicating investment into mental health support and availability is key.</w:t>
      </w:r>
      <w:proofErr w:type="gramEnd"/>
      <w:r>
        <w:t xml:space="preserve"> Although more intervention is required at an early stage in terms of social, educational, financial support it is much harder to combat this with the emergence of social media making this lifestyle more appealing and the popular choice in today’s society.</w:t>
      </w:r>
    </w:p>
    <w:p w:rsidR="00BD4F38" w:rsidRDefault="00BD4F38" w:rsidP="00BD4F38"/>
    <w:p w:rsidR="00BD4F38" w:rsidRPr="00203B01" w:rsidRDefault="00BD4F38" w:rsidP="00BD4F38">
      <w:pPr>
        <w:rPr>
          <w:b/>
          <w:u w:val="single"/>
        </w:rPr>
      </w:pPr>
      <w:r w:rsidRPr="00203B01">
        <w:rPr>
          <w:b/>
          <w:u w:val="single"/>
        </w:rPr>
        <w:t>References</w:t>
      </w:r>
    </w:p>
    <w:p w:rsidR="00BD4F38" w:rsidRDefault="00BD4F38" w:rsidP="00BD4F38"/>
    <w:p w:rsidR="00BD4F38" w:rsidRDefault="00BD4F38" w:rsidP="00BD4F38">
      <w:pPr>
        <w:rPr>
          <w:rStyle w:val="Hyperlink"/>
          <w:color w:val="auto"/>
          <w:u w:val="none"/>
        </w:rPr>
      </w:pPr>
      <w:r>
        <w:t xml:space="preserve">Vulnerability Report (2018), [Online]. Available: </w:t>
      </w:r>
      <w:hyperlink r:id="rId17" w:history="1">
        <w:r>
          <w:rPr>
            <w:rStyle w:val="Hyperlink"/>
          </w:rPr>
          <w:t>Childrens-Commissioner-Vulnerability-Report-2018-Overview-Document-1.pdf</w:t>
        </w:r>
      </w:hyperlink>
      <w:r w:rsidRPr="00743F38">
        <w:rPr>
          <w:rStyle w:val="Hyperlink"/>
          <w:color w:val="auto"/>
          <w:u w:val="none"/>
        </w:rPr>
        <w:t xml:space="preserve">, [2021, </w:t>
      </w:r>
      <w:proofErr w:type="gramStart"/>
      <w:r w:rsidRPr="00743F38">
        <w:rPr>
          <w:rStyle w:val="Hyperlink"/>
          <w:color w:val="auto"/>
          <w:u w:val="none"/>
        </w:rPr>
        <w:t>January,</w:t>
      </w:r>
      <w:proofErr w:type="gramEnd"/>
      <w:r w:rsidRPr="00743F38">
        <w:rPr>
          <w:rStyle w:val="Hyperlink"/>
          <w:color w:val="auto"/>
          <w:u w:val="none"/>
        </w:rPr>
        <w:t xml:space="preserve"> 31]</w:t>
      </w:r>
    </w:p>
    <w:p w:rsidR="00BD4F38" w:rsidRDefault="00BD4F38" w:rsidP="00BD4F38">
      <w:pPr>
        <w:rPr>
          <w:rStyle w:val="Hyperlink"/>
          <w:color w:val="auto"/>
          <w:u w:val="none"/>
        </w:rPr>
      </w:pPr>
      <w:proofErr w:type="spellStart"/>
      <w:r>
        <w:rPr>
          <w:rStyle w:val="Hyperlink"/>
          <w:color w:val="auto"/>
          <w:u w:val="none"/>
        </w:rPr>
        <w:t>Storrod</w:t>
      </w:r>
      <w:proofErr w:type="spellEnd"/>
      <w:r>
        <w:rPr>
          <w:rStyle w:val="Hyperlink"/>
          <w:color w:val="auto"/>
          <w:u w:val="none"/>
        </w:rPr>
        <w:t xml:space="preserve">, M. &amp; </w:t>
      </w:r>
      <w:proofErr w:type="spellStart"/>
      <w:r>
        <w:rPr>
          <w:rStyle w:val="Hyperlink"/>
          <w:color w:val="auto"/>
          <w:u w:val="none"/>
        </w:rPr>
        <w:t>Densley</w:t>
      </w:r>
      <w:proofErr w:type="spellEnd"/>
      <w:r>
        <w:rPr>
          <w:rStyle w:val="Hyperlink"/>
          <w:color w:val="auto"/>
          <w:u w:val="none"/>
        </w:rPr>
        <w:t xml:space="preserve">, J. (2016), ‘Going viral and Going country: the expressive and instrumental activities of street gangs on social media’, </w:t>
      </w:r>
      <w:r>
        <w:rPr>
          <w:rStyle w:val="Hyperlink"/>
          <w:color w:val="auto"/>
        </w:rPr>
        <w:t>Journal of youth studies,</w:t>
      </w:r>
      <w:r>
        <w:rPr>
          <w:rStyle w:val="Hyperlink"/>
          <w:color w:val="auto"/>
          <w:u w:val="none"/>
        </w:rPr>
        <w:t xml:space="preserve"> 20:6.</w:t>
      </w:r>
    </w:p>
    <w:p w:rsidR="00BD4F38" w:rsidRDefault="00BD4F38" w:rsidP="00BD4F38">
      <w:pPr>
        <w:rPr>
          <w:rStyle w:val="Hyperlink"/>
          <w:color w:val="auto"/>
          <w:u w:val="none"/>
        </w:rPr>
      </w:pPr>
      <w:r>
        <w:rPr>
          <w:rStyle w:val="Hyperlink"/>
          <w:color w:val="auto"/>
          <w:u w:val="none"/>
        </w:rPr>
        <w:t xml:space="preserve">Gangs and gang crime, [Online]. Available: </w:t>
      </w:r>
      <w:hyperlink r:id="rId18" w:history="1">
        <w:r>
          <w:rPr>
            <w:rStyle w:val="Hyperlink"/>
          </w:rPr>
          <w:t>What attracts young people | Gangs and gang crime | Thurrock Council</w:t>
        </w:r>
      </w:hyperlink>
      <w:r w:rsidRPr="00D567C3">
        <w:rPr>
          <w:rStyle w:val="Hyperlink"/>
          <w:color w:val="auto"/>
          <w:u w:val="none"/>
        </w:rPr>
        <w:t>, [2021, January, 21]</w:t>
      </w:r>
    </w:p>
    <w:p w:rsidR="00BD4F38" w:rsidRDefault="00BD4F38" w:rsidP="00BD4F38">
      <w:proofErr w:type="spellStart"/>
      <w:r>
        <w:rPr>
          <w:rStyle w:val="Hyperlink"/>
          <w:color w:val="auto"/>
          <w:u w:val="none"/>
        </w:rPr>
        <w:t>Densley</w:t>
      </w:r>
      <w:proofErr w:type="spellEnd"/>
      <w:r>
        <w:rPr>
          <w:rStyle w:val="Hyperlink"/>
          <w:color w:val="auto"/>
          <w:u w:val="none"/>
        </w:rPr>
        <w:t xml:space="preserve">, J. (2014), ‘Street gang recruitment: Signalling, Screening and selection’, Social Problems 59:3, [online]. Available at: </w:t>
      </w:r>
      <w:hyperlink r:id="rId19" w:history="1">
        <w:r>
          <w:rPr>
            <w:rStyle w:val="Hyperlink"/>
          </w:rPr>
          <w:t xml:space="preserve">Street Gang Recruitment: </w:t>
        </w:r>
        <w:proofErr w:type="spellStart"/>
        <w:r>
          <w:rPr>
            <w:rStyle w:val="Hyperlink"/>
          </w:rPr>
          <w:t>Signaling</w:t>
        </w:r>
        <w:proofErr w:type="spellEnd"/>
        <w:r>
          <w:rPr>
            <w:rStyle w:val="Hyperlink"/>
          </w:rPr>
          <w:t>, Screening, and Selection | Social Problems | Oxford Academic (oup.com)</w:t>
        </w:r>
      </w:hyperlink>
      <w:r>
        <w:t xml:space="preserve"> (Accessed: 01 February 2021)</w:t>
      </w:r>
    </w:p>
    <w:p w:rsidR="00BD4F38" w:rsidRDefault="00BD4F38" w:rsidP="00BD4F38"/>
    <w:p w:rsidR="00BD4F38" w:rsidRDefault="00BD4F38" w:rsidP="00BD4F38">
      <w:pPr>
        <w:rPr>
          <w:rStyle w:val="Hyperlink"/>
          <w:color w:val="auto"/>
          <w:u w:val="none"/>
        </w:rPr>
      </w:pPr>
      <w:r>
        <w:t xml:space="preserve">Young, T </w:t>
      </w:r>
      <w:proofErr w:type="spellStart"/>
      <w:r>
        <w:t>etal</w:t>
      </w:r>
      <w:proofErr w:type="spellEnd"/>
      <w:r>
        <w:t xml:space="preserve">. (2014), ‘A question of family? Youth and gangs’, Youth Justice, 14:2, [Online]. Available at: </w:t>
      </w:r>
      <w:hyperlink r:id="rId20" w:history="1">
        <w:r>
          <w:rPr>
            <w:rStyle w:val="Hyperlink"/>
          </w:rPr>
          <w:t>A Question of Family? Youth and Gangs - Tara Young, Wendy Fitzgibbon, Daniel Silverstone, 2014 (sagepub.com)</w:t>
        </w:r>
      </w:hyperlink>
      <w:r>
        <w:t xml:space="preserve"> (Accessed 01 February 2021)</w:t>
      </w:r>
    </w:p>
    <w:p w:rsidR="00BD4F38" w:rsidRDefault="00BD4F38" w:rsidP="00BD4F38">
      <w:r>
        <w:rPr>
          <w:rStyle w:val="Hyperlink"/>
          <w:color w:val="auto"/>
          <w:u w:val="none"/>
        </w:rPr>
        <w:lastRenderedPageBreak/>
        <w:t xml:space="preserve">Macfarlane, A. (2019), ‘Gangs and Adolescent Mental Health: a Narrative Review’ Journal of Child of Child &amp; Adolescent Trauma, 12, [Online]. Available at: </w:t>
      </w:r>
      <w:hyperlink r:id="rId21" w:anchor="citeas" w:history="1">
        <w:r>
          <w:rPr>
            <w:rStyle w:val="Hyperlink"/>
          </w:rPr>
          <w:t xml:space="preserve">Gangs and Adolescent Mental Health: a Narrative Review | </w:t>
        </w:r>
        <w:proofErr w:type="spellStart"/>
        <w:r>
          <w:rPr>
            <w:rStyle w:val="Hyperlink"/>
          </w:rPr>
          <w:t>SpringerLink</w:t>
        </w:r>
        <w:proofErr w:type="spellEnd"/>
      </w:hyperlink>
      <w:r>
        <w:t xml:space="preserve"> (accessed 01 February 2021)</w:t>
      </w:r>
    </w:p>
    <w:p w:rsidR="00BD4F38" w:rsidRDefault="00BD4F38" w:rsidP="00BD4F38">
      <w:pPr>
        <w:rPr>
          <w:rStyle w:val="Hyperlink"/>
          <w:color w:val="auto"/>
          <w:u w:val="none"/>
        </w:rPr>
      </w:pPr>
      <w:r>
        <w:t xml:space="preserve">Hopper, C &amp; </w:t>
      </w:r>
      <w:proofErr w:type="spellStart"/>
      <w:r>
        <w:t>Herridge</w:t>
      </w:r>
      <w:proofErr w:type="spellEnd"/>
      <w:r>
        <w:t xml:space="preserve">, D (2020), ‘Adolescent Gangs: Substance Misuse and Exposure to Adverse Childhood Experiences’, Psychiatry, [Online]. Available at: </w:t>
      </w:r>
      <w:hyperlink r:id="rId22" w:history="1">
        <w:r>
          <w:rPr>
            <w:rStyle w:val="Hyperlink"/>
          </w:rPr>
          <w:t>Adolescent Gangs: Substance Misuse and Exposure to Adverse Childhood Experiences: Psychiatry: Vol 0, No 0 (tandfonline.com)</w:t>
        </w:r>
      </w:hyperlink>
      <w:r>
        <w:t xml:space="preserve"> (accessed 01 February 2021)</w:t>
      </w:r>
    </w:p>
    <w:p w:rsidR="00BD4F38" w:rsidRDefault="00BD4F38" w:rsidP="00BD4F38">
      <w:pPr>
        <w:rPr>
          <w:rStyle w:val="Hyperlink"/>
          <w:color w:val="auto"/>
          <w:u w:val="none"/>
        </w:rPr>
      </w:pPr>
      <w:r>
        <w:rPr>
          <w:rStyle w:val="Hyperlink"/>
          <w:color w:val="auto"/>
          <w:u w:val="none"/>
        </w:rPr>
        <w:t xml:space="preserve">The JAN trust, The UK’s violent crime epidemic hits BAME communities hardest, (2018), [Online]. Available: </w:t>
      </w:r>
      <w:hyperlink r:id="rId23" w:history="1">
        <w:r>
          <w:rPr>
            <w:rStyle w:val="Hyperlink"/>
          </w:rPr>
          <w:t>The UK’s violent crime epidemic hits BAME communities hardest - JAN Trust</w:t>
        </w:r>
      </w:hyperlink>
      <w:r>
        <w:t xml:space="preserve"> (Accessed 01 February 2021)</w:t>
      </w:r>
    </w:p>
    <w:p w:rsidR="00BD4F38" w:rsidRDefault="00BD4F38"/>
    <w:p w:rsidR="00BD4F38" w:rsidRDefault="00BD4F38"/>
    <w:p w:rsidR="00BD4F38" w:rsidRDefault="00BD4F38" w:rsidP="00BD4F38">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rsidR="00BD4F38" w:rsidRDefault="00BD4F38" w:rsidP="00BD4F38">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rsidR="00BD4F38" w:rsidRDefault="00BD4F38" w:rsidP="00BD4F38">
      <w:pPr>
        <w:spacing w:after="0" w:line="240" w:lineRule="auto"/>
        <w:ind w:firstLine="360"/>
        <w:rPr>
          <w:rFonts w:ascii="Arial" w:eastAsia="Times New Roman" w:hAnsi="Arial" w:cs="Arial"/>
          <w:b/>
          <w:sz w:val="24"/>
          <w:szCs w:val="24"/>
          <w:lang w:eastAsia="en-GB"/>
        </w:rPr>
      </w:pPr>
      <w:r>
        <w:rPr>
          <w:rFonts w:ascii="Arial" w:eastAsia="Times New Roman" w:hAnsi="Arial" w:cs="Arial"/>
          <w:lang w:eastAsia="en-GB"/>
        </w:rPr>
        <w:t>Students are required to complete a 1000-word essay under the following title:</w:t>
      </w:r>
    </w:p>
    <w:p w:rsidR="00BD4F38" w:rsidRDefault="00BD4F38" w:rsidP="00BD4F38">
      <w:pPr>
        <w:spacing w:after="0" w:line="240" w:lineRule="auto"/>
        <w:ind w:left="426"/>
        <w:jc w:val="center"/>
        <w:rPr>
          <w:rFonts w:ascii="Arial" w:eastAsia="Times New Roman" w:hAnsi="Arial" w:cs="Arial"/>
          <w:b/>
          <w:sz w:val="24"/>
          <w:szCs w:val="24"/>
          <w:lang w:eastAsia="en-GB"/>
        </w:rPr>
      </w:pPr>
    </w:p>
    <w:p w:rsidR="00BD4F38" w:rsidRDefault="00BD4F38" w:rsidP="00BD4F38">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Pr>
          <w:rFonts w:ascii="Arial" w:eastAsia="Times New Roman" w:hAnsi="Arial" w:cs="Arial"/>
          <w:lang w:eastAsia="en-GB"/>
        </w:rPr>
        <w:t xml:space="preserve">Critically evaluate the impact upon policing of differing values, ethics and norms within diverse communities and the importance of effective communication when working within these communities. In a website published by the College of Policing </w:t>
      </w:r>
    </w:p>
    <w:p w:rsidR="00BD4F38" w:rsidRDefault="00BD4F38" w:rsidP="00BD4F38">
      <w:pPr>
        <w:spacing w:after="0" w:line="240" w:lineRule="auto"/>
        <w:ind w:left="426"/>
        <w:jc w:val="center"/>
        <w:rPr>
          <w:rFonts w:ascii="Arial" w:eastAsia="Times New Roman" w:hAnsi="Arial" w:cs="Arial"/>
          <w:b/>
          <w:sz w:val="24"/>
          <w:szCs w:val="24"/>
          <w:lang w:eastAsia="en-GB"/>
        </w:rPr>
      </w:pPr>
    </w:p>
    <w:p w:rsidR="00BD4F38" w:rsidRDefault="00BD4F38" w:rsidP="00BD4F38"/>
    <w:p w:rsidR="00BD4F38" w:rsidRDefault="00BD4F38" w:rsidP="00BD4F38">
      <w:r>
        <w:t>A survey conducted by GOV.UK (2014) revealed that 68% of people out of a sample of 2043 members of the public revealed that they would not want to be in the position of a police officer when faced with making decisions based on an ethical dilemma. The College of Policing has set out a documented list of standards of professional behaviour to be exhibited by police officers, these would be honesty and integrity, authority, respect and courtesy, equality and diversity, use of force, order and instructions, duties and responsibilities, confidentiality, fitness for work, conduct and finally challenging improper conduct. This essay will look at that 21st century challenges a modern day police force faces on a day-to-day basis especially in an ever-changing multicultural society and how this can affect policing practise.</w:t>
      </w:r>
    </w:p>
    <w:p w:rsidR="00BD4F38" w:rsidRDefault="00BD4F38" w:rsidP="00BD4F38">
      <w:r>
        <w:t xml:space="preserve">The college of policing explains when looking at equality and diversity officers are expected to show fairness in rearing people based on impartiality and according to human rights going as far as to consider the protected characteristics such as sex, race, religion, belief etc. This </w:t>
      </w:r>
      <w:proofErr w:type="gramStart"/>
      <w:r>
        <w:t>would under normal circumstances be</w:t>
      </w:r>
      <w:proofErr w:type="gramEnd"/>
      <w:r>
        <w:t xml:space="preserve"> easy to follow except when looking at complex cases where culturally practises such as FGM (female genital mutilation) would be seen in some culture as being a standard practise, which in that society would not be a criminal offence let alone frowned upon. Roberts, K et al. (2014) talks about honour based violence including female genital mutilation, the practises are widely accepted that they are a result of situations where ‘dishonour’ has been brought upon the family or a certain religious or cultural practise calls for the activity to take place. The difficulty come into play when looking at whether or not the perpetrator was in the firm belief that they believed at that at </w:t>
      </w:r>
      <w:r>
        <w:lastRenderedPageBreak/>
        <w:t xml:space="preserve">the time of the incident occurring they were doing nothing wrong. </w:t>
      </w:r>
      <w:proofErr w:type="gramStart"/>
      <w:r>
        <w:t>McMurray and Karim (2008) conducted a study looking at the relationship of certain attributes of employees to understanding the need and support for recruiting culturally and linguistically diverse employees, they found employees did in fact agree that there was a need for more culturally diverse employees in a workforce which further the supporting idea that the challenges police face are ever changing due to the demographic of the communities the police serve.</w:t>
      </w:r>
      <w:proofErr w:type="gramEnd"/>
      <w:r>
        <w:t xml:space="preserve"> This is further supported by the police Now initiative (</w:t>
      </w:r>
      <w:proofErr w:type="spellStart"/>
      <w:r>
        <w:t>Fenn</w:t>
      </w:r>
      <w:proofErr w:type="spellEnd"/>
      <w:r>
        <w:t xml:space="preserve"> 2020), in that this paved the way to recruiting those with an academic background  and fast tracking them into positions where there is potentially an old style of policing mentality.</w:t>
      </w:r>
    </w:p>
    <w:p w:rsidR="00BD4F38" w:rsidRDefault="00BD4F38" w:rsidP="00BD4F38">
      <w:r>
        <w:t>Ben-</w:t>
      </w:r>
      <w:proofErr w:type="spellStart"/>
      <w:r>
        <w:t>Porat</w:t>
      </w:r>
      <w:proofErr w:type="spellEnd"/>
      <w:r>
        <w:t xml:space="preserve"> (2008) argues that there are three fundamental interrelated issues in policing which were the adaption to a multicultural setting, recruitment and training, practises and community involvement especially in the issues surrounding getting </w:t>
      </w:r>
      <w:proofErr w:type="spellStart"/>
      <w:proofErr w:type="gramStart"/>
      <w:r>
        <w:t>a</w:t>
      </w:r>
      <w:proofErr w:type="spellEnd"/>
      <w:proofErr w:type="gramEnd"/>
      <w:r>
        <w:t xml:space="preserve"> inclusive and diverse workforce representative of the communities they serve. However the Home Office (2020) argues in a report published by them that as of 2020 there were 9174 full time BAME (Black, Asian, and Minority Ethnic) police officers across England and Wales increasing from the year previous showing 7.3 % of all officers across England and Wales belonging from those of a BAME back ground. This shows that attempts to uplift the recruitment of employees to produce a more divers and inclusive workforce have been working. Ben-</w:t>
      </w:r>
      <w:proofErr w:type="spellStart"/>
      <w:r>
        <w:t>Porat</w:t>
      </w:r>
      <w:proofErr w:type="spellEnd"/>
      <w:r>
        <w:t xml:space="preserve"> (2008) goes as far as to argue that policing in its current state is a controversial issue where characteristics of the population in a multicultural society will challenge the natural policies and powers already in place.</w:t>
      </w:r>
    </w:p>
    <w:p w:rsidR="00BD4F38" w:rsidRDefault="00BD4F38" w:rsidP="00BD4F38">
      <w:proofErr w:type="gramStart"/>
      <w:r>
        <w:t>Communication skills within the police is a vital skill as noted by the College of Policing, it fundamentally forms the back bone of most of the work carried out by police in terms of community intelligence, speaking and managing victims of crime and even offenders, at its simplest form without the tools and skills to effectively communicate with different languages than the overall effectiveness of the police would be weak.</w:t>
      </w:r>
      <w:proofErr w:type="gramEnd"/>
      <w:r>
        <w:t xml:space="preserve"> </w:t>
      </w:r>
      <w:proofErr w:type="gramStart"/>
      <w:r>
        <w:t>Roberts et al (2014) supports this in that the communities that seem to be the most vulnerable through no fault of their own are those in ethnic communities where a language barrier becomes a hindrance, the lack of communication with these individuals can set a sense of helplessness and in turn increase distrust in the police and its ability to protect them which in turn will get passed down.</w:t>
      </w:r>
      <w:proofErr w:type="gramEnd"/>
      <w:r>
        <w:t xml:space="preserve"> These kind of attitudes can be difficult to break but having a workforce </w:t>
      </w:r>
      <w:proofErr w:type="gramStart"/>
      <w:r>
        <w:t>that’s</w:t>
      </w:r>
      <w:proofErr w:type="gramEnd"/>
      <w:r>
        <w:t xml:space="preserve"> relatable to the victims can help break those barriers down.</w:t>
      </w:r>
    </w:p>
    <w:p w:rsidR="00BD4F38" w:rsidRDefault="00BD4F38" w:rsidP="00BD4F38"/>
    <w:p w:rsidR="00BD4F38" w:rsidRDefault="00BD4F38" w:rsidP="00BD4F38">
      <w:r>
        <w:t xml:space="preserve">In conclusion society as a whole has seen a shift in the move from creating a diverse workforce by simply recruiting people from different back grounds to more complex ideas on how to become a more diverse and ethical organisation. It </w:t>
      </w:r>
      <w:proofErr w:type="gramStart"/>
      <w:r>
        <w:t>can be drawn</w:t>
      </w:r>
      <w:proofErr w:type="gramEnd"/>
      <w:r>
        <w:t xml:space="preserve"> from this that without the continual input from changing policies around how society is policed in the 21s centaury the overall effectiveness of the police in communicating with its communities is negatively affected. In </w:t>
      </w:r>
      <w:proofErr w:type="gramStart"/>
      <w:r>
        <w:t>addition</w:t>
      </w:r>
      <w:proofErr w:type="gramEnd"/>
      <w:r>
        <w:t xml:space="preserve"> this issue is not one that can be fixed by recruitment campaigns owing to the wide distrust In the police from different culture and ethnicities and will simply be down to the experiences people within these communities receive while at an impressionable stage. </w:t>
      </w:r>
      <w:proofErr w:type="gramStart"/>
      <w:r>
        <w:t>Lastly</w:t>
      </w:r>
      <w:proofErr w:type="gramEnd"/>
      <w:r>
        <w:t xml:space="preserve"> empirically data does show that inclusivity among the workforce in the police across England and Wales is in fact on the increase as various sources would indicate and this in theory should see an increase in the effectiveness in how the police conducts itself when establishing communication with what can be argued are the most vulnerable among society.</w:t>
      </w:r>
    </w:p>
    <w:p w:rsidR="00BD4F38" w:rsidRDefault="00BD4F38" w:rsidP="00BD4F38"/>
    <w:p w:rsidR="00BD4F38" w:rsidRDefault="00BD4F38" w:rsidP="00BD4F38"/>
    <w:p w:rsidR="00BD4F38" w:rsidRDefault="00BD4F38" w:rsidP="00BD4F38">
      <w:pPr>
        <w:rPr>
          <w:b/>
          <w:u w:val="single"/>
        </w:rPr>
      </w:pPr>
      <w:r w:rsidRPr="00000BAA">
        <w:rPr>
          <w:b/>
          <w:u w:val="single"/>
        </w:rPr>
        <w:lastRenderedPageBreak/>
        <w:t>References</w:t>
      </w:r>
    </w:p>
    <w:p w:rsidR="00BD4F38" w:rsidRDefault="00BD4F38" w:rsidP="00BD4F38">
      <w:r>
        <w:t xml:space="preserve">GOV.UK. (2014), [Online]. Available: </w:t>
      </w:r>
      <w:hyperlink r:id="rId24" w:history="1">
        <w:r w:rsidRPr="00872BE6">
          <w:rPr>
            <w:rStyle w:val="Hyperlink"/>
          </w:rPr>
          <w:t>https://www.gov.uk/government/news/code-of-ethics-launched</w:t>
        </w:r>
      </w:hyperlink>
      <w:r>
        <w:t xml:space="preserve"> </w:t>
      </w:r>
      <w:r w:rsidRPr="00254EB8">
        <w:t xml:space="preserve"> </w:t>
      </w:r>
      <w:r>
        <w:t>[Accessed: 10 February 2021)</w:t>
      </w:r>
    </w:p>
    <w:p w:rsidR="00BD4F38" w:rsidRDefault="00BD4F38" w:rsidP="00BD4F38">
      <w:r>
        <w:t xml:space="preserve">College of Policing, [Online]. Available: </w:t>
      </w:r>
      <w:hyperlink r:id="rId25" w:history="1">
        <w:r w:rsidRPr="00872BE6">
          <w:rPr>
            <w:rStyle w:val="Hyperlink"/>
          </w:rPr>
          <w:t>https://www.college.police.uk/What-we-do/Ethics/Ethics-home/Pages/Ethics.aspx</w:t>
        </w:r>
      </w:hyperlink>
      <w:r>
        <w:t xml:space="preserve"> (Accessed: 10 February 2021)</w:t>
      </w:r>
    </w:p>
    <w:p w:rsidR="00BD4F38" w:rsidRDefault="00BD4F38" w:rsidP="00BD4F38">
      <w:r>
        <w:t xml:space="preserve">Roberts, K. Campbell, G. Lloyd, G. (2014), </w:t>
      </w:r>
      <w:r>
        <w:rPr>
          <w:u w:val="single"/>
        </w:rPr>
        <w:t xml:space="preserve">Honour-Based Violence, </w:t>
      </w:r>
      <w:r>
        <w:t>Broken Sound Parkway NW: Taylor &amp; Francis Group.</w:t>
      </w:r>
    </w:p>
    <w:p w:rsidR="00BD4F38" w:rsidRDefault="00BD4F38" w:rsidP="00BD4F38">
      <w:r>
        <w:t xml:space="preserve">McMurray, A and Karim, A. (2008) ‘A perspective on multiculturalism and policing’, Cross Cultural Management: An international journal, 15:4, [Online]. Available at: </w:t>
      </w:r>
      <w:hyperlink r:id="rId26" w:history="1">
        <w:r w:rsidRPr="00872BE6">
          <w:rPr>
            <w:rStyle w:val="Hyperlink"/>
          </w:rPr>
          <w:t>https://www.emerald.com/insight/content/doi/10.1108/13527600810914120/full/html</w:t>
        </w:r>
      </w:hyperlink>
      <w:r>
        <w:t xml:space="preserve"> (accessed: 10 February 2021)</w:t>
      </w:r>
    </w:p>
    <w:p w:rsidR="00BD4F38" w:rsidRDefault="00BD4F38" w:rsidP="00BD4F38">
      <w:r>
        <w:t>Ben-</w:t>
      </w:r>
      <w:proofErr w:type="spellStart"/>
      <w:r>
        <w:t>Porat</w:t>
      </w:r>
      <w:proofErr w:type="spellEnd"/>
      <w:r>
        <w:t xml:space="preserve">, G. (2008), ‘policing multicultural states: lessons from the Canadian model’, Policing and Society, [Online]. Available at: </w:t>
      </w:r>
      <w:hyperlink r:id="rId27" w:history="1">
        <w:r w:rsidRPr="00872BE6">
          <w:rPr>
            <w:rStyle w:val="Hyperlink"/>
          </w:rPr>
          <w:t>https://www.researchgate.net/publication/249035238_Policing_multicultural_states_lessons_from_the_Canadian_model</w:t>
        </w:r>
      </w:hyperlink>
      <w:r>
        <w:t xml:space="preserve"> (Accessed: 10 February 2021)</w:t>
      </w:r>
    </w:p>
    <w:p w:rsidR="00BD4F38" w:rsidRDefault="00BD4F38" w:rsidP="00BD4F38">
      <w:r>
        <w:t xml:space="preserve">Home Office. (2020), ‘Response to independent story on police diversity’, [Online] Available at: </w:t>
      </w:r>
      <w:hyperlink r:id="rId28" w:anchor=":~:text=As%20at%2031%20March%202020,6.9%25%20in%20the%20previous%20year" w:history="1">
        <w:r w:rsidRPr="00872BE6">
          <w:rPr>
            <w:rStyle w:val="Hyperlink"/>
          </w:rPr>
          <w:t>https://homeofficemedia.blog.gov.uk/2020/08/09/response-to-independent-story-on-police-diversity/#:~:text=As%20at%2031%20March%202020,6.9%25%20in%20the%20previous%20year</w:t>
        </w:r>
      </w:hyperlink>
      <w:r w:rsidRPr="00102FCC">
        <w:t>.</w:t>
      </w:r>
      <w:r>
        <w:t xml:space="preserve"> (</w:t>
      </w:r>
      <w:proofErr w:type="gramStart"/>
      <w:r>
        <w:t>accessed</w:t>
      </w:r>
      <w:proofErr w:type="gramEnd"/>
      <w:r>
        <w:t>: 10 February 2021)</w:t>
      </w:r>
    </w:p>
    <w:p w:rsidR="00BD4F38" w:rsidRPr="00405CFD" w:rsidRDefault="00BD4F38" w:rsidP="00BD4F38">
      <w:pPr>
        <w:rPr>
          <w:b/>
        </w:rPr>
      </w:pPr>
      <w:proofErr w:type="spellStart"/>
      <w:r>
        <w:t>Fenn</w:t>
      </w:r>
      <w:proofErr w:type="spellEnd"/>
      <w:r>
        <w:t>, L. (2020), ‘</w:t>
      </w:r>
      <w:r w:rsidRPr="00120DF4">
        <w:t>Applying Research beyond the Ivory Tower: Reflections from Police Now</w:t>
      </w:r>
      <w:r>
        <w:t xml:space="preserve">’, policing: A journal of policy and practice, 14:1 [Online], Available at: </w:t>
      </w:r>
      <w:hyperlink r:id="rId29" w:history="1">
        <w:r w:rsidRPr="00872BE6">
          <w:rPr>
            <w:rStyle w:val="Hyperlink"/>
          </w:rPr>
          <w:t>https://academic.oup.com/policing/article-abstract/14/1/135/5299864</w:t>
        </w:r>
      </w:hyperlink>
      <w:r>
        <w:t xml:space="preserve"> (accessed: 10 February 2021)</w:t>
      </w:r>
    </w:p>
    <w:p w:rsidR="00BD4F38" w:rsidRDefault="00BD4F38"/>
    <w:sectPr w:rsidR="00BD4F3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08DC" w:rsidRDefault="009008DC" w:rsidP="009008DC">
      <w:pPr>
        <w:spacing w:after="0" w:line="240" w:lineRule="auto"/>
      </w:pPr>
      <w:r>
        <w:separator/>
      </w:r>
    </w:p>
  </w:endnote>
  <w:endnote w:type="continuationSeparator" w:id="0">
    <w:p w:rsidR="009008DC" w:rsidRDefault="009008DC" w:rsidP="00900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08DC" w:rsidRDefault="009008DC" w:rsidP="009008DC">
      <w:pPr>
        <w:spacing w:after="0" w:line="240" w:lineRule="auto"/>
      </w:pPr>
      <w:r>
        <w:separator/>
      </w:r>
    </w:p>
  </w:footnote>
  <w:footnote w:type="continuationSeparator" w:id="0">
    <w:p w:rsidR="009008DC" w:rsidRDefault="009008DC" w:rsidP="009008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8DC" w:rsidRDefault="009008DC" w:rsidP="009008DC">
    <w:r>
      <w:t>Student Number: 1910651</w:t>
    </w:r>
  </w:p>
  <w:p w:rsidR="009008DC" w:rsidRDefault="009008DC">
    <w:pPr>
      <w:pStyle w:val="Header"/>
    </w:pPr>
  </w:p>
  <w:p w:rsidR="009008DC" w:rsidRDefault="009008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F38"/>
    <w:rsid w:val="006D37D5"/>
    <w:rsid w:val="009008DC"/>
    <w:rsid w:val="00BD4F38"/>
    <w:rsid w:val="00CD554E"/>
    <w:rsid w:val="00F0774B"/>
    <w:rsid w:val="00F95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30761"/>
  <w15:chartTrackingRefBased/>
  <w15:docId w15:val="{385965C3-32EB-4720-8355-1D61D4600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D4F38"/>
    <w:rPr>
      <w:color w:val="0000FF"/>
      <w:u w:val="single"/>
    </w:rPr>
  </w:style>
  <w:style w:type="paragraph" w:styleId="Header">
    <w:name w:val="header"/>
    <w:basedOn w:val="Normal"/>
    <w:link w:val="HeaderChar"/>
    <w:uiPriority w:val="99"/>
    <w:unhideWhenUsed/>
    <w:rsid w:val="00900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8DC"/>
  </w:style>
  <w:style w:type="paragraph" w:styleId="Footer">
    <w:name w:val="footer"/>
    <w:basedOn w:val="Normal"/>
    <w:link w:val="FooterChar"/>
    <w:uiPriority w:val="99"/>
    <w:unhideWhenUsed/>
    <w:rsid w:val="00900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dus.it/documents/SicurezzaUrbana/Teorie_criminologiche_con_riferimento_alla_sicurezza_urbana/StrengtheningMultiAgencyPublicProtectionArrangements.pdf" TargetMode="External"/><Relationship Id="rId13" Type="http://schemas.openxmlformats.org/officeDocument/2006/relationships/hyperlink" Target="https://www.gov.uk/government/collections/policing-and-crime-bill" TargetMode="External"/><Relationship Id="rId18" Type="http://schemas.openxmlformats.org/officeDocument/2006/relationships/hyperlink" Target="https://www.thurrock.gov.uk/gangs-and-gang-crime/what-attracts-young-people" TargetMode="External"/><Relationship Id="rId26" Type="http://schemas.openxmlformats.org/officeDocument/2006/relationships/hyperlink" Target="https://www.emerald.com/insight/content/doi/10.1108/13527600810914120/full/html" TargetMode="External"/><Relationship Id="rId3" Type="http://schemas.openxmlformats.org/officeDocument/2006/relationships/webSettings" Target="webSettings.xml"/><Relationship Id="rId21" Type="http://schemas.openxmlformats.org/officeDocument/2006/relationships/hyperlink" Target="https://link.springer.com/article/10.1007/s40653-018-0231-y" TargetMode="External"/><Relationship Id="rId7" Type="http://schemas.openxmlformats.org/officeDocument/2006/relationships/hyperlink" Target="https://assets.publishing.service.gov.uk/government/uploads/system/uploads/attachment_data/file/930302/MAPPA_Annual_Report_2019-20.pdf" TargetMode="External"/><Relationship Id="rId12" Type="http://schemas.openxmlformats.org/officeDocument/2006/relationships/hyperlink" Target="https://www.tandfonline.com/doi/full/10.1080/10439463.2020.1838516?scroll=top&amp;needAccess=true" TargetMode="External"/><Relationship Id="rId17" Type="http://schemas.openxmlformats.org/officeDocument/2006/relationships/hyperlink" Target="https://www.childrenscommissioner.gov.uk/wp-content/uploads/2018/07/Childrens-Commissioner-Vulnerability-Report-2018-Overview-Document-1.pdf" TargetMode="External"/><Relationship Id="rId25" Type="http://schemas.openxmlformats.org/officeDocument/2006/relationships/hyperlink" Target="https://www.college.police.uk/What-we-do/Ethics/Ethics-home/Pages/Ethics.aspx" TargetMode="External"/><Relationship Id="rId2" Type="http://schemas.openxmlformats.org/officeDocument/2006/relationships/settings" Target="settings.xml"/><Relationship Id="rId16" Type="http://schemas.openxmlformats.org/officeDocument/2006/relationships/hyperlink" Target="https://www.sciencedirect.com/science/article/pii/S0047235202001502" TargetMode="External"/><Relationship Id="rId20" Type="http://schemas.openxmlformats.org/officeDocument/2006/relationships/hyperlink" Target="https://journals.sagepub.com/doi/full/10.1177/1473225414537569" TargetMode="External"/><Relationship Id="rId29" Type="http://schemas.openxmlformats.org/officeDocument/2006/relationships/hyperlink" Target="https://academic.oup.com/policing/article-abstract/14/1/135/5299864" TargetMode="External"/><Relationship Id="rId1" Type="http://schemas.openxmlformats.org/officeDocument/2006/relationships/styles" Target="styles.xml"/><Relationship Id="rId6" Type="http://schemas.openxmlformats.org/officeDocument/2006/relationships/hyperlink" Target="https://www.nacro.org.uk/criminal-record-support-service/support-for-individuals/advice-prisoners-people-licence-sex-offenders-mappa/advice-people-mappa/" TargetMode="External"/><Relationship Id="rId11" Type="http://schemas.openxmlformats.org/officeDocument/2006/relationships/hyperlink" Target="https://www.policeconduct.gov.uk/sites/default/files/Documents/statistics/complaints_statistics_2018_19_v2.pdf" TargetMode="External"/><Relationship Id="rId24" Type="http://schemas.openxmlformats.org/officeDocument/2006/relationships/hyperlink" Target="https://www.gov.uk/government/news/code-of-ethics-launched"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oliceprofessional.com/news/lynette-white-murder-legacy-will-haunt-force-for-a-generation-admits-chief-constable/" TargetMode="External"/><Relationship Id="rId23" Type="http://schemas.openxmlformats.org/officeDocument/2006/relationships/hyperlink" Target="https://jantrust.org/blog/uks-violent-crime-epidemic-hits-bame-communities-hardest/" TargetMode="External"/><Relationship Id="rId28" Type="http://schemas.openxmlformats.org/officeDocument/2006/relationships/hyperlink" Target="https://homeofficemedia.blog.gov.uk/2020/08/09/response-to-independent-story-on-police-diversity/" TargetMode="External"/><Relationship Id="rId10" Type="http://schemas.openxmlformats.org/officeDocument/2006/relationships/hyperlink" Target="https://assets.publishing.service.gov.uk/government/uploads/system/uploads/attachment_data/file/861800/police-workforce-sep19-hosb0220.pdf" TargetMode="External"/><Relationship Id="rId19" Type="http://schemas.openxmlformats.org/officeDocument/2006/relationships/hyperlink" Target="https://academic.oup.com/socpro/article/59/3/301/1728324?login=true"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andfonline.com/doi/full/10.1080/10439463.2012.671822?scroll=top&amp;needAccess=true" TargetMode="External"/><Relationship Id="rId14" Type="http://schemas.openxmlformats.org/officeDocument/2006/relationships/hyperlink" Target="https://www.nature.com/articles/d41586-020-01846-z?utm_source=Nature+Briefing&amp;utm_campaign=761bed091d-briefing-dy-20200622&amp;utm_medium=email&amp;utm_term=0_c9dfd39373-761bed091d-44992633" TargetMode="External"/><Relationship Id="rId22" Type="http://schemas.openxmlformats.org/officeDocument/2006/relationships/hyperlink" Target="https://www.tandfonline.com/doi/full/10.1080/00332747.2020.1800291?scroll=top&amp;needAccess=true" TargetMode="External"/><Relationship Id="rId27" Type="http://schemas.openxmlformats.org/officeDocument/2006/relationships/hyperlink" Target="https://www.researchgate.net/publication/249035238_Policing_multicultural_states_lessons_from_the_Canadian_model"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5228</Words>
  <Characters>29802</Characters>
  <Application>Microsoft Office Word</Application>
  <DocSecurity>0</DocSecurity>
  <Lines>248</Lines>
  <Paragraphs>69</Paragraphs>
  <ScaleCrop>false</ScaleCrop>
  <Company>South Wales Police</Company>
  <LinksUpToDate>false</LinksUpToDate>
  <CharactersWithSpaces>34961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Jabbar,Khalid swp6584</dc:creator>
  <cp:keywords/>
  <dc:description/>
  <cp:lastModifiedBy>Jabbar,Khalid swp6584</cp:lastModifiedBy>
  <cp:revision>3</cp:revision>
  <dcterms:created xsi:type="dcterms:W3CDTF">2021-02-15T21:08:00Z</dcterms:created>
  <dcterms:modified xsi:type="dcterms:W3CDTF">2021-02-15T21:19:00Z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58c62344-2978-4d38-bb6e-442c57a57edb</vt:lpwstr>
  </property>
</Properties>
</file>