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80ED0" w14:textId="77777777" w:rsidR="00C87100" w:rsidRDefault="00C87100" w:rsidP="0058458F">
      <w:pPr>
        <w:pStyle w:val="Title"/>
        <w:rPr>
          <w:noProof/>
        </w:rPr>
      </w:pPr>
    </w:p>
    <w:p w14:paraId="3D7C54A0" w14:textId="7762E88C" w:rsidR="0058458F" w:rsidRDefault="00C87100" w:rsidP="0058458F">
      <w:pPr>
        <w:pStyle w:val="Title"/>
      </w:pPr>
      <w:r>
        <w:rPr>
          <w:noProof/>
        </w:rPr>
        <w:drawing>
          <wp:inline distT="0" distB="0" distL="0" distR="0" wp14:anchorId="580E3FA5" wp14:editId="4830D00D">
            <wp:extent cx="2159000" cy="863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2159000" cy="863600"/>
                    </a:xfrm>
                    <a:prstGeom prst="rect">
                      <a:avLst/>
                    </a:prstGeom>
                  </pic:spPr>
                </pic:pic>
              </a:graphicData>
            </a:graphic>
          </wp:inline>
        </w:drawing>
      </w:r>
    </w:p>
    <w:p w14:paraId="65C74528" w14:textId="78D73F54" w:rsidR="0058458F" w:rsidRDefault="0058458F" w:rsidP="0058458F">
      <w:pPr>
        <w:pStyle w:val="Title"/>
      </w:pPr>
    </w:p>
    <w:p w14:paraId="28B4F0DD" w14:textId="77777777" w:rsidR="0058458F" w:rsidRDefault="0058458F" w:rsidP="0058458F">
      <w:pPr>
        <w:pStyle w:val="Title"/>
      </w:pPr>
    </w:p>
    <w:p w14:paraId="40892640" w14:textId="77777777" w:rsidR="0058458F" w:rsidRDefault="0058458F" w:rsidP="0058458F">
      <w:pPr>
        <w:pStyle w:val="Title"/>
      </w:pPr>
    </w:p>
    <w:p w14:paraId="688D4887" w14:textId="77777777" w:rsidR="009568CC" w:rsidRDefault="006D3955" w:rsidP="0058458F">
      <w:pPr>
        <w:pStyle w:val="Title"/>
      </w:pPr>
      <w:r>
        <w:t xml:space="preserve">MARKETING MANAGEMENT </w:t>
      </w:r>
    </w:p>
    <w:p w14:paraId="0F2456BC" w14:textId="77777777" w:rsidR="00BF681A" w:rsidRDefault="006D3955" w:rsidP="0058458F">
      <w:pPr>
        <w:pStyle w:val="Title"/>
      </w:pPr>
      <w:r>
        <w:t>ASSESSMENT 1</w:t>
      </w:r>
    </w:p>
    <w:p w14:paraId="74E4D99E" w14:textId="77777777" w:rsidR="00C87100" w:rsidRDefault="00C87100" w:rsidP="00C87100">
      <w:pPr>
        <w:spacing w:line="259" w:lineRule="auto"/>
        <w:jc w:val="center"/>
      </w:pPr>
      <w:r w:rsidRPr="00C87100">
        <w:rPr>
          <w:sz w:val="40"/>
          <w:szCs w:val="36"/>
        </w:rPr>
        <w:t>LCMB7001</w:t>
      </w:r>
    </w:p>
    <w:p w14:paraId="0C081FB2" w14:textId="77777777" w:rsidR="00C87100" w:rsidRDefault="00C87100" w:rsidP="00C87100">
      <w:pPr>
        <w:spacing w:line="259" w:lineRule="auto"/>
        <w:jc w:val="center"/>
      </w:pPr>
    </w:p>
    <w:p w14:paraId="63DD827F" w14:textId="77777777" w:rsidR="00C87100" w:rsidRDefault="00C87100" w:rsidP="00C87100">
      <w:pPr>
        <w:spacing w:line="259" w:lineRule="auto"/>
        <w:jc w:val="center"/>
      </w:pPr>
    </w:p>
    <w:p w14:paraId="24C3CCF2" w14:textId="77777777" w:rsidR="00C87100" w:rsidRDefault="00C87100" w:rsidP="00C87100">
      <w:pPr>
        <w:spacing w:line="259" w:lineRule="auto"/>
        <w:jc w:val="center"/>
      </w:pPr>
    </w:p>
    <w:p w14:paraId="639E2A31" w14:textId="77777777" w:rsidR="00C87100" w:rsidRDefault="00C87100" w:rsidP="00C87100">
      <w:pPr>
        <w:spacing w:line="259" w:lineRule="auto"/>
        <w:jc w:val="center"/>
      </w:pPr>
    </w:p>
    <w:p w14:paraId="456D6FAB" w14:textId="77777777" w:rsidR="00C87100" w:rsidRDefault="00C87100" w:rsidP="00C87100">
      <w:pPr>
        <w:spacing w:line="259" w:lineRule="auto"/>
        <w:jc w:val="center"/>
      </w:pPr>
    </w:p>
    <w:p w14:paraId="23FD3D16" w14:textId="77777777" w:rsidR="00C87100" w:rsidRDefault="00C87100" w:rsidP="00C87100">
      <w:pPr>
        <w:spacing w:line="259" w:lineRule="auto"/>
        <w:jc w:val="center"/>
      </w:pPr>
      <w:r>
        <w:t xml:space="preserve">NAME: JAFAR UTHANAM KANDY </w:t>
      </w:r>
    </w:p>
    <w:p w14:paraId="00202F29" w14:textId="27650FC4" w:rsidR="006478DE" w:rsidRDefault="00C87100" w:rsidP="00C87100">
      <w:pPr>
        <w:spacing w:line="259" w:lineRule="auto"/>
        <w:jc w:val="center"/>
      </w:pPr>
      <w:r>
        <w:t>ID : 2212228</w:t>
      </w:r>
      <w:r w:rsidR="006D3955">
        <w:br w:type="page"/>
      </w:r>
    </w:p>
    <w:p w14:paraId="6E53C92D" w14:textId="77777777" w:rsidR="00C87100" w:rsidRDefault="00C87100">
      <w:pPr>
        <w:spacing w:line="259" w:lineRule="auto"/>
        <w:jc w:val="left"/>
      </w:pPr>
    </w:p>
    <w:p w14:paraId="327D4959" w14:textId="77777777" w:rsidR="00C87100" w:rsidRDefault="00C87100">
      <w:pPr>
        <w:spacing w:line="259" w:lineRule="auto"/>
        <w:jc w:val="left"/>
      </w:pPr>
    </w:p>
    <w:sdt>
      <w:sdtPr>
        <w:rPr>
          <w:rFonts w:ascii="Times New Roman" w:eastAsiaTheme="minorHAnsi" w:hAnsi="Times New Roman" w:cstheme="minorBidi"/>
          <w:color w:val="auto"/>
          <w:sz w:val="24"/>
          <w:szCs w:val="22"/>
          <w:lang w:val="en-IN"/>
        </w:rPr>
        <w:id w:val="-267770958"/>
        <w:docPartObj>
          <w:docPartGallery w:val="Table of Contents"/>
          <w:docPartUnique/>
        </w:docPartObj>
      </w:sdtPr>
      <w:sdtEndPr>
        <w:rPr>
          <w:b/>
          <w:bCs/>
          <w:noProof/>
        </w:rPr>
      </w:sdtEndPr>
      <w:sdtContent>
        <w:p w14:paraId="6DBDE898" w14:textId="77777777" w:rsidR="006478DE" w:rsidRDefault="006D3955">
          <w:pPr>
            <w:pStyle w:val="TOCHeading"/>
          </w:pPr>
          <w:r>
            <w:t>Table of Contents</w:t>
          </w:r>
        </w:p>
        <w:p w14:paraId="299111F9" w14:textId="77777777" w:rsidR="006478DE" w:rsidRDefault="006D3955">
          <w:pPr>
            <w:pStyle w:val="TOC1"/>
            <w:tabs>
              <w:tab w:val="right" w:leader="dot" w:pos="9016"/>
            </w:tabs>
            <w:rPr>
              <w:noProof/>
            </w:rPr>
          </w:pPr>
          <w:r>
            <w:fldChar w:fldCharType="begin"/>
          </w:r>
          <w:r>
            <w:instrText xml:space="preserve"> TOC \o "1-3" \h \z \u </w:instrText>
          </w:r>
          <w:r>
            <w:fldChar w:fldCharType="separate"/>
          </w:r>
          <w:hyperlink w:anchor="_Toc123246437" w:history="1">
            <w:r w:rsidRPr="00E661C3">
              <w:rPr>
                <w:rStyle w:val="Hyperlink"/>
                <w:noProof/>
              </w:rPr>
              <w:t>Introduction</w:t>
            </w:r>
            <w:r>
              <w:rPr>
                <w:noProof/>
                <w:webHidden/>
              </w:rPr>
              <w:tab/>
            </w:r>
            <w:r>
              <w:rPr>
                <w:noProof/>
                <w:webHidden/>
              </w:rPr>
              <w:fldChar w:fldCharType="begin"/>
            </w:r>
            <w:r>
              <w:rPr>
                <w:noProof/>
                <w:webHidden/>
              </w:rPr>
              <w:instrText xml:space="preserve"> PAGEREF _Toc123246437 \h </w:instrText>
            </w:r>
            <w:r>
              <w:rPr>
                <w:noProof/>
                <w:webHidden/>
              </w:rPr>
            </w:r>
            <w:r>
              <w:rPr>
                <w:noProof/>
                <w:webHidden/>
              </w:rPr>
              <w:fldChar w:fldCharType="separate"/>
            </w:r>
            <w:r>
              <w:rPr>
                <w:noProof/>
                <w:webHidden/>
              </w:rPr>
              <w:t>3</w:t>
            </w:r>
            <w:r>
              <w:rPr>
                <w:noProof/>
                <w:webHidden/>
              </w:rPr>
              <w:fldChar w:fldCharType="end"/>
            </w:r>
          </w:hyperlink>
        </w:p>
        <w:p w14:paraId="3D6B3DF9" w14:textId="77777777" w:rsidR="006478DE" w:rsidRDefault="00000000">
          <w:pPr>
            <w:pStyle w:val="TOC1"/>
            <w:tabs>
              <w:tab w:val="right" w:leader="dot" w:pos="9016"/>
            </w:tabs>
            <w:rPr>
              <w:noProof/>
            </w:rPr>
          </w:pPr>
          <w:hyperlink w:anchor="_Toc123246438" w:history="1">
            <w:r w:rsidR="006D3955" w:rsidRPr="00E661C3">
              <w:rPr>
                <w:rStyle w:val="Hyperlink"/>
                <w:noProof/>
              </w:rPr>
              <w:t>Brief Background of INDITEX</w:t>
            </w:r>
            <w:r w:rsidR="006D3955">
              <w:rPr>
                <w:noProof/>
                <w:webHidden/>
              </w:rPr>
              <w:tab/>
            </w:r>
            <w:r w:rsidR="006D3955">
              <w:rPr>
                <w:noProof/>
                <w:webHidden/>
              </w:rPr>
              <w:fldChar w:fldCharType="begin"/>
            </w:r>
            <w:r w:rsidR="006D3955">
              <w:rPr>
                <w:noProof/>
                <w:webHidden/>
              </w:rPr>
              <w:instrText xml:space="preserve"> PAGEREF _Toc123246438 \h </w:instrText>
            </w:r>
            <w:r w:rsidR="006D3955">
              <w:rPr>
                <w:noProof/>
                <w:webHidden/>
              </w:rPr>
            </w:r>
            <w:r w:rsidR="006D3955">
              <w:rPr>
                <w:noProof/>
                <w:webHidden/>
              </w:rPr>
              <w:fldChar w:fldCharType="separate"/>
            </w:r>
            <w:r w:rsidR="006D3955">
              <w:rPr>
                <w:noProof/>
                <w:webHidden/>
              </w:rPr>
              <w:t>3</w:t>
            </w:r>
            <w:r w:rsidR="006D3955">
              <w:rPr>
                <w:noProof/>
                <w:webHidden/>
              </w:rPr>
              <w:fldChar w:fldCharType="end"/>
            </w:r>
          </w:hyperlink>
        </w:p>
        <w:p w14:paraId="56353BFE" w14:textId="77777777" w:rsidR="006478DE" w:rsidRDefault="00000000">
          <w:pPr>
            <w:pStyle w:val="TOC1"/>
            <w:tabs>
              <w:tab w:val="right" w:leader="dot" w:pos="9016"/>
            </w:tabs>
            <w:rPr>
              <w:noProof/>
            </w:rPr>
          </w:pPr>
          <w:hyperlink w:anchor="_Toc123246439" w:history="1">
            <w:r w:rsidR="006D3955" w:rsidRPr="00E661C3">
              <w:rPr>
                <w:rStyle w:val="Hyperlink"/>
                <w:noProof/>
              </w:rPr>
              <w:t>Definition of Communication</w:t>
            </w:r>
            <w:r w:rsidR="006D3955">
              <w:rPr>
                <w:noProof/>
                <w:webHidden/>
              </w:rPr>
              <w:tab/>
            </w:r>
            <w:r w:rsidR="006D3955">
              <w:rPr>
                <w:noProof/>
                <w:webHidden/>
              </w:rPr>
              <w:fldChar w:fldCharType="begin"/>
            </w:r>
            <w:r w:rsidR="006D3955">
              <w:rPr>
                <w:noProof/>
                <w:webHidden/>
              </w:rPr>
              <w:instrText xml:space="preserve"> PAGEREF _Toc123246439 \h </w:instrText>
            </w:r>
            <w:r w:rsidR="006D3955">
              <w:rPr>
                <w:noProof/>
                <w:webHidden/>
              </w:rPr>
            </w:r>
            <w:r w:rsidR="006D3955">
              <w:rPr>
                <w:noProof/>
                <w:webHidden/>
              </w:rPr>
              <w:fldChar w:fldCharType="separate"/>
            </w:r>
            <w:r w:rsidR="006D3955">
              <w:rPr>
                <w:noProof/>
                <w:webHidden/>
              </w:rPr>
              <w:t>4</w:t>
            </w:r>
            <w:r w:rsidR="006D3955">
              <w:rPr>
                <w:noProof/>
                <w:webHidden/>
              </w:rPr>
              <w:fldChar w:fldCharType="end"/>
            </w:r>
          </w:hyperlink>
        </w:p>
        <w:p w14:paraId="534B6480" w14:textId="77777777" w:rsidR="006478DE" w:rsidRDefault="00000000">
          <w:pPr>
            <w:pStyle w:val="TOC1"/>
            <w:tabs>
              <w:tab w:val="right" w:leader="dot" w:pos="9016"/>
            </w:tabs>
            <w:rPr>
              <w:noProof/>
            </w:rPr>
          </w:pPr>
          <w:hyperlink w:anchor="_Toc123246440" w:history="1">
            <w:r w:rsidR="006D3955" w:rsidRPr="00E661C3">
              <w:rPr>
                <w:rStyle w:val="Hyperlink"/>
                <w:noProof/>
              </w:rPr>
              <w:t>Integrated Marketing Communication of Inditex</w:t>
            </w:r>
            <w:r w:rsidR="006D3955">
              <w:rPr>
                <w:noProof/>
                <w:webHidden/>
              </w:rPr>
              <w:tab/>
            </w:r>
            <w:r w:rsidR="006D3955">
              <w:rPr>
                <w:noProof/>
                <w:webHidden/>
              </w:rPr>
              <w:fldChar w:fldCharType="begin"/>
            </w:r>
            <w:r w:rsidR="006D3955">
              <w:rPr>
                <w:noProof/>
                <w:webHidden/>
              </w:rPr>
              <w:instrText xml:space="preserve"> PAGEREF _Toc123246440 \h </w:instrText>
            </w:r>
            <w:r w:rsidR="006D3955">
              <w:rPr>
                <w:noProof/>
                <w:webHidden/>
              </w:rPr>
            </w:r>
            <w:r w:rsidR="006D3955">
              <w:rPr>
                <w:noProof/>
                <w:webHidden/>
              </w:rPr>
              <w:fldChar w:fldCharType="separate"/>
            </w:r>
            <w:r w:rsidR="006D3955">
              <w:rPr>
                <w:noProof/>
                <w:webHidden/>
              </w:rPr>
              <w:t>4</w:t>
            </w:r>
            <w:r w:rsidR="006D3955">
              <w:rPr>
                <w:noProof/>
                <w:webHidden/>
              </w:rPr>
              <w:fldChar w:fldCharType="end"/>
            </w:r>
          </w:hyperlink>
        </w:p>
        <w:p w14:paraId="0E5B6B8E" w14:textId="77777777" w:rsidR="006478DE" w:rsidRDefault="00000000">
          <w:pPr>
            <w:pStyle w:val="TOC1"/>
            <w:tabs>
              <w:tab w:val="right" w:leader="dot" w:pos="9016"/>
            </w:tabs>
            <w:rPr>
              <w:noProof/>
            </w:rPr>
          </w:pPr>
          <w:hyperlink w:anchor="_Toc123246441" w:history="1">
            <w:r w:rsidR="006D3955" w:rsidRPr="00E661C3">
              <w:rPr>
                <w:rStyle w:val="Hyperlink"/>
                <w:noProof/>
              </w:rPr>
              <w:t>Challenges Company Facing in Changing Business Environment</w:t>
            </w:r>
            <w:r w:rsidR="006D3955">
              <w:rPr>
                <w:noProof/>
                <w:webHidden/>
              </w:rPr>
              <w:tab/>
            </w:r>
            <w:r w:rsidR="006D3955">
              <w:rPr>
                <w:noProof/>
                <w:webHidden/>
              </w:rPr>
              <w:fldChar w:fldCharType="begin"/>
            </w:r>
            <w:r w:rsidR="006D3955">
              <w:rPr>
                <w:noProof/>
                <w:webHidden/>
              </w:rPr>
              <w:instrText xml:space="preserve"> PAGEREF _Toc123246441 \h </w:instrText>
            </w:r>
            <w:r w:rsidR="006D3955">
              <w:rPr>
                <w:noProof/>
                <w:webHidden/>
              </w:rPr>
            </w:r>
            <w:r w:rsidR="006D3955">
              <w:rPr>
                <w:noProof/>
                <w:webHidden/>
              </w:rPr>
              <w:fldChar w:fldCharType="separate"/>
            </w:r>
            <w:r w:rsidR="006D3955">
              <w:rPr>
                <w:noProof/>
                <w:webHidden/>
              </w:rPr>
              <w:t>7</w:t>
            </w:r>
            <w:r w:rsidR="006D3955">
              <w:rPr>
                <w:noProof/>
                <w:webHidden/>
              </w:rPr>
              <w:fldChar w:fldCharType="end"/>
            </w:r>
          </w:hyperlink>
        </w:p>
        <w:p w14:paraId="6439CD06" w14:textId="77777777" w:rsidR="006478DE" w:rsidRDefault="00000000">
          <w:pPr>
            <w:pStyle w:val="TOC1"/>
            <w:tabs>
              <w:tab w:val="right" w:leader="dot" w:pos="9016"/>
            </w:tabs>
            <w:rPr>
              <w:noProof/>
            </w:rPr>
          </w:pPr>
          <w:hyperlink w:anchor="_Toc123246442" w:history="1">
            <w:r w:rsidR="006D3955" w:rsidRPr="00E661C3">
              <w:rPr>
                <w:rStyle w:val="Hyperlink"/>
                <w:noProof/>
              </w:rPr>
              <w:t>New Promotional Strategies for INDITEX</w:t>
            </w:r>
            <w:r w:rsidR="006D3955">
              <w:rPr>
                <w:noProof/>
                <w:webHidden/>
              </w:rPr>
              <w:tab/>
            </w:r>
            <w:r w:rsidR="006D3955">
              <w:rPr>
                <w:noProof/>
                <w:webHidden/>
              </w:rPr>
              <w:fldChar w:fldCharType="begin"/>
            </w:r>
            <w:r w:rsidR="006D3955">
              <w:rPr>
                <w:noProof/>
                <w:webHidden/>
              </w:rPr>
              <w:instrText xml:space="preserve"> PAGEREF _Toc123246442 \h </w:instrText>
            </w:r>
            <w:r w:rsidR="006D3955">
              <w:rPr>
                <w:noProof/>
                <w:webHidden/>
              </w:rPr>
            </w:r>
            <w:r w:rsidR="006D3955">
              <w:rPr>
                <w:noProof/>
                <w:webHidden/>
              </w:rPr>
              <w:fldChar w:fldCharType="separate"/>
            </w:r>
            <w:r w:rsidR="006D3955">
              <w:rPr>
                <w:noProof/>
                <w:webHidden/>
              </w:rPr>
              <w:t>9</w:t>
            </w:r>
            <w:r w:rsidR="006D3955">
              <w:rPr>
                <w:noProof/>
                <w:webHidden/>
              </w:rPr>
              <w:fldChar w:fldCharType="end"/>
            </w:r>
          </w:hyperlink>
        </w:p>
        <w:p w14:paraId="187B3FFD" w14:textId="77777777" w:rsidR="006478DE" w:rsidRDefault="00000000">
          <w:pPr>
            <w:pStyle w:val="TOC1"/>
            <w:tabs>
              <w:tab w:val="right" w:leader="dot" w:pos="9016"/>
            </w:tabs>
            <w:rPr>
              <w:noProof/>
            </w:rPr>
          </w:pPr>
          <w:hyperlink w:anchor="_Toc123246443" w:history="1">
            <w:r w:rsidR="006D3955" w:rsidRPr="00E661C3">
              <w:rPr>
                <w:rStyle w:val="Hyperlink"/>
                <w:noProof/>
              </w:rPr>
              <w:t>Conclusion</w:t>
            </w:r>
            <w:r w:rsidR="006D3955">
              <w:rPr>
                <w:noProof/>
                <w:webHidden/>
              </w:rPr>
              <w:tab/>
            </w:r>
            <w:r w:rsidR="006D3955">
              <w:rPr>
                <w:noProof/>
                <w:webHidden/>
              </w:rPr>
              <w:fldChar w:fldCharType="begin"/>
            </w:r>
            <w:r w:rsidR="006D3955">
              <w:rPr>
                <w:noProof/>
                <w:webHidden/>
              </w:rPr>
              <w:instrText xml:space="preserve"> PAGEREF _Toc123246443 \h </w:instrText>
            </w:r>
            <w:r w:rsidR="006D3955">
              <w:rPr>
                <w:noProof/>
                <w:webHidden/>
              </w:rPr>
            </w:r>
            <w:r w:rsidR="006D3955">
              <w:rPr>
                <w:noProof/>
                <w:webHidden/>
              </w:rPr>
              <w:fldChar w:fldCharType="separate"/>
            </w:r>
            <w:r w:rsidR="006D3955">
              <w:rPr>
                <w:noProof/>
                <w:webHidden/>
              </w:rPr>
              <w:t>11</w:t>
            </w:r>
            <w:r w:rsidR="006D3955">
              <w:rPr>
                <w:noProof/>
                <w:webHidden/>
              </w:rPr>
              <w:fldChar w:fldCharType="end"/>
            </w:r>
          </w:hyperlink>
        </w:p>
        <w:p w14:paraId="4B529A76" w14:textId="77777777" w:rsidR="006478DE" w:rsidRDefault="00000000">
          <w:pPr>
            <w:pStyle w:val="TOC1"/>
            <w:tabs>
              <w:tab w:val="right" w:leader="dot" w:pos="9016"/>
            </w:tabs>
            <w:rPr>
              <w:noProof/>
            </w:rPr>
          </w:pPr>
          <w:hyperlink w:anchor="_Toc123246444" w:history="1">
            <w:r w:rsidR="006D3955" w:rsidRPr="00E661C3">
              <w:rPr>
                <w:rStyle w:val="Hyperlink"/>
                <w:noProof/>
              </w:rPr>
              <w:t>References</w:t>
            </w:r>
            <w:r w:rsidR="006D3955">
              <w:rPr>
                <w:noProof/>
                <w:webHidden/>
              </w:rPr>
              <w:tab/>
            </w:r>
            <w:r w:rsidR="006D3955">
              <w:rPr>
                <w:noProof/>
                <w:webHidden/>
              </w:rPr>
              <w:fldChar w:fldCharType="begin"/>
            </w:r>
            <w:r w:rsidR="006D3955">
              <w:rPr>
                <w:noProof/>
                <w:webHidden/>
              </w:rPr>
              <w:instrText xml:space="preserve"> PAGEREF _Toc123246444 \h </w:instrText>
            </w:r>
            <w:r w:rsidR="006D3955">
              <w:rPr>
                <w:noProof/>
                <w:webHidden/>
              </w:rPr>
            </w:r>
            <w:r w:rsidR="006D3955">
              <w:rPr>
                <w:noProof/>
                <w:webHidden/>
              </w:rPr>
              <w:fldChar w:fldCharType="separate"/>
            </w:r>
            <w:r w:rsidR="006D3955">
              <w:rPr>
                <w:noProof/>
                <w:webHidden/>
              </w:rPr>
              <w:t>13</w:t>
            </w:r>
            <w:r w:rsidR="006D3955">
              <w:rPr>
                <w:noProof/>
                <w:webHidden/>
              </w:rPr>
              <w:fldChar w:fldCharType="end"/>
            </w:r>
          </w:hyperlink>
        </w:p>
        <w:p w14:paraId="3AFC7AA2" w14:textId="77777777" w:rsidR="006478DE" w:rsidRDefault="006D3955">
          <w:r>
            <w:rPr>
              <w:b/>
              <w:bCs/>
              <w:noProof/>
            </w:rPr>
            <w:fldChar w:fldCharType="end"/>
          </w:r>
        </w:p>
      </w:sdtContent>
    </w:sdt>
    <w:p w14:paraId="02F9638F" w14:textId="77777777" w:rsidR="006478DE" w:rsidRPr="006478DE" w:rsidRDefault="006478DE" w:rsidP="006478DE"/>
    <w:p w14:paraId="346D1C19" w14:textId="77777777" w:rsidR="00A175A4" w:rsidRDefault="006D3955">
      <w:pPr>
        <w:spacing w:line="259" w:lineRule="auto"/>
        <w:jc w:val="left"/>
      </w:pPr>
      <w:r>
        <w:br w:type="page"/>
      </w:r>
    </w:p>
    <w:p w14:paraId="58DBB8EF" w14:textId="77777777" w:rsidR="00F825F8" w:rsidRDefault="006D3955" w:rsidP="00F825F8">
      <w:pPr>
        <w:pStyle w:val="Heading1"/>
      </w:pPr>
      <w:bookmarkStart w:id="0" w:name="_Toc123246437"/>
      <w:r>
        <w:lastRenderedPageBreak/>
        <w:t>Introduction</w:t>
      </w:r>
      <w:bookmarkEnd w:id="0"/>
      <w:r>
        <w:t xml:space="preserve"> </w:t>
      </w:r>
    </w:p>
    <w:p w14:paraId="00528F1B" w14:textId="77777777" w:rsidR="00C414EB" w:rsidRPr="00C414EB" w:rsidRDefault="006D3955" w:rsidP="00C414EB">
      <w:r>
        <w:t>Inditex is a leading global fashion retailer that has established itself as a pioneer in the fast-fashion industry. With brands such as Zara, Massimo Dutti, Bershka, Stradivarius</w:t>
      </w:r>
      <w:r w:rsidR="00B0551C">
        <w:t xml:space="preserve">, and so on. </w:t>
      </w:r>
      <w:r>
        <w:t>However, Inditex is facing several challenges in the changing business environment. The rise of digital-native companies has disrupted the traditional fashion industry and posed a threat to Inditex's business model. In addition, changing consumer preferences, economic downturns, and the need for digital transformation have all presented challenges for the company.</w:t>
      </w:r>
      <w:r w:rsidR="00B0551C">
        <w:t xml:space="preserve"> </w:t>
      </w:r>
      <w:r>
        <w:t>To address these challenges, Inditex has been using Integrated Marketing Communication to promote its products and brand and reach its target audience. The company's Integrated Marketing Communication strategy includes elements such as advertising, public relations, and digital marketing, and aims to create a cohesive and consistent message across all channels.</w:t>
      </w:r>
      <w:r w:rsidR="00B0551C">
        <w:t xml:space="preserve"> </w:t>
      </w:r>
      <w:r>
        <w:t xml:space="preserve">In this report, we will </w:t>
      </w:r>
      <w:r w:rsidR="00B0551C">
        <w:t>be the discussion of</w:t>
      </w:r>
      <w:r>
        <w:t xml:space="preserve"> Inditex using Integrated Marketing Communication to address the challenges it is facing in the changing business environment, and we will suggest new promotional strategies that the company could consider to remain competitive and successful. These strategies will include digital marketing, content marketing, customer loyalty programs, collaborations and partnerships, and influencer marketing.</w:t>
      </w:r>
    </w:p>
    <w:p w14:paraId="7A48AFF5" w14:textId="77777777" w:rsidR="00F825F8" w:rsidRDefault="006D3955" w:rsidP="00F825F8">
      <w:pPr>
        <w:pStyle w:val="Heading1"/>
      </w:pPr>
      <w:bookmarkStart w:id="1" w:name="_Toc123246438"/>
      <w:r>
        <w:t xml:space="preserve">Brief Background of </w:t>
      </w:r>
      <w:r w:rsidR="00AA2FC4" w:rsidRPr="00AA2FC4">
        <w:t>INDITEX</w:t>
      </w:r>
      <w:bookmarkEnd w:id="1"/>
      <w:r w:rsidR="00986593">
        <w:t xml:space="preserve"> </w:t>
      </w:r>
    </w:p>
    <w:p w14:paraId="51935034" w14:textId="77777777" w:rsidR="00F825F8" w:rsidRDefault="006D3955" w:rsidP="00F825F8">
      <w:r>
        <w:t xml:space="preserve">Inditex is a Spanish multinational clothing company founded in 1975 by Amancio Ortega. It is one of the world's largest fashion groups, with eight brands (Zara, Massimo Dutti, Bershka, Oysho, Zara Home, Uterqüe, Stradivarius, and Pull &amp; Bear) operating in over 90 countries. Inditex is headquartered in Arteixo, Galicia, Spain, and has over 7,000 stores worldwide. The company's business model is based on a fast fashion model, which involves quickly producing a large quantity of trendy, fashionable clothing at low prices and making them available to customers in a short period </w:t>
      </w:r>
      <w:r w:rsidR="00F23DAA">
        <w:t>(</w:t>
      </w:r>
      <w:r w:rsidR="00F23DAA" w:rsidRPr="002210D8">
        <w:t>Inditex.com</w:t>
      </w:r>
      <w:r w:rsidR="00F23DAA">
        <w:t>, 2022)</w:t>
      </w:r>
      <w:r>
        <w:t>. This allows Inditex to respond quickly to changes in consumer demand and stay ahead of trends. In addition to its eight brands, Inditex also has several subsidiaries that are involved in various aspects of the fashion industry, such as textile production, logistics, and technology. The company is known for its commitment to sustainability and has implemented several initiatives to reduce its environmental impact, including the use of renewable energy and the implementation of a circular fashion model. Inditex is listed on the Spanish stock exchange and is one of the largest companies in Spain. It has a market capitalization of over 100 billion euros and employs over 180,000 people worldwide</w:t>
      </w:r>
      <w:r w:rsidR="00F23DAA">
        <w:t xml:space="preserve"> (</w:t>
      </w:r>
      <w:r w:rsidR="00F23DAA" w:rsidRPr="002210D8">
        <w:t>Inditex.com</w:t>
      </w:r>
      <w:r w:rsidR="00F23DAA">
        <w:t>, 2022 )</w:t>
      </w:r>
      <w:r>
        <w:t>.</w:t>
      </w:r>
      <w:r w:rsidR="005D529E" w:rsidRPr="005D529E">
        <w:t xml:space="preserve"> There are several touchpoints that Inditex uses to connect with its customers and market its products:</w:t>
      </w:r>
    </w:p>
    <w:p w14:paraId="1B78A90B" w14:textId="77777777" w:rsidR="005D529E" w:rsidRDefault="006D3955" w:rsidP="00F825F8">
      <w:r>
        <w:rPr>
          <w:noProof/>
          <w:lang w:eastAsia="en-IN"/>
        </w:rPr>
        <w:lastRenderedPageBreak/>
        <w:drawing>
          <wp:inline distT="0" distB="0" distL="0" distR="0" wp14:anchorId="2F9F5623" wp14:editId="0EB8544F">
            <wp:extent cx="5632450" cy="2032000"/>
            <wp:effectExtent l="0" t="0" r="0" b="63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F9CFC7" w14:textId="77777777" w:rsidR="0023252D" w:rsidRPr="0023252D" w:rsidRDefault="006D3955" w:rsidP="0023252D">
      <w:pPr>
        <w:jc w:val="center"/>
        <w:rPr>
          <w:i/>
          <w:iCs/>
        </w:rPr>
      </w:pPr>
      <w:r w:rsidRPr="0023252D">
        <w:rPr>
          <w:i/>
          <w:iCs/>
        </w:rPr>
        <w:t>Sources: Author</w:t>
      </w:r>
    </w:p>
    <w:p w14:paraId="50A4FBC1" w14:textId="77777777" w:rsidR="005D529E" w:rsidRPr="00F825F8" w:rsidRDefault="006D3955" w:rsidP="00F825F8">
      <w:r w:rsidRPr="005D529E">
        <w:t xml:space="preserve">By utilizing these touchpoints, Inditex </w:t>
      </w:r>
      <w:r>
        <w:t>is being able to</w:t>
      </w:r>
      <w:r w:rsidRPr="005D529E">
        <w:t xml:space="preserve"> reach a wide audience and connect with customers in a variety of ways.</w:t>
      </w:r>
    </w:p>
    <w:p w14:paraId="645AFBB2" w14:textId="77777777" w:rsidR="00A175A4" w:rsidRDefault="006D3955" w:rsidP="00F825F8">
      <w:pPr>
        <w:pStyle w:val="Heading1"/>
      </w:pPr>
      <w:bookmarkStart w:id="2" w:name="_Toc123246439"/>
      <w:r>
        <w:t>Definition of Communication</w:t>
      </w:r>
      <w:bookmarkEnd w:id="2"/>
      <w:r>
        <w:t xml:space="preserve"> </w:t>
      </w:r>
    </w:p>
    <w:p w14:paraId="1176BAAD" w14:textId="77777777" w:rsidR="00375A41" w:rsidRPr="00375A41" w:rsidRDefault="006D3955" w:rsidP="00375A41">
      <w:r>
        <w:t>In business, communication refers to the exchange of information and ideas between individuals or groups within an organization and with external stakeholders such as customers, suppliers, and the media. Effective communication is essential for the smooth functioning and success of any business, as it helps to ensure that all stakeholders are informed and have access to the information, they need to make informed decisions and contribute to the success of the organization</w:t>
      </w:r>
      <w:r w:rsidR="00F23DAA">
        <w:t xml:space="preserve"> (</w:t>
      </w:r>
      <w:r w:rsidR="00F23DAA" w:rsidRPr="0085528D">
        <w:t>Aftab,</w:t>
      </w:r>
      <w:r w:rsidR="00F23DAA">
        <w:t xml:space="preserve"> et. al., 2018)</w:t>
      </w:r>
      <w:r>
        <w:t xml:space="preserve">. Business communication can take many forms, including face-to-face meetings, emails, phone calls, text messages, and social media interactions. It </w:t>
      </w:r>
      <w:r w:rsidR="00F23DAA">
        <w:t>involves</w:t>
      </w:r>
      <w:r>
        <w:t xml:space="preserve"> the transmission of messages from one person to another or the sharing of information through documents and other written materials. Effective business communication requires clear, concise, and accurate messaging, as well as the ability to listen and comprehend the messages being received. It also involves adapting communication styles and techniques to different audiences and situations and using appropriate channels and media to reach the intended audience.</w:t>
      </w:r>
    </w:p>
    <w:p w14:paraId="12E43E9D" w14:textId="77777777" w:rsidR="00A175A4" w:rsidRDefault="006D3955" w:rsidP="00F825F8">
      <w:pPr>
        <w:pStyle w:val="Heading1"/>
      </w:pPr>
      <w:bookmarkStart w:id="3" w:name="_Toc123246440"/>
      <w:r>
        <w:t xml:space="preserve">Integrated Marketing Communication </w:t>
      </w:r>
      <w:r w:rsidR="005E0133">
        <w:t>of</w:t>
      </w:r>
      <w:r>
        <w:t xml:space="preserve"> </w:t>
      </w:r>
      <w:r w:rsidR="00E12ECD">
        <w:t>Inditex</w:t>
      </w:r>
      <w:bookmarkEnd w:id="3"/>
      <w:r>
        <w:t xml:space="preserve"> </w:t>
      </w:r>
    </w:p>
    <w:p w14:paraId="5942D69D" w14:textId="77777777" w:rsidR="00D81236" w:rsidRDefault="006D3955" w:rsidP="00D81236">
      <w:r>
        <w:t>Integrated marketing communication (IMC) is a strategy that involves coordinating and aligning all marketing communication tools, channels, and tactics to deliver a consistent and cohesive message to the target audience. The goal of IMC is to create a unified and seamless customer experience and to effectively communicate the brand's value proposition and messaging to its target audience</w:t>
      </w:r>
      <w:r w:rsidR="00F23DAA">
        <w:t xml:space="preserve"> (</w:t>
      </w:r>
      <w:r w:rsidR="00F23DAA" w:rsidRPr="0085528D">
        <w:t>Allam and SCAGNELLI,</w:t>
      </w:r>
      <w:r w:rsidR="00F23DAA">
        <w:t xml:space="preserve"> </w:t>
      </w:r>
      <w:r w:rsidR="00F23DAA" w:rsidRPr="0085528D">
        <w:t xml:space="preserve"> 2019</w:t>
      </w:r>
      <w:r w:rsidR="00F23DAA">
        <w:t>)</w:t>
      </w:r>
      <w:r>
        <w:t>.</w:t>
      </w:r>
      <w:r w:rsidR="002A3B88">
        <w:t xml:space="preserve"> </w:t>
      </w:r>
      <w:r>
        <w:t xml:space="preserve">Inditex, as a large multinational fashion company, uses a range of marketing communication tools and tactics to </w:t>
      </w:r>
      <w:r>
        <w:lastRenderedPageBreak/>
        <w:t>reach its customers and promote its products. These include advertising, public relations, sales promotions, personal selling, and digital marketing, among others.</w:t>
      </w:r>
      <w:r w:rsidR="002A3B88">
        <w:t xml:space="preserve"> </w:t>
      </w:r>
      <w:r>
        <w:t xml:space="preserve">To implement an IMC strategy, Inditex </w:t>
      </w:r>
      <w:r w:rsidR="00E33B0D">
        <w:t xml:space="preserve">is focused on </w:t>
      </w:r>
      <w:r>
        <w:t>coordinating and aligning these various communication tools and channels to ensure that they all work together to deliver a consistent and cohesive message to its target audience. This involves developing a central marketing message and ensuring that all communication materials, such as advertising, social media posts, and email marketing campaigns, align with this message.</w:t>
      </w:r>
      <w:r w:rsidR="002D1E34">
        <w:t xml:space="preserve"> </w:t>
      </w:r>
      <w:r>
        <w:t>Some of the key IMC factors and elements that Inditex uses include:</w:t>
      </w:r>
    </w:p>
    <w:p w14:paraId="74302D1C" w14:textId="77777777" w:rsidR="00D81236" w:rsidRDefault="006D3955" w:rsidP="00D81236">
      <w:r w:rsidRPr="001600C8">
        <w:rPr>
          <w:b/>
          <w:bCs/>
          <w:i/>
          <w:iCs/>
        </w:rPr>
        <w:t>Advertising:</w:t>
      </w:r>
      <w:r>
        <w:t xml:space="preserve"> Inditex uses various forms of advertising, such as television commercials, print ads, and online ads, to promote its brands and products. For example, the company uses TV commercials to promote its latest fashion collection during prime time, or it uses print ads in fashion magazines to showcase its new clothing lines.</w:t>
      </w:r>
      <w:r w:rsidR="00AB1E33" w:rsidRPr="00AB1E33">
        <w:t xml:space="preserve"> By using TV commercials and other forms of advertising, the company can reach a wide audience and promote its latest fashion collection memorably and effectively</w:t>
      </w:r>
      <w:r w:rsidR="00F23DAA">
        <w:t xml:space="preserve"> (</w:t>
      </w:r>
      <w:r w:rsidR="00F23DAA" w:rsidRPr="0085528D">
        <w:t>Jiang,</w:t>
      </w:r>
      <w:r w:rsidR="00F23DAA">
        <w:t xml:space="preserve"> </w:t>
      </w:r>
      <w:r w:rsidR="00F23DAA" w:rsidRPr="0085528D">
        <w:t>2022</w:t>
      </w:r>
      <w:r w:rsidR="00F23DAA">
        <w:t>)</w:t>
      </w:r>
      <w:r w:rsidR="00AB1E33" w:rsidRPr="00AB1E33">
        <w:t>.</w:t>
      </w:r>
      <w:r w:rsidR="001600C8" w:rsidRPr="001600C8">
        <w:t xml:space="preserve"> </w:t>
      </w:r>
      <w:r w:rsidR="001600C8" w:rsidRPr="00D853B2">
        <w:rPr>
          <w:b/>
        </w:rPr>
        <w:t>Inditex uses out-of-home advertising</w:t>
      </w:r>
      <w:r w:rsidR="001600C8" w:rsidRPr="001600C8">
        <w:t>, such as billboards and bus shelter ads, to reach customers when they are on the go or in public spaces.</w:t>
      </w:r>
      <w:r w:rsidR="00EB0985" w:rsidRPr="00EB0985">
        <w:t xml:space="preserve"> Inditex uses TV commercials to promote its latest fashion collection during prime time or to showcase its new clo</w:t>
      </w:r>
      <w:r w:rsidR="00D853B2">
        <w:t>thing lines to a wider audience (</w:t>
      </w:r>
      <w:r w:rsidR="00D853B2" w:rsidRPr="002210D8">
        <w:t>Inditex.com</w:t>
      </w:r>
      <w:r w:rsidR="00D853B2">
        <w:t>, 2022).</w:t>
      </w:r>
    </w:p>
    <w:p w14:paraId="773F7079" w14:textId="77777777" w:rsidR="00D81236" w:rsidRDefault="006D3955" w:rsidP="00D81236">
      <w:r w:rsidRPr="002E2CDB">
        <w:rPr>
          <w:b/>
          <w:bCs/>
          <w:i/>
          <w:iCs/>
        </w:rPr>
        <w:t xml:space="preserve">Sales </w:t>
      </w:r>
      <w:r w:rsidR="002E2CDB" w:rsidRPr="002E2CDB">
        <w:rPr>
          <w:b/>
          <w:bCs/>
          <w:i/>
          <w:iCs/>
        </w:rPr>
        <w:t>Promotion:</w:t>
      </w:r>
      <w:r w:rsidR="002E2CDB">
        <w:t xml:space="preserve"> </w:t>
      </w:r>
      <w:r>
        <w:t>Inditex uses sales promotion techniques, such as discounts, coupons, and loyalty programs, to encourage customers to purchase its products. For example, the company offers a discount on its latest fashion collection to encourage customers to buy more.</w:t>
      </w:r>
      <w:r w:rsidR="002E2CDB" w:rsidRPr="002E2CDB">
        <w:t xml:space="preserve"> Inditex us</w:t>
      </w:r>
      <w:r w:rsidR="002E2CDB">
        <w:t>age</w:t>
      </w:r>
      <w:r w:rsidR="002E2CDB" w:rsidRPr="002E2CDB">
        <w:t xml:space="preserve"> coupons encourage customers to try new products or to buy more of a particular product. For example, the company offers a coupon for a free accessory with the purchase of a certain item of clothing</w:t>
      </w:r>
      <w:r w:rsidR="00F23DAA">
        <w:t xml:space="preserve"> (</w:t>
      </w:r>
      <w:r w:rsidR="00F23DAA" w:rsidRPr="0085528D">
        <w:t>Galán-Ladero and Sánchez-Hernández, 2022</w:t>
      </w:r>
      <w:r w:rsidR="00F23DAA">
        <w:t>)</w:t>
      </w:r>
      <w:r w:rsidR="002E2CDB" w:rsidRPr="002E2CDB">
        <w:t xml:space="preserve">. Inditex </w:t>
      </w:r>
      <w:r w:rsidR="002E2CDB">
        <w:t>also</w:t>
      </w:r>
      <w:r w:rsidR="002E2CDB" w:rsidRPr="002E2CDB">
        <w:t xml:space="preserve"> offers loyalty programs to reward customers for their repeat business. For example, the company has a loyalty program that gives customers points for every purchase they make, which can then be redeemed for discounts or other rewards.</w:t>
      </w:r>
    </w:p>
    <w:p w14:paraId="57CAC1F9" w14:textId="77777777" w:rsidR="00D81236" w:rsidRDefault="006D3955" w:rsidP="00CF06FF">
      <w:r w:rsidRPr="00CF06FF">
        <w:rPr>
          <w:b/>
          <w:bCs/>
          <w:i/>
          <w:iCs/>
        </w:rPr>
        <w:t xml:space="preserve">Public </w:t>
      </w:r>
      <w:r w:rsidR="00150C77" w:rsidRPr="00CF06FF">
        <w:rPr>
          <w:b/>
          <w:bCs/>
          <w:i/>
          <w:iCs/>
        </w:rPr>
        <w:t>R</w:t>
      </w:r>
      <w:r w:rsidRPr="00CF06FF">
        <w:rPr>
          <w:b/>
          <w:bCs/>
          <w:i/>
          <w:iCs/>
        </w:rPr>
        <w:t>elations:</w:t>
      </w:r>
      <w:r>
        <w:t xml:space="preserve"> Inditex uses public relations techniques, such as press releases and media events, to maintain a positive image and reputation with its customers, stakeholders, and the general public. For example, the company hosts </w:t>
      </w:r>
      <w:r w:rsidR="00AB6041">
        <w:t>several</w:t>
      </w:r>
      <w:r>
        <w:t xml:space="preserve"> media events to showcase its latest fashion collection and allow journalists and influencers to preview the products.</w:t>
      </w:r>
      <w:r w:rsidR="00CF06FF" w:rsidRPr="00CF06FF">
        <w:t xml:space="preserve"> </w:t>
      </w:r>
      <w:r w:rsidR="00CF06FF">
        <w:t xml:space="preserve">Inditex uses social media platforms, such as Twitter, Instagram, and Facebook, to communicate directly with its customers and stakeholders. The company uses these platforms to share updates, news, </w:t>
      </w:r>
      <w:r w:rsidR="00CF06FF">
        <w:lastRenderedPageBreak/>
        <w:t>and behind-the-scenes content, and to engage with its followers</w:t>
      </w:r>
      <w:r w:rsidR="00846DE5">
        <w:t xml:space="preserve"> (</w:t>
      </w:r>
      <w:r w:rsidR="00846DE5" w:rsidRPr="00D23403">
        <w:t>Bilovodska,</w:t>
      </w:r>
      <w:r w:rsidR="00846DE5">
        <w:t xml:space="preserve"> et. al., 2018)</w:t>
      </w:r>
      <w:r w:rsidR="00CF06FF">
        <w:t>. By using PR techniques, Inditex can maintain a positive image and reputation with its stakeholders, and communicate effectively with its customers and the general public.</w:t>
      </w:r>
    </w:p>
    <w:p w14:paraId="18805C94" w14:textId="77777777" w:rsidR="00D81236" w:rsidRDefault="006D3955" w:rsidP="00D81236">
      <w:r w:rsidRPr="005D703A">
        <w:rPr>
          <w:b/>
          <w:bCs/>
          <w:i/>
          <w:iCs/>
        </w:rPr>
        <w:t xml:space="preserve">Personal </w:t>
      </w:r>
      <w:r w:rsidR="005D703A" w:rsidRPr="005D703A">
        <w:rPr>
          <w:b/>
          <w:bCs/>
          <w:i/>
          <w:iCs/>
        </w:rPr>
        <w:t>S</w:t>
      </w:r>
      <w:r w:rsidRPr="005D703A">
        <w:rPr>
          <w:b/>
          <w:bCs/>
          <w:i/>
          <w:iCs/>
        </w:rPr>
        <w:t>elling:</w:t>
      </w:r>
      <w:r>
        <w:t xml:space="preserve"> Inditex uses personal selling techniques, such as in-store sales associates and customer service representatives, to help customers choose the right products and to help with returns and exchanges.</w:t>
      </w:r>
      <w:r w:rsidR="005D703A" w:rsidRPr="005D703A">
        <w:t xml:space="preserve"> Inditex stores typically have sales associates who are trained to assist customers with finding the right products and providing information about the company's products and services. These sales associates also help customers with returns and exchanges and suggest additional products that </w:t>
      </w:r>
      <w:r w:rsidR="005D703A">
        <w:t>are</w:t>
      </w:r>
      <w:r w:rsidR="005D703A" w:rsidRPr="005D703A">
        <w:t xml:space="preserve"> interesting to the customer. Inditex has customer service representatives available to assist customers by phone or email</w:t>
      </w:r>
      <w:r w:rsidR="00846DE5">
        <w:t xml:space="preserve"> (</w:t>
      </w:r>
      <w:r w:rsidR="00846DE5" w:rsidRPr="00D23403">
        <w:t>Esbeih,</w:t>
      </w:r>
      <w:r w:rsidR="00846DE5">
        <w:t xml:space="preserve"> et. al., 2021)</w:t>
      </w:r>
      <w:r w:rsidR="005D703A" w:rsidRPr="005D703A">
        <w:t>. These representatives can answer questions, provide information about the company's products and services, and help customers with returns and exchanges.</w:t>
      </w:r>
    </w:p>
    <w:p w14:paraId="0F6C5B8E" w14:textId="77777777" w:rsidR="00104CAB" w:rsidRDefault="006D3955" w:rsidP="00104CAB">
      <w:r w:rsidRPr="00B029A2">
        <w:rPr>
          <w:b/>
          <w:bCs/>
          <w:i/>
          <w:iCs/>
        </w:rPr>
        <w:t>Direct</w:t>
      </w:r>
      <w:r w:rsidR="00B47CC5" w:rsidRPr="00B029A2">
        <w:rPr>
          <w:b/>
          <w:bCs/>
          <w:i/>
          <w:iCs/>
        </w:rPr>
        <w:t xml:space="preserve"> M</w:t>
      </w:r>
      <w:r w:rsidRPr="00B029A2">
        <w:rPr>
          <w:b/>
          <w:bCs/>
          <w:i/>
          <w:iCs/>
        </w:rPr>
        <w:t>arketing:</w:t>
      </w:r>
      <w:r>
        <w:t xml:space="preserve"> Inditex uses direct marketing techniques, such as email marketing and direct mail, to communicate directly with its customers and promote its products and services. For example, the company sends an email newsletter to its subscribers promoting its latest fashion collection and offering special discounts.</w:t>
      </w:r>
      <w:r w:rsidR="002D1E34" w:rsidRPr="002D1E34">
        <w:t xml:space="preserve"> Inditex us</w:t>
      </w:r>
      <w:r w:rsidR="002D1E34">
        <w:t xml:space="preserve">es </w:t>
      </w:r>
      <w:r w:rsidR="002D1E34" w:rsidRPr="002D1E34">
        <w:t>phone calls to communicate directly with its customers and promote its products and services. For example, the company has a call center that is staffed by customer service representatives who can answer questions, provide information, and take orders over the phone</w:t>
      </w:r>
      <w:r w:rsidR="00846DE5">
        <w:t xml:space="preserve"> (</w:t>
      </w:r>
      <w:r w:rsidR="00846DE5" w:rsidRPr="00D23403">
        <w:t>Liu,</w:t>
      </w:r>
      <w:r w:rsidR="00846DE5">
        <w:t xml:space="preserve"> </w:t>
      </w:r>
      <w:r w:rsidR="00846DE5" w:rsidRPr="00D23403">
        <w:t>2021</w:t>
      </w:r>
      <w:r w:rsidR="00846DE5">
        <w:t>)</w:t>
      </w:r>
      <w:r w:rsidR="002D1E34" w:rsidRPr="002D1E34">
        <w:t xml:space="preserve">. Inditex </w:t>
      </w:r>
      <w:r w:rsidR="002D1E34">
        <w:t>also</w:t>
      </w:r>
      <w:r w:rsidR="002D1E34" w:rsidRPr="002D1E34">
        <w:t xml:space="preserve"> uses direct mail to send promotional materials, such as catalogs or flyers, to customers and potential customers. These materials are targeted to specific demographics or interests and include coupons or other incentives to encourage purchases.</w:t>
      </w:r>
    </w:p>
    <w:p w14:paraId="4B011C7E" w14:textId="77777777" w:rsidR="002D1E34" w:rsidRDefault="006D3955" w:rsidP="00104CAB">
      <w:r>
        <w:t>IMC is an effective way for Inditex to build brand awareness and loyalty, and to create a consistent and cohesive customer experience across all touchpoints. By coordinating its marketing communication efforts, the company can more effectively communicate its brand values and messaging to its target audience and create a stronger connection with its customers.</w:t>
      </w:r>
      <w:r w:rsidRPr="00D81236">
        <w:t xml:space="preserve"> </w:t>
      </w:r>
      <w:r>
        <w:t>Integrated marketing communication (IMC) refers to the coordination and integration of all the marketing communication tools, channels, and sources within a company into a seamless program that maximizes the impact on consumers and other end users</w:t>
      </w:r>
      <w:r w:rsidR="00846DE5">
        <w:t xml:space="preserve"> (</w:t>
      </w:r>
      <w:r w:rsidR="00846DE5" w:rsidRPr="006A5AAD">
        <w:t>Kim</w:t>
      </w:r>
      <w:r w:rsidR="00846DE5">
        <w:t xml:space="preserve"> </w:t>
      </w:r>
      <w:r w:rsidR="00846DE5" w:rsidRPr="006A5AAD">
        <w:t>and Sullivan,</w:t>
      </w:r>
      <w:r w:rsidR="00846DE5">
        <w:t xml:space="preserve"> 2019)</w:t>
      </w:r>
      <w:r>
        <w:t>. Inditex, one of the largest fashion retail groups in the world, uses various IMC tools and channels to reach and engage its customers.</w:t>
      </w:r>
    </w:p>
    <w:p w14:paraId="04AEF9AD" w14:textId="77777777" w:rsidR="00E12ECD" w:rsidRDefault="006D3955" w:rsidP="00E12ECD">
      <w:pPr>
        <w:pStyle w:val="Heading1"/>
      </w:pPr>
      <w:bookmarkStart w:id="4" w:name="_Toc123246441"/>
      <w:r>
        <w:lastRenderedPageBreak/>
        <w:t>Challenges Company Facing in Changing Business Environment</w:t>
      </w:r>
      <w:bookmarkEnd w:id="4"/>
      <w:r>
        <w:t xml:space="preserve"> </w:t>
      </w:r>
    </w:p>
    <w:p w14:paraId="47AD048A" w14:textId="77777777" w:rsidR="008A4EED" w:rsidRPr="008A4EED" w:rsidRDefault="006D3955" w:rsidP="008A4EED">
      <w:r w:rsidRPr="008A4EED">
        <w:t xml:space="preserve">Like all companies, Inditex faces a variety of challenges in the changing business environment. Some of the key challenges that the company </w:t>
      </w:r>
      <w:r w:rsidR="00B30BAB">
        <w:t xml:space="preserve">is </w:t>
      </w:r>
      <w:r w:rsidRPr="008A4EED">
        <w:t>facing include:</w:t>
      </w:r>
    </w:p>
    <w:p w14:paraId="5393FFCB" w14:textId="77777777" w:rsidR="008140F1" w:rsidRPr="00BC1D22" w:rsidRDefault="006D3955" w:rsidP="008140F1">
      <w:pPr>
        <w:rPr>
          <w:b/>
          <w:bCs/>
          <w:i/>
          <w:iCs/>
        </w:rPr>
      </w:pPr>
      <w:r w:rsidRPr="00BC1D22">
        <w:rPr>
          <w:b/>
          <w:bCs/>
          <w:i/>
          <w:iCs/>
        </w:rPr>
        <w:t xml:space="preserve">Competition </w:t>
      </w:r>
    </w:p>
    <w:p w14:paraId="6FC8EA88" w14:textId="77777777" w:rsidR="00BC1D22" w:rsidRPr="00D853B2" w:rsidRDefault="006D3955" w:rsidP="00BC1D22">
      <w:pPr>
        <w:rPr>
          <w:b/>
        </w:rPr>
      </w:pPr>
      <w:r>
        <w:t xml:space="preserve">Competition is a major challenge for Inditex, as the company operates in a highly competitive and fast-changing industry. One example of competition that Inditex faces is from other fast fashion companies that offer similar products at similar price points. Fast fashion companies like </w:t>
      </w:r>
      <w:r w:rsidRPr="00D853B2">
        <w:rPr>
          <w:b/>
        </w:rPr>
        <w:t>H&amp;M, forever 21, and Uniqlo</w:t>
      </w:r>
      <w:r>
        <w:t xml:space="preserve"> are all major players in the global fashion market, and they can be formidable competitors for Inditex. These companies offer similar products at similar price points, which can make it difficult for Inditex to differentiate itself and maintain a competitive advantage</w:t>
      </w:r>
      <w:r w:rsidR="00846DE5">
        <w:t xml:space="preserve"> (</w:t>
      </w:r>
      <w:r w:rsidR="00846DE5" w:rsidRPr="006A5AAD">
        <w:t>Helal,</w:t>
      </w:r>
      <w:r w:rsidR="00846DE5">
        <w:t xml:space="preserve"> et. al., 2018)</w:t>
      </w:r>
      <w:r>
        <w:t xml:space="preserve">. In addition to competition from other fast fashion companies, Inditex also faces competition from other types of companies, such as luxury fashion brands, discount retailers, and online-only retailers. </w:t>
      </w:r>
      <w:r w:rsidRPr="00D853B2">
        <w:rPr>
          <w:b/>
        </w:rPr>
        <w:t>For example, Inditex faces competition from luxury fashion brands like Chanel and Louis Vuitton, which offer high-end products at premium prices, or from discount retailers like TJ Maxx and Marshalls, which offer low-priced products from a variety of brands.</w:t>
      </w:r>
    </w:p>
    <w:p w14:paraId="09DA50CE" w14:textId="77777777" w:rsidR="008140F1" w:rsidRDefault="006D3955" w:rsidP="008140F1">
      <w:pPr>
        <w:rPr>
          <w:b/>
          <w:bCs/>
          <w:i/>
          <w:iCs/>
        </w:rPr>
      </w:pPr>
      <w:r w:rsidRPr="00F67C1C">
        <w:rPr>
          <w:b/>
          <w:bCs/>
          <w:i/>
          <w:iCs/>
        </w:rPr>
        <w:t xml:space="preserve">Changing </w:t>
      </w:r>
      <w:r w:rsidR="00F85897" w:rsidRPr="00F67C1C">
        <w:rPr>
          <w:b/>
          <w:bCs/>
          <w:i/>
          <w:iCs/>
        </w:rPr>
        <w:t>Consumer Preferences</w:t>
      </w:r>
    </w:p>
    <w:p w14:paraId="175AA9CF" w14:textId="77777777" w:rsidR="00F67C1C" w:rsidRPr="00F67C1C" w:rsidRDefault="006D3955" w:rsidP="00F67C1C">
      <w:r>
        <w:t>Changing consumer preferences can be a major challenge for Inditex, as the company operates in a fast-changing and highly competitive industry. Consumers' preferences and behaviors can evolve quickly, and Inditex must stay attuned to these changes to remain relevant and competitive. For example, Inditex faces challenges as consumers become more interested in sustainable and ethically-produced fashion. As consumers become more environmentally and socially conscious, they are more likely to look for brands that align with their values and offer sustainable and ethically-produced products</w:t>
      </w:r>
      <w:r w:rsidR="00846DE5">
        <w:t xml:space="preserve"> (</w:t>
      </w:r>
      <w:r w:rsidR="00846DE5" w:rsidRPr="006A5AAD">
        <w:t>Zollo,</w:t>
      </w:r>
      <w:r w:rsidR="00846DE5">
        <w:t xml:space="preserve"> et. al., 2020)</w:t>
      </w:r>
      <w:r>
        <w:t xml:space="preserve">. To meet this demand, Inditex needs to adapt its products and sourcing practices to meet these changing consumer preferences. Another example of changing consumer preferences that Inditex face is the increasing importance of online shopping. As more and more consumers shift to online shopping, Inditex needs to adapt its e-commerce strategy and online presence to meet this demand. </w:t>
      </w:r>
    </w:p>
    <w:p w14:paraId="0C311BCE" w14:textId="77777777" w:rsidR="008140F1" w:rsidRPr="00A4186B" w:rsidRDefault="006D3955" w:rsidP="008140F1">
      <w:pPr>
        <w:rPr>
          <w:b/>
          <w:bCs/>
          <w:i/>
          <w:iCs/>
        </w:rPr>
      </w:pPr>
      <w:r w:rsidRPr="00A4186B">
        <w:rPr>
          <w:b/>
          <w:bCs/>
          <w:i/>
          <w:iCs/>
        </w:rPr>
        <w:t xml:space="preserve">Economic </w:t>
      </w:r>
      <w:r w:rsidR="00F85897" w:rsidRPr="00A4186B">
        <w:rPr>
          <w:b/>
          <w:bCs/>
          <w:i/>
          <w:iCs/>
        </w:rPr>
        <w:t xml:space="preserve">Downturn </w:t>
      </w:r>
    </w:p>
    <w:p w14:paraId="53046AC0" w14:textId="77777777" w:rsidR="00A4186B" w:rsidRDefault="006D3955" w:rsidP="00A4186B">
      <w:r>
        <w:lastRenderedPageBreak/>
        <w:t>During the global economic recession, many consumers around the world faced financial challenges and reduced their spending on non-essential items, such as clothing and fashion accessories. This has impacted Inditex's sales and profitability, as consumers became more price-sensitive and sought out discounts and value-priced products.</w:t>
      </w:r>
      <w:r w:rsidR="0064296B">
        <w:t xml:space="preserve"> </w:t>
      </w:r>
      <w:r>
        <w:t>To address this challenge, Inditex needs to adapt its business model and marketing strategies to meet the needs of consumers during economic downturns. This might involve offering more value-priced products, promoting sales and discounts, and focusing on customer service and satisfaction to build brand loyalty</w:t>
      </w:r>
      <w:r w:rsidR="00846DE5">
        <w:t xml:space="preserve"> (</w:t>
      </w:r>
      <w:r w:rsidR="00846DE5" w:rsidRPr="00872543">
        <w:t>Paul,</w:t>
      </w:r>
      <w:r w:rsidR="00A71082">
        <w:t xml:space="preserve"> </w:t>
      </w:r>
      <w:r w:rsidR="00846DE5" w:rsidRPr="00872543">
        <w:t xml:space="preserve"> 2019</w:t>
      </w:r>
      <w:r w:rsidR="00846DE5">
        <w:t>)</w:t>
      </w:r>
      <w:r>
        <w:t>.</w:t>
      </w:r>
      <w:r w:rsidR="0064296B">
        <w:t xml:space="preserve"> </w:t>
      </w:r>
      <w:r>
        <w:t>In addition, Inditex needs to be proactive in managing its costs and financial risk during economic downturns, such as by reducing expenses, diversifying its product portfolio, and strengthening its supply chain. By taking these measures, Inditex can position itself to weather economic downturns and emerge from them in a strong position.</w:t>
      </w:r>
    </w:p>
    <w:p w14:paraId="6B803B70" w14:textId="77777777" w:rsidR="008140F1" w:rsidRPr="002D205A" w:rsidRDefault="006D3955" w:rsidP="008140F1">
      <w:pPr>
        <w:rPr>
          <w:b/>
          <w:bCs/>
          <w:i/>
          <w:iCs/>
        </w:rPr>
      </w:pPr>
      <w:r w:rsidRPr="002D205A">
        <w:rPr>
          <w:b/>
          <w:bCs/>
          <w:i/>
          <w:iCs/>
        </w:rPr>
        <w:t>Digital Transformation</w:t>
      </w:r>
    </w:p>
    <w:p w14:paraId="317522E9" w14:textId="77777777" w:rsidR="000175C4" w:rsidRDefault="006D3955" w:rsidP="000175C4">
      <w:r>
        <w:t>Inditex faces challenges as it looks to digitize its operations and improve its online presence. This might involve investing in e-commerce platforms and online marketing, improving its online shopping experience, and developing new digital products and services. These efforts can be complex and costly, and require Inditex to reallocate resources, invest in new technologies and expertise, and adapt its business model and processes. In addition, Inditex faces competition from digital-native companies that can leverage their expertise in digital technologies to offer innovative products and services that traditional companies like Inditex struggle to match</w:t>
      </w:r>
      <w:r w:rsidR="00A71082">
        <w:t xml:space="preserve"> (</w:t>
      </w:r>
      <w:r w:rsidR="00A71082" w:rsidRPr="00872543">
        <w:t>Ananda,</w:t>
      </w:r>
      <w:r w:rsidR="00A71082">
        <w:t xml:space="preserve"> et. al., 2019)</w:t>
      </w:r>
      <w:r>
        <w:t>. For example, Inditex faces competition from online-only retailers like ASOS and Boohoo, which have built their businesses around e-commerce and digital marketing and be able to offer a more seamless and convenient online shopping experience for consumers.</w:t>
      </w:r>
    </w:p>
    <w:p w14:paraId="75C91BC8" w14:textId="77777777" w:rsidR="00F85897" w:rsidRPr="005548B2" w:rsidRDefault="006D3955" w:rsidP="008140F1">
      <w:pPr>
        <w:rPr>
          <w:b/>
          <w:bCs/>
          <w:i/>
          <w:iCs/>
        </w:rPr>
      </w:pPr>
      <w:r w:rsidRPr="005548B2">
        <w:rPr>
          <w:b/>
          <w:bCs/>
          <w:i/>
          <w:iCs/>
        </w:rPr>
        <w:t xml:space="preserve">Sustainability </w:t>
      </w:r>
    </w:p>
    <w:p w14:paraId="3F3BD160" w14:textId="77777777" w:rsidR="004C2A51" w:rsidRDefault="006D3955" w:rsidP="004C2A51">
      <w:r>
        <w:t xml:space="preserve">Inditex faces challenges as it looks to reduce its environmental impacts, such as by reducing its carbon emissions, water usage, and waste. This might involve investing in more sustainable production technologies and processes, sourcing more sustainable materials, and collaborating with suppliers and partners to drive sustainability improvements throughout its supply chain. In addition, Inditex faces challenges as it looks to address social and labor issues, such as by improving working conditions, promoting diversity and inclusion, and addressing human rights concerns. This might involve working with stakeholders such as employees, suppliers, and NGOs to identify and address sustainability issues, and implementing policies and programs to </w:t>
      </w:r>
      <w:r>
        <w:lastRenderedPageBreak/>
        <w:t>promote sustainability within the organization</w:t>
      </w:r>
      <w:r w:rsidR="00A71082">
        <w:t xml:space="preserve"> (</w:t>
      </w:r>
      <w:r w:rsidR="00A71082" w:rsidRPr="00872543">
        <w:t>Athwal,</w:t>
      </w:r>
      <w:r w:rsidR="00A71082">
        <w:t xml:space="preserve"> et. al., 2019)</w:t>
      </w:r>
      <w:r>
        <w:t xml:space="preserve">. To address these challenges, Inditex needs to be proactive in its sustainability efforts, investing in the technologies and expertise that will enable it to meet the growing demand for sustainable products and practices. </w:t>
      </w:r>
    </w:p>
    <w:p w14:paraId="74DC2451" w14:textId="77777777" w:rsidR="0059463B" w:rsidRDefault="006D3955" w:rsidP="004C2A51">
      <w:pPr>
        <w:rPr>
          <w:b/>
          <w:bCs/>
          <w:i/>
          <w:iCs/>
        </w:rPr>
      </w:pPr>
      <w:r w:rsidRPr="0059463B">
        <w:rPr>
          <w:b/>
          <w:bCs/>
          <w:i/>
          <w:iCs/>
        </w:rPr>
        <w:t xml:space="preserve">Supply Chain Disruption </w:t>
      </w:r>
    </w:p>
    <w:p w14:paraId="3C6A2C77" w14:textId="77777777" w:rsidR="0059463B" w:rsidRPr="0059463B" w:rsidRDefault="006D3955" w:rsidP="0059463B">
      <w:r>
        <w:t>Inditex faces challenges as it looks to manage disruptions in its supply chain caused by the COVID-19 pandemic. The pandemic has had a significant impact on global supply chains, as it has disrupted transportation, disrupted production, and changed consumer demand. Inditex has faced challenges in sourcing materials, maintaining production levels, and meeting the changing needs of its customers as a result. To address this challenge, Inditex needs to be proactive in managing its supply chain risks and building resilience in its operations</w:t>
      </w:r>
      <w:r w:rsidR="00A71082">
        <w:t xml:space="preserve"> (</w:t>
      </w:r>
      <w:r w:rsidR="00A71082" w:rsidRPr="00872543">
        <w:t>Ebrahim</w:t>
      </w:r>
      <w:r w:rsidR="00A71082">
        <w:t xml:space="preserve">, </w:t>
      </w:r>
      <w:r w:rsidR="00A71082" w:rsidRPr="00872543">
        <w:t>2020</w:t>
      </w:r>
      <w:r w:rsidR="00A71082">
        <w:t>)</w:t>
      </w:r>
      <w:r>
        <w:t>. This might involve diversifying its supplier base, improving its forecasting and demand planning capabilities, and investing in technology and logistics to improve the efficiency and flexibility of its supply chain. By taking these measures, Inditex can position itself to better manage supply chain disruptions and minimize their impact on its business.</w:t>
      </w:r>
    </w:p>
    <w:p w14:paraId="5038A094" w14:textId="77777777" w:rsidR="0058458F" w:rsidRDefault="006D3955" w:rsidP="00F825F8">
      <w:pPr>
        <w:pStyle w:val="Heading1"/>
      </w:pPr>
      <w:bookmarkStart w:id="5" w:name="_Toc123246442"/>
      <w:r>
        <w:t xml:space="preserve">New Promotional Strategies for </w:t>
      </w:r>
      <w:r w:rsidRPr="00AA2FC4">
        <w:t>INDITEX</w:t>
      </w:r>
      <w:bookmarkEnd w:id="5"/>
      <w:r w:rsidR="00986593">
        <w:t xml:space="preserve"> </w:t>
      </w:r>
    </w:p>
    <w:p w14:paraId="27753551" w14:textId="77777777" w:rsidR="00EF63B3" w:rsidRDefault="006D3955" w:rsidP="00EF63B3">
      <w:r>
        <w:t>There are several promotional strategies that Inditex might consider considering the challenges it is facing in the changing business environment. These strategies include:</w:t>
      </w:r>
    </w:p>
    <w:p w14:paraId="568B3F50" w14:textId="77777777" w:rsidR="00EF63B3" w:rsidRPr="0045421B" w:rsidRDefault="006D3955" w:rsidP="00EF63B3">
      <w:pPr>
        <w:rPr>
          <w:b/>
          <w:bCs/>
        </w:rPr>
      </w:pPr>
      <w:r w:rsidRPr="0045421B">
        <w:rPr>
          <w:b/>
          <w:bCs/>
        </w:rPr>
        <w:t>Digital marketing as a marketing strategy to adapt the changes</w:t>
      </w:r>
    </w:p>
    <w:p w14:paraId="3708C691" w14:textId="77777777" w:rsidR="00EF63B3" w:rsidRDefault="006D3955" w:rsidP="00EF63B3">
      <w:r>
        <w:t>Digital marketing can be an effective promotional strategy for Inditex, given the challenges it is facing in the changing business environment. Digital marketing involves using digital channels and technologies, such as social media, email marketing, and targeted advertising, to reach and engage with customers and promote products.</w:t>
      </w:r>
      <w:r w:rsidR="001250E9">
        <w:t xml:space="preserve"> </w:t>
      </w:r>
      <w:r>
        <w:t xml:space="preserve">One example of how Inditex </w:t>
      </w:r>
      <w:r w:rsidR="0045421B">
        <w:t>can</w:t>
      </w:r>
      <w:r>
        <w:t xml:space="preserve"> use digital marketing to address the challenges it is facing is by using social media platforms to reach its target audience and promote its products. Social media platforms, such as Instagram, Facebook, and Twitter, offer a vast and highly targeted audience that Inditex can reach with its marketing messages. The company could use these platforms to showcase its latest fashion collections, offer special deals, and engage with its followers through contests, polls, or other interactive content</w:t>
      </w:r>
      <w:r w:rsidR="001250E9">
        <w:t xml:space="preserve"> (</w:t>
      </w:r>
      <w:r w:rsidR="001250E9" w:rsidRPr="0085528D">
        <w:t>Aftab,</w:t>
      </w:r>
      <w:r w:rsidR="001250E9">
        <w:t xml:space="preserve"> et. al., 2018)</w:t>
      </w:r>
      <w:r>
        <w:t>.</w:t>
      </w:r>
      <w:r w:rsidR="00264070">
        <w:t xml:space="preserve"> </w:t>
      </w:r>
      <w:r>
        <w:t xml:space="preserve">In addition, Inditex could use targeted advertising to reach specific demographics or geographic regions with its marketing messages. For example, the company could use Google AdWords or Facebook Ads to target users who have shown an </w:t>
      </w:r>
      <w:r>
        <w:lastRenderedPageBreak/>
        <w:t xml:space="preserve">interest in fashion or </w:t>
      </w:r>
      <w:r w:rsidR="00264070">
        <w:t>are in</w:t>
      </w:r>
      <w:r>
        <w:t xml:space="preserve"> specific countries or cities. This can help Inditex reach its target audience more effectively and efficiently, and can be particularly useful in reaching customers in regions where it does not have a physical presence.</w:t>
      </w:r>
      <w:r w:rsidR="00264070">
        <w:t xml:space="preserve"> </w:t>
      </w:r>
      <w:r>
        <w:t>By using digital marketing strategies like social media and targeted advertising, Inditex can effectively reach and engage its target audience and promote its products, despite the challenges it is facing in the changing business environment.</w:t>
      </w:r>
    </w:p>
    <w:p w14:paraId="66B66EBB" w14:textId="77777777" w:rsidR="00735A03" w:rsidRPr="00735A03" w:rsidRDefault="006D3955" w:rsidP="00EF63B3">
      <w:pPr>
        <w:rPr>
          <w:b/>
          <w:bCs/>
        </w:rPr>
      </w:pPr>
      <w:r w:rsidRPr="00735A03">
        <w:rPr>
          <w:b/>
          <w:bCs/>
        </w:rPr>
        <w:t>Collaborations and partnerships</w:t>
      </w:r>
      <w:r>
        <w:rPr>
          <w:b/>
          <w:bCs/>
        </w:rPr>
        <w:t xml:space="preserve"> </w:t>
      </w:r>
      <w:r w:rsidRPr="0045421B">
        <w:rPr>
          <w:b/>
          <w:bCs/>
        </w:rPr>
        <w:t>as a marketing strategy to adapt to the changes</w:t>
      </w:r>
    </w:p>
    <w:p w14:paraId="7FC2F5C3" w14:textId="77777777" w:rsidR="00735A03" w:rsidRDefault="006D3955" w:rsidP="00735A03">
      <w:r>
        <w:t xml:space="preserve">Collaborating with other brands or organizations can help Inditex create unique and exciting promotional campaigns that capture the attention of its target audience and differentiate the company from its competitors. One example of how Inditex might use collaborations and partnerships as a promotional strategy is by partnering with other fashion brands to create limited-edition products or collections. This can help Inditex reach new audiences and create buzz around its products, as customers </w:t>
      </w:r>
      <w:r w:rsidR="00851873">
        <w:t>would</w:t>
      </w:r>
      <w:r>
        <w:t xml:space="preserve"> be more likely to purchase a product that is exclusive or hard to find. For example, Inditex could collaborate with a popular designer or streetwear brand to create a limited-edition clothing line that combines the two brands' styles and aesthetics. In addition, Inditex could consider partnering with artists, musicians, or events to create promotional campaigns that align with its brand values and appeal to its target audience</w:t>
      </w:r>
      <w:r w:rsidR="001250E9">
        <w:t xml:space="preserve"> (</w:t>
      </w:r>
      <w:r w:rsidR="001250E9" w:rsidRPr="0085528D">
        <w:t>Allam and SCAGNELLI, 2019</w:t>
      </w:r>
      <w:r w:rsidR="001250E9">
        <w:t>)</w:t>
      </w:r>
      <w:r>
        <w:t>. For example, Inditex could sponsor a music festival or collaborate with an artist to create a clothing line inspired by the artist's work. This can help Inditex reach a new audience and create a memorable and unique promotional campaign that resonates with its target audience. By using collaborations and partnerships as a promotional strategy, Inditex can create exciting and differentiated promotional campaigns that capture the attention of its target audience and build brand awareness and loyalty, despite the challenges it is facing in the changing business environment.</w:t>
      </w:r>
    </w:p>
    <w:p w14:paraId="755B4760" w14:textId="77777777" w:rsidR="003D1AEC" w:rsidRDefault="006D3955" w:rsidP="00735A03">
      <w:pPr>
        <w:rPr>
          <w:b/>
          <w:bCs/>
        </w:rPr>
      </w:pPr>
      <w:r>
        <w:rPr>
          <w:b/>
          <w:bCs/>
        </w:rPr>
        <w:t xml:space="preserve">Content </w:t>
      </w:r>
      <w:r w:rsidRPr="0045421B">
        <w:rPr>
          <w:b/>
          <w:bCs/>
        </w:rPr>
        <w:t>marketing as a marketing strategy to adapt the changes</w:t>
      </w:r>
    </w:p>
    <w:p w14:paraId="49CE32B9" w14:textId="77777777" w:rsidR="003D1AEC" w:rsidRDefault="006D3955" w:rsidP="00047643">
      <w:r>
        <w:t>Content marketing involves creating and sharing useful, informative, or entertaining content, such as blog posts, videos, or infographics, on a company's website or social media channels, to attract and retain customers and drive profitable customer action. One example of how Inditex might use content marketing as a promotional strategy is by creating and sharing fashion-related content on its website or social media channels. This could include blog posts or articles about fashion trends, tips for styling and accessorizing, or behind-the-scenes looks at Inditex's design and production process</w:t>
      </w:r>
      <w:r w:rsidR="001250E9">
        <w:t xml:space="preserve"> (</w:t>
      </w:r>
      <w:r w:rsidR="001250E9" w:rsidRPr="0085528D">
        <w:t>Jiang</w:t>
      </w:r>
      <w:r w:rsidR="001250E9">
        <w:t xml:space="preserve"> </w:t>
      </w:r>
      <w:r w:rsidR="001250E9" w:rsidRPr="0085528D">
        <w:t>., 202</w:t>
      </w:r>
      <w:r w:rsidR="001250E9">
        <w:t>)</w:t>
      </w:r>
      <w:r>
        <w:t xml:space="preserve">. By creating engaging and informative </w:t>
      </w:r>
      <w:r>
        <w:lastRenderedPageBreak/>
        <w:t>content that is relevant to its target audience, Inditex can attract and retain customers, and drive them to its products. In addition, Inditex could use video content, such as fashion lookbooks, product demonstrations, or behind-the-scenes glimpses, to promote its products and engage with its target audience. Video content can be particularly effective at capturing the attention of consumers and driving engagement, and Inditex could use platforms like YouTube or Instagram to share its video content with a wide audience. By using content marketing as a promotional strategy, Inditex can attract and retain customers, and build brand awareness and loyalty, despite the challenges it is facing in the changing business environment.</w:t>
      </w:r>
    </w:p>
    <w:p w14:paraId="067CBEFF" w14:textId="77777777" w:rsidR="00851873" w:rsidRDefault="006D3955" w:rsidP="00047643">
      <w:r>
        <w:rPr>
          <w:b/>
          <w:bCs/>
        </w:rPr>
        <w:t xml:space="preserve">Influencer </w:t>
      </w:r>
      <w:r w:rsidRPr="0045421B">
        <w:rPr>
          <w:b/>
          <w:bCs/>
        </w:rPr>
        <w:t>marketing as a marketing strategy to adapt the changes</w:t>
      </w:r>
    </w:p>
    <w:p w14:paraId="7AB803AA" w14:textId="77777777" w:rsidR="00851873" w:rsidRDefault="006D3955" w:rsidP="00851873">
      <w:r>
        <w:t>Influencer marketing involves working with popular influencers or celebrities to create sponsored content or host events to showcase a company's products. This can help Inditex reach a wider audience and build brand awareness and credibility. One example of how Inditex might use influencer marketing as a promotional strategy is by partnering with popular influencers or celebrities to create sponsored content that showcases its products. For example, Inditex could work with a fashion influencer to create a sponsored Instagram post or YouTube video that features the influencer wearing Inditex products and sharing their thoughts on them. This can help Inditex reach a new audience and build credibility, as consumers may be more likely to trust the recommendation of an influencer they follow and admire. In addition, Inditex could consider hosting events or experiences that feature popular influencers or celebrities to promote its products and build brand awareness</w:t>
      </w:r>
      <w:r w:rsidR="001250E9">
        <w:t xml:space="preserve"> (</w:t>
      </w:r>
      <w:r w:rsidR="001250E9" w:rsidRPr="0085528D">
        <w:t>Galán-Ladero and Sánchez-Hernández,</w:t>
      </w:r>
      <w:r w:rsidR="001250E9">
        <w:t xml:space="preserve"> </w:t>
      </w:r>
      <w:r w:rsidR="001250E9" w:rsidRPr="0085528D">
        <w:t>2022</w:t>
      </w:r>
      <w:r w:rsidR="001250E9">
        <w:t>)</w:t>
      </w:r>
      <w:r>
        <w:t>. For example, Inditex could host a fashion show or event that features an influencer or celebrity as a guest of honor, and showcase its latest collections at the event. This can help Inditex create buzz and excitement around its products and build brand credibility and loyalty. By using influencer marketing as a promotional strategy, Inditex can reach a wider audience and build brand awareness and credibility, despite the challenges it is facing in the changing business environment.</w:t>
      </w:r>
    </w:p>
    <w:p w14:paraId="00719875" w14:textId="77777777" w:rsidR="00D853B2" w:rsidRDefault="00D853B2">
      <w:pPr>
        <w:spacing w:line="259" w:lineRule="auto"/>
        <w:jc w:val="left"/>
      </w:pPr>
      <w:r>
        <w:br w:type="page"/>
      </w:r>
    </w:p>
    <w:p w14:paraId="20F2722F" w14:textId="77777777" w:rsidR="00D853B2" w:rsidRPr="00EF63B3" w:rsidRDefault="00D853B2" w:rsidP="00851873"/>
    <w:p w14:paraId="101338F7" w14:textId="77777777" w:rsidR="00AA2FC4" w:rsidRDefault="006D3955" w:rsidP="00F825F8">
      <w:pPr>
        <w:pStyle w:val="Heading1"/>
      </w:pPr>
      <w:bookmarkStart w:id="6" w:name="_Toc123246443"/>
      <w:r>
        <w:t>Conclusion</w:t>
      </w:r>
      <w:bookmarkEnd w:id="6"/>
    </w:p>
    <w:p w14:paraId="4C7D0A13" w14:textId="77777777" w:rsidR="00793C1B" w:rsidRDefault="006D3955" w:rsidP="00793C1B">
      <w:r>
        <w:t>The company's Integrated Marketing Communication strategy includes elements such as advertising, public relations, and digital marketing, and aims to create a cohesive and consistent message across all channels. However, to remain competitive and successful in the face of these challenges, Inditex may need to consider adopting new promotional strategies. Some of the new promotional strategies that Inditex could consider include digital marketing, content marketing, customer loyalty programs, collaborations and partnerships, and influencer marketing. These strategies can help Inditex reach and engage its target audience, build brand awareness and loyalty, and differentiate itself from its competitors. Overall, Inditex's use of Integrated Marketing Communication and its willingness to adapt and innovate in the face of changing business conditions will be key to its success in the future. By leveraging the power of Integrated Marketing Communication and adopting new promotional strategies, Inditex can continue to thrive in the fast-paced and ever-changing world of fashion.</w:t>
      </w:r>
    </w:p>
    <w:p w14:paraId="73F84EC8" w14:textId="77777777" w:rsidR="006478DE" w:rsidRDefault="006D3955">
      <w:pPr>
        <w:spacing w:line="259" w:lineRule="auto"/>
        <w:jc w:val="left"/>
      </w:pPr>
      <w:r>
        <w:br w:type="page"/>
      </w:r>
    </w:p>
    <w:p w14:paraId="17F348F1" w14:textId="77777777" w:rsidR="006478DE" w:rsidRDefault="006D3955" w:rsidP="006478DE">
      <w:pPr>
        <w:pStyle w:val="Heading1"/>
      </w:pPr>
      <w:bookmarkStart w:id="7" w:name="_Toc123246444"/>
      <w:r>
        <w:lastRenderedPageBreak/>
        <w:t>References</w:t>
      </w:r>
      <w:bookmarkEnd w:id="7"/>
      <w:r>
        <w:t xml:space="preserve"> </w:t>
      </w:r>
    </w:p>
    <w:p w14:paraId="6B4209CF" w14:textId="77777777" w:rsidR="006478DE" w:rsidRPr="006478DE" w:rsidRDefault="006D3955" w:rsidP="006478DE">
      <w:r w:rsidRPr="006478DE">
        <w:t xml:space="preserve">Aftab, M.A., Yuanjian, Q., Kabir, N. and Barua, Z., </w:t>
      </w:r>
      <w:r w:rsidR="00D853B2">
        <w:t>(2018)</w:t>
      </w:r>
      <w:r w:rsidRPr="006478DE">
        <w:t xml:space="preserve"> Super responsive supply chain: The case of Spanish fast fashion retailer Inditex-Zara. </w:t>
      </w:r>
      <w:r w:rsidRPr="006478DE">
        <w:rPr>
          <w:i/>
          <w:iCs/>
        </w:rPr>
        <w:t>International Journal of Business and Management</w:t>
      </w:r>
      <w:r w:rsidRPr="006478DE">
        <w:t>, </w:t>
      </w:r>
      <w:r w:rsidRPr="006478DE">
        <w:rPr>
          <w:i/>
          <w:iCs/>
        </w:rPr>
        <w:t>13</w:t>
      </w:r>
      <w:r w:rsidRPr="006478DE">
        <w:t>(5), p.212.</w:t>
      </w:r>
    </w:p>
    <w:p w14:paraId="5F7F363F" w14:textId="77777777" w:rsidR="006478DE" w:rsidRPr="006478DE" w:rsidRDefault="006D3955" w:rsidP="006478DE">
      <w:r w:rsidRPr="006478DE">
        <w:t xml:space="preserve">Allam, I. and SCAGNELLI, S., </w:t>
      </w:r>
      <w:r w:rsidR="00D853B2">
        <w:t>(2019)</w:t>
      </w:r>
      <w:r w:rsidRPr="006478DE">
        <w:t xml:space="preserve"> Sustainability-leader companies: Do they dare to report their wrongdoing? Evidence from Inditex SA. In </w:t>
      </w:r>
      <w:r w:rsidRPr="006478DE">
        <w:rPr>
          <w:i/>
          <w:iCs/>
        </w:rPr>
        <w:t>THE 9th INTERNATIONAL CONFERENCE ON MANAGEMENT</w:t>
      </w:r>
      <w:r w:rsidRPr="006478DE">
        <w:t> (p. 206).</w:t>
      </w:r>
    </w:p>
    <w:p w14:paraId="2E50E608" w14:textId="77777777" w:rsidR="006478DE" w:rsidRPr="006478DE" w:rsidRDefault="006D3955" w:rsidP="006478DE">
      <w:r w:rsidRPr="006478DE">
        <w:t xml:space="preserve">Ananda, A.S., Hernández-García, Á., Acquila-Natale, E. and Lamberti, L., </w:t>
      </w:r>
      <w:r w:rsidR="00D853B2">
        <w:t>(2019)</w:t>
      </w:r>
      <w:r w:rsidRPr="006478DE">
        <w:t xml:space="preserve"> What makes fashion consumers “click”? Generation of eWoM engagement in social media. </w:t>
      </w:r>
      <w:r w:rsidRPr="006478DE">
        <w:rPr>
          <w:i/>
          <w:iCs/>
        </w:rPr>
        <w:t>Asia Pacific Journal of Marketing and Logistics</w:t>
      </w:r>
      <w:r w:rsidRPr="006478DE">
        <w:t>.</w:t>
      </w:r>
    </w:p>
    <w:p w14:paraId="70957DE5" w14:textId="77777777" w:rsidR="006478DE" w:rsidRPr="006478DE" w:rsidRDefault="006D3955" w:rsidP="006478DE">
      <w:r w:rsidRPr="006478DE">
        <w:t xml:space="preserve">Athwal, N., Wells, V.K., Carrigan, M. and Henninger, C.E., </w:t>
      </w:r>
      <w:r w:rsidR="00D853B2">
        <w:t>(2019)</w:t>
      </w:r>
      <w:r w:rsidRPr="006478DE">
        <w:t xml:space="preserve"> Sustainable luxury marketing: A synthesis and research agenda. </w:t>
      </w:r>
      <w:r w:rsidRPr="006478DE">
        <w:rPr>
          <w:i/>
          <w:iCs/>
        </w:rPr>
        <w:t>International Journal of Management Reviews</w:t>
      </w:r>
      <w:r w:rsidRPr="006478DE">
        <w:t>, </w:t>
      </w:r>
      <w:r w:rsidRPr="006478DE">
        <w:rPr>
          <w:i/>
          <w:iCs/>
        </w:rPr>
        <w:t>21</w:t>
      </w:r>
      <w:r w:rsidRPr="006478DE">
        <w:t>(4), pp.405-426.</w:t>
      </w:r>
    </w:p>
    <w:p w14:paraId="320BB4DA" w14:textId="77777777" w:rsidR="006478DE" w:rsidRPr="006478DE" w:rsidRDefault="006D3955" w:rsidP="006478DE">
      <w:r w:rsidRPr="006478DE">
        <w:t xml:space="preserve">Bilovodska, O., Syhyda, L. and Saher, L., </w:t>
      </w:r>
      <w:r w:rsidR="00D853B2">
        <w:t>(2018)</w:t>
      </w:r>
      <w:r w:rsidRPr="006478DE">
        <w:t xml:space="preserve"> Supply chain management: world’s companies experience. </w:t>
      </w:r>
      <w:r w:rsidRPr="006478DE">
        <w:rPr>
          <w:i/>
          <w:iCs/>
        </w:rPr>
        <w:t>MIND Journal</w:t>
      </w:r>
      <w:r w:rsidRPr="006478DE">
        <w:t>, (5), pp.1-17.</w:t>
      </w:r>
    </w:p>
    <w:p w14:paraId="0625D003" w14:textId="77777777" w:rsidR="006478DE" w:rsidRPr="006478DE" w:rsidRDefault="006D3955" w:rsidP="006478DE">
      <w:r w:rsidRPr="006478DE">
        <w:t xml:space="preserve">Ebrahim, R.S., </w:t>
      </w:r>
      <w:r w:rsidR="00D853B2">
        <w:t>(</w:t>
      </w:r>
      <w:r w:rsidRPr="006478DE">
        <w:t>2020</w:t>
      </w:r>
      <w:r w:rsidR="00D853B2">
        <w:t>)</w:t>
      </w:r>
      <w:r w:rsidRPr="006478DE">
        <w:t xml:space="preserve"> The role of trust in understanding the impact of social media marketing on brand equity and brand loyalty. </w:t>
      </w:r>
      <w:r w:rsidRPr="006478DE">
        <w:rPr>
          <w:i/>
          <w:iCs/>
        </w:rPr>
        <w:t>Journal of Relationship Marketing</w:t>
      </w:r>
      <w:r w:rsidRPr="006478DE">
        <w:t>, </w:t>
      </w:r>
      <w:r w:rsidRPr="006478DE">
        <w:rPr>
          <w:i/>
          <w:iCs/>
        </w:rPr>
        <w:t>19</w:t>
      </w:r>
      <w:r w:rsidRPr="006478DE">
        <w:t>(4), pp.287-308.</w:t>
      </w:r>
    </w:p>
    <w:p w14:paraId="73A9BB22" w14:textId="77777777" w:rsidR="006478DE" w:rsidRPr="006478DE" w:rsidRDefault="006D3955" w:rsidP="006478DE">
      <w:r w:rsidRPr="006478DE">
        <w:t xml:space="preserve">Esbeih, K.N., Molina-Moreno, V., Núñez-Cacho, P. and Silva-Santos, B., </w:t>
      </w:r>
      <w:r w:rsidR="00D853B2">
        <w:t>(2021)</w:t>
      </w:r>
      <w:r w:rsidRPr="006478DE">
        <w:t xml:space="preserve"> Transition to the Circular Economy in the Fashion Industry: The Case of the Inditex Family Business. </w:t>
      </w:r>
      <w:r w:rsidRPr="006478DE">
        <w:rPr>
          <w:i/>
          <w:iCs/>
        </w:rPr>
        <w:t>Sustainability</w:t>
      </w:r>
      <w:r w:rsidRPr="006478DE">
        <w:t>, </w:t>
      </w:r>
      <w:r w:rsidRPr="006478DE">
        <w:rPr>
          <w:i/>
          <w:iCs/>
        </w:rPr>
        <w:t>13</w:t>
      </w:r>
      <w:r w:rsidRPr="006478DE">
        <w:t>(18), p.10202.</w:t>
      </w:r>
    </w:p>
    <w:p w14:paraId="517D0275" w14:textId="77777777" w:rsidR="006478DE" w:rsidRPr="006478DE" w:rsidRDefault="006D3955" w:rsidP="006478DE">
      <w:r w:rsidRPr="006478DE">
        <w:t xml:space="preserve">Galán-Ladero, M.M. and Sánchez-Hernández, M.I., </w:t>
      </w:r>
      <w:r w:rsidR="00D853B2">
        <w:t>(2022)</w:t>
      </w:r>
      <w:r w:rsidRPr="006478DE">
        <w:t xml:space="preserve"> Corporate donation behavior during the covid-19 pandemic. A case-study approach in the multinational inditex. </w:t>
      </w:r>
      <w:r w:rsidRPr="006478DE">
        <w:rPr>
          <w:i/>
          <w:iCs/>
        </w:rPr>
        <w:t>Heliyon</w:t>
      </w:r>
      <w:r w:rsidRPr="006478DE">
        <w:t>, p.e12188.</w:t>
      </w:r>
    </w:p>
    <w:p w14:paraId="43D42D21" w14:textId="77777777" w:rsidR="006478DE" w:rsidRPr="006478DE" w:rsidRDefault="006D3955" w:rsidP="006478DE">
      <w:r w:rsidRPr="006478DE">
        <w:t xml:space="preserve">Helal, G., Ozuem, W. and Lancaster, G., </w:t>
      </w:r>
      <w:r w:rsidR="00D853B2">
        <w:t>(2018)</w:t>
      </w:r>
      <w:r w:rsidRPr="006478DE">
        <w:t xml:space="preserve"> Social media brand perceptions of millennials. </w:t>
      </w:r>
      <w:r w:rsidRPr="006478DE">
        <w:rPr>
          <w:i/>
          <w:iCs/>
        </w:rPr>
        <w:t>International Journal of Retail &amp; Distribution Management</w:t>
      </w:r>
      <w:r w:rsidRPr="006478DE">
        <w:t>.</w:t>
      </w:r>
    </w:p>
    <w:p w14:paraId="3DD410AC" w14:textId="77777777" w:rsidR="006478DE" w:rsidRPr="006478DE" w:rsidRDefault="006D3955" w:rsidP="006478DE">
      <w:r w:rsidRPr="006478DE">
        <w:t xml:space="preserve">Inditex.com, </w:t>
      </w:r>
      <w:r w:rsidR="00D853B2">
        <w:t>(2022)</w:t>
      </w:r>
      <w:r w:rsidRPr="006478DE">
        <w:t xml:space="preserve"> WE ARE A FAMILY OF BRANDS THAT CELEBRATE STYLE, SELF-EXPRESSION, AND THE POWER OF FASHION TO MAKE A CHANGE. </w:t>
      </w:r>
      <w:r w:rsidRPr="006478DE">
        <w:rPr>
          <w:i/>
          <w:iCs/>
        </w:rPr>
        <w:t>Inditex.com.</w:t>
      </w:r>
      <w:r w:rsidRPr="006478DE">
        <w:t xml:space="preserve"> [Online]. Available at: </w:t>
      </w:r>
      <w:hyperlink r:id="rId13" w:history="1">
        <w:r w:rsidRPr="006478DE">
          <w:rPr>
            <w:rStyle w:val="Hyperlink"/>
            <w:color w:val="auto"/>
          </w:rPr>
          <w:t>https://www.inditex.com/itxcomweb/en/home</w:t>
        </w:r>
      </w:hyperlink>
      <w:r w:rsidRPr="006478DE">
        <w:t>. Accessed on [29</w:t>
      </w:r>
      <w:r w:rsidRPr="006478DE">
        <w:rPr>
          <w:vertAlign w:val="superscript"/>
        </w:rPr>
        <w:t xml:space="preserve"> </w:t>
      </w:r>
      <w:r w:rsidRPr="006478DE">
        <w:t xml:space="preserve">December 2022]. </w:t>
      </w:r>
    </w:p>
    <w:p w14:paraId="0B906D7B" w14:textId="77777777" w:rsidR="006478DE" w:rsidRPr="006478DE" w:rsidRDefault="006D3955" w:rsidP="006478DE">
      <w:r w:rsidRPr="006478DE">
        <w:lastRenderedPageBreak/>
        <w:t xml:space="preserve">Jiang, B., </w:t>
      </w:r>
      <w:r w:rsidR="00D853B2">
        <w:t>(2022)</w:t>
      </w:r>
      <w:r w:rsidRPr="006478DE">
        <w:t xml:space="preserve"> How Consumers’ Response on CSR Affects Brand Competitiveness in the Fast Fashion Industry——Case Study of Zara (Inditex) and H&amp;M. </w:t>
      </w:r>
      <w:r w:rsidRPr="006478DE">
        <w:rPr>
          <w:i/>
          <w:iCs/>
        </w:rPr>
        <w:t>Academic Journal of Business &amp; Management</w:t>
      </w:r>
      <w:r w:rsidRPr="006478DE">
        <w:t>, </w:t>
      </w:r>
      <w:r w:rsidRPr="006478DE">
        <w:rPr>
          <w:i/>
          <w:iCs/>
        </w:rPr>
        <w:t>4</w:t>
      </w:r>
      <w:r w:rsidRPr="006478DE">
        <w:t>(1).</w:t>
      </w:r>
    </w:p>
    <w:p w14:paraId="3EC4B6BD" w14:textId="77777777" w:rsidR="006478DE" w:rsidRPr="006478DE" w:rsidRDefault="006D3955" w:rsidP="006478DE">
      <w:r w:rsidRPr="006478DE">
        <w:t xml:space="preserve">Kim, Y.K. and Sullivan, P., </w:t>
      </w:r>
      <w:r w:rsidR="00D853B2">
        <w:t>(2019)</w:t>
      </w:r>
      <w:r w:rsidRPr="006478DE">
        <w:t xml:space="preserve"> Emotional branding speaks to consumers’ heart: The case of fashion brands. </w:t>
      </w:r>
      <w:r w:rsidRPr="006478DE">
        <w:rPr>
          <w:i/>
          <w:iCs/>
        </w:rPr>
        <w:t>Fashion and Textiles</w:t>
      </w:r>
      <w:r w:rsidRPr="006478DE">
        <w:t>, </w:t>
      </w:r>
      <w:r w:rsidRPr="006478DE">
        <w:rPr>
          <w:i/>
          <w:iCs/>
        </w:rPr>
        <w:t>6</w:t>
      </w:r>
      <w:r w:rsidRPr="006478DE">
        <w:t>(1), pp.1-16.</w:t>
      </w:r>
    </w:p>
    <w:p w14:paraId="1BA34D33" w14:textId="77777777" w:rsidR="006478DE" w:rsidRPr="006478DE" w:rsidRDefault="006D3955" w:rsidP="006478DE">
      <w:r w:rsidRPr="006478DE">
        <w:t xml:space="preserve">Liu, Y., </w:t>
      </w:r>
      <w:r w:rsidR="00D853B2">
        <w:t>(</w:t>
      </w:r>
      <w:r w:rsidRPr="006478DE">
        <w:t>2021</w:t>
      </w:r>
      <w:r w:rsidR="00D853B2">
        <w:t>)</w:t>
      </w:r>
      <w:r w:rsidRPr="006478DE">
        <w:t>, December. Analysis of the Marketing Strategies of Fashion Brands in the Economic Environment of Social Media. In </w:t>
      </w:r>
      <w:r w:rsidRPr="006478DE">
        <w:rPr>
          <w:i/>
          <w:iCs/>
        </w:rPr>
        <w:t>2021 3rd International Conference on Economic Management and Cultural Industry (ICEMCI 2021)</w:t>
      </w:r>
      <w:r w:rsidRPr="006478DE">
        <w:t> (pp. 707-711). Atlantis Press.</w:t>
      </w:r>
    </w:p>
    <w:p w14:paraId="62D55D84" w14:textId="77777777" w:rsidR="006478DE" w:rsidRPr="006478DE" w:rsidRDefault="006D3955" w:rsidP="006478DE">
      <w:r w:rsidRPr="006478DE">
        <w:t xml:space="preserve">Paul, J., </w:t>
      </w:r>
      <w:r w:rsidR="00D853B2">
        <w:t>(2019)</w:t>
      </w:r>
      <w:r w:rsidRPr="006478DE">
        <w:t xml:space="preserve"> Masstige model and measure for brand management. </w:t>
      </w:r>
      <w:r w:rsidRPr="006478DE">
        <w:rPr>
          <w:i/>
          <w:iCs/>
        </w:rPr>
        <w:t>European Management Journal</w:t>
      </w:r>
      <w:r w:rsidRPr="006478DE">
        <w:t>, </w:t>
      </w:r>
      <w:r w:rsidRPr="006478DE">
        <w:rPr>
          <w:i/>
          <w:iCs/>
        </w:rPr>
        <w:t>37</w:t>
      </w:r>
      <w:r w:rsidRPr="006478DE">
        <w:t>(3), pp.299-312.</w:t>
      </w:r>
    </w:p>
    <w:p w14:paraId="2E716F70" w14:textId="77777777" w:rsidR="006478DE" w:rsidRPr="006478DE" w:rsidRDefault="006D3955" w:rsidP="006478DE">
      <w:r w:rsidRPr="006478DE">
        <w:t xml:space="preserve">Zollo, L., Filieri, R., Rialti, R. and Yoon, S., </w:t>
      </w:r>
      <w:r w:rsidR="00D853B2">
        <w:t>(2020)</w:t>
      </w:r>
      <w:r w:rsidRPr="006478DE">
        <w:t xml:space="preserve"> Unpacking the relationship between social media marketing and brand equity: The mediating role of consumers’ benefits and experience. </w:t>
      </w:r>
      <w:r w:rsidRPr="006478DE">
        <w:rPr>
          <w:i/>
          <w:iCs/>
        </w:rPr>
        <w:t>Journal of Business research</w:t>
      </w:r>
      <w:r w:rsidRPr="006478DE">
        <w:t>, </w:t>
      </w:r>
      <w:r w:rsidRPr="006478DE">
        <w:rPr>
          <w:i/>
          <w:iCs/>
        </w:rPr>
        <w:t>117</w:t>
      </w:r>
      <w:r w:rsidRPr="006478DE">
        <w:t>, pp.256-267.</w:t>
      </w:r>
    </w:p>
    <w:p w14:paraId="50CCF766" w14:textId="77777777" w:rsidR="006478DE" w:rsidRDefault="006478DE" w:rsidP="006478DE"/>
    <w:p w14:paraId="623BEA7B" w14:textId="77777777" w:rsidR="006478DE" w:rsidRPr="00793C1B" w:rsidRDefault="006478DE" w:rsidP="00793C1B"/>
    <w:sectPr w:rsidR="006478DE" w:rsidRPr="00793C1B" w:rsidSect="00D853B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6118E" w14:textId="77777777" w:rsidR="00511EFC" w:rsidRDefault="00511EFC">
      <w:pPr>
        <w:spacing w:after="0" w:line="240" w:lineRule="auto"/>
      </w:pPr>
      <w:r>
        <w:separator/>
      </w:r>
    </w:p>
  </w:endnote>
  <w:endnote w:type="continuationSeparator" w:id="0">
    <w:p w14:paraId="68B7E2C6" w14:textId="77777777" w:rsidR="00511EFC" w:rsidRDefault="00511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637537"/>
      <w:docPartObj>
        <w:docPartGallery w:val="Page Numbers (Bottom of Page)"/>
        <w:docPartUnique/>
      </w:docPartObj>
    </w:sdtPr>
    <w:sdtEndPr>
      <w:rPr>
        <w:noProof/>
      </w:rPr>
    </w:sdtEndPr>
    <w:sdtContent>
      <w:p w14:paraId="5E5CF1BF" w14:textId="77777777" w:rsidR="00B5435E" w:rsidRDefault="006D395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EB326E5" w14:textId="77777777" w:rsidR="00B5435E" w:rsidRDefault="00B54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968C4" w14:textId="77777777" w:rsidR="00511EFC" w:rsidRDefault="00511EFC">
      <w:pPr>
        <w:spacing w:after="0" w:line="240" w:lineRule="auto"/>
      </w:pPr>
      <w:r>
        <w:separator/>
      </w:r>
    </w:p>
  </w:footnote>
  <w:footnote w:type="continuationSeparator" w:id="0">
    <w:p w14:paraId="192484E5" w14:textId="77777777" w:rsidR="00511EFC" w:rsidRDefault="00511E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5B3"/>
    <w:rsid w:val="000175C4"/>
    <w:rsid w:val="00047643"/>
    <w:rsid w:val="00104CAB"/>
    <w:rsid w:val="00123A20"/>
    <w:rsid w:val="001250E9"/>
    <w:rsid w:val="00150C77"/>
    <w:rsid w:val="00154810"/>
    <w:rsid w:val="001600C8"/>
    <w:rsid w:val="001636C3"/>
    <w:rsid w:val="002210D8"/>
    <w:rsid w:val="0023252D"/>
    <w:rsid w:val="00264070"/>
    <w:rsid w:val="002A3B88"/>
    <w:rsid w:val="002D1E34"/>
    <w:rsid w:val="002D205A"/>
    <w:rsid w:val="002E2CDB"/>
    <w:rsid w:val="0030758B"/>
    <w:rsid w:val="00375A41"/>
    <w:rsid w:val="003D1AEC"/>
    <w:rsid w:val="003F0D8B"/>
    <w:rsid w:val="0042114D"/>
    <w:rsid w:val="0045421B"/>
    <w:rsid w:val="004C2A51"/>
    <w:rsid w:val="00511EFC"/>
    <w:rsid w:val="005548B2"/>
    <w:rsid w:val="0058458F"/>
    <w:rsid w:val="0059463B"/>
    <w:rsid w:val="005D529E"/>
    <w:rsid w:val="005D703A"/>
    <w:rsid w:val="005E0133"/>
    <w:rsid w:val="0064296B"/>
    <w:rsid w:val="006478DE"/>
    <w:rsid w:val="006A5AAD"/>
    <w:rsid w:val="006D3955"/>
    <w:rsid w:val="00735A03"/>
    <w:rsid w:val="00793C1B"/>
    <w:rsid w:val="008140F1"/>
    <w:rsid w:val="00846DE5"/>
    <w:rsid w:val="00851873"/>
    <w:rsid w:val="0085528D"/>
    <w:rsid w:val="00872543"/>
    <w:rsid w:val="008A4EED"/>
    <w:rsid w:val="009325B3"/>
    <w:rsid w:val="009568CC"/>
    <w:rsid w:val="00974226"/>
    <w:rsid w:val="00986593"/>
    <w:rsid w:val="00A175A4"/>
    <w:rsid w:val="00A4186B"/>
    <w:rsid w:val="00A71082"/>
    <w:rsid w:val="00A9602C"/>
    <w:rsid w:val="00AA2FC4"/>
    <w:rsid w:val="00AB1E33"/>
    <w:rsid w:val="00AB6041"/>
    <w:rsid w:val="00B029A2"/>
    <w:rsid w:val="00B0551C"/>
    <w:rsid w:val="00B30BAB"/>
    <w:rsid w:val="00B33E51"/>
    <w:rsid w:val="00B47CC5"/>
    <w:rsid w:val="00B5435E"/>
    <w:rsid w:val="00B86D5A"/>
    <w:rsid w:val="00BC1D22"/>
    <w:rsid w:val="00BF681A"/>
    <w:rsid w:val="00C21061"/>
    <w:rsid w:val="00C414EB"/>
    <w:rsid w:val="00C634EE"/>
    <w:rsid w:val="00C87100"/>
    <w:rsid w:val="00CF06FF"/>
    <w:rsid w:val="00D2322A"/>
    <w:rsid w:val="00D23403"/>
    <w:rsid w:val="00D81236"/>
    <w:rsid w:val="00D853B2"/>
    <w:rsid w:val="00DE7D52"/>
    <w:rsid w:val="00E12ECD"/>
    <w:rsid w:val="00E33B0D"/>
    <w:rsid w:val="00E661C3"/>
    <w:rsid w:val="00EB0985"/>
    <w:rsid w:val="00EF63B3"/>
    <w:rsid w:val="00F23DAA"/>
    <w:rsid w:val="00F67C1C"/>
    <w:rsid w:val="00F825F8"/>
    <w:rsid w:val="00F858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7A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A0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58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58F"/>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58458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458F"/>
    <w:rPr>
      <w:rFonts w:ascii="Times New Roman" w:eastAsiaTheme="majorEastAsia" w:hAnsi="Times New Roman" w:cstheme="majorBidi"/>
      <w:b/>
      <w:spacing w:val="-10"/>
      <w:kern w:val="28"/>
      <w:sz w:val="56"/>
      <w:szCs w:val="56"/>
    </w:rPr>
  </w:style>
  <w:style w:type="character" w:styleId="Hyperlink">
    <w:name w:val="Hyperlink"/>
    <w:basedOn w:val="DefaultParagraphFont"/>
    <w:uiPriority w:val="99"/>
    <w:unhideWhenUsed/>
    <w:rsid w:val="006478DE"/>
    <w:rPr>
      <w:color w:val="0563C1" w:themeColor="hyperlink"/>
      <w:u w:val="single"/>
    </w:rPr>
  </w:style>
  <w:style w:type="paragraph" w:styleId="TOCHeading">
    <w:name w:val="TOC Heading"/>
    <w:basedOn w:val="Heading1"/>
    <w:next w:val="Normal"/>
    <w:uiPriority w:val="39"/>
    <w:unhideWhenUsed/>
    <w:qFormat/>
    <w:rsid w:val="006478D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478DE"/>
    <w:pPr>
      <w:spacing w:after="100"/>
    </w:pPr>
  </w:style>
  <w:style w:type="paragraph" w:styleId="Header">
    <w:name w:val="header"/>
    <w:basedOn w:val="Normal"/>
    <w:link w:val="HeaderChar"/>
    <w:uiPriority w:val="99"/>
    <w:unhideWhenUsed/>
    <w:rsid w:val="00163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6C3"/>
    <w:rPr>
      <w:rFonts w:ascii="Times New Roman" w:hAnsi="Times New Roman"/>
      <w:sz w:val="24"/>
    </w:rPr>
  </w:style>
  <w:style w:type="paragraph" w:styleId="Footer">
    <w:name w:val="footer"/>
    <w:basedOn w:val="Normal"/>
    <w:link w:val="FooterChar"/>
    <w:uiPriority w:val="99"/>
    <w:unhideWhenUsed/>
    <w:rsid w:val="00163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6C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inditex.com/itxcomweb/en/home" TargetMode="Externa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DF45D9-850F-4D68-8B2B-E507D4052763}" type="doc">
      <dgm:prSet loTypeId="urn:microsoft.com/office/officeart/2005/8/layout/rings+Icon" loCatId="relationship" qsTypeId="urn:microsoft.com/office/officeart/2005/8/quickstyle/simple4" qsCatId="simple" csTypeId="urn:microsoft.com/office/officeart/2005/8/colors/colorful1" csCatId="colorful" phldr="1"/>
      <dgm:spPr/>
      <dgm:t>
        <a:bodyPr/>
        <a:lstStyle/>
        <a:p>
          <a:endParaRPr lang="en-IN"/>
        </a:p>
      </dgm:t>
    </dgm:pt>
    <dgm:pt modelId="{FE4739E7-21DF-4FB8-B9C1-D550171B7F62}">
      <dgm:prSet phldrT="[Text]" custT="1"/>
      <dgm:spPr/>
      <dgm:t>
        <a:bodyPr/>
        <a:lstStyle/>
        <a:p>
          <a:pPr algn="ctr"/>
          <a:r>
            <a:rPr lang="en-IN" sz="1200">
              <a:latin typeface="Times New Roman" panose="02020603050405020304" pitchFamily="18" charset="0"/>
              <a:cs typeface="Times New Roman" panose="02020603050405020304" pitchFamily="18" charset="0"/>
            </a:rPr>
            <a:t>Physical stores</a:t>
          </a:r>
        </a:p>
      </dgm:t>
    </dgm:pt>
    <dgm:pt modelId="{05D6539F-273F-4FF0-A3EC-911898CB77B7}" type="parTrans" cxnId="{DC9BD3DE-E662-4F78-B8B0-CD121844D9FD}">
      <dgm:prSet/>
      <dgm:spPr/>
      <dgm:t>
        <a:bodyPr/>
        <a:lstStyle/>
        <a:p>
          <a:pPr algn="ctr"/>
          <a:endParaRPr lang="en-IN"/>
        </a:p>
      </dgm:t>
    </dgm:pt>
    <dgm:pt modelId="{4DDA5459-5039-4892-B962-9C12853C6401}" type="sibTrans" cxnId="{DC9BD3DE-E662-4F78-B8B0-CD121844D9FD}">
      <dgm:prSet/>
      <dgm:spPr/>
      <dgm:t>
        <a:bodyPr/>
        <a:lstStyle/>
        <a:p>
          <a:pPr algn="ctr"/>
          <a:endParaRPr lang="en-IN"/>
        </a:p>
      </dgm:t>
    </dgm:pt>
    <dgm:pt modelId="{4711BA8E-EDCD-4ADB-A7FF-ADBC8046AF71}">
      <dgm:prSet phldrT="[Text]" custT="1"/>
      <dgm:spPr/>
      <dgm:t>
        <a:bodyPr/>
        <a:lstStyle/>
        <a:p>
          <a:pPr algn="ctr"/>
          <a:r>
            <a:rPr lang="en-IN" sz="1200">
              <a:latin typeface="Times New Roman" panose="02020603050405020304" pitchFamily="18" charset="0"/>
              <a:cs typeface="Times New Roman" panose="02020603050405020304" pitchFamily="18" charset="0"/>
            </a:rPr>
            <a:t>Online stores </a:t>
          </a:r>
        </a:p>
      </dgm:t>
    </dgm:pt>
    <dgm:pt modelId="{3553F08A-E711-42FD-AAE8-D4608F1644B5}" type="parTrans" cxnId="{463C46D2-D052-4CC6-B62D-CDA3BEB51A4F}">
      <dgm:prSet/>
      <dgm:spPr/>
      <dgm:t>
        <a:bodyPr/>
        <a:lstStyle/>
        <a:p>
          <a:pPr algn="ctr"/>
          <a:endParaRPr lang="en-IN"/>
        </a:p>
      </dgm:t>
    </dgm:pt>
    <dgm:pt modelId="{80E37723-4EF8-4FA9-9A8E-E5A98D4AD8E1}" type="sibTrans" cxnId="{463C46D2-D052-4CC6-B62D-CDA3BEB51A4F}">
      <dgm:prSet/>
      <dgm:spPr/>
      <dgm:t>
        <a:bodyPr/>
        <a:lstStyle/>
        <a:p>
          <a:pPr algn="ctr"/>
          <a:endParaRPr lang="en-IN"/>
        </a:p>
      </dgm:t>
    </dgm:pt>
    <dgm:pt modelId="{D4566948-C1D4-4997-A0F9-432242E620E3}">
      <dgm:prSet phldrT="[Text]" custT="1"/>
      <dgm:spPr/>
      <dgm:t>
        <a:bodyPr/>
        <a:lstStyle/>
        <a:p>
          <a:pPr algn="ctr"/>
          <a:r>
            <a:rPr lang="en-IN" sz="1200">
              <a:latin typeface="Times New Roman" panose="02020603050405020304" pitchFamily="18" charset="0"/>
              <a:cs typeface="Times New Roman" panose="02020603050405020304" pitchFamily="18" charset="0"/>
            </a:rPr>
            <a:t>Social media </a:t>
          </a:r>
        </a:p>
      </dgm:t>
    </dgm:pt>
    <dgm:pt modelId="{6E759A7E-16AE-49AB-8D95-549931F89629}" type="parTrans" cxnId="{92F86446-38DD-475D-AD44-DA9534C66C4D}">
      <dgm:prSet/>
      <dgm:spPr/>
      <dgm:t>
        <a:bodyPr/>
        <a:lstStyle/>
        <a:p>
          <a:pPr algn="ctr"/>
          <a:endParaRPr lang="en-IN"/>
        </a:p>
      </dgm:t>
    </dgm:pt>
    <dgm:pt modelId="{6FD0903E-8E46-493D-BD9C-55BA11001A49}" type="sibTrans" cxnId="{92F86446-38DD-475D-AD44-DA9534C66C4D}">
      <dgm:prSet/>
      <dgm:spPr/>
      <dgm:t>
        <a:bodyPr/>
        <a:lstStyle/>
        <a:p>
          <a:pPr algn="ctr"/>
          <a:endParaRPr lang="en-IN"/>
        </a:p>
      </dgm:t>
    </dgm:pt>
    <dgm:pt modelId="{579A1C25-4F4B-4EB7-855F-42FE35F40752}">
      <dgm:prSet custT="1"/>
      <dgm:spPr/>
      <dgm:t>
        <a:bodyPr/>
        <a:lstStyle/>
        <a:p>
          <a:pPr algn="ctr"/>
          <a:r>
            <a:rPr lang="en-IN" sz="1200">
              <a:latin typeface="Times New Roman" panose="02020603050405020304" pitchFamily="18" charset="0"/>
              <a:cs typeface="Times New Roman" panose="02020603050405020304" pitchFamily="18" charset="0"/>
            </a:rPr>
            <a:t>Email marketing </a:t>
          </a:r>
        </a:p>
      </dgm:t>
    </dgm:pt>
    <dgm:pt modelId="{CD08895D-9B13-41F4-BC79-C40D010A9C57}" type="parTrans" cxnId="{E516B445-2A7B-43B3-9516-97251187B927}">
      <dgm:prSet/>
      <dgm:spPr/>
      <dgm:t>
        <a:bodyPr/>
        <a:lstStyle/>
        <a:p>
          <a:pPr algn="ctr"/>
          <a:endParaRPr lang="en-IN"/>
        </a:p>
      </dgm:t>
    </dgm:pt>
    <dgm:pt modelId="{C52FC427-171E-4F2B-B67A-3A336CE26CCC}" type="sibTrans" cxnId="{E516B445-2A7B-43B3-9516-97251187B927}">
      <dgm:prSet/>
      <dgm:spPr/>
      <dgm:t>
        <a:bodyPr/>
        <a:lstStyle/>
        <a:p>
          <a:pPr algn="ctr"/>
          <a:endParaRPr lang="en-IN"/>
        </a:p>
      </dgm:t>
    </dgm:pt>
    <dgm:pt modelId="{047FB9ED-BFBA-44F1-8EE9-36A72EE6F502}">
      <dgm:prSet custT="1"/>
      <dgm:spPr/>
      <dgm:t>
        <a:bodyPr/>
        <a:lstStyle/>
        <a:p>
          <a:pPr algn="ctr"/>
          <a:r>
            <a:rPr lang="en-IN" sz="1200">
              <a:latin typeface="Times New Roman" panose="02020603050405020304" pitchFamily="18" charset="0"/>
              <a:cs typeface="Times New Roman" panose="02020603050405020304" pitchFamily="18" charset="0"/>
            </a:rPr>
            <a:t>Advertising </a:t>
          </a:r>
        </a:p>
      </dgm:t>
    </dgm:pt>
    <dgm:pt modelId="{20308712-EA5F-46F0-BF3E-A4562D60EAF4}" type="parTrans" cxnId="{C7B4ABC1-0212-4712-9D57-FEEA6B566269}">
      <dgm:prSet/>
      <dgm:spPr/>
      <dgm:t>
        <a:bodyPr/>
        <a:lstStyle/>
        <a:p>
          <a:pPr algn="ctr"/>
          <a:endParaRPr lang="en-IN"/>
        </a:p>
      </dgm:t>
    </dgm:pt>
    <dgm:pt modelId="{556FD9A2-085D-4544-928A-3AE1EF57C60A}" type="sibTrans" cxnId="{C7B4ABC1-0212-4712-9D57-FEEA6B566269}">
      <dgm:prSet/>
      <dgm:spPr/>
      <dgm:t>
        <a:bodyPr/>
        <a:lstStyle/>
        <a:p>
          <a:pPr algn="ctr"/>
          <a:endParaRPr lang="en-IN"/>
        </a:p>
      </dgm:t>
    </dgm:pt>
    <dgm:pt modelId="{DC979D7D-4BB0-4221-9997-F55FCED9C648}">
      <dgm:prSet custT="1"/>
      <dgm:spPr/>
      <dgm:t>
        <a:bodyPr/>
        <a:lstStyle/>
        <a:p>
          <a:pPr algn="ctr"/>
          <a:r>
            <a:rPr lang="en-IN" sz="1200">
              <a:latin typeface="Times New Roman" panose="02020603050405020304" pitchFamily="18" charset="0"/>
              <a:cs typeface="Times New Roman" panose="02020603050405020304" pitchFamily="18" charset="0"/>
            </a:rPr>
            <a:t>In-store experience </a:t>
          </a:r>
        </a:p>
      </dgm:t>
    </dgm:pt>
    <dgm:pt modelId="{61E686B1-FB03-4D26-91A5-720FFD92AFE9}" type="parTrans" cxnId="{D484C924-F67B-4A24-BCCC-4AEEE8CFE5D1}">
      <dgm:prSet/>
      <dgm:spPr/>
      <dgm:t>
        <a:bodyPr/>
        <a:lstStyle/>
        <a:p>
          <a:pPr algn="ctr"/>
          <a:endParaRPr lang="en-IN"/>
        </a:p>
      </dgm:t>
    </dgm:pt>
    <dgm:pt modelId="{B48261D4-B5F8-4B3B-BBCE-B60CDA96B2DB}" type="sibTrans" cxnId="{D484C924-F67B-4A24-BCCC-4AEEE8CFE5D1}">
      <dgm:prSet/>
      <dgm:spPr/>
      <dgm:t>
        <a:bodyPr/>
        <a:lstStyle/>
        <a:p>
          <a:pPr algn="ctr"/>
          <a:endParaRPr lang="en-IN"/>
        </a:p>
      </dgm:t>
    </dgm:pt>
    <dgm:pt modelId="{5EE586F6-6589-4AFB-A0A1-D8A4CB965887}">
      <dgm:prSet custT="1"/>
      <dgm:spPr/>
      <dgm:t>
        <a:bodyPr/>
        <a:lstStyle/>
        <a:p>
          <a:pPr algn="ctr"/>
          <a:r>
            <a:rPr lang="en-IN" sz="1200">
              <a:latin typeface="Times New Roman" panose="02020603050405020304" pitchFamily="18" charset="0"/>
              <a:cs typeface="Times New Roman" panose="02020603050405020304" pitchFamily="18" charset="0"/>
            </a:rPr>
            <a:t>Customer services</a:t>
          </a:r>
        </a:p>
      </dgm:t>
    </dgm:pt>
    <dgm:pt modelId="{B98CCFD3-2517-4BFC-90E3-276FE1AEB2EE}" type="parTrans" cxnId="{EB64964C-D075-4669-AF86-38722CE6B3A0}">
      <dgm:prSet/>
      <dgm:spPr/>
      <dgm:t>
        <a:bodyPr/>
        <a:lstStyle/>
        <a:p>
          <a:pPr algn="ctr"/>
          <a:endParaRPr lang="en-IN"/>
        </a:p>
      </dgm:t>
    </dgm:pt>
    <dgm:pt modelId="{B8EE5B9E-3DF2-4BEE-8CB0-05D268152F61}" type="sibTrans" cxnId="{EB64964C-D075-4669-AF86-38722CE6B3A0}">
      <dgm:prSet/>
      <dgm:spPr/>
      <dgm:t>
        <a:bodyPr/>
        <a:lstStyle/>
        <a:p>
          <a:pPr algn="ctr"/>
          <a:endParaRPr lang="en-IN"/>
        </a:p>
      </dgm:t>
    </dgm:pt>
    <dgm:pt modelId="{EB3EF2E2-1C41-4FA8-A818-AE7F37EFD571}" type="pres">
      <dgm:prSet presAssocID="{6ADF45D9-850F-4D68-8B2B-E507D4052763}" presName="Name0" presStyleCnt="0">
        <dgm:presLayoutVars>
          <dgm:chMax val="7"/>
          <dgm:dir/>
          <dgm:resizeHandles val="exact"/>
        </dgm:presLayoutVars>
      </dgm:prSet>
      <dgm:spPr/>
    </dgm:pt>
    <dgm:pt modelId="{DDBE4D0F-1D64-445F-866F-7CBEDE90DE6F}" type="pres">
      <dgm:prSet presAssocID="{6ADF45D9-850F-4D68-8B2B-E507D4052763}" presName="ellipse1" presStyleLbl="vennNode1" presStyleIdx="0" presStyleCnt="7">
        <dgm:presLayoutVars>
          <dgm:bulletEnabled val="1"/>
        </dgm:presLayoutVars>
      </dgm:prSet>
      <dgm:spPr/>
    </dgm:pt>
    <dgm:pt modelId="{79AE4946-5211-4E5B-8322-B627393516AC}" type="pres">
      <dgm:prSet presAssocID="{6ADF45D9-850F-4D68-8B2B-E507D4052763}" presName="ellipse2" presStyleLbl="vennNode1" presStyleIdx="1" presStyleCnt="7">
        <dgm:presLayoutVars>
          <dgm:bulletEnabled val="1"/>
        </dgm:presLayoutVars>
      </dgm:prSet>
      <dgm:spPr/>
    </dgm:pt>
    <dgm:pt modelId="{49989092-10CA-4883-9130-A9FDCB91BB6C}" type="pres">
      <dgm:prSet presAssocID="{6ADF45D9-850F-4D68-8B2B-E507D4052763}" presName="ellipse3" presStyleLbl="vennNode1" presStyleIdx="2" presStyleCnt="7">
        <dgm:presLayoutVars>
          <dgm:bulletEnabled val="1"/>
        </dgm:presLayoutVars>
      </dgm:prSet>
      <dgm:spPr/>
    </dgm:pt>
    <dgm:pt modelId="{0B3B0E87-6B71-42AB-BC00-9FB9FADC4D8D}" type="pres">
      <dgm:prSet presAssocID="{6ADF45D9-850F-4D68-8B2B-E507D4052763}" presName="ellipse4" presStyleLbl="vennNode1" presStyleIdx="3" presStyleCnt="7">
        <dgm:presLayoutVars>
          <dgm:bulletEnabled val="1"/>
        </dgm:presLayoutVars>
      </dgm:prSet>
      <dgm:spPr/>
    </dgm:pt>
    <dgm:pt modelId="{6CBEF312-3545-4D7B-B16F-2810654164A4}" type="pres">
      <dgm:prSet presAssocID="{6ADF45D9-850F-4D68-8B2B-E507D4052763}" presName="ellipse5" presStyleLbl="vennNode1" presStyleIdx="4" presStyleCnt="7">
        <dgm:presLayoutVars>
          <dgm:bulletEnabled val="1"/>
        </dgm:presLayoutVars>
      </dgm:prSet>
      <dgm:spPr/>
    </dgm:pt>
    <dgm:pt modelId="{9E6B34F7-DDDD-43AD-9781-A7C569AA8501}" type="pres">
      <dgm:prSet presAssocID="{6ADF45D9-850F-4D68-8B2B-E507D4052763}" presName="ellipse6" presStyleLbl="vennNode1" presStyleIdx="5" presStyleCnt="7">
        <dgm:presLayoutVars>
          <dgm:bulletEnabled val="1"/>
        </dgm:presLayoutVars>
      </dgm:prSet>
      <dgm:spPr/>
    </dgm:pt>
    <dgm:pt modelId="{24A74869-1F04-46CD-A5EC-F0D1E6F26774}" type="pres">
      <dgm:prSet presAssocID="{6ADF45D9-850F-4D68-8B2B-E507D4052763}" presName="ellipse7" presStyleLbl="vennNode1" presStyleIdx="6" presStyleCnt="7">
        <dgm:presLayoutVars>
          <dgm:bulletEnabled val="1"/>
        </dgm:presLayoutVars>
      </dgm:prSet>
      <dgm:spPr/>
    </dgm:pt>
  </dgm:ptLst>
  <dgm:cxnLst>
    <dgm:cxn modelId="{AA9A731A-5689-4335-B51F-84090C0F8DFD}" type="presOf" srcId="{FE4739E7-21DF-4FB8-B9C1-D550171B7F62}" destId="{DDBE4D0F-1D64-445F-866F-7CBEDE90DE6F}" srcOrd="0" destOrd="0" presId="urn:microsoft.com/office/officeart/2005/8/layout/rings+Icon"/>
    <dgm:cxn modelId="{A477D322-CEB6-48F1-8013-A8993A0F828E}" type="presOf" srcId="{579A1C25-4F4B-4EB7-855F-42FE35F40752}" destId="{0B3B0E87-6B71-42AB-BC00-9FB9FADC4D8D}" srcOrd="0" destOrd="0" presId="urn:microsoft.com/office/officeart/2005/8/layout/rings+Icon"/>
    <dgm:cxn modelId="{D484C924-F67B-4A24-BCCC-4AEEE8CFE5D1}" srcId="{6ADF45D9-850F-4D68-8B2B-E507D4052763}" destId="{DC979D7D-4BB0-4221-9997-F55FCED9C648}" srcOrd="5" destOrd="0" parTransId="{61E686B1-FB03-4D26-91A5-720FFD92AFE9}" sibTransId="{B48261D4-B5F8-4B3B-BBCE-B60CDA96B2DB}"/>
    <dgm:cxn modelId="{E516B445-2A7B-43B3-9516-97251187B927}" srcId="{6ADF45D9-850F-4D68-8B2B-E507D4052763}" destId="{579A1C25-4F4B-4EB7-855F-42FE35F40752}" srcOrd="3" destOrd="0" parTransId="{CD08895D-9B13-41F4-BC79-C40D010A9C57}" sibTransId="{C52FC427-171E-4F2B-B67A-3A336CE26CCC}"/>
    <dgm:cxn modelId="{92F86446-38DD-475D-AD44-DA9534C66C4D}" srcId="{6ADF45D9-850F-4D68-8B2B-E507D4052763}" destId="{D4566948-C1D4-4997-A0F9-432242E620E3}" srcOrd="2" destOrd="0" parTransId="{6E759A7E-16AE-49AB-8D95-549931F89629}" sibTransId="{6FD0903E-8E46-493D-BD9C-55BA11001A49}"/>
    <dgm:cxn modelId="{EB64964C-D075-4669-AF86-38722CE6B3A0}" srcId="{6ADF45D9-850F-4D68-8B2B-E507D4052763}" destId="{5EE586F6-6589-4AFB-A0A1-D8A4CB965887}" srcOrd="6" destOrd="0" parTransId="{B98CCFD3-2517-4BFC-90E3-276FE1AEB2EE}" sibTransId="{B8EE5B9E-3DF2-4BEE-8CB0-05D268152F61}"/>
    <dgm:cxn modelId="{70246F51-E039-489C-BB74-48816C6B6285}" type="presOf" srcId="{6ADF45D9-850F-4D68-8B2B-E507D4052763}" destId="{EB3EF2E2-1C41-4FA8-A818-AE7F37EFD571}" srcOrd="0" destOrd="0" presId="urn:microsoft.com/office/officeart/2005/8/layout/rings+Icon"/>
    <dgm:cxn modelId="{73AD1C98-A809-46DA-B563-04784C38AA37}" type="presOf" srcId="{D4566948-C1D4-4997-A0F9-432242E620E3}" destId="{49989092-10CA-4883-9130-A9FDCB91BB6C}" srcOrd="0" destOrd="0" presId="urn:microsoft.com/office/officeart/2005/8/layout/rings+Icon"/>
    <dgm:cxn modelId="{ED9383A3-F94E-42E7-88DB-674727ED3B45}" type="presOf" srcId="{4711BA8E-EDCD-4ADB-A7FF-ADBC8046AF71}" destId="{79AE4946-5211-4E5B-8322-B627393516AC}" srcOrd="0" destOrd="0" presId="urn:microsoft.com/office/officeart/2005/8/layout/rings+Icon"/>
    <dgm:cxn modelId="{A6D895B1-0C9A-48BE-B111-C13B3FB4F0C2}" type="presOf" srcId="{5EE586F6-6589-4AFB-A0A1-D8A4CB965887}" destId="{24A74869-1F04-46CD-A5EC-F0D1E6F26774}" srcOrd="0" destOrd="0" presId="urn:microsoft.com/office/officeart/2005/8/layout/rings+Icon"/>
    <dgm:cxn modelId="{C7B4ABC1-0212-4712-9D57-FEEA6B566269}" srcId="{6ADF45D9-850F-4D68-8B2B-E507D4052763}" destId="{047FB9ED-BFBA-44F1-8EE9-36A72EE6F502}" srcOrd="4" destOrd="0" parTransId="{20308712-EA5F-46F0-BF3E-A4562D60EAF4}" sibTransId="{556FD9A2-085D-4544-928A-3AE1EF57C60A}"/>
    <dgm:cxn modelId="{93E13EC6-2DD4-4897-ADEA-25E63CC903BF}" type="presOf" srcId="{DC979D7D-4BB0-4221-9997-F55FCED9C648}" destId="{9E6B34F7-DDDD-43AD-9781-A7C569AA8501}" srcOrd="0" destOrd="0" presId="urn:microsoft.com/office/officeart/2005/8/layout/rings+Icon"/>
    <dgm:cxn modelId="{463C46D2-D052-4CC6-B62D-CDA3BEB51A4F}" srcId="{6ADF45D9-850F-4D68-8B2B-E507D4052763}" destId="{4711BA8E-EDCD-4ADB-A7FF-ADBC8046AF71}" srcOrd="1" destOrd="0" parTransId="{3553F08A-E711-42FD-AAE8-D4608F1644B5}" sibTransId="{80E37723-4EF8-4FA9-9A8E-E5A98D4AD8E1}"/>
    <dgm:cxn modelId="{DC9BD3DE-E662-4F78-B8B0-CD121844D9FD}" srcId="{6ADF45D9-850F-4D68-8B2B-E507D4052763}" destId="{FE4739E7-21DF-4FB8-B9C1-D550171B7F62}" srcOrd="0" destOrd="0" parTransId="{05D6539F-273F-4FF0-A3EC-911898CB77B7}" sibTransId="{4DDA5459-5039-4892-B962-9C12853C6401}"/>
    <dgm:cxn modelId="{254ADBE7-74EE-40E1-BBF2-4DE6E16F8C68}" type="presOf" srcId="{047FB9ED-BFBA-44F1-8EE9-36A72EE6F502}" destId="{6CBEF312-3545-4D7B-B16F-2810654164A4}" srcOrd="0" destOrd="0" presId="urn:microsoft.com/office/officeart/2005/8/layout/rings+Icon"/>
    <dgm:cxn modelId="{6EDB479E-87D6-4433-B733-71BF1D28BE89}" type="presParOf" srcId="{EB3EF2E2-1C41-4FA8-A818-AE7F37EFD571}" destId="{DDBE4D0F-1D64-445F-866F-7CBEDE90DE6F}" srcOrd="0" destOrd="0" presId="urn:microsoft.com/office/officeart/2005/8/layout/rings+Icon"/>
    <dgm:cxn modelId="{2FE195F8-4C96-419E-B1B9-DA0495DC4D99}" type="presParOf" srcId="{EB3EF2E2-1C41-4FA8-A818-AE7F37EFD571}" destId="{79AE4946-5211-4E5B-8322-B627393516AC}" srcOrd="1" destOrd="0" presId="urn:microsoft.com/office/officeart/2005/8/layout/rings+Icon"/>
    <dgm:cxn modelId="{5D02C2AD-0EBE-4085-B38E-D0AB51578443}" type="presParOf" srcId="{EB3EF2E2-1C41-4FA8-A818-AE7F37EFD571}" destId="{49989092-10CA-4883-9130-A9FDCB91BB6C}" srcOrd="2" destOrd="0" presId="urn:microsoft.com/office/officeart/2005/8/layout/rings+Icon"/>
    <dgm:cxn modelId="{52A9023A-A5F0-41CA-A02D-5FA05426B30E}" type="presParOf" srcId="{EB3EF2E2-1C41-4FA8-A818-AE7F37EFD571}" destId="{0B3B0E87-6B71-42AB-BC00-9FB9FADC4D8D}" srcOrd="3" destOrd="0" presId="urn:microsoft.com/office/officeart/2005/8/layout/rings+Icon"/>
    <dgm:cxn modelId="{16E5B5DE-FE3B-4114-A10A-E073AA3C6B51}" type="presParOf" srcId="{EB3EF2E2-1C41-4FA8-A818-AE7F37EFD571}" destId="{6CBEF312-3545-4D7B-B16F-2810654164A4}" srcOrd="4" destOrd="0" presId="urn:microsoft.com/office/officeart/2005/8/layout/rings+Icon"/>
    <dgm:cxn modelId="{862A652D-B58B-4F44-8825-B7E7298C3F2F}" type="presParOf" srcId="{EB3EF2E2-1C41-4FA8-A818-AE7F37EFD571}" destId="{9E6B34F7-DDDD-43AD-9781-A7C569AA8501}" srcOrd="5" destOrd="0" presId="urn:microsoft.com/office/officeart/2005/8/layout/rings+Icon"/>
    <dgm:cxn modelId="{514AEB00-CFF3-49B6-A213-33E0C5FFBAB6}" type="presParOf" srcId="{EB3EF2E2-1C41-4FA8-A818-AE7F37EFD571}" destId="{24A74869-1F04-46CD-A5EC-F0D1E6F26774}" srcOrd="6" destOrd="0" presId="urn:microsoft.com/office/officeart/2005/8/layout/rings+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BE4D0F-1D64-445F-866F-7CBEDE90DE6F}">
      <dsp:nvSpPr>
        <dsp:cNvPr id="0" name=""/>
        <dsp:cNvSpPr/>
      </dsp:nvSpPr>
      <dsp:spPr>
        <a:xfrm>
          <a:off x="432079" y="0"/>
          <a:ext cx="1170615" cy="1170635"/>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Physical stores</a:t>
          </a:r>
        </a:p>
      </dsp:txBody>
      <dsp:txXfrm>
        <a:off x="603512" y="171436"/>
        <a:ext cx="827749" cy="827763"/>
      </dsp:txXfrm>
    </dsp:sp>
    <dsp:sp modelId="{79AE4946-5211-4E5B-8322-B627393516AC}">
      <dsp:nvSpPr>
        <dsp:cNvPr id="0" name=""/>
        <dsp:cNvSpPr/>
      </dsp:nvSpPr>
      <dsp:spPr>
        <a:xfrm>
          <a:off x="1031453" y="861364"/>
          <a:ext cx="1170615" cy="1170635"/>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Online stores </a:t>
          </a:r>
        </a:p>
      </dsp:txBody>
      <dsp:txXfrm>
        <a:off x="1202886" y="1032800"/>
        <a:ext cx="827749" cy="827763"/>
      </dsp:txXfrm>
    </dsp:sp>
    <dsp:sp modelId="{49989092-10CA-4883-9130-A9FDCB91BB6C}">
      <dsp:nvSpPr>
        <dsp:cNvPr id="0" name=""/>
        <dsp:cNvSpPr/>
      </dsp:nvSpPr>
      <dsp:spPr>
        <a:xfrm>
          <a:off x="1631304" y="0"/>
          <a:ext cx="1170615" cy="1170635"/>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Social media </a:t>
          </a:r>
        </a:p>
      </dsp:txBody>
      <dsp:txXfrm>
        <a:off x="1802737" y="171436"/>
        <a:ext cx="827749" cy="827763"/>
      </dsp:txXfrm>
    </dsp:sp>
    <dsp:sp modelId="{0B3B0E87-6B71-42AB-BC00-9FB9FADC4D8D}">
      <dsp:nvSpPr>
        <dsp:cNvPr id="0" name=""/>
        <dsp:cNvSpPr/>
      </dsp:nvSpPr>
      <dsp:spPr>
        <a:xfrm>
          <a:off x="2230678" y="861364"/>
          <a:ext cx="1170615" cy="1170635"/>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Email marketing </a:t>
          </a:r>
        </a:p>
      </dsp:txBody>
      <dsp:txXfrm>
        <a:off x="2402111" y="1032800"/>
        <a:ext cx="827749" cy="827763"/>
      </dsp:txXfrm>
    </dsp:sp>
    <dsp:sp modelId="{6CBEF312-3545-4D7B-B16F-2810654164A4}">
      <dsp:nvSpPr>
        <dsp:cNvPr id="0" name=""/>
        <dsp:cNvSpPr/>
      </dsp:nvSpPr>
      <dsp:spPr>
        <a:xfrm>
          <a:off x="2830529" y="0"/>
          <a:ext cx="1170615" cy="1170635"/>
        </a:xfrm>
        <a:prstGeom prst="ellipse">
          <a:avLst/>
        </a:prstGeom>
        <a:gradFill rotWithShape="0">
          <a:gsLst>
            <a:gs pos="0">
              <a:schemeClr val="accent6">
                <a:alpha val="50000"/>
                <a:hueOff val="0"/>
                <a:satOff val="0"/>
                <a:lumOff val="0"/>
                <a:alphaOff val="0"/>
                <a:satMod val="103000"/>
                <a:lumMod val="102000"/>
                <a:tint val="94000"/>
              </a:schemeClr>
            </a:gs>
            <a:gs pos="50000">
              <a:schemeClr val="accent6">
                <a:alpha val="50000"/>
                <a:hueOff val="0"/>
                <a:satOff val="0"/>
                <a:lumOff val="0"/>
                <a:alphaOff val="0"/>
                <a:satMod val="110000"/>
                <a:lumMod val="100000"/>
                <a:shade val="100000"/>
              </a:schemeClr>
            </a:gs>
            <a:gs pos="100000">
              <a:schemeClr val="accent6">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Advertising </a:t>
          </a:r>
        </a:p>
      </dsp:txBody>
      <dsp:txXfrm>
        <a:off x="3001962" y="171436"/>
        <a:ext cx="827749" cy="827763"/>
      </dsp:txXfrm>
    </dsp:sp>
    <dsp:sp modelId="{9E6B34F7-DDDD-43AD-9781-A7C569AA8501}">
      <dsp:nvSpPr>
        <dsp:cNvPr id="0" name=""/>
        <dsp:cNvSpPr/>
      </dsp:nvSpPr>
      <dsp:spPr>
        <a:xfrm>
          <a:off x="3429904" y="861364"/>
          <a:ext cx="1170615" cy="1170635"/>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In-store experience </a:t>
          </a:r>
        </a:p>
      </dsp:txBody>
      <dsp:txXfrm>
        <a:off x="3601337" y="1032800"/>
        <a:ext cx="827749" cy="827763"/>
      </dsp:txXfrm>
    </dsp:sp>
    <dsp:sp modelId="{24A74869-1F04-46CD-A5EC-F0D1E6F26774}">
      <dsp:nvSpPr>
        <dsp:cNvPr id="0" name=""/>
        <dsp:cNvSpPr/>
      </dsp:nvSpPr>
      <dsp:spPr>
        <a:xfrm>
          <a:off x="4029755" y="0"/>
          <a:ext cx="1170615" cy="1170635"/>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Customer services</a:t>
          </a:r>
        </a:p>
      </dsp:txBody>
      <dsp:txXfrm>
        <a:off x="4201188" y="171436"/>
        <a:ext cx="827749" cy="827763"/>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65071-8832-4B87-98D5-CC04ADE56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4184</Words>
  <Characters>23854</Characters>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2022-12-29T17:17:00Z</dcterms:created>
  <dcterms:modified xsi:type="dcterms:W3CDTF">2023-01-09T01:20:00Z</dcterms:modified>
</cp:coreProperties>
</file>