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9C4" w:rsidRPr="004E770D" w:rsidRDefault="00094D1B">
      <w:pPr>
        <w:rPr>
          <w:rFonts w:ascii="Arial" w:hAnsi="Arial" w:cs="Arial"/>
          <w:sz w:val="24"/>
          <w:szCs w:val="24"/>
        </w:rPr>
      </w:pPr>
      <w:r w:rsidRPr="004E770D">
        <w:rPr>
          <w:rFonts w:ascii="Arial" w:hAnsi="Arial" w:cs="Arial"/>
          <w:sz w:val="24"/>
          <w:szCs w:val="24"/>
        </w:rPr>
        <w:t>Ceri Thomas – 2205819</w:t>
      </w:r>
    </w:p>
    <w:p w:rsidR="00094D1B" w:rsidRPr="004E770D" w:rsidRDefault="002D1E45">
      <w:pPr>
        <w:rPr>
          <w:rFonts w:ascii="Arial" w:hAnsi="Arial" w:cs="Arial"/>
          <w:sz w:val="24"/>
          <w:szCs w:val="24"/>
        </w:rPr>
      </w:pPr>
      <w:r w:rsidRPr="004E770D">
        <w:rPr>
          <w:rFonts w:ascii="Arial" w:hAnsi="Arial" w:cs="Arial"/>
          <w:sz w:val="24"/>
          <w:szCs w:val="24"/>
        </w:rPr>
        <w:t>Independent Project (Research Design &amp; Methodology) – BMTP6015</w:t>
      </w:r>
    </w:p>
    <w:p w:rsidR="002D1E45" w:rsidRPr="004E770D" w:rsidRDefault="002D1E45">
      <w:pPr>
        <w:rPr>
          <w:rFonts w:ascii="Arial" w:hAnsi="Arial" w:cs="Arial"/>
          <w:sz w:val="24"/>
          <w:szCs w:val="24"/>
        </w:rPr>
      </w:pPr>
      <w:r w:rsidRPr="004E770D">
        <w:rPr>
          <w:rFonts w:ascii="Arial" w:hAnsi="Arial" w:cs="Arial"/>
          <w:sz w:val="24"/>
          <w:szCs w:val="24"/>
        </w:rPr>
        <w:t>Lecturer – Scott James</w:t>
      </w:r>
    </w:p>
    <w:p w:rsidR="002D1E45" w:rsidRPr="004E770D" w:rsidRDefault="002D1E45">
      <w:pPr>
        <w:rPr>
          <w:rFonts w:ascii="Arial" w:hAnsi="Arial" w:cs="Arial"/>
          <w:sz w:val="24"/>
          <w:szCs w:val="24"/>
        </w:rPr>
      </w:pPr>
      <w:r w:rsidRPr="004E770D">
        <w:rPr>
          <w:rFonts w:ascii="Arial" w:hAnsi="Arial" w:cs="Arial"/>
          <w:sz w:val="24"/>
          <w:szCs w:val="24"/>
        </w:rPr>
        <w:t>Date – 21</w:t>
      </w:r>
      <w:r w:rsidRPr="004E770D">
        <w:rPr>
          <w:rFonts w:ascii="Arial" w:hAnsi="Arial" w:cs="Arial"/>
          <w:sz w:val="24"/>
          <w:szCs w:val="24"/>
          <w:vertAlign w:val="superscript"/>
        </w:rPr>
        <w:t>st</w:t>
      </w:r>
      <w:r w:rsidRPr="004E770D">
        <w:rPr>
          <w:rFonts w:ascii="Arial" w:hAnsi="Arial" w:cs="Arial"/>
          <w:sz w:val="24"/>
          <w:szCs w:val="24"/>
        </w:rPr>
        <w:t xml:space="preserve"> February 2025</w:t>
      </w:r>
    </w:p>
    <w:p w:rsidR="002D1E45" w:rsidRDefault="002D1E45"/>
    <w:p w:rsidR="002D1E45" w:rsidRPr="004E770D" w:rsidRDefault="002D1E45">
      <w:pPr>
        <w:rPr>
          <w:rFonts w:ascii="Arial" w:hAnsi="Arial" w:cs="Arial"/>
          <w:sz w:val="24"/>
          <w:szCs w:val="24"/>
        </w:rPr>
      </w:pPr>
    </w:p>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Pr="004E770D" w:rsidRDefault="002D1E45">
      <w:pPr>
        <w:rPr>
          <w:rFonts w:ascii="Arial" w:hAnsi="Arial" w:cs="Arial"/>
          <w:sz w:val="24"/>
          <w:szCs w:val="24"/>
        </w:rPr>
      </w:pPr>
    </w:p>
    <w:p w:rsidR="002D1E45" w:rsidRDefault="002D1E45"/>
    <w:p w:rsidR="002D1E45" w:rsidRP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99688D">
      <w:r>
        <w:t xml:space="preserve"> </w:t>
      </w:r>
    </w:p>
    <w:p w:rsidR="002D1E45" w:rsidRDefault="002D1E45" w:rsidP="002D1E45">
      <w:pPr>
        <w:spacing w:line="480" w:lineRule="auto"/>
        <w:jc w:val="both"/>
        <w:rPr>
          <w:rFonts w:ascii="Arial" w:hAnsi="Arial" w:cs="Arial"/>
          <w:sz w:val="24"/>
          <w:szCs w:val="24"/>
          <w:u w:val="single"/>
        </w:rPr>
      </w:pPr>
      <w:r w:rsidRPr="002D1E45">
        <w:rPr>
          <w:rFonts w:ascii="Arial" w:hAnsi="Arial" w:cs="Arial"/>
          <w:sz w:val="24"/>
          <w:szCs w:val="24"/>
          <w:u w:val="single"/>
        </w:rPr>
        <w:lastRenderedPageBreak/>
        <w:t>Research Design &amp; Methodology</w:t>
      </w:r>
    </w:p>
    <w:p w:rsidR="002D1E45" w:rsidRDefault="0099688D" w:rsidP="002D1E45">
      <w:pPr>
        <w:spacing w:line="480" w:lineRule="auto"/>
        <w:jc w:val="both"/>
        <w:rPr>
          <w:rFonts w:ascii="Arial" w:hAnsi="Arial" w:cs="Arial"/>
          <w:sz w:val="24"/>
          <w:szCs w:val="24"/>
        </w:rPr>
      </w:pPr>
      <w:r>
        <w:rPr>
          <w:rFonts w:ascii="Arial" w:hAnsi="Arial" w:cs="Arial"/>
          <w:sz w:val="24"/>
          <w:szCs w:val="24"/>
        </w:rPr>
        <w:t>This research examines the impact of accessible hospitality and customer services on the satisfaction and engagement</w:t>
      </w:r>
      <w:r w:rsidR="008C09EF">
        <w:rPr>
          <w:rFonts w:ascii="Arial" w:hAnsi="Arial" w:cs="Arial"/>
          <w:sz w:val="24"/>
          <w:szCs w:val="24"/>
        </w:rPr>
        <w:t xml:space="preserve"> of disabled event attendees by synthesis of </w:t>
      </w:r>
      <w:r>
        <w:rPr>
          <w:rFonts w:ascii="Arial" w:hAnsi="Arial" w:cs="Arial"/>
          <w:sz w:val="24"/>
          <w:szCs w:val="24"/>
        </w:rPr>
        <w:t>existing literature, policy documents, reports and published case studies.  As a secondary research project, the study does not collect primary data but instead critically reviews and integrates previous research and authoritative sources to generate insights and recommendations.  This approach has been chosen, due to the extensive body of existing work and the need to contextualise current practices within broader trends and best practices.</w:t>
      </w:r>
    </w:p>
    <w:p w:rsidR="0037007A" w:rsidRDefault="0099688D" w:rsidP="002D1E45">
      <w:pPr>
        <w:spacing w:line="480" w:lineRule="auto"/>
        <w:jc w:val="both"/>
        <w:rPr>
          <w:rFonts w:ascii="Arial" w:hAnsi="Arial" w:cs="Arial"/>
          <w:sz w:val="24"/>
          <w:szCs w:val="24"/>
          <w:u w:val="single"/>
        </w:rPr>
      </w:pPr>
      <w:r w:rsidRPr="0099688D">
        <w:rPr>
          <w:rFonts w:ascii="Arial" w:hAnsi="Arial" w:cs="Arial"/>
          <w:sz w:val="24"/>
          <w:szCs w:val="24"/>
          <w:u w:val="single"/>
        </w:rPr>
        <w:t>Research Design</w:t>
      </w:r>
    </w:p>
    <w:p w:rsidR="00D93B63" w:rsidRDefault="0037007A" w:rsidP="002D1E45">
      <w:pPr>
        <w:spacing w:line="480" w:lineRule="auto"/>
        <w:jc w:val="both"/>
        <w:rPr>
          <w:rFonts w:ascii="Arial" w:hAnsi="Arial" w:cs="Arial"/>
          <w:sz w:val="24"/>
          <w:szCs w:val="24"/>
        </w:rPr>
      </w:pPr>
      <w:r>
        <w:rPr>
          <w:rFonts w:ascii="Arial" w:hAnsi="Arial" w:cs="Arial"/>
          <w:sz w:val="24"/>
          <w:szCs w:val="24"/>
        </w:rPr>
        <w:t xml:space="preserve">Research design can be defined as a framework that guides the research process, ensuring that the methods, data collection, and analysis regulate research questions (Bryman, A., 2016).  </w:t>
      </w:r>
    </w:p>
    <w:p w:rsidR="0037007A" w:rsidRDefault="0037007A" w:rsidP="002D1E45">
      <w:pPr>
        <w:spacing w:line="480" w:lineRule="auto"/>
        <w:jc w:val="both"/>
        <w:rPr>
          <w:rFonts w:ascii="Arial" w:hAnsi="Arial" w:cs="Arial"/>
          <w:sz w:val="24"/>
          <w:szCs w:val="24"/>
        </w:rPr>
      </w:pPr>
      <w:r>
        <w:rPr>
          <w:rFonts w:ascii="Arial" w:hAnsi="Arial" w:cs="Arial"/>
          <w:sz w:val="24"/>
          <w:szCs w:val="24"/>
        </w:rPr>
        <w:t>Four main types of research design are typically used:</w:t>
      </w:r>
    </w:p>
    <w:p w:rsidR="0037007A" w:rsidRDefault="0037007A" w:rsidP="002D1E45">
      <w:pPr>
        <w:spacing w:line="480" w:lineRule="auto"/>
        <w:jc w:val="both"/>
        <w:rPr>
          <w:rFonts w:ascii="Arial" w:hAnsi="Arial" w:cs="Arial"/>
          <w:sz w:val="24"/>
          <w:szCs w:val="24"/>
        </w:rPr>
      </w:pPr>
      <w:r>
        <w:rPr>
          <w:rFonts w:ascii="Arial" w:hAnsi="Arial" w:cs="Arial"/>
          <w:sz w:val="24"/>
          <w:szCs w:val="24"/>
        </w:rPr>
        <w:t>Experimental, which involves the manipulation of variables in a controlled setting</w:t>
      </w:r>
      <w:r w:rsidR="00916671">
        <w:rPr>
          <w:rFonts w:ascii="Arial" w:hAnsi="Arial" w:cs="Arial"/>
          <w:sz w:val="24"/>
          <w:szCs w:val="24"/>
        </w:rPr>
        <w:t xml:space="preserve"> to establish cause and effect relationships</w:t>
      </w:r>
      <w:r w:rsidR="00D93B63">
        <w:rPr>
          <w:rFonts w:ascii="Arial" w:hAnsi="Arial" w:cs="Arial"/>
          <w:sz w:val="24"/>
          <w:szCs w:val="24"/>
        </w:rPr>
        <w:t xml:space="preserve"> (Zubair, A.M., 2023)</w:t>
      </w:r>
      <w:r w:rsidR="00916671">
        <w:rPr>
          <w:rFonts w:ascii="Arial" w:hAnsi="Arial" w:cs="Arial"/>
          <w:sz w:val="24"/>
          <w:szCs w:val="24"/>
        </w:rPr>
        <w:t>, such as a study that tests different customer service training methods and their impact on satisfaction in a controlled event setting.</w:t>
      </w:r>
    </w:p>
    <w:p w:rsidR="00916671" w:rsidRDefault="00916671" w:rsidP="002D1E45">
      <w:pPr>
        <w:spacing w:line="480" w:lineRule="auto"/>
        <w:jc w:val="both"/>
        <w:rPr>
          <w:rFonts w:ascii="Arial" w:hAnsi="Arial" w:cs="Arial"/>
          <w:sz w:val="24"/>
          <w:szCs w:val="24"/>
        </w:rPr>
      </w:pPr>
      <w:r>
        <w:rPr>
          <w:rFonts w:ascii="Arial" w:hAnsi="Arial" w:cs="Arial"/>
          <w:sz w:val="24"/>
          <w:szCs w:val="24"/>
        </w:rPr>
        <w:t xml:space="preserve">Descriptive, </w:t>
      </w:r>
      <w:r w:rsidR="00741FF7">
        <w:rPr>
          <w:rFonts w:ascii="Arial" w:hAnsi="Arial" w:cs="Arial"/>
          <w:sz w:val="24"/>
          <w:szCs w:val="24"/>
        </w:rPr>
        <w:t xml:space="preserve">which </w:t>
      </w:r>
      <w:r>
        <w:rPr>
          <w:rFonts w:ascii="Arial" w:hAnsi="Arial" w:cs="Arial"/>
          <w:sz w:val="24"/>
          <w:szCs w:val="24"/>
        </w:rPr>
        <w:t>aims to accurately describe phenomena, providing a detailed account of a scenario without necessarily explaining causal relationships</w:t>
      </w:r>
      <w:r w:rsidR="00D93B63">
        <w:rPr>
          <w:rFonts w:ascii="Arial" w:hAnsi="Arial" w:cs="Arial"/>
          <w:sz w:val="24"/>
          <w:szCs w:val="24"/>
        </w:rPr>
        <w:t xml:space="preserve"> (Blessing, L.T.M. and </w:t>
      </w:r>
      <w:proofErr w:type="spellStart"/>
      <w:r w:rsidR="00D93B63">
        <w:rPr>
          <w:rFonts w:ascii="Arial" w:hAnsi="Arial" w:cs="Arial"/>
          <w:sz w:val="24"/>
          <w:szCs w:val="24"/>
        </w:rPr>
        <w:t>Chakraba</w:t>
      </w:r>
      <w:r w:rsidR="00F74CA9">
        <w:rPr>
          <w:rFonts w:ascii="Arial" w:hAnsi="Arial" w:cs="Arial"/>
          <w:sz w:val="24"/>
          <w:szCs w:val="24"/>
        </w:rPr>
        <w:t>r</w:t>
      </w:r>
      <w:r w:rsidR="00D93B63">
        <w:rPr>
          <w:rFonts w:ascii="Arial" w:hAnsi="Arial" w:cs="Arial"/>
          <w:sz w:val="24"/>
          <w:szCs w:val="24"/>
        </w:rPr>
        <w:t>ti</w:t>
      </w:r>
      <w:proofErr w:type="spellEnd"/>
      <w:r w:rsidR="00D93B63">
        <w:rPr>
          <w:rFonts w:ascii="Arial" w:hAnsi="Arial" w:cs="Arial"/>
          <w:sz w:val="24"/>
          <w:szCs w:val="24"/>
        </w:rPr>
        <w:t>, A.,</w:t>
      </w:r>
      <w:r w:rsidR="00F74CA9">
        <w:rPr>
          <w:rFonts w:ascii="Arial" w:hAnsi="Arial" w:cs="Arial"/>
          <w:sz w:val="24"/>
          <w:szCs w:val="24"/>
        </w:rPr>
        <w:t>2014)</w:t>
      </w:r>
      <w:r>
        <w:rPr>
          <w:rFonts w:ascii="Arial" w:hAnsi="Arial" w:cs="Arial"/>
          <w:sz w:val="24"/>
          <w:szCs w:val="24"/>
        </w:rPr>
        <w:t xml:space="preserve">  In this research, a descriptive study could observe and document accessibility at major event venues and detail how they accommodate disabled at</w:t>
      </w:r>
      <w:r w:rsidR="00741FF7">
        <w:rPr>
          <w:rFonts w:ascii="Arial" w:hAnsi="Arial" w:cs="Arial"/>
          <w:sz w:val="24"/>
          <w:szCs w:val="24"/>
        </w:rPr>
        <w:t xml:space="preserve">tendees without analysing </w:t>
      </w:r>
      <w:r>
        <w:rPr>
          <w:rFonts w:ascii="Arial" w:hAnsi="Arial" w:cs="Arial"/>
          <w:sz w:val="24"/>
          <w:szCs w:val="24"/>
        </w:rPr>
        <w:t>impact or effectiveness.</w:t>
      </w:r>
    </w:p>
    <w:p w:rsidR="00741FF7" w:rsidRDefault="00741FF7" w:rsidP="002D1E45">
      <w:pPr>
        <w:spacing w:line="480" w:lineRule="auto"/>
        <w:jc w:val="both"/>
        <w:rPr>
          <w:rFonts w:ascii="Arial" w:hAnsi="Arial" w:cs="Arial"/>
          <w:sz w:val="24"/>
          <w:szCs w:val="24"/>
        </w:rPr>
      </w:pPr>
      <w:r>
        <w:rPr>
          <w:rFonts w:ascii="Arial" w:hAnsi="Arial" w:cs="Arial"/>
          <w:sz w:val="24"/>
          <w:szCs w:val="24"/>
        </w:rPr>
        <w:lastRenderedPageBreak/>
        <w:t>Correlational, refers to determining the relationships between variables without inference to causality</w:t>
      </w:r>
      <w:r w:rsidR="00F74CA9">
        <w:rPr>
          <w:rFonts w:ascii="Arial" w:hAnsi="Arial" w:cs="Arial"/>
          <w:sz w:val="24"/>
          <w:szCs w:val="24"/>
        </w:rPr>
        <w:t xml:space="preserve"> (Sreekumar, D., 2024)</w:t>
      </w:r>
      <w:r>
        <w:rPr>
          <w:rFonts w:ascii="Arial" w:hAnsi="Arial" w:cs="Arial"/>
          <w:sz w:val="24"/>
          <w:szCs w:val="24"/>
        </w:rPr>
        <w:t>, such as examining the relationship between accessible facilities at events and attendance rates of disabled guests without determining whether one causes the other.</w:t>
      </w:r>
    </w:p>
    <w:p w:rsidR="00741FF7" w:rsidRDefault="00741FF7" w:rsidP="002D1E45">
      <w:pPr>
        <w:spacing w:line="480" w:lineRule="auto"/>
        <w:jc w:val="both"/>
        <w:rPr>
          <w:rFonts w:ascii="Arial" w:hAnsi="Arial" w:cs="Arial"/>
          <w:sz w:val="24"/>
          <w:szCs w:val="24"/>
        </w:rPr>
      </w:pPr>
      <w:r>
        <w:rPr>
          <w:rFonts w:ascii="Arial" w:hAnsi="Arial" w:cs="Arial"/>
          <w:sz w:val="24"/>
          <w:szCs w:val="24"/>
        </w:rPr>
        <w:t>Exploratory, focusses on investigating relatively under researched areas to identify</w:t>
      </w:r>
      <w:r w:rsidR="008C09EF">
        <w:rPr>
          <w:rFonts w:ascii="Arial" w:hAnsi="Arial" w:cs="Arial"/>
          <w:sz w:val="24"/>
          <w:szCs w:val="24"/>
        </w:rPr>
        <w:t xml:space="preserve"> trends, patterns and potential hypothesis for further study (Sumeraki, M., 2018)</w:t>
      </w:r>
    </w:p>
    <w:p w:rsidR="00741FF7" w:rsidRDefault="00741FF7" w:rsidP="002D1E45">
      <w:pPr>
        <w:spacing w:line="480" w:lineRule="auto"/>
        <w:jc w:val="both"/>
        <w:rPr>
          <w:rFonts w:ascii="Arial" w:hAnsi="Arial" w:cs="Arial"/>
          <w:sz w:val="24"/>
          <w:szCs w:val="24"/>
        </w:rPr>
      </w:pPr>
      <w:r>
        <w:rPr>
          <w:rFonts w:ascii="Arial" w:hAnsi="Arial" w:cs="Arial"/>
          <w:sz w:val="24"/>
          <w:szCs w:val="24"/>
        </w:rPr>
        <w:t>Given the aim of this study is to explore how accessible hospitality practices influence the experiences of disabled people at events, and the research being entirely secondary, an exploratory research design is the most suitable.  Accord</w:t>
      </w:r>
      <w:r w:rsidR="00F46B99">
        <w:rPr>
          <w:rFonts w:ascii="Arial" w:hAnsi="Arial" w:cs="Arial"/>
          <w:sz w:val="24"/>
          <w:szCs w:val="24"/>
        </w:rPr>
        <w:t>ing to Cresswell and Clark (2017</w:t>
      </w:r>
      <w:r>
        <w:rPr>
          <w:rFonts w:ascii="Arial" w:hAnsi="Arial" w:cs="Arial"/>
          <w:sz w:val="24"/>
          <w:szCs w:val="24"/>
        </w:rPr>
        <w:t>) exploratory designs are particularly effective in synthesising diverse data sources to uncover emerging issues and generating new insights, particularly in areas where a subject remains under researched.</w:t>
      </w:r>
    </w:p>
    <w:p w:rsidR="00B57200" w:rsidRDefault="00B57200" w:rsidP="002D1E45">
      <w:pPr>
        <w:spacing w:line="480" w:lineRule="auto"/>
        <w:jc w:val="both"/>
        <w:rPr>
          <w:rFonts w:ascii="Arial" w:hAnsi="Arial" w:cs="Arial"/>
          <w:sz w:val="24"/>
          <w:szCs w:val="24"/>
        </w:rPr>
      </w:pPr>
      <w:r w:rsidRPr="00B57200">
        <w:rPr>
          <w:rFonts w:ascii="Arial" w:hAnsi="Arial" w:cs="Arial"/>
          <w:sz w:val="24"/>
          <w:szCs w:val="24"/>
        </w:rPr>
        <w:t>In addition to the empirical findings from secondary data, the theoretical foundations underpinning accessible hospitality p</w:t>
      </w:r>
      <w:r w:rsidR="00F74CA9">
        <w:rPr>
          <w:rFonts w:ascii="Arial" w:hAnsi="Arial" w:cs="Arial"/>
          <w:sz w:val="24"/>
          <w:szCs w:val="24"/>
        </w:rPr>
        <w:t>ractices provide a critical perspective</w:t>
      </w:r>
      <w:r w:rsidRPr="00B57200">
        <w:rPr>
          <w:rFonts w:ascii="Arial" w:hAnsi="Arial" w:cs="Arial"/>
          <w:sz w:val="24"/>
          <w:szCs w:val="24"/>
        </w:rPr>
        <w:t xml:space="preserve"> through which to interpret these findings. Service quality theories, such as Grönroos’ model of service management</w:t>
      </w:r>
      <w:r>
        <w:rPr>
          <w:rFonts w:ascii="Arial" w:hAnsi="Arial" w:cs="Arial"/>
          <w:sz w:val="24"/>
          <w:szCs w:val="24"/>
        </w:rPr>
        <w:t xml:space="preserve"> (2007)</w:t>
      </w:r>
      <w:r w:rsidRPr="00B57200">
        <w:rPr>
          <w:rFonts w:ascii="Arial" w:hAnsi="Arial" w:cs="Arial"/>
          <w:sz w:val="24"/>
          <w:szCs w:val="24"/>
        </w:rPr>
        <w:t xml:space="preserve"> </w:t>
      </w:r>
      <w:r w:rsidRPr="00B57200">
        <w:rPr>
          <w:rFonts w:ascii="Arial" w:hAnsi="Arial" w:cs="Arial"/>
          <w:sz w:val="24"/>
          <w:szCs w:val="24"/>
        </w:rPr>
        <w:t>and the</w:t>
      </w:r>
      <w:r>
        <w:rPr>
          <w:rFonts w:ascii="Arial" w:hAnsi="Arial" w:cs="Arial"/>
          <w:sz w:val="24"/>
          <w:szCs w:val="24"/>
        </w:rPr>
        <w:t xml:space="preserve"> </w:t>
      </w:r>
      <w:r w:rsidRPr="00B57200">
        <w:rPr>
          <w:rFonts w:ascii="Arial" w:hAnsi="Arial" w:cs="Arial"/>
          <w:sz w:val="24"/>
          <w:szCs w:val="24"/>
        </w:rPr>
        <w:t>SERVQUAL framework</w:t>
      </w:r>
      <w:r>
        <w:rPr>
          <w:rFonts w:ascii="Arial" w:hAnsi="Arial" w:cs="Arial"/>
          <w:sz w:val="24"/>
          <w:szCs w:val="24"/>
        </w:rPr>
        <w:t xml:space="preserve"> (Zeithaml et al, 1990)</w:t>
      </w:r>
      <w:r w:rsidRPr="00B57200">
        <w:rPr>
          <w:rFonts w:ascii="Arial" w:hAnsi="Arial" w:cs="Arial"/>
          <w:sz w:val="24"/>
          <w:szCs w:val="24"/>
        </w:rPr>
        <w:t xml:space="preserve">, emphasise reliability, responsiveness, and empathy in customer interactions—elements that are particularly crucial when catering to disabled event attendees. These models illustrate that accessible customer service is not simply a regulatory obligation but also a strategic asset that can enhance customer satisfaction and loyalty. Moreover, social inclusion theories and the principles of universal design inform the conceptual framework of this research, advocating for environments that are both physically accessible and socially inclusive. By integrating these theoretical perspectives, this study not only justifies the exploratory research design but also </w:t>
      </w:r>
      <w:r w:rsidRPr="00B57200">
        <w:rPr>
          <w:rFonts w:ascii="Arial" w:hAnsi="Arial" w:cs="Arial"/>
          <w:sz w:val="24"/>
          <w:szCs w:val="24"/>
        </w:rPr>
        <w:lastRenderedPageBreak/>
        <w:t>guides the systematic synthesis of diverse secondary data sources, enabling a more nuanced understanding of how accessible hospitality practices drive positive outcomes in the events industry</w:t>
      </w:r>
      <w:r>
        <w:t>.</w:t>
      </w:r>
    </w:p>
    <w:p w:rsidR="00741FF7" w:rsidRDefault="00741FF7" w:rsidP="002D1E45">
      <w:pPr>
        <w:spacing w:line="480" w:lineRule="auto"/>
        <w:jc w:val="both"/>
        <w:rPr>
          <w:rFonts w:ascii="Arial" w:hAnsi="Arial" w:cs="Arial"/>
          <w:sz w:val="24"/>
          <w:szCs w:val="24"/>
          <w:u w:val="single"/>
        </w:rPr>
      </w:pPr>
      <w:r w:rsidRPr="00741FF7">
        <w:rPr>
          <w:rFonts w:ascii="Arial" w:hAnsi="Arial" w:cs="Arial"/>
          <w:sz w:val="24"/>
          <w:szCs w:val="24"/>
          <w:u w:val="single"/>
        </w:rPr>
        <w:t>Framework for the Study</w:t>
      </w:r>
    </w:p>
    <w:p w:rsidR="00741FF7" w:rsidRDefault="00741FF7" w:rsidP="002D1E45">
      <w:pPr>
        <w:spacing w:line="480" w:lineRule="auto"/>
        <w:jc w:val="both"/>
        <w:rPr>
          <w:rFonts w:ascii="Arial" w:hAnsi="Arial" w:cs="Arial"/>
          <w:sz w:val="24"/>
          <w:szCs w:val="24"/>
        </w:rPr>
      </w:pPr>
      <w:r>
        <w:rPr>
          <w:rFonts w:ascii="Arial" w:hAnsi="Arial" w:cs="Arial"/>
          <w:sz w:val="24"/>
          <w:szCs w:val="24"/>
        </w:rPr>
        <w:t>This study’s framework is built on a mixed methods approach applied to secondary research.  Although mixed methods usually applies to quantitative and qualitative data collection, in this work, the mixed method approach</w:t>
      </w:r>
      <w:r w:rsidR="008C09EF">
        <w:rPr>
          <w:rFonts w:ascii="Arial" w:hAnsi="Arial" w:cs="Arial"/>
          <w:sz w:val="24"/>
          <w:szCs w:val="24"/>
        </w:rPr>
        <w:t xml:space="preserve"> will be applied to a</w:t>
      </w:r>
      <w:r>
        <w:rPr>
          <w:rFonts w:ascii="Arial" w:hAnsi="Arial" w:cs="Arial"/>
          <w:sz w:val="24"/>
          <w:szCs w:val="24"/>
        </w:rPr>
        <w:t xml:space="preserve"> review and synthesis of existing literature and data.  This dual approach allows for quantita</w:t>
      </w:r>
      <w:r w:rsidR="008C09EF">
        <w:rPr>
          <w:rFonts w:ascii="Arial" w:hAnsi="Arial" w:cs="Arial"/>
          <w:sz w:val="24"/>
          <w:szCs w:val="24"/>
        </w:rPr>
        <w:t>tive and qualitative syntheses</w:t>
      </w:r>
      <w:r>
        <w:rPr>
          <w:rFonts w:ascii="Arial" w:hAnsi="Arial" w:cs="Arial"/>
          <w:sz w:val="24"/>
          <w:szCs w:val="24"/>
        </w:rPr>
        <w:t>.</w:t>
      </w:r>
    </w:p>
    <w:p w:rsidR="008C09EF" w:rsidRDefault="008C09EF" w:rsidP="002D1E45">
      <w:pPr>
        <w:spacing w:line="480" w:lineRule="auto"/>
        <w:jc w:val="both"/>
        <w:rPr>
          <w:rFonts w:ascii="Arial" w:hAnsi="Arial" w:cs="Arial"/>
          <w:sz w:val="24"/>
          <w:szCs w:val="24"/>
        </w:rPr>
      </w:pPr>
      <w:r>
        <w:rPr>
          <w:rFonts w:ascii="Arial" w:hAnsi="Arial" w:cs="Arial"/>
          <w:sz w:val="24"/>
          <w:szCs w:val="24"/>
        </w:rPr>
        <w:t>Quantitative Synthesis:</w:t>
      </w:r>
      <w:r w:rsidR="00150C83">
        <w:rPr>
          <w:rFonts w:ascii="Arial" w:hAnsi="Arial" w:cs="Arial"/>
          <w:sz w:val="24"/>
          <w:szCs w:val="24"/>
        </w:rPr>
        <w:t xml:space="preserve"> Taking statistical data from government reports, industry research and published surveys to understand the trends in user satisfaction, event engagement and, how well accessible services are working</w:t>
      </w:r>
      <w:r w:rsidR="0078783C">
        <w:rPr>
          <w:rFonts w:ascii="Arial" w:hAnsi="Arial" w:cs="Arial"/>
          <w:sz w:val="24"/>
          <w:szCs w:val="24"/>
        </w:rPr>
        <w:t xml:space="preserve"> (Edmonds, W.A. and Kennedy, T.D., 2016)</w:t>
      </w:r>
    </w:p>
    <w:p w:rsidR="008C09EF" w:rsidRDefault="008C09EF" w:rsidP="002D1E45">
      <w:pPr>
        <w:spacing w:line="480" w:lineRule="auto"/>
        <w:jc w:val="both"/>
        <w:rPr>
          <w:rFonts w:ascii="Arial" w:hAnsi="Arial" w:cs="Arial"/>
          <w:sz w:val="24"/>
          <w:szCs w:val="24"/>
        </w:rPr>
      </w:pPr>
      <w:r>
        <w:rPr>
          <w:rFonts w:ascii="Arial" w:hAnsi="Arial" w:cs="Arial"/>
          <w:sz w:val="24"/>
          <w:szCs w:val="24"/>
        </w:rPr>
        <w:t>Qualitative Synthesis:</w:t>
      </w:r>
      <w:r w:rsidR="00150C83">
        <w:rPr>
          <w:rFonts w:ascii="Arial" w:hAnsi="Arial" w:cs="Arial"/>
          <w:sz w:val="24"/>
          <w:szCs w:val="24"/>
        </w:rPr>
        <w:t xml:space="preserve"> Interpreting findings from peer reviewed articles, policy analysis and case studies to gain insight into emerging themes, insights and contextual factors that influence how accessibility is implemented and experienced.</w:t>
      </w:r>
    </w:p>
    <w:p w:rsidR="00F46B99" w:rsidRDefault="00F46B99" w:rsidP="002D1E45">
      <w:pPr>
        <w:spacing w:line="480" w:lineRule="auto"/>
        <w:jc w:val="both"/>
        <w:rPr>
          <w:rFonts w:ascii="Arial" w:hAnsi="Arial" w:cs="Arial"/>
          <w:sz w:val="24"/>
          <w:szCs w:val="24"/>
        </w:rPr>
      </w:pPr>
      <w:r>
        <w:rPr>
          <w:rFonts w:ascii="Arial" w:hAnsi="Arial" w:cs="Arial"/>
          <w:sz w:val="24"/>
          <w:szCs w:val="24"/>
        </w:rPr>
        <w:t>By combining these perspectives, the study triangulates evidence from multiple sources, enhancing the credibility and depth of the conclusions (Saunders, et al., 2019).  The use of secondary research works particularly well because it is cost effective, time efficient, and allows for a broad historical and contextual analysis of the subject matter.</w:t>
      </w:r>
    </w:p>
    <w:p w:rsidR="00583806" w:rsidRDefault="00583806" w:rsidP="002D1E45">
      <w:pPr>
        <w:spacing w:line="480" w:lineRule="auto"/>
        <w:jc w:val="both"/>
        <w:rPr>
          <w:rFonts w:ascii="Arial" w:hAnsi="Arial" w:cs="Arial"/>
          <w:sz w:val="24"/>
          <w:szCs w:val="24"/>
          <w:u w:val="single"/>
        </w:rPr>
      </w:pPr>
      <w:r w:rsidRPr="00BF713D">
        <w:rPr>
          <w:rFonts w:ascii="Arial" w:hAnsi="Arial" w:cs="Arial"/>
          <w:sz w:val="24"/>
          <w:szCs w:val="24"/>
          <w:u w:val="single"/>
        </w:rPr>
        <w:t>Th</w:t>
      </w:r>
      <w:r w:rsidR="00BF713D">
        <w:rPr>
          <w:rFonts w:ascii="Arial" w:hAnsi="Arial" w:cs="Arial"/>
          <w:sz w:val="24"/>
          <w:szCs w:val="24"/>
          <w:u w:val="single"/>
        </w:rPr>
        <w:t>e Importance of R</w:t>
      </w:r>
      <w:r w:rsidR="00BF713D" w:rsidRPr="00BF713D">
        <w:rPr>
          <w:rFonts w:ascii="Arial" w:hAnsi="Arial" w:cs="Arial"/>
          <w:sz w:val="24"/>
          <w:szCs w:val="24"/>
          <w:u w:val="single"/>
        </w:rPr>
        <w:t>esearc</w:t>
      </w:r>
      <w:r w:rsidR="00BF713D">
        <w:rPr>
          <w:rFonts w:ascii="Arial" w:hAnsi="Arial" w:cs="Arial"/>
          <w:sz w:val="24"/>
          <w:szCs w:val="24"/>
          <w:u w:val="single"/>
        </w:rPr>
        <w:t>h Design in the Research Process</w:t>
      </w:r>
    </w:p>
    <w:p w:rsidR="00C7348E" w:rsidRPr="00EA7FB2" w:rsidRDefault="00C7348E" w:rsidP="00C7348E">
      <w:pPr>
        <w:pStyle w:val="NormalWeb"/>
        <w:spacing w:line="360" w:lineRule="auto"/>
        <w:jc w:val="both"/>
        <w:rPr>
          <w:rFonts w:ascii="Arial" w:hAnsi="Arial" w:cs="Arial"/>
          <w:b/>
        </w:rPr>
      </w:pPr>
      <w:r w:rsidRPr="00EA7FB2">
        <w:rPr>
          <w:rStyle w:val="Strong"/>
          <w:rFonts w:ascii="Arial" w:hAnsi="Arial" w:cs="Arial"/>
          <w:b w:val="0"/>
        </w:rPr>
        <w:t>Additional Theoretical Perspectives and Contextual Considerations</w:t>
      </w:r>
    </w:p>
    <w:p w:rsidR="00C7348E" w:rsidRPr="00C7348E" w:rsidRDefault="00C7348E" w:rsidP="00C7348E">
      <w:pPr>
        <w:pStyle w:val="NormalWeb"/>
        <w:spacing w:line="360" w:lineRule="auto"/>
        <w:jc w:val="both"/>
        <w:rPr>
          <w:rFonts w:ascii="Arial" w:hAnsi="Arial" w:cs="Arial"/>
        </w:rPr>
      </w:pPr>
      <w:r w:rsidRPr="00C7348E">
        <w:rPr>
          <w:rFonts w:ascii="Arial" w:hAnsi="Arial" w:cs="Arial"/>
        </w:rPr>
        <w:lastRenderedPageBreak/>
        <w:t>Beyond the core service quality frameworks, this research is also informed by a range of theoretic</w:t>
      </w:r>
      <w:r w:rsidR="0078783C">
        <w:rPr>
          <w:rFonts w:ascii="Arial" w:hAnsi="Arial" w:cs="Arial"/>
        </w:rPr>
        <w:t>al perspectives that give context to</w:t>
      </w:r>
      <w:r w:rsidRPr="00C7348E">
        <w:rPr>
          <w:rFonts w:ascii="Arial" w:hAnsi="Arial" w:cs="Arial"/>
        </w:rPr>
        <w:t xml:space="preserve"> the complexity of accessible hospitality. Social inclusion theory, for instance, posits that equitable access to services is fundamental for fostering community cohesion and enhancing overall quality of life (Bourke, </w:t>
      </w:r>
      <w:r>
        <w:rPr>
          <w:rFonts w:ascii="Arial" w:hAnsi="Arial" w:cs="Arial"/>
        </w:rPr>
        <w:t xml:space="preserve">et al., </w:t>
      </w:r>
      <w:r w:rsidRPr="00C7348E">
        <w:rPr>
          <w:rFonts w:ascii="Arial" w:hAnsi="Arial" w:cs="Arial"/>
        </w:rPr>
        <w:t>2010). This theory reinforces the idea that accessibility is not merely about meeting legal requirements but about ensuring that all individuals, regardless of ability, can fully participate in social and cultural events. In this light, accessible hospitality becomes a key driver of social capital, which can lead to increased engagement and loyalty among disabled event attendees. Moreover, the principles of universal design advocate for environments that are inherently accessible to the widest range of users, suggesting that thoughtful design can pre-empt barriers rather than simply reacting to</w:t>
      </w:r>
      <w:r w:rsidR="00EA7FB2">
        <w:rPr>
          <w:rFonts w:ascii="Arial" w:hAnsi="Arial" w:cs="Arial"/>
        </w:rPr>
        <w:t xml:space="preserve"> them (Mace, et al., 1991)</w:t>
      </w:r>
    </w:p>
    <w:p w:rsidR="00C7348E" w:rsidRPr="00C7348E" w:rsidRDefault="00C7348E" w:rsidP="00C7348E">
      <w:pPr>
        <w:pStyle w:val="NormalWeb"/>
        <w:spacing w:line="360" w:lineRule="auto"/>
        <w:jc w:val="both"/>
        <w:rPr>
          <w:rFonts w:ascii="Arial" w:hAnsi="Arial" w:cs="Arial"/>
        </w:rPr>
      </w:pPr>
      <w:r w:rsidRPr="00C7348E">
        <w:rPr>
          <w:rFonts w:ascii="Arial" w:hAnsi="Arial" w:cs="Arial"/>
        </w:rPr>
        <w:t>These theoretical perspectives provide a robust framework for interpreting the secondary data collected in this study. By integrating these insights, the research not only explores the measurable impacts of accessible services but also delves into the underlying reasons behin</w:t>
      </w:r>
      <w:r>
        <w:rPr>
          <w:rFonts w:ascii="Arial" w:hAnsi="Arial" w:cs="Arial"/>
        </w:rPr>
        <w:t>d these outcomes. This dual perspective</w:t>
      </w:r>
      <w:r w:rsidRPr="00C7348E">
        <w:rPr>
          <w:rFonts w:ascii="Arial" w:hAnsi="Arial" w:cs="Arial"/>
        </w:rPr>
        <w:t xml:space="preserve"> is particularly important when synthesising data from diverse sources, as it allows for a deeper understanding of how both quantitative trends a</w:t>
      </w:r>
      <w:r w:rsidR="0078783C">
        <w:rPr>
          <w:rFonts w:ascii="Arial" w:hAnsi="Arial" w:cs="Arial"/>
        </w:rPr>
        <w:t>nd qualitative insights come together</w:t>
      </w:r>
      <w:r w:rsidRPr="00C7348E">
        <w:rPr>
          <w:rFonts w:ascii="Arial" w:hAnsi="Arial" w:cs="Arial"/>
        </w:rPr>
        <w:t xml:space="preserve"> to inform best practices in accessible hospitality. Additionally, these theories support the rationale for an exploratory research design by highlighting gaps in current practices and suggesting areas where further innovation could enhance the overall visitor experience. As such, the combination of service quality models with social inclusion and universal design theories offers a comprehensive basis for understanding and improving accessibility within the events industry.</w:t>
      </w:r>
    </w:p>
    <w:p w:rsidR="00BF713D" w:rsidRDefault="00BF713D" w:rsidP="002D1E45">
      <w:pPr>
        <w:spacing w:line="480" w:lineRule="auto"/>
        <w:jc w:val="both"/>
        <w:rPr>
          <w:rFonts w:ascii="Arial" w:hAnsi="Arial" w:cs="Arial"/>
          <w:sz w:val="24"/>
          <w:szCs w:val="24"/>
        </w:rPr>
      </w:pPr>
      <w:r>
        <w:rPr>
          <w:rFonts w:ascii="Arial" w:hAnsi="Arial" w:cs="Arial"/>
          <w:sz w:val="24"/>
          <w:szCs w:val="24"/>
        </w:rPr>
        <w:t>A well-structured research design is critical because it:</w:t>
      </w:r>
    </w:p>
    <w:p w:rsidR="00BF713D" w:rsidRDefault="00BF713D" w:rsidP="00BF713D">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 Guides data selection, helping define what constitutes relevant secondary data and establishes criteria for the inclusion or exclusion of sources.</w:t>
      </w:r>
    </w:p>
    <w:p w:rsidR="00BF713D" w:rsidRDefault="00BF713D" w:rsidP="00BF713D">
      <w:pPr>
        <w:pStyle w:val="ListParagraph"/>
        <w:numPr>
          <w:ilvl w:val="0"/>
          <w:numId w:val="1"/>
        </w:numPr>
        <w:spacing w:line="480" w:lineRule="auto"/>
        <w:jc w:val="both"/>
        <w:rPr>
          <w:rFonts w:ascii="Arial" w:hAnsi="Arial" w:cs="Arial"/>
          <w:sz w:val="24"/>
          <w:szCs w:val="24"/>
        </w:rPr>
      </w:pPr>
      <w:r>
        <w:rPr>
          <w:rFonts w:ascii="Arial" w:hAnsi="Arial" w:cs="Arial"/>
          <w:sz w:val="24"/>
          <w:szCs w:val="24"/>
        </w:rPr>
        <w:t>Ensures rigor and transparency, providing a clear design provides an audit trail for how conclusions are drawn, which is particularly important when synthesising data from multiple secondary sources.</w:t>
      </w:r>
    </w:p>
    <w:p w:rsidR="00BF713D" w:rsidRDefault="00BF713D" w:rsidP="00BF713D">
      <w:pPr>
        <w:pStyle w:val="ListParagraph"/>
        <w:numPr>
          <w:ilvl w:val="0"/>
          <w:numId w:val="1"/>
        </w:numPr>
        <w:spacing w:line="480" w:lineRule="auto"/>
        <w:jc w:val="both"/>
        <w:rPr>
          <w:rFonts w:ascii="Arial" w:hAnsi="Arial" w:cs="Arial"/>
          <w:sz w:val="24"/>
          <w:szCs w:val="24"/>
        </w:rPr>
      </w:pPr>
      <w:r>
        <w:rPr>
          <w:rFonts w:ascii="Arial" w:hAnsi="Arial" w:cs="Arial"/>
          <w:sz w:val="24"/>
          <w:szCs w:val="24"/>
        </w:rPr>
        <w:lastRenderedPageBreak/>
        <w:t>Supports critical evaluation, by explicitly stating the design, the researcher is able to demonstrate an awareness of method limitations and the need to critically appraise the quality and relevance of existing data (Bryman, 2016).</w:t>
      </w:r>
    </w:p>
    <w:p w:rsidR="0016516D" w:rsidRDefault="0016516D" w:rsidP="0016516D">
      <w:pPr>
        <w:spacing w:line="480" w:lineRule="auto"/>
        <w:jc w:val="both"/>
        <w:rPr>
          <w:rFonts w:ascii="Arial" w:hAnsi="Arial" w:cs="Arial"/>
          <w:sz w:val="24"/>
          <w:szCs w:val="24"/>
        </w:rPr>
      </w:pPr>
      <w:r>
        <w:rPr>
          <w:rFonts w:ascii="Arial" w:hAnsi="Arial" w:cs="Arial"/>
          <w:sz w:val="24"/>
          <w:szCs w:val="24"/>
        </w:rPr>
        <w:t>In summary, an exploratory design is adopted because it allows the researcher to navigate the complexity of accessible hospitality practices and to generate a comprehensive synthesis of existing evidence, whilst also identifying gaps for future investigation.</w:t>
      </w:r>
    </w:p>
    <w:p w:rsidR="0016516D" w:rsidRDefault="0016516D" w:rsidP="0016516D">
      <w:pPr>
        <w:spacing w:line="480" w:lineRule="auto"/>
        <w:jc w:val="both"/>
        <w:rPr>
          <w:rFonts w:ascii="Arial" w:hAnsi="Arial" w:cs="Arial"/>
          <w:sz w:val="24"/>
          <w:szCs w:val="24"/>
          <w:u w:val="single"/>
        </w:rPr>
      </w:pPr>
      <w:r w:rsidRPr="0016516D">
        <w:rPr>
          <w:rFonts w:ascii="Arial" w:hAnsi="Arial" w:cs="Arial"/>
          <w:sz w:val="24"/>
          <w:szCs w:val="24"/>
          <w:u w:val="single"/>
        </w:rPr>
        <w:t>Methods of Data Collection and Analysis</w:t>
      </w:r>
    </w:p>
    <w:p w:rsidR="0016516D" w:rsidRDefault="0016516D" w:rsidP="0016516D">
      <w:pPr>
        <w:spacing w:line="480" w:lineRule="auto"/>
        <w:jc w:val="both"/>
        <w:rPr>
          <w:rFonts w:ascii="Arial" w:hAnsi="Arial" w:cs="Arial"/>
          <w:sz w:val="24"/>
          <w:szCs w:val="24"/>
        </w:rPr>
      </w:pPr>
      <w:r>
        <w:rPr>
          <w:rFonts w:ascii="Arial" w:hAnsi="Arial" w:cs="Arial"/>
          <w:sz w:val="24"/>
          <w:szCs w:val="24"/>
        </w:rPr>
        <w:t>Secondary research methods can be broadly divided into quantitative and qualitative approaches, each with inherent strengths and limitations.</w:t>
      </w:r>
    </w:p>
    <w:p w:rsidR="0016516D" w:rsidRDefault="0016516D" w:rsidP="0016516D">
      <w:pPr>
        <w:spacing w:line="480" w:lineRule="auto"/>
        <w:jc w:val="both"/>
        <w:rPr>
          <w:rFonts w:ascii="Arial" w:hAnsi="Arial" w:cs="Arial"/>
          <w:sz w:val="24"/>
          <w:szCs w:val="24"/>
          <w:u w:val="single"/>
        </w:rPr>
      </w:pPr>
      <w:r w:rsidRPr="0016516D">
        <w:rPr>
          <w:rFonts w:ascii="Arial" w:hAnsi="Arial" w:cs="Arial"/>
          <w:sz w:val="24"/>
          <w:szCs w:val="24"/>
          <w:u w:val="single"/>
        </w:rPr>
        <w:t>Quantitative Methods (Secondary Data)</w:t>
      </w:r>
    </w:p>
    <w:p w:rsidR="0016516D" w:rsidRDefault="0016516D" w:rsidP="0016516D">
      <w:pPr>
        <w:spacing w:line="480" w:lineRule="auto"/>
        <w:jc w:val="both"/>
        <w:rPr>
          <w:rFonts w:ascii="Arial" w:hAnsi="Arial" w:cs="Arial"/>
          <w:sz w:val="24"/>
          <w:szCs w:val="24"/>
        </w:rPr>
      </w:pPr>
      <w:r>
        <w:rPr>
          <w:rFonts w:ascii="Arial" w:hAnsi="Arial" w:cs="Arial"/>
          <w:sz w:val="24"/>
          <w:szCs w:val="24"/>
        </w:rPr>
        <w:t>Quantitative data in this study will be taken from:</w:t>
      </w:r>
    </w:p>
    <w:p w:rsidR="0016516D" w:rsidRDefault="0016516D" w:rsidP="0016516D">
      <w:pPr>
        <w:pStyle w:val="ListParagraph"/>
        <w:numPr>
          <w:ilvl w:val="0"/>
          <w:numId w:val="2"/>
        </w:numPr>
        <w:spacing w:line="480" w:lineRule="auto"/>
        <w:jc w:val="both"/>
        <w:rPr>
          <w:rFonts w:ascii="Arial" w:hAnsi="Arial" w:cs="Arial"/>
          <w:sz w:val="24"/>
          <w:szCs w:val="24"/>
        </w:rPr>
      </w:pPr>
      <w:r>
        <w:rPr>
          <w:rFonts w:ascii="Arial" w:hAnsi="Arial" w:cs="Arial"/>
          <w:sz w:val="24"/>
          <w:szCs w:val="24"/>
        </w:rPr>
        <w:t>Government Re</w:t>
      </w:r>
      <w:r w:rsidR="004D1D1F">
        <w:rPr>
          <w:rFonts w:ascii="Arial" w:hAnsi="Arial" w:cs="Arial"/>
          <w:sz w:val="24"/>
          <w:szCs w:val="24"/>
        </w:rPr>
        <w:t>ports and Statistical Databases: F</w:t>
      </w:r>
      <w:r>
        <w:rPr>
          <w:rFonts w:ascii="Arial" w:hAnsi="Arial" w:cs="Arial"/>
          <w:sz w:val="24"/>
          <w:szCs w:val="24"/>
        </w:rPr>
        <w:t>or example, UK Government publications and industry reports provide numerical data on user satisfaction, event attendance, and accessibility compliance.</w:t>
      </w:r>
    </w:p>
    <w:p w:rsidR="0016516D" w:rsidRDefault="0016516D" w:rsidP="0016516D">
      <w:pPr>
        <w:pStyle w:val="ListParagraph"/>
        <w:numPr>
          <w:ilvl w:val="0"/>
          <w:numId w:val="2"/>
        </w:numPr>
        <w:spacing w:line="480" w:lineRule="auto"/>
        <w:jc w:val="both"/>
        <w:rPr>
          <w:rFonts w:ascii="Arial" w:hAnsi="Arial" w:cs="Arial"/>
          <w:sz w:val="24"/>
          <w:szCs w:val="24"/>
        </w:rPr>
      </w:pPr>
      <w:r>
        <w:rPr>
          <w:rFonts w:ascii="Arial" w:hAnsi="Arial" w:cs="Arial"/>
          <w:sz w:val="24"/>
          <w:szCs w:val="24"/>
        </w:rPr>
        <w:t>Indus</w:t>
      </w:r>
      <w:r w:rsidR="004D1D1F">
        <w:rPr>
          <w:rFonts w:ascii="Arial" w:hAnsi="Arial" w:cs="Arial"/>
          <w:sz w:val="24"/>
          <w:szCs w:val="24"/>
        </w:rPr>
        <w:t>try Surveys and Market Research: These sources offer statistical insights into customer perceptions and trends over time.</w:t>
      </w:r>
    </w:p>
    <w:p w:rsidR="004D1D1F" w:rsidRPr="000D7A1C" w:rsidRDefault="000D7A1C" w:rsidP="004D1D1F">
      <w:pPr>
        <w:spacing w:line="480" w:lineRule="auto"/>
        <w:jc w:val="both"/>
        <w:rPr>
          <w:rFonts w:ascii="Arial" w:hAnsi="Arial" w:cs="Arial"/>
          <w:sz w:val="24"/>
          <w:szCs w:val="24"/>
          <w:u w:val="single"/>
        </w:rPr>
      </w:pPr>
      <w:r w:rsidRPr="000D7A1C">
        <w:rPr>
          <w:rFonts w:ascii="Arial" w:hAnsi="Arial" w:cs="Arial"/>
          <w:sz w:val="24"/>
          <w:szCs w:val="24"/>
          <w:u w:val="single"/>
        </w:rPr>
        <w:t>Strengths</w:t>
      </w:r>
    </w:p>
    <w:p w:rsidR="004D1D1F" w:rsidRDefault="004D1D1F" w:rsidP="004D1D1F">
      <w:pPr>
        <w:spacing w:line="480" w:lineRule="auto"/>
        <w:jc w:val="both"/>
        <w:rPr>
          <w:rFonts w:ascii="Arial" w:hAnsi="Arial" w:cs="Arial"/>
          <w:sz w:val="24"/>
          <w:szCs w:val="24"/>
        </w:rPr>
      </w:pPr>
      <w:r>
        <w:rPr>
          <w:rFonts w:ascii="Arial" w:hAnsi="Arial" w:cs="Arial"/>
          <w:sz w:val="24"/>
          <w:szCs w:val="24"/>
        </w:rPr>
        <w:t>Quantitative secondary data are objective, replicable, and allow for the identification of measurable trends and correlations.  They facilitate the use of descriptive statistical techniques (Sharma, C., 2025)</w:t>
      </w:r>
    </w:p>
    <w:p w:rsidR="004D1D1F" w:rsidRPr="000D7A1C" w:rsidRDefault="000D7A1C" w:rsidP="004D1D1F">
      <w:pPr>
        <w:spacing w:line="480" w:lineRule="auto"/>
        <w:jc w:val="both"/>
        <w:rPr>
          <w:rFonts w:ascii="Arial" w:hAnsi="Arial" w:cs="Arial"/>
          <w:sz w:val="24"/>
          <w:szCs w:val="24"/>
          <w:u w:val="single"/>
        </w:rPr>
      </w:pPr>
      <w:r w:rsidRPr="000D7A1C">
        <w:rPr>
          <w:rFonts w:ascii="Arial" w:hAnsi="Arial" w:cs="Arial"/>
          <w:sz w:val="24"/>
          <w:szCs w:val="24"/>
          <w:u w:val="single"/>
        </w:rPr>
        <w:t>Weaknesses</w:t>
      </w:r>
    </w:p>
    <w:p w:rsidR="004D1D1F" w:rsidRDefault="004D1D1F" w:rsidP="004D1D1F">
      <w:pPr>
        <w:spacing w:line="480" w:lineRule="auto"/>
        <w:jc w:val="both"/>
        <w:rPr>
          <w:rFonts w:ascii="Arial" w:hAnsi="Arial" w:cs="Arial"/>
          <w:sz w:val="24"/>
          <w:szCs w:val="24"/>
        </w:rPr>
      </w:pPr>
      <w:r>
        <w:rPr>
          <w:rFonts w:ascii="Arial" w:hAnsi="Arial" w:cs="Arial"/>
          <w:sz w:val="24"/>
          <w:szCs w:val="24"/>
        </w:rPr>
        <w:lastRenderedPageBreak/>
        <w:t>The main limitations include the potential for data to be outdated, incomplete or not perfectly suited to the research context.  Further, how the data is interpreted by the researcher, despite controls may impact the results.  Additionally, the researcher has limited control over how the original data was collected, which could affect the reliability of findings.</w:t>
      </w:r>
    </w:p>
    <w:p w:rsidR="004D1D1F" w:rsidRDefault="005869EA" w:rsidP="004D1D1F">
      <w:pPr>
        <w:spacing w:line="480" w:lineRule="auto"/>
        <w:jc w:val="both"/>
        <w:rPr>
          <w:rFonts w:ascii="Arial" w:hAnsi="Arial" w:cs="Arial"/>
          <w:sz w:val="24"/>
          <w:szCs w:val="24"/>
          <w:u w:val="single"/>
        </w:rPr>
      </w:pPr>
      <w:r w:rsidRPr="005869EA">
        <w:rPr>
          <w:rFonts w:ascii="Arial" w:hAnsi="Arial" w:cs="Arial"/>
          <w:sz w:val="24"/>
          <w:szCs w:val="24"/>
          <w:u w:val="single"/>
        </w:rPr>
        <w:t>Qualitative Methods (Secondary Data)</w:t>
      </w:r>
    </w:p>
    <w:p w:rsidR="005869EA" w:rsidRDefault="005869EA" w:rsidP="004D1D1F">
      <w:pPr>
        <w:spacing w:line="480" w:lineRule="auto"/>
        <w:jc w:val="both"/>
        <w:rPr>
          <w:rFonts w:ascii="Arial" w:hAnsi="Arial" w:cs="Arial"/>
          <w:sz w:val="24"/>
          <w:szCs w:val="24"/>
        </w:rPr>
      </w:pPr>
      <w:r>
        <w:rPr>
          <w:rFonts w:ascii="Arial" w:hAnsi="Arial" w:cs="Arial"/>
          <w:sz w:val="24"/>
          <w:szCs w:val="24"/>
        </w:rPr>
        <w:t xml:space="preserve">Qualitative data will be sourced from: </w:t>
      </w:r>
    </w:p>
    <w:p w:rsidR="005869EA" w:rsidRDefault="005869EA" w:rsidP="005869EA">
      <w:pPr>
        <w:pStyle w:val="ListParagraph"/>
        <w:numPr>
          <w:ilvl w:val="0"/>
          <w:numId w:val="4"/>
        </w:numPr>
        <w:spacing w:line="480" w:lineRule="auto"/>
        <w:jc w:val="both"/>
        <w:rPr>
          <w:rFonts w:ascii="Arial" w:hAnsi="Arial" w:cs="Arial"/>
          <w:sz w:val="24"/>
          <w:szCs w:val="24"/>
        </w:rPr>
      </w:pPr>
      <w:r w:rsidRPr="005869EA">
        <w:rPr>
          <w:rFonts w:ascii="Arial" w:hAnsi="Arial" w:cs="Arial"/>
          <w:sz w:val="24"/>
          <w:szCs w:val="24"/>
        </w:rPr>
        <w:t>Academic Journal Articles: Peer reviewed studies provide detailed accounts of the theoretical and practical aspects of accessible hospitality.</w:t>
      </w:r>
    </w:p>
    <w:p w:rsidR="005869EA" w:rsidRDefault="005869EA" w:rsidP="005869EA">
      <w:pPr>
        <w:pStyle w:val="ListParagraph"/>
        <w:numPr>
          <w:ilvl w:val="0"/>
          <w:numId w:val="4"/>
        </w:numPr>
        <w:spacing w:line="480" w:lineRule="auto"/>
        <w:jc w:val="both"/>
        <w:rPr>
          <w:rFonts w:ascii="Arial" w:hAnsi="Arial" w:cs="Arial"/>
          <w:sz w:val="24"/>
          <w:szCs w:val="24"/>
        </w:rPr>
      </w:pPr>
      <w:r>
        <w:rPr>
          <w:rFonts w:ascii="Arial" w:hAnsi="Arial" w:cs="Arial"/>
          <w:sz w:val="24"/>
          <w:szCs w:val="24"/>
        </w:rPr>
        <w:t>Policy Documents and Industry Reports: These texts offer insights into regulatory frameworks, best practices, and strategic recommendations.</w:t>
      </w:r>
    </w:p>
    <w:p w:rsidR="005869EA" w:rsidRPr="000D7A1C" w:rsidRDefault="005869EA" w:rsidP="005869EA">
      <w:pPr>
        <w:pStyle w:val="ListParagraph"/>
        <w:numPr>
          <w:ilvl w:val="0"/>
          <w:numId w:val="4"/>
        </w:numPr>
        <w:spacing w:line="480" w:lineRule="auto"/>
        <w:jc w:val="both"/>
        <w:rPr>
          <w:rFonts w:ascii="Arial" w:hAnsi="Arial" w:cs="Arial"/>
          <w:sz w:val="24"/>
          <w:szCs w:val="24"/>
        </w:rPr>
      </w:pPr>
      <w:r>
        <w:rPr>
          <w:rFonts w:ascii="Arial" w:hAnsi="Arial" w:cs="Arial"/>
          <w:sz w:val="24"/>
          <w:szCs w:val="24"/>
        </w:rPr>
        <w:t>Published Case Studies: Detailed case analysis such as</w:t>
      </w:r>
      <w:r w:rsidR="000D7A1C">
        <w:rPr>
          <w:rFonts w:ascii="Arial" w:hAnsi="Arial" w:cs="Arial"/>
          <w:sz w:val="24"/>
          <w:szCs w:val="24"/>
        </w:rPr>
        <w:t xml:space="preserve"> the European Commission report </w:t>
      </w:r>
      <w:r w:rsidR="000D7A1C" w:rsidRPr="000D7A1C">
        <w:rPr>
          <w:rFonts w:ascii="Arial" w:hAnsi="Arial" w:cs="Arial"/>
          <w:sz w:val="24"/>
          <w:szCs w:val="24"/>
        </w:rPr>
        <w:t>“</w:t>
      </w:r>
      <w:r w:rsidR="000D7A1C" w:rsidRPr="000D7A1C">
        <w:rPr>
          <w:rFonts w:ascii="Arial" w:hAnsi="Arial" w:cs="Arial"/>
          <w:sz w:val="24"/>
          <w:szCs w:val="24"/>
        </w:rPr>
        <w:t>Mapping and Performance Check of the Supply of Accessible Tourism Services</w:t>
      </w:r>
      <w:r w:rsidR="000D7A1C" w:rsidRPr="000D7A1C">
        <w:rPr>
          <w:rFonts w:ascii="Arial" w:hAnsi="Arial" w:cs="Arial"/>
          <w:sz w:val="24"/>
          <w:szCs w:val="24"/>
        </w:rPr>
        <w:t xml:space="preserve">” </w:t>
      </w:r>
      <w:r w:rsidR="000D7A1C">
        <w:rPr>
          <w:rFonts w:ascii="Arial" w:hAnsi="Arial" w:cs="Arial"/>
          <w:sz w:val="24"/>
          <w:szCs w:val="24"/>
        </w:rPr>
        <w:t>(</w:t>
      </w:r>
      <w:r w:rsidR="000D7A1C" w:rsidRPr="000D7A1C">
        <w:rPr>
          <w:rFonts w:ascii="Arial" w:hAnsi="Arial" w:cs="Arial"/>
          <w:sz w:val="24"/>
          <w:szCs w:val="24"/>
        </w:rPr>
        <w:t>2015</w:t>
      </w:r>
      <w:r w:rsidR="000D7A1C">
        <w:rPr>
          <w:rFonts w:ascii="Arial" w:hAnsi="Arial" w:cs="Arial"/>
          <w:sz w:val="24"/>
          <w:szCs w:val="24"/>
        </w:rPr>
        <w:t>) which uses the London 2012 Olympics as a case study, will provide practical examples of how accessibility is implemented in real world settings.</w:t>
      </w:r>
    </w:p>
    <w:p w:rsidR="0016516D" w:rsidRDefault="000D7A1C" w:rsidP="0016516D">
      <w:pPr>
        <w:spacing w:line="480" w:lineRule="auto"/>
        <w:jc w:val="both"/>
        <w:rPr>
          <w:rFonts w:ascii="Arial" w:hAnsi="Arial" w:cs="Arial"/>
          <w:sz w:val="24"/>
          <w:szCs w:val="24"/>
          <w:u w:val="single"/>
        </w:rPr>
      </w:pPr>
      <w:r w:rsidRPr="000D7A1C">
        <w:rPr>
          <w:rFonts w:ascii="Arial" w:hAnsi="Arial" w:cs="Arial"/>
          <w:sz w:val="24"/>
          <w:szCs w:val="24"/>
          <w:u w:val="single"/>
        </w:rPr>
        <w:t>Strengths</w:t>
      </w:r>
    </w:p>
    <w:p w:rsidR="000D7A1C" w:rsidRDefault="000D7A1C" w:rsidP="0016516D">
      <w:pPr>
        <w:spacing w:line="480" w:lineRule="auto"/>
        <w:jc w:val="both"/>
        <w:rPr>
          <w:rFonts w:ascii="Arial" w:hAnsi="Arial" w:cs="Arial"/>
          <w:sz w:val="24"/>
          <w:szCs w:val="24"/>
        </w:rPr>
      </w:pPr>
      <w:r>
        <w:rPr>
          <w:rFonts w:ascii="Arial" w:hAnsi="Arial" w:cs="Arial"/>
          <w:sz w:val="24"/>
          <w:szCs w:val="24"/>
        </w:rPr>
        <w:t>Qualitative secondary data allows for an in depth understanding of the nuances behind qualitative trends.  They enable the researcher to capture the contextual factors and lived experiences that numbers alone cannot reveal (Patton, M.Q., 2015)</w:t>
      </w:r>
    </w:p>
    <w:p w:rsidR="000D7A1C" w:rsidRDefault="000D7A1C" w:rsidP="0016516D">
      <w:pPr>
        <w:spacing w:line="480" w:lineRule="auto"/>
        <w:jc w:val="both"/>
        <w:rPr>
          <w:rFonts w:ascii="Arial" w:hAnsi="Arial" w:cs="Arial"/>
          <w:sz w:val="24"/>
          <w:szCs w:val="24"/>
          <w:u w:val="single"/>
        </w:rPr>
      </w:pPr>
      <w:r w:rsidRPr="000D7A1C">
        <w:rPr>
          <w:rFonts w:ascii="Arial" w:hAnsi="Arial" w:cs="Arial"/>
          <w:sz w:val="24"/>
          <w:szCs w:val="24"/>
          <w:u w:val="single"/>
        </w:rPr>
        <w:t>Weaknesses</w:t>
      </w:r>
    </w:p>
    <w:p w:rsidR="000D7A1C" w:rsidRDefault="00D416E7" w:rsidP="0016516D">
      <w:pPr>
        <w:spacing w:line="480" w:lineRule="auto"/>
        <w:jc w:val="both"/>
        <w:rPr>
          <w:rFonts w:ascii="Arial" w:hAnsi="Arial" w:cs="Arial"/>
          <w:sz w:val="24"/>
          <w:szCs w:val="24"/>
        </w:rPr>
      </w:pPr>
      <w:r>
        <w:rPr>
          <w:rFonts w:ascii="Arial" w:hAnsi="Arial" w:cs="Arial"/>
          <w:sz w:val="24"/>
          <w:szCs w:val="24"/>
        </w:rPr>
        <w:lastRenderedPageBreak/>
        <w:t>Such data is often subject to interpretive bias and may lack consistency across sources.  The quality of the synthesis depends on the rigor of the original studies and the researcher’s</w:t>
      </w:r>
      <w:r w:rsidR="003D5AE1">
        <w:rPr>
          <w:rFonts w:ascii="Arial" w:hAnsi="Arial" w:cs="Arial"/>
          <w:sz w:val="24"/>
          <w:szCs w:val="24"/>
        </w:rPr>
        <w:t xml:space="preserve"> ability to critically evaluate them.</w:t>
      </w:r>
    </w:p>
    <w:p w:rsidR="00D416E7" w:rsidRDefault="00D416E7" w:rsidP="0016516D">
      <w:pPr>
        <w:spacing w:line="480" w:lineRule="auto"/>
        <w:jc w:val="both"/>
        <w:rPr>
          <w:rFonts w:ascii="Arial" w:hAnsi="Arial" w:cs="Arial"/>
          <w:sz w:val="24"/>
          <w:szCs w:val="24"/>
          <w:u w:val="single"/>
        </w:rPr>
      </w:pPr>
      <w:r w:rsidRPr="00D416E7">
        <w:rPr>
          <w:rFonts w:ascii="Arial" w:hAnsi="Arial" w:cs="Arial"/>
          <w:sz w:val="24"/>
          <w:szCs w:val="24"/>
          <w:u w:val="single"/>
        </w:rPr>
        <w:t>Mixed Methods Integration</w:t>
      </w:r>
    </w:p>
    <w:p w:rsidR="00D416E7" w:rsidRDefault="00D416E7" w:rsidP="0016516D">
      <w:pPr>
        <w:spacing w:line="480" w:lineRule="auto"/>
        <w:jc w:val="both"/>
        <w:rPr>
          <w:rFonts w:ascii="Arial" w:hAnsi="Arial" w:cs="Arial"/>
          <w:sz w:val="24"/>
          <w:szCs w:val="24"/>
        </w:rPr>
      </w:pPr>
      <w:r>
        <w:rPr>
          <w:rFonts w:ascii="Arial" w:hAnsi="Arial" w:cs="Arial"/>
          <w:sz w:val="24"/>
          <w:szCs w:val="24"/>
        </w:rPr>
        <w:t>By synthesising both quantit</w:t>
      </w:r>
      <w:r w:rsidR="007D64A1">
        <w:rPr>
          <w:rFonts w:ascii="Arial" w:hAnsi="Arial" w:cs="Arial"/>
          <w:sz w:val="24"/>
          <w:szCs w:val="24"/>
        </w:rPr>
        <w:t>at</w:t>
      </w:r>
      <w:r>
        <w:rPr>
          <w:rFonts w:ascii="Arial" w:hAnsi="Arial" w:cs="Arial"/>
          <w:sz w:val="24"/>
          <w:szCs w:val="24"/>
        </w:rPr>
        <w:t>ive and qualit</w:t>
      </w:r>
      <w:r w:rsidR="007D64A1">
        <w:rPr>
          <w:rFonts w:ascii="Arial" w:hAnsi="Arial" w:cs="Arial"/>
          <w:sz w:val="24"/>
          <w:szCs w:val="24"/>
        </w:rPr>
        <w:t>at</w:t>
      </w:r>
      <w:r>
        <w:rPr>
          <w:rFonts w:ascii="Arial" w:hAnsi="Arial" w:cs="Arial"/>
          <w:sz w:val="24"/>
          <w:szCs w:val="24"/>
        </w:rPr>
        <w:t>ive</w:t>
      </w:r>
      <w:r w:rsidR="007D64A1">
        <w:rPr>
          <w:rFonts w:ascii="Arial" w:hAnsi="Arial" w:cs="Arial"/>
          <w:sz w:val="24"/>
          <w:szCs w:val="24"/>
        </w:rPr>
        <w:t xml:space="preserve"> secondary data, this study benefits from a triangulated approach</w:t>
      </w:r>
      <w:r w:rsidR="003D5AE1">
        <w:rPr>
          <w:rFonts w:ascii="Arial" w:hAnsi="Arial" w:cs="Arial"/>
          <w:sz w:val="24"/>
          <w:szCs w:val="24"/>
        </w:rPr>
        <w:t xml:space="preserve"> that strengthens the validity of its conclusions.  Cresswell and Clark (2018) note that integrating diverse data sources can provide a more comprehensive understanding of complex phenomena.  In this study, the mixed methods approach ensures that numerical trends are contextualised by qualitative insights, providing a fuller, more holistic view of how accessible hospitality practices affect disabled event attendees.</w:t>
      </w:r>
    </w:p>
    <w:p w:rsidR="003D5AE1" w:rsidRDefault="003D5AE1" w:rsidP="0016516D">
      <w:pPr>
        <w:spacing w:line="480" w:lineRule="auto"/>
        <w:jc w:val="both"/>
        <w:rPr>
          <w:rFonts w:ascii="Arial" w:hAnsi="Arial" w:cs="Arial"/>
          <w:sz w:val="24"/>
          <w:szCs w:val="24"/>
          <w:u w:val="single"/>
        </w:rPr>
      </w:pPr>
      <w:r w:rsidRPr="003D5AE1">
        <w:rPr>
          <w:rFonts w:ascii="Arial" w:hAnsi="Arial" w:cs="Arial"/>
          <w:sz w:val="24"/>
          <w:szCs w:val="24"/>
          <w:u w:val="single"/>
        </w:rPr>
        <w:t>Data Collection Methods</w:t>
      </w:r>
    </w:p>
    <w:p w:rsidR="00276833" w:rsidRDefault="00992100" w:rsidP="0016516D">
      <w:pPr>
        <w:spacing w:line="480" w:lineRule="auto"/>
        <w:jc w:val="both"/>
        <w:rPr>
          <w:rFonts w:ascii="Arial" w:hAnsi="Arial" w:cs="Arial"/>
          <w:sz w:val="24"/>
          <w:szCs w:val="24"/>
        </w:rPr>
      </w:pPr>
      <w:r>
        <w:rPr>
          <w:rFonts w:ascii="Arial" w:hAnsi="Arial" w:cs="Arial"/>
          <w:sz w:val="24"/>
          <w:szCs w:val="24"/>
        </w:rPr>
        <w:t>Since this study is entirely based on secondary research, the data collection process will involve systematic identification, evaluation, and synthesis of existing literature and reports.</w:t>
      </w:r>
    </w:p>
    <w:p w:rsidR="00992100" w:rsidRDefault="00992100" w:rsidP="0016516D">
      <w:pPr>
        <w:spacing w:line="480" w:lineRule="auto"/>
        <w:jc w:val="both"/>
        <w:rPr>
          <w:rFonts w:ascii="Arial" w:hAnsi="Arial" w:cs="Arial"/>
          <w:sz w:val="24"/>
          <w:szCs w:val="24"/>
        </w:rPr>
      </w:pPr>
      <w:r w:rsidRPr="00992100">
        <w:rPr>
          <w:rFonts w:ascii="Arial" w:hAnsi="Arial" w:cs="Arial"/>
          <w:sz w:val="24"/>
          <w:szCs w:val="24"/>
          <w:u w:val="single"/>
        </w:rPr>
        <w:t>Systematic Literature Search</w:t>
      </w:r>
    </w:p>
    <w:p w:rsidR="00992100" w:rsidRDefault="00992100" w:rsidP="0016516D">
      <w:pPr>
        <w:spacing w:line="480" w:lineRule="auto"/>
        <w:jc w:val="both"/>
        <w:rPr>
          <w:rFonts w:ascii="Arial" w:hAnsi="Arial" w:cs="Arial"/>
          <w:sz w:val="24"/>
          <w:szCs w:val="24"/>
        </w:rPr>
      </w:pPr>
      <w:r>
        <w:rPr>
          <w:rFonts w:ascii="Arial" w:hAnsi="Arial" w:cs="Arial"/>
          <w:sz w:val="24"/>
          <w:szCs w:val="24"/>
        </w:rPr>
        <w:t>A systematic search protocol will be developed to identify relevant sources.  This will include using academic databases such as JSTOR, Google Scholar and PubMed with defined search terms, such as “accessible hospitality”, “disabled event attendance” and “adaptive technology in events”</w:t>
      </w:r>
    </w:p>
    <w:p w:rsidR="00992100" w:rsidRDefault="00992100" w:rsidP="0016516D">
      <w:pPr>
        <w:spacing w:line="480" w:lineRule="auto"/>
        <w:jc w:val="both"/>
        <w:rPr>
          <w:rFonts w:ascii="Arial" w:hAnsi="Arial" w:cs="Arial"/>
          <w:sz w:val="24"/>
          <w:szCs w:val="24"/>
          <w:u w:val="single"/>
        </w:rPr>
      </w:pPr>
      <w:r w:rsidRPr="00992100">
        <w:rPr>
          <w:rFonts w:ascii="Arial" w:hAnsi="Arial" w:cs="Arial"/>
          <w:sz w:val="24"/>
          <w:szCs w:val="24"/>
          <w:u w:val="single"/>
        </w:rPr>
        <w:t>Document Analysis</w:t>
      </w:r>
    </w:p>
    <w:p w:rsidR="00992100" w:rsidRDefault="00992100" w:rsidP="0016516D">
      <w:pPr>
        <w:spacing w:line="480" w:lineRule="auto"/>
        <w:jc w:val="both"/>
        <w:rPr>
          <w:rFonts w:ascii="Arial" w:hAnsi="Arial" w:cs="Arial"/>
          <w:sz w:val="24"/>
          <w:szCs w:val="24"/>
        </w:rPr>
      </w:pPr>
      <w:r>
        <w:rPr>
          <w:rFonts w:ascii="Arial" w:hAnsi="Arial" w:cs="Arial"/>
          <w:sz w:val="24"/>
          <w:szCs w:val="24"/>
        </w:rPr>
        <w:lastRenderedPageBreak/>
        <w:t>Policy documents, government reports, and industry publications will be retrieved from official websites such as UK Government and the Charity Commission.  This will ensure the data is credible and reflects current standards and practices.</w:t>
      </w:r>
    </w:p>
    <w:p w:rsidR="00992100" w:rsidRDefault="00992100" w:rsidP="0016516D">
      <w:pPr>
        <w:spacing w:line="480" w:lineRule="auto"/>
        <w:jc w:val="both"/>
        <w:rPr>
          <w:rFonts w:ascii="Arial" w:hAnsi="Arial" w:cs="Arial"/>
          <w:sz w:val="24"/>
          <w:szCs w:val="24"/>
          <w:u w:val="single"/>
        </w:rPr>
      </w:pPr>
      <w:r w:rsidRPr="00992100">
        <w:rPr>
          <w:rFonts w:ascii="Arial" w:hAnsi="Arial" w:cs="Arial"/>
          <w:sz w:val="24"/>
          <w:szCs w:val="24"/>
          <w:u w:val="single"/>
        </w:rPr>
        <w:t>Case Study Analysis</w:t>
      </w:r>
    </w:p>
    <w:p w:rsidR="00992100" w:rsidRDefault="00D97178" w:rsidP="0016516D">
      <w:pPr>
        <w:spacing w:line="480" w:lineRule="auto"/>
        <w:jc w:val="both"/>
        <w:rPr>
          <w:rFonts w:ascii="Arial" w:hAnsi="Arial" w:cs="Arial"/>
          <w:sz w:val="24"/>
          <w:szCs w:val="24"/>
        </w:rPr>
      </w:pPr>
      <w:r>
        <w:rPr>
          <w:rFonts w:ascii="Arial" w:hAnsi="Arial" w:cs="Arial"/>
          <w:sz w:val="24"/>
          <w:szCs w:val="24"/>
        </w:rPr>
        <w:t>Published case studies will be critically appraised to extract practical insights and evidence of effective practices.</w:t>
      </w:r>
    </w:p>
    <w:p w:rsidR="00D97178" w:rsidRDefault="00D97178" w:rsidP="0016516D">
      <w:pPr>
        <w:spacing w:line="480" w:lineRule="auto"/>
        <w:jc w:val="both"/>
        <w:rPr>
          <w:rFonts w:ascii="Arial" w:hAnsi="Arial" w:cs="Arial"/>
          <w:sz w:val="24"/>
          <w:szCs w:val="24"/>
        </w:rPr>
      </w:pPr>
      <w:r>
        <w:rPr>
          <w:rFonts w:ascii="Arial" w:hAnsi="Arial" w:cs="Arial"/>
          <w:sz w:val="24"/>
          <w:szCs w:val="24"/>
        </w:rPr>
        <w:t>Each source will be evaluated for relevance, credibility, and currency.  The inclusion criteria will prioritise recent publications, within the last 10 years, peer reviewed articles, and authoritative reports.  This ensures that the synthesis is based on high quality and reliable data.</w:t>
      </w:r>
    </w:p>
    <w:p w:rsidR="00D97178" w:rsidRDefault="00D97178" w:rsidP="0016516D">
      <w:pPr>
        <w:spacing w:line="480" w:lineRule="auto"/>
        <w:jc w:val="both"/>
        <w:rPr>
          <w:rFonts w:ascii="Arial" w:hAnsi="Arial" w:cs="Arial"/>
          <w:sz w:val="24"/>
          <w:szCs w:val="24"/>
          <w:u w:val="single"/>
        </w:rPr>
      </w:pPr>
      <w:r w:rsidRPr="00D97178">
        <w:rPr>
          <w:rFonts w:ascii="Arial" w:hAnsi="Arial" w:cs="Arial"/>
          <w:sz w:val="24"/>
          <w:szCs w:val="24"/>
          <w:u w:val="single"/>
        </w:rPr>
        <w:t>Sampling of Secondary Data</w:t>
      </w:r>
      <w:r>
        <w:rPr>
          <w:rFonts w:ascii="Arial" w:hAnsi="Arial" w:cs="Arial"/>
          <w:sz w:val="24"/>
          <w:szCs w:val="24"/>
          <w:u w:val="single"/>
        </w:rPr>
        <w:t xml:space="preserve"> Sources </w:t>
      </w:r>
    </w:p>
    <w:p w:rsidR="00D97178" w:rsidRDefault="00D97178" w:rsidP="0016516D">
      <w:pPr>
        <w:spacing w:line="480" w:lineRule="auto"/>
        <w:jc w:val="both"/>
        <w:rPr>
          <w:rFonts w:ascii="Arial" w:hAnsi="Arial" w:cs="Arial"/>
          <w:sz w:val="24"/>
          <w:szCs w:val="24"/>
        </w:rPr>
      </w:pPr>
      <w:r>
        <w:rPr>
          <w:rFonts w:ascii="Arial" w:hAnsi="Arial" w:cs="Arial"/>
          <w:sz w:val="24"/>
          <w:szCs w:val="24"/>
        </w:rPr>
        <w:t xml:space="preserve">In the context of secondary research, sampling refers to the selection of appropriate data sources rather than individual participants.  </w:t>
      </w:r>
      <w:r w:rsidR="002C1349">
        <w:rPr>
          <w:rFonts w:ascii="Arial" w:hAnsi="Arial" w:cs="Arial"/>
          <w:sz w:val="24"/>
          <w:szCs w:val="24"/>
        </w:rPr>
        <w:t>A sampling</w:t>
      </w:r>
      <w:r>
        <w:rPr>
          <w:rFonts w:ascii="Arial" w:hAnsi="Arial" w:cs="Arial"/>
          <w:sz w:val="24"/>
          <w:szCs w:val="24"/>
        </w:rPr>
        <w:t xml:space="preserve"> strategy will be applied with the following criteria:</w:t>
      </w:r>
    </w:p>
    <w:p w:rsidR="00D97178" w:rsidRDefault="00D97178" w:rsidP="00D97178">
      <w:pPr>
        <w:pStyle w:val="ListParagraph"/>
        <w:numPr>
          <w:ilvl w:val="0"/>
          <w:numId w:val="5"/>
        </w:numPr>
        <w:spacing w:line="480" w:lineRule="auto"/>
        <w:jc w:val="both"/>
        <w:rPr>
          <w:rFonts w:ascii="Arial" w:hAnsi="Arial" w:cs="Arial"/>
          <w:sz w:val="24"/>
          <w:szCs w:val="24"/>
        </w:rPr>
      </w:pPr>
      <w:r>
        <w:rPr>
          <w:rFonts w:ascii="Arial" w:hAnsi="Arial" w:cs="Arial"/>
          <w:sz w:val="24"/>
          <w:szCs w:val="24"/>
        </w:rPr>
        <w:t>Relevance – only sources that directly address accessible hospitality, inclusive customer service, or related outcomes</w:t>
      </w:r>
      <w:r w:rsidR="002C1349">
        <w:rPr>
          <w:rFonts w:ascii="Arial" w:hAnsi="Arial" w:cs="Arial"/>
          <w:sz w:val="24"/>
          <w:szCs w:val="24"/>
        </w:rPr>
        <w:t xml:space="preserve"> for disabled event attendees will be considered.</w:t>
      </w:r>
    </w:p>
    <w:p w:rsidR="002C1349" w:rsidRDefault="002C1349" w:rsidP="00D97178">
      <w:pPr>
        <w:pStyle w:val="ListParagraph"/>
        <w:numPr>
          <w:ilvl w:val="0"/>
          <w:numId w:val="5"/>
        </w:numPr>
        <w:spacing w:line="480" w:lineRule="auto"/>
        <w:jc w:val="both"/>
        <w:rPr>
          <w:rFonts w:ascii="Arial" w:hAnsi="Arial" w:cs="Arial"/>
          <w:sz w:val="24"/>
          <w:szCs w:val="24"/>
        </w:rPr>
      </w:pPr>
      <w:r>
        <w:rPr>
          <w:rFonts w:ascii="Arial" w:hAnsi="Arial" w:cs="Arial"/>
          <w:sz w:val="24"/>
          <w:szCs w:val="24"/>
        </w:rPr>
        <w:t>Credibility – priority will be given to peer reviewed academic journals, reputable industry reports, and official policy documents.</w:t>
      </w:r>
    </w:p>
    <w:p w:rsidR="002C1349" w:rsidRDefault="002C1349" w:rsidP="00D97178">
      <w:pPr>
        <w:pStyle w:val="ListParagraph"/>
        <w:numPr>
          <w:ilvl w:val="0"/>
          <w:numId w:val="5"/>
        </w:numPr>
        <w:spacing w:line="480" w:lineRule="auto"/>
        <w:jc w:val="both"/>
        <w:rPr>
          <w:rFonts w:ascii="Arial" w:hAnsi="Arial" w:cs="Arial"/>
          <w:sz w:val="24"/>
          <w:szCs w:val="24"/>
        </w:rPr>
      </w:pPr>
      <w:r>
        <w:rPr>
          <w:rFonts w:ascii="Arial" w:hAnsi="Arial" w:cs="Arial"/>
          <w:sz w:val="24"/>
          <w:szCs w:val="24"/>
        </w:rPr>
        <w:t>Contemporary – preference will be given to sources published in the last 10 years</w:t>
      </w:r>
      <w:r w:rsidR="006C6FF9">
        <w:rPr>
          <w:rFonts w:ascii="Arial" w:hAnsi="Arial" w:cs="Arial"/>
          <w:sz w:val="24"/>
          <w:szCs w:val="24"/>
        </w:rPr>
        <w:t xml:space="preserve"> to ensure the data reflects current practices and standards.</w:t>
      </w:r>
    </w:p>
    <w:p w:rsidR="006C6FF9" w:rsidRDefault="006C6FF9" w:rsidP="006C6FF9">
      <w:pPr>
        <w:spacing w:line="480" w:lineRule="auto"/>
        <w:jc w:val="both"/>
        <w:rPr>
          <w:rFonts w:ascii="Arial" w:hAnsi="Arial" w:cs="Arial"/>
          <w:sz w:val="24"/>
          <w:szCs w:val="24"/>
        </w:rPr>
      </w:pPr>
      <w:r>
        <w:rPr>
          <w:rFonts w:ascii="Arial" w:hAnsi="Arial" w:cs="Arial"/>
          <w:sz w:val="24"/>
          <w:szCs w:val="24"/>
        </w:rPr>
        <w:t xml:space="preserve">There is no predetermined sample size for secondary data, rather the aim is to include a comprehensive range of sources that collectively provide a robust foundation for </w:t>
      </w:r>
      <w:r>
        <w:rPr>
          <w:rFonts w:ascii="Arial" w:hAnsi="Arial" w:cs="Arial"/>
          <w:sz w:val="24"/>
          <w:szCs w:val="24"/>
        </w:rPr>
        <w:lastRenderedPageBreak/>
        <w:t>analysis.  This approach ensures that research findings are well supported by the breadth an</w:t>
      </w:r>
      <w:r w:rsidR="00552987">
        <w:rPr>
          <w:rFonts w:ascii="Arial" w:hAnsi="Arial" w:cs="Arial"/>
          <w:sz w:val="24"/>
          <w:szCs w:val="24"/>
        </w:rPr>
        <w:t>d depth of available literature (Vasileiou, K., et al).</w:t>
      </w:r>
    </w:p>
    <w:p w:rsidR="00552987" w:rsidRDefault="00552987" w:rsidP="006C6FF9">
      <w:pPr>
        <w:spacing w:line="480" w:lineRule="auto"/>
        <w:jc w:val="both"/>
        <w:rPr>
          <w:rFonts w:ascii="Arial" w:hAnsi="Arial" w:cs="Arial"/>
          <w:sz w:val="24"/>
          <w:szCs w:val="24"/>
          <w:u w:val="single"/>
        </w:rPr>
      </w:pPr>
      <w:r w:rsidRPr="00552987">
        <w:rPr>
          <w:rFonts w:ascii="Arial" w:hAnsi="Arial" w:cs="Arial"/>
          <w:sz w:val="24"/>
          <w:szCs w:val="24"/>
          <w:u w:val="single"/>
        </w:rPr>
        <w:t>Data Collection</w:t>
      </w:r>
    </w:p>
    <w:p w:rsidR="00552987" w:rsidRDefault="00552987" w:rsidP="00552987">
      <w:pPr>
        <w:spacing w:line="480" w:lineRule="auto"/>
        <w:jc w:val="both"/>
        <w:rPr>
          <w:rFonts w:ascii="Arial" w:hAnsi="Arial" w:cs="Arial"/>
          <w:sz w:val="24"/>
          <w:szCs w:val="24"/>
        </w:rPr>
      </w:pPr>
      <w:r>
        <w:rPr>
          <w:rFonts w:ascii="Arial" w:hAnsi="Arial" w:cs="Arial"/>
          <w:sz w:val="24"/>
          <w:szCs w:val="24"/>
        </w:rPr>
        <w:t>In this study, the data collection process focuses exclusively on secondary research.  The structure and framework employed are designed to ensure that the information gathered is both comprehensive and of high quality.  Tools and instruments will be used to maintain quality of data collection.</w:t>
      </w:r>
    </w:p>
    <w:p w:rsidR="00552987" w:rsidRPr="004025A3" w:rsidRDefault="00552987" w:rsidP="004025A3">
      <w:pPr>
        <w:pStyle w:val="ListParagraph"/>
        <w:numPr>
          <w:ilvl w:val="0"/>
          <w:numId w:val="8"/>
        </w:numPr>
        <w:spacing w:line="480" w:lineRule="auto"/>
        <w:jc w:val="both"/>
        <w:rPr>
          <w:rFonts w:ascii="Arial" w:hAnsi="Arial" w:cs="Arial"/>
          <w:sz w:val="24"/>
          <w:szCs w:val="24"/>
          <w:u w:val="single"/>
        </w:rPr>
      </w:pPr>
      <w:r w:rsidRPr="004025A3">
        <w:rPr>
          <w:rFonts w:ascii="Arial" w:hAnsi="Arial" w:cs="Arial"/>
          <w:sz w:val="24"/>
          <w:szCs w:val="24"/>
          <w:u w:val="single"/>
        </w:rPr>
        <w:t>Tools and Instruments</w:t>
      </w:r>
    </w:p>
    <w:p w:rsidR="00552987" w:rsidRDefault="00552987" w:rsidP="00552987">
      <w:pPr>
        <w:spacing w:line="480" w:lineRule="auto"/>
        <w:jc w:val="both"/>
        <w:rPr>
          <w:rFonts w:ascii="Arial" w:hAnsi="Arial" w:cs="Arial"/>
          <w:sz w:val="24"/>
          <w:szCs w:val="24"/>
        </w:rPr>
      </w:pPr>
      <w:r>
        <w:rPr>
          <w:rFonts w:ascii="Arial" w:hAnsi="Arial" w:cs="Arial"/>
          <w:sz w:val="24"/>
          <w:szCs w:val="24"/>
        </w:rPr>
        <w:t>Digital Libraries and Academic Databases:</w:t>
      </w:r>
      <w:r w:rsidR="004025A3">
        <w:rPr>
          <w:rFonts w:ascii="Arial" w:hAnsi="Arial" w:cs="Arial"/>
          <w:sz w:val="24"/>
          <w:szCs w:val="24"/>
        </w:rPr>
        <w:t xml:space="preserve"> Primary sources of secondary data will be academic databases such as JSTOR, Google Scholar and PubMed.  These platforms provide access to peer reviewed journal articles, conference papers, and scholarly books.  The use of digital libraries ensures that only rigorous and credible sources are incorporated into the review.</w:t>
      </w:r>
    </w:p>
    <w:p w:rsidR="004025A3" w:rsidRDefault="004025A3" w:rsidP="00552987">
      <w:pPr>
        <w:spacing w:line="480" w:lineRule="auto"/>
        <w:jc w:val="both"/>
        <w:rPr>
          <w:rFonts w:ascii="Arial" w:hAnsi="Arial" w:cs="Arial"/>
          <w:sz w:val="24"/>
          <w:szCs w:val="24"/>
        </w:rPr>
      </w:pPr>
      <w:r>
        <w:rPr>
          <w:rFonts w:ascii="Arial" w:hAnsi="Arial" w:cs="Arial"/>
          <w:sz w:val="24"/>
          <w:szCs w:val="24"/>
        </w:rPr>
        <w:t>Government and Industry Portals: Official websites, such as those of the UK Government, the Charity Commission, and</w:t>
      </w:r>
      <w:r w:rsidR="00807391">
        <w:rPr>
          <w:rFonts w:ascii="Arial" w:hAnsi="Arial" w:cs="Arial"/>
          <w:sz w:val="24"/>
          <w:szCs w:val="24"/>
        </w:rPr>
        <w:t xml:space="preserve"> case studies from reputable sources will be used to collect statistical reports, policy documents, and industry analyses.  These sources are crucial for obtaining up to date quantitative data and regulatory information.</w:t>
      </w:r>
    </w:p>
    <w:p w:rsidR="00807391" w:rsidRDefault="00807391" w:rsidP="00552987">
      <w:pPr>
        <w:spacing w:line="480" w:lineRule="auto"/>
        <w:jc w:val="both"/>
        <w:rPr>
          <w:rFonts w:ascii="Arial" w:hAnsi="Arial" w:cs="Arial"/>
          <w:sz w:val="24"/>
          <w:szCs w:val="24"/>
        </w:rPr>
      </w:pPr>
      <w:r>
        <w:rPr>
          <w:rFonts w:ascii="Arial" w:hAnsi="Arial" w:cs="Arial"/>
          <w:sz w:val="24"/>
          <w:szCs w:val="24"/>
        </w:rPr>
        <w:t>Case Study Archives:</w:t>
      </w:r>
      <w:r w:rsidR="00D64509">
        <w:rPr>
          <w:rFonts w:ascii="Arial" w:hAnsi="Arial" w:cs="Arial"/>
          <w:sz w:val="24"/>
          <w:szCs w:val="24"/>
        </w:rPr>
        <w:t xml:space="preserve"> </w:t>
      </w:r>
      <w:r w:rsidR="00A0208F">
        <w:rPr>
          <w:rFonts w:ascii="Arial" w:hAnsi="Arial" w:cs="Arial"/>
          <w:sz w:val="24"/>
          <w:szCs w:val="24"/>
        </w:rPr>
        <w:t xml:space="preserve">Published by the Barbican Centre (2019), this case study offers an in depth look at how one of the UK’s </w:t>
      </w:r>
      <w:r w:rsidR="0045073B">
        <w:rPr>
          <w:rFonts w:ascii="Arial" w:hAnsi="Arial" w:cs="Arial"/>
          <w:sz w:val="24"/>
          <w:szCs w:val="24"/>
        </w:rPr>
        <w:t xml:space="preserve">leading cultural venues has implemented a </w:t>
      </w:r>
      <w:r w:rsidR="00A0208F">
        <w:rPr>
          <w:rFonts w:ascii="Arial" w:hAnsi="Arial" w:cs="Arial"/>
          <w:sz w:val="24"/>
          <w:szCs w:val="24"/>
        </w:rPr>
        <w:t xml:space="preserve">range of accessibility measures.  It examines various aspects, including </w:t>
      </w:r>
      <w:r w:rsidR="0045073B">
        <w:rPr>
          <w:rFonts w:ascii="Arial" w:hAnsi="Arial" w:cs="Arial"/>
          <w:sz w:val="24"/>
          <w:szCs w:val="24"/>
        </w:rPr>
        <w:t>physi</w:t>
      </w:r>
      <w:r w:rsidR="00A0208F">
        <w:rPr>
          <w:rFonts w:ascii="Arial" w:hAnsi="Arial" w:cs="Arial"/>
          <w:sz w:val="24"/>
          <w:szCs w:val="24"/>
        </w:rPr>
        <w:t xml:space="preserve">cal modifications, </w:t>
      </w:r>
      <w:r w:rsidR="0045073B">
        <w:rPr>
          <w:rFonts w:ascii="Arial" w:hAnsi="Arial" w:cs="Arial"/>
          <w:sz w:val="24"/>
          <w:szCs w:val="24"/>
        </w:rPr>
        <w:t xml:space="preserve">staff training to innovative digital solutions designed to enhance the overall visitor experience for those with disabilities.  </w:t>
      </w:r>
      <w:r w:rsidR="00A0208F">
        <w:rPr>
          <w:rFonts w:ascii="Arial" w:hAnsi="Arial" w:cs="Arial"/>
          <w:sz w:val="24"/>
          <w:szCs w:val="24"/>
        </w:rPr>
        <w:t xml:space="preserve">This case study is particularly </w:t>
      </w:r>
      <w:r w:rsidR="00A0208F">
        <w:rPr>
          <w:rFonts w:ascii="Arial" w:hAnsi="Arial" w:cs="Arial"/>
          <w:sz w:val="24"/>
          <w:szCs w:val="24"/>
        </w:rPr>
        <w:lastRenderedPageBreak/>
        <w:t>useful for understanding how theoretical principles of accessible hospitality can be translated into practical real world applications in a complex high traffic environment.</w:t>
      </w:r>
    </w:p>
    <w:p w:rsidR="00E113EF" w:rsidRPr="00E113EF" w:rsidRDefault="00E113EF" w:rsidP="00E113EF">
      <w:pPr>
        <w:pStyle w:val="ListParagraph"/>
        <w:numPr>
          <w:ilvl w:val="0"/>
          <w:numId w:val="8"/>
        </w:numPr>
        <w:spacing w:line="480" w:lineRule="auto"/>
        <w:jc w:val="both"/>
        <w:rPr>
          <w:rFonts w:ascii="Arial" w:hAnsi="Arial" w:cs="Arial"/>
          <w:sz w:val="24"/>
          <w:szCs w:val="24"/>
          <w:u w:val="single"/>
        </w:rPr>
      </w:pPr>
      <w:r w:rsidRPr="00E113EF">
        <w:rPr>
          <w:rFonts w:ascii="Arial" w:hAnsi="Arial" w:cs="Arial"/>
          <w:sz w:val="24"/>
          <w:szCs w:val="24"/>
          <w:u w:val="single"/>
        </w:rPr>
        <w:t>Procedure</w:t>
      </w:r>
    </w:p>
    <w:p w:rsidR="00E113EF" w:rsidRDefault="00E113EF" w:rsidP="00E113EF">
      <w:pPr>
        <w:spacing w:line="480" w:lineRule="auto"/>
        <w:jc w:val="both"/>
        <w:rPr>
          <w:rFonts w:ascii="Arial" w:hAnsi="Arial" w:cs="Arial"/>
          <w:sz w:val="24"/>
          <w:szCs w:val="24"/>
        </w:rPr>
      </w:pPr>
      <w:r w:rsidRPr="00E113EF">
        <w:rPr>
          <w:rFonts w:ascii="Arial" w:hAnsi="Arial" w:cs="Arial"/>
          <w:sz w:val="24"/>
          <w:szCs w:val="24"/>
        </w:rPr>
        <w:t>A systematic and replicable</w:t>
      </w:r>
      <w:r>
        <w:rPr>
          <w:rFonts w:ascii="Arial" w:hAnsi="Arial" w:cs="Arial"/>
          <w:sz w:val="24"/>
          <w:szCs w:val="24"/>
        </w:rPr>
        <w:t xml:space="preserve"> procedure will be followed to ensure consistency and reliability in data collection: </w:t>
      </w:r>
    </w:p>
    <w:p w:rsidR="00E113EF" w:rsidRDefault="00E113EF" w:rsidP="00E113EF">
      <w:pPr>
        <w:spacing w:line="480" w:lineRule="auto"/>
        <w:jc w:val="both"/>
        <w:rPr>
          <w:rFonts w:ascii="Arial" w:hAnsi="Arial" w:cs="Arial"/>
          <w:sz w:val="24"/>
          <w:szCs w:val="24"/>
        </w:rPr>
      </w:pPr>
      <w:r>
        <w:rPr>
          <w:rFonts w:ascii="Arial" w:hAnsi="Arial" w:cs="Arial"/>
          <w:sz w:val="24"/>
          <w:szCs w:val="24"/>
        </w:rPr>
        <w:t>Defining Search Strategy - A detailed search protocol will be established, including key words, (e.g. “accessible hospitality”, “disabled event attendees”, “inclusive customer services”) and specific inclusion/exclusion criteria such as publication date and relevance.</w:t>
      </w:r>
    </w:p>
    <w:p w:rsidR="00E113EF" w:rsidRDefault="00E113EF" w:rsidP="00E113EF">
      <w:pPr>
        <w:spacing w:line="480" w:lineRule="auto"/>
        <w:jc w:val="both"/>
        <w:rPr>
          <w:rFonts w:ascii="Arial" w:hAnsi="Arial" w:cs="Arial"/>
          <w:sz w:val="24"/>
          <w:szCs w:val="24"/>
        </w:rPr>
      </w:pPr>
      <w:r>
        <w:rPr>
          <w:rFonts w:ascii="Arial" w:hAnsi="Arial" w:cs="Arial"/>
          <w:sz w:val="24"/>
          <w:szCs w:val="24"/>
        </w:rPr>
        <w:t>Source Screening and Selection – All retrieved sources will be screened by reviewing titles, abstracts, and executive summaries to determine relevance.  Sources that meet the inclusion criteria will be selected for full text review.</w:t>
      </w:r>
    </w:p>
    <w:p w:rsidR="00E113EF" w:rsidRDefault="00E113EF" w:rsidP="00E113EF">
      <w:pPr>
        <w:spacing w:line="480" w:lineRule="auto"/>
        <w:jc w:val="both"/>
        <w:rPr>
          <w:rFonts w:ascii="Arial" w:hAnsi="Arial" w:cs="Arial"/>
          <w:sz w:val="24"/>
          <w:szCs w:val="24"/>
        </w:rPr>
      </w:pPr>
      <w:r>
        <w:rPr>
          <w:rFonts w:ascii="Arial" w:hAnsi="Arial" w:cs="Arial"/>
          <w:sz w:val="24"/>
          <w:szCs w:val="24"/>
        </w:rPr>
        <w:t>Data Extraction and Organisation – Relevant data, including methodology, key findings, statistics, and theoretical frameworks will be systematically extracted using a predetermined template.  This ensures consistency in capturing essential information across all sources.</w:t>
      </w:r>
    </w:p>
    <w:p w:rsidR="00E113EF" w:rsidRDefault="00E113EF" w:rsidP="00E113EF">
      <w:pPr>
        <w:spacing w:line="480" w:lineRule="auto"/>
        <w:jc w:val="both"/>
        <w:rPr>
          <w:rFonts w:ascii="Arial" w:hAnsi="Arial" w:cs="Arial"/>
          <w:sz w:val="24"/>
          <w:szCs w:val="24"/>
        </w:rPr>
      </w:pPr>
      <w:r>
        <w:rPr>
          <w:rFonts w:ascii="Arial" w:hAnsi="Arial" w:cs="Arial"/>
          <w:sz w:val="24"/>
          <w:szCs w:val="24"/>
        </w:rPr>
        <w:t>Quality Appraisal – Each source will be critically appraised for its methodological rigor, relevance, and potential biases.  Any limitations in the data will be noted and considered</w:t>
      </w:r>
      <w:r w:rsidR="00A52271">
        <w:rPr>
          <w:rFonts w:ascii="Arial" w:hAnsi="Arial" w:cs="Arial"/>
          <w:sz w:val="24"/>
          <w:szCs w:val="24"/>
        </w:rPr>
        <w:t xml:space="preserve"> during the synthesis phase.</w:t>
      </w:r>
    </w:p>
    <w:p w:rsidR="00E12B66" w:rsidRDefault="00A52271" w:rsidP="00E113EF">
      <w:pPr>
        <w:spacing w:line="480" w:lineRule="auto"/>
        <w:jc w:val="both"/>
        <w:rPr>
          <w:rFonts w:ascii="Arial" w:hAnsi="Arial" w:cs="Arial"/>
          <w:sz w:val="24"/>
          <w:szCs w:val="24"/>
        </w:rPr>
      </w:pPr>
      <w:r>
        <w:rPr>
          <w:rFonts w:ascii="Arial" w:hAnsi="Arial" w:cs="Arial"/>
          <w:sz w:val="24"/>
          <w:szCs w:val="24"/>
        </w:rPr>
        <w:t>Synthesis and Documentation – The extracted data will be synthesised to identify recurring themes, trends and gaps</w:t>
      </w:r>
      <w:r w:rsidR="004B6643">
        <w:rPr>
          <w:rFonts w:ascii="Arial" w:hAnsi="Arial" w:cs="Arial"/>
          <w:sz w:val="24"/>
          <w:szCs w:val="24"/>
        </w:rPr>
        <w:t xml:space="preserve"> in the literature. </w:t>
      </w:r>
      <w:r w:rsidR="00E12B66">
        <w:rPr>
          <w:rFonts w:ascii="Arial" w:hAnsi="Arial" w:cs="Arial"/>
          <w:sz w:val="24"/>
          <w:szCs w:val="24"/>
        </w:rPr>
        <w:t>This synthesis will form the basis for the analysis and discussion in subsequent sections.</w:t>
      </w:r>
    </w:p>
    <w:p w:rsidR="00A52271" w:rsidRDefault="00A52271" w:rsidP="00E113EF">
      <w:pPr>
        <w:spacing w:line="480" w:lineRule="auto"/>
        <w:jc w:val="both"/>
        <w:rPr>
          <w:rFonts w:ascii="Arial" w:hAnsi="Arial" w:cs="Arial"/>
          <w:sz w:val="24"/>
          <w:szCs w:val="24"/>
        </w:rPr>
      </w:pPr>
      <w:r>
        <w:rPr>
          <w:rFonts w:ascii="Arial" w:hAnsi="Arial" w:cs="Arial"/>
          <w:sz w:val="24"/>
          <w:szCs w:val="24"/>
        </w:rPr>
        <w:lastRenderedPageBreak/>
        <w:t>Ethical Considerations – Although secondary research poses minimal ethical risks, proper citation practices and respect for intellectual property will be strictly maintained.  All sources will be accurately referenced to meet Harvard UK guidelines.</w:t>
      </w:r>
    </w:p>
    <w:p w:rsidR="00A52271" w:rsidRDefault="00A52271" w:rsidP="00E113EF">
      <w:pPr>
        <w:spacing w:line="480" w:lineRule="auto"/>
        <w:jc w:val="both"/>
        <w:rPr>
          <w:rFonts w:ascii="Arial" w:hAnsi="Arial" w:cs="Arial"/>
          <w:sz w:val="24"/>
          <w:szCs w:val="24"/>
        </w:rPr>
      </w:pPr>
      <w:r>
        <w:rPr>
          <w:rFonts w:ascii="Arial" w:hAnsi="Arial" w:cs="Arial"/>
          <w:sz w:val="24"/>
          <w:szCs w:val="24"/>
        </w:rPr>
        <w:t xml:space="preserve">By </w:t>
      </w:r>
      <w:r w:rsidR="00E12B66">
        <w:rPr>
          <w:rFonts w:ascii="Arial" w:hAnsi="Arial" w:cs="Arial"/>
          <w:sz w:val="24"/>
          <w:szCs w:val="24"/>
        </w:rPr>
        <w:t>following these systematic procedures</w:t>
      </w:r>
      <w:r>
        <w:rPr>
          <w:rFonts w:ascii="Arial" w:hAnsi="Arial" w:cs="Arial"/>
          <w:sz w:val="24"/>
          <w:szCs w:val="24"/>
        </w:rPr>
        <w:t xml:space="preserve">, the data collection process will ensure that secondary data are robust, comprehensive, and appropriate for addressing </w:t>
      </w:r>
      <w:r w:rsidR="00C4432E">
        <w:rPr>
          <w:rFonts w:ascii="Arial" w:hAnsi="Arial" w:cs="Arial"/>
          <w:sz w:val="24"/>
          <w:szCs w:val="24"/>
        </w:rPr>
        <w:t>the research question.</w:t>
      </w:r>
    </w:p>
    <w:p w:rsidR="00A52271" w:rsidRDefault="00A52271" w:rsidP="00E113EF">
      <w:pPr>
        <w:spacing w:line="480" w:lineRule="auto"/>
        <w:jc w:val="both"/>
        <w:rPr>
          <w:rFonts w:ascii="Arial" w:hAnsi="Arial" w:cs="Arial"/>
          <w:sz w:val="24"/>
          <w:szCs w:val="24"/>
        </w:rPr>
      </w:pPr>
      <w:r w:rsidRPr="00A52271">
        <w:rPr>
          <w:rFonts w:ascii="Arial" w:hAnsi="Arial" w:cs="Arial"/>
          <w:sz w:val="24"/>
          <w:szCs w:val="24"/>
          <w:u w:val="single"/>
        </w:rPr>
        <w:t>Data Analysis</w:t>
      </w:r>
    </w:p>
    <w:p w:rsidR="00A52271" w:rsidRDefault="00A52271" w:rsidP="00E113EF">
      <w:pPr>
        <w:spacing w:line="480" w:lineRule="auto"/>
        <w:jc w:val="both"/>
        <w:rPr>
          <w:rFonts w:ascii="Arial" w:hAnsi="Arial" w:cs="Arial"/>
          <w:sz w:val="24"/>
          <w:szCs w:val="24"/>
        </w:rPr>
      </w:pPr>
      <w:r>
        <w:rPr>
          <w:rFonts w:ascii="Arial" w:hAnsi="Arial" w:cs="Arial"/>
          <w:sz w:val="24"/>
          <w:szCs w:val="24"/>
        </w:rPr>
        <w:t>Data analysis in this study will be conducted entirely on secondary data, incorporating both quantitative and qualitative techniques to generate a comprehensive synthesis of the literature.</w:t>
      </w:r>
    </w:p>
    <w:p w:rsidR="00A52271" w:rsidRDefault="00A52271" w:rsidP="00A52271">
      <w:pPr>
        <w:pStyle w:val="ListParagraph"/>
        <w:numPr>
          <w:ilvl w:val="0"/>
          <w:numId w:val="9"/>
        </w:numPr>
        <w:spacing w:line="480" w:lineRule="auto"/>
        <w:jc w:val="both"/>
        <w:rPr>
          <w:rFonts w:ascii="Arial" w:hAnsi="Arial" w:cs="Arial"/>
          <w:sz w:val="24"/>
          <w:szCs w:val="24"/>
          <w:u w:val="single"/>
        </w:rPr>
      </w:pPr>
      <w:r w:rsidRPr="00A52271">
        <w:rPr>
          <w:rFonts w:ascii="Arial" w:hAnsi="Arial" w:cs="Arial"/>
          <w:sz w:val="24"/>
          <w:szCs w:val="24"/>
          <w:u w:val="single"/>
        </w:rPr>
        <w:t>Quantitative Analysis</w:t>
      </w:r>
    </w:p>
    <w:p w:rsidR="00A52271" w:rsidRDefault="00A52271" w:rsidP="00A52271">
      <w:pPr>
        <w:spacing w:line="480" w:lineRule="auto"/>
        <w:jc w:val="both"/>
        <w:rPr>
          <w:rFonts w:ascii="Arial" w:hAnsi="Arial" w:cs="Arial"/>
          <w:sz w:val="24"/>
          <w:szCs w:val="24"/>
        </w:rPr>
      </w:pPr>
      <w:r w:rsidRPr="00A52271">
        <w:rPr>
          <w:rFonts w:ascii="Arial" w:hAnsi="Arial" w:cs="Arial"/>
          <w:sz w:val="24"/>
          <w:szCs w:val="24"/>
        </w:rPr>
        <w:t>Descriptive Statistics</w:t>
      </w:r>
      <w:r>
        <w:rPr>
          <w:rFonts w:ascii="Arial" w:hAnsi="Arial" w:cs="Arial"/>
          <w:sz w:val="24"/>
          <w:szCs w:val="24"/>
        </w:rPr>
        <w:t xml:space="preserve"> – Quantitative data taken from government reports and industry publications</w:t>
      </w:r>
      <w:r w:rsidR="00A56C03">
        <w:rPr>
          <w:rFonts w:ascii="Arial" w:hAnsi="Arial" w:cs="Arial"/>
          <w:sz w:val="24"/>
          <w:szCs w:val="24"/>
        </w:rPr>
        <w:t xml:space="preserve"> will be summarised using descriptive statistics.  Measures such as means, medians, frequencies and standard deviations will be calculated to provide an overview of key indicators (e.g. satisfaction levels, event attendance rates).  This statistical summary will help identify broad trends in the data (Bryman, 2016).</w:t>
      </w:r>
    </w:p>
    <w:p w:rsidR="00E113EF" w:rsidRDefault="00A56C03" w:rsidP="00E113EF">
      <w:pPr>
        <w:spacing w:line="480" w:lineRule="auto"/>
        <w:jc w:val="both"/>
        <w:rPr>
          <w:rFonts w:ascii="Arial" w:hAnsi="Arial" w:cs="Arial"/>
          <w:sz w:val="24"/>
          <w:szCs w:val="24"/>
        </w:rPr>
      </w:pPr>
      <w:r>
        <w:rPr>
          <w:rFonts w:ascii="Arial" w:hAnsi="Arial" w:cs="Arial"/>
          <w:sz w:val="24"/>
          <w:szCs w:val="24"/>
        </w:rPr>
        <w:t>Inferential Statistical Techniques – Where available, inferential statistics will be applied to test relationships between variables.  For example, correlation analysis may be used to explore whether improvements in accessibility features correlate with higher satisfaction ratings.  Although the data is secondary</w:t>
      </w:r>
      <w:r w:rsidR="00D50169">
        <w:rPr>
          <w:rFonts w:ascii="Arial" w:hAnsi="Arial" w:cs="Arial"/>
          <w:sz w:val="24"/>
          <w:szCs w:val="24"/>
        </w:rPr>
        <w:t>, applying these techniques allows for the testing of hypothesis derived from literature review.</w:t>
      </w:r>
    </w:p>
    <w:p w:rsidR="00D50169" w:rsidRDefault="00D50169" w:rsidP="00D50169">
      <w:pPr>
        <w:pStyle w:val="ListParagraph"/>
        <w:numPr>
          <w:ilvl w:val="0"/>
          <w:numId w:val="9"/>
        </w:numPr>
        <w:spacing w:line="480" w:lineRule="auto"/>
        <w:jc w:val="both"/>
        <w:rPr>
          <w:rFonts w:ascii="Arial" w:hAnsi="Arial" w:cs="Arial"/>
          <w:sz w:val="24"/>
          <w:szCs w:val="24"/>
          <w:u w:val="single"/>
        </w:rPr>
      </w:pPr>
      <w:r>
        <w:rPr>
          <w:rFonts w:ascii="Arial" w:hAnsi="Arial" w:cs="Arial"/>
          <w:sz w:val="24"/>
          <w:szCs w:val="24"/>
          <w:u w:val="single"/>
        </w:rPr>
        <w:t>Qualitative Analysis</w:t>
      </w:r>
    </w:p>
    <w:p w:rsidR="00D50169" w:rsidRDefault="00D50169" w:rsidP="00D50169">
      <w:pPr>
        <w:spacing w:line="480" w:lineRule="auto"/>
        <w:jc w:val="both"/>
        <w:rPr>
          <w:rFonts w:ascii="Arial" w:hAnsi="Arial" w:cs="Arial"/>
          <w:sz w:val="24"/>
          <w:szCs w:val="24"/>
        </w:rPr>
      </w:pPr>
      <w:r>
        <w:rPr>
          <w:rFonts w:ascii="Arial" w:hAnsi="Arial" w:cs="Arial"/>
          <w:sz w:val="24"/>
          <w:szCs w:val="24"/>
        </w:rPr>
        <w:lastRenderedPageBreak/>
        <w:t>Thematic Analysis – Qualitative data from academic articles, policy documents, and case studies will be analysed using thematic analysis.  This involves manually exploring the text to identify recurring themes, patterns, and concepts, related to accessible hospitality.  Braun and Clarkes (2021) research will guide this process</w:t>
      </w:r>
      <w:r w:rsidR="00BA5C41">
        <w:rPr>
          <w:rFonts w:ascii="Arial" w:hAnsi="Arial" w:cs="Arial"/>
          <w:sz w:val="24"/>
          <w:szCs w:val="24"/>
        </w:rPr>
        <w:t>, ensuring that themes such as staff training effectiveness, the impact of adaptive technology, and barriers to accessibility are systematically identified and synthesised.</w:t>
      </w:r>
    </w:p>
    <w:p w:rsidR="00BA5C41" w:rsidRDefault="00BA5C41" w:rsidP="00D50169">
      <w:pPr>
        <w:spacing w:line="480" w:lineRule="auto"/>
        <w:jc w:val="both"/>
        <w:rPr>
          <w:rFonts w:ascii="Arial" w:hAnsi="Arial" w:cs="Arial"/>
          <w:sz w:val="24"/>
          <w:szCs w:val="24"/>
        </w:rPr>
      </w:pPr>
      <w:r>
        <w:rPr>
          <w:rFonts w:ascii="Arial" w:hAnsi="Arial" w:cs="Arial"/>
          <w:sz w:val="24"/>
          <w:szCs w:val="24"/>
        </w:rPr>
        <w:t>Content Analysis – In addition to thematic analysis, content analysis will be used to quantify the frequency of specific keywords or concepts across the literature.  This semi quantitative approach provides insight into prominence of certain issues, allowing for a more nuanced understanding of trends in the secondary data.</w:t>
      </w:r>
    </w:p>
    <w:p w:rsidR="00BA5C41" w:rsidRDefault="00BA5C41" w:rsidP="00D50169">
      <w:pPr>
        <w:spacing w:line="480" w:lineRule="auto"/>
        <w:jc w:val="both"/>
        <w:rPr>
          <w:rFonts w:ascii="Arial" w:hAnsi="Arial" w:cs="Arial"/>
          <w:sz w:val="24"/>
          <w:szCs w:val="24"/>
        </w:rPr>
      </w:pPr>
      <w:r w:rsidRPr="003A6F9E">
        <w:rPr>
          <w:rFonts w:ascii="Arial" w:hAnsi="Arial" w:cs="Arial"/>
          <w:sz w:val="24"/>
          <w:szCs w:val="24"/>
        </w:rPr>
        <w:t>Triangulation</w:t>
      </w:r>
      <w:r w:rsidR="003A6F9E">
        <w:rPr>
          <w:rFonts w:ascii="Arial" w:hAnsi="Arial" w:cs="Arial"/>
          <w:sz w:val="24"/>
          <w:szCs w:val="24"/>
        </w:rPr>
        <w:t xml:space="preserve"> - </w:t>
      </w:r>
      <w:r w:rsidR="000215AD">
        <w:rPr>
          <w:rFonts w:ascii="Arial" w:hAnsi="Arial" w:cs="Arial"/>
          <w:sz w:val="24"/>
          <w:szCs w:val="24"/>
        </w:rPr>
        <w:t xml:space="preserve">According to Roe and Just </w:t>
      </w:r>
      <w:r w:rsidR="000215AD" w:rsidRPr="00912161">
        <w:rPr>
          <w:rFonts w:ascii="Arial" w:hAnsi="Arial" w:cs="Arial"/>
          <w:sz w:val="24"/>
          <w:szCs w:val="24"/>
        </w:rPr>
        <w:t>(</w:t>
      </w:r>
      <w:r w:rsidR="000215AD">
        <w:rPr>
          <w:rFonts w:ascii="Arial" w:hAnsi="Arial" w:cs="Arial"/>
          <w:sz w:val="24"/>
          <w:szCs w:val="24"/>
        </w:rPr>
        <w:t>2009</w:t>
      </w:r>
      <w:r w:rsidR="000215AD" w:rsidRPr="00912161">
        <w:rPr>
          <w:rFonts w:ascii="Arial" w:hAnsi="Arial" w:cs="Arial"/>
          <w:sz w:val="24"/>
          <w:szCs w:val="24"/>
        </w:rPr>
        <w:t>)</w:t>
      </w:r>
      <w:r w:rsidR="000215AD">
        <w:rPr>
          <w:rFonts w:ascii="Arial" w:hAnsi="Arial" w:cs="Arial"/>
          <w:sz w:val="24"/>
          <w:szCs w:val="24"/>
        </w:rPr>
        <w:t>”</w:t>
      </w:r>
      <w:r w:rsidR="000215AD" w:rsidRPr="00912161">
        <w:rPr>
          <w:rFonts w:ascii="Arial" w:hAnsi="Arial" w:cs="Arial"/>
          <w:sz w:val="24"/>
          <w:szCs w:val="24"/>
        </w:rPr>
        <w:t>The importance of triangulation cannot be underestimated to ensure reliability and validity of the data</w:t>
      </w:r>
      <w:r w:rsidR="000215AD">
        <w:rPr>
          <w:rFonts w:ascii="Arial" w:hAnsi="Arial" w:cs="Arial"/>
          <w:sz w:val="24"/>
          <w:szCs w:val="24"/>
        </w:rPr>
        <w:t xml:space="preserve"> and results”. </w:t>
      </w:r>
      <w:r w:rsidR="00C4432E">
        <w:rPr>
          <w:rFonts w:ascii="Arial" w:hAnsi="Arial" w:cs="Arial"/>
          <w:sz w:val="24"/>
          <w:szCs w:val="24"/>
        </w:rPr>
        <w:t xml:space="preserve">In order to enhance the credibility of findings, qualitative insights will be triangulated with quantitative data from secondary sources.  This cross validation ensures that the conclusions drawn are consistent across different types of data.  </w:t>
      </w:r>
      <w:r w:rsidR="000215AD">
        <w:rPr>
          <w:rFonts w:ascii="Arial" w:hAnsi="Arial" w:cs="Arial"/>
          <w:sz w:val="24"/>
          <w:szCs w:val="24"/>
        </w:rPr>
        <w:t xml:space="preserve"> </w:t>
      </w:r>
    </w:p>
    <w:p w:rsidR="00C4432E" w:rsidRDefault="00C4432E" w:rsidP="00D50169">
      <w:pPr>
        <w:spacing w:line="480" w:lineRule="auto"/>
        <w:jc w:val="both"/>
        <w:rPr>
          <w:rFonts w:ascii="Arial" w:hAnsi="Arial" w:cs="Arial"/>
          <w:sz w:val="24"/>
          <w:szCs w:val="24"/>
        </w:rPr>
      </w:pPr>
      <w:r>
        <w:rPr>
          <w:rFonts w:ascii="Arial" w:hAnsi="Arial" w:cs="Arial"/>
          <w:sz w:val="24"/>
          <w:szCs w:val="24"/>
        </w:rPr>
        <w:t xml:space="preserve">Documentation of Analysis </w:t>
      </w:r>
      <w:r w:rsidR="003A6F9E">
        <w:rPr>
          <w:rFonts w:ascii="Arial" w:hAnsi="Arial" w:cs="Arial"/>
          <w:sz w:val="24"/>
          <w:szCs w:val="24"/>
        </w:rPr>
        <w:t>–</w:t>
      </w:r>
      <w:r>
        <w:rPr>
          <w:rFonts w:ascii="Arial" w:hAnsi="Arial" w:cs="Arial"/>
          <w:sz w:val="24"/>
          <w:szCs w:val="24"/>
        </w:rPr>
        <w:t xml:space="preserve"> </w:t>
      </w:r>
      <w:r w:rsidR="003A6F9E">
        <w:rPr>
          <w:rFonts w:ascii="Arial" w:hAnsi="Arial" w:cs="Arial"/>
          <w:sz w:val="24"/>
          <w:szCs w:val="24"/>
        </w:rPr>
        <w:t>Detailed notes will be maintained to ensure transparency in the analysis process.  This documentation facilitates a clear audit trail and supports the replicability of the study’s findings.</w:t>
      </w:r>
    </w:p>
    <w:p w:rsidR="003A6F9E" w:rsidRPr="00BA5C41" w:rsidRDefault="003A6F9E" w:rsidP="00D50169">
      <w:pPr>
        <w:spacing w:line="480" w:lineRule="auto"/>
        <w:jc w:val="both"/>
        <w:rPr>
          <w:rFonts w:ascii="Arial" w:hAnsi="Arial" w:cs="Arial"/>
          <w:sz w:val="24"/>
          <w:szCs w:val="24"/>
        </w:rPr>
      </w:pPr>
      <w:r>
        <w:rPr>
          <w:rFonts w:ascii="Arial" w:hAnsi="Arial" w:cs="Arial"/>
          <w:sz w:val="24"/>
          <w:szCs w:val="24"/>
        </w:rPr>
        <w:t>Through these com</w:t>
      </w:r>
      <w:r w:rsidR="0078783C">
        <w:rPr>
          <w:rFonts w:ascii="Arial" w:hAnsi="Arial" w:cs="Arial"/>
          <w:sz w:val="24"/>
          <w:szCs w:val="24"/>
        </w:rPr>
        <w:t>bined analytical techniques, this</w:t>
      </w:r>
      <w:r>
        <w:rPr>
          <w:rFonts w:ascii="Arial" w:hAnsi="Arial" w:cs="Arial"/>
          <w:sz w:val="24"/>
          <w:szCs w:val="24"/>
        </w:rPr>
        <w:t xml:space="preserve"> study will deliver a comprehensive synthesis of existing evidence on accessible hospitality.  The integration of quantitative trends with qualitative insights enables a multi-dimensional</w:t>
      </w:r>
      <w:r w:rsidR="00912161">
        <w:rPr>
          <w:rFonts w:ascii="Arial" w:hAnsi="Arial" w:cs="Arial"/>
          <w:sz w:val="24"/>
          <w:szCs w:val="24"/>
        </w:rPr>
        <w:t xml:space="preserve"> understanding of how accessibility initiatives impact disabled event attendees.  This evidence based approach will underpin recommendations for enhancing accessibility practices in the events industry.</w:t>
      </w:r>
      <w:r>
        <w:rPr>
          <w:rFonts w:ascii="Arial" w:hAnsi="Arial" w:cs="Arial"/>
          <w:sz w:val="24"/>
          <w:szCs w:val="24"/>
        </w:rPr>
        <w:t xml:space="preserve"> </w:t>
      </w:r>
    </w:p>
    <w:p w:rsidR="00552987" w:rsidRDefault="0078783C" w:rsidP="00552987">
      <w:pPr>
        <w:pStyle w:val="ListParagraph"/>
        <w:spacing w:line="480" w:lineRule="auto"/>
        <w:jc w:val="both"/>
        <w:rPr>
          <w:rFonts w:ascii="Arial" w:hAnsi="Arial" w:cs="Arial"/>
          <w:sz w:val="24"/>
          <w:szCs w:val="24"/>
          <w:u w:val="single"/>
        </w:rPr>
      </w:pPr>
      <w:r w:rsidRPr="0078783C">
        <w:rPr>
          <w:rFonts w:ascii="Arial" w:hAnsi="Arial" w:cs="Arial"/>
          <w:sz w:val="24"/>
          <w:szCs w:val="24"/>
          <w:u w:val="single"/>
        </w:rPr>
        <w:lastRenderedPageBreak/>
        <w:t>References</w:t>
      </w:r>
    </w:p>
    <w:p w:rsidR="0078783C" w:rsidRDefault="0078783C" w:rsidP="0078783C">
      <w:pPr>
        <w:pStyle w:val="NormalWeb"/>
        <w:spacing w:before="0" w:beforeAutospacing="0" w:after="240" w:afterAutospacing="0" w:line="360" w:lineRule="auto"/>
      </w:pPr>
      <w:r>
        <w:t xml:space="preserve">Blessing, L.T.M. and </w:t>
      </w:r>
      <w:proofErr w:type="spellStart"/>
      <w:r>
        <w:t>Amaresh</w:t>
      </w:r>
      <w:proofErr w:type="spellEnd"/>
      <w:r>
        <w:t xml:space="preserve"> </w:t>
      </w:r>
      <w:proofErr w:type="spellStart"/>
      <w:r>
        <w:t>Chakrabarti</w:t>
      </w:r>
      <w:proofErr w:type="spellEnd"/>
      <w:r>
        <w:t xml:space="preserve"> (2014). </w:t>
      </w:r>
      <w:proofErr w:type="spellStart"/>
      <w:r>
        <w:rPr>
          <w:i/>
          <w:iCs/>
        </w:rPr>
        <w:t>Drm</w:t>
      </w:r>
      <w:proofErr w:type="spellEnd"/>
      <w:r>
        <w:rPr>
          <w:i/>
          <w:iCs/>
        </w:rPr>
        <w:t>, a design research methodology</w:t>
      </w:r>
      <w:r>
        <w:t>. Heidelberg: Springer.</w:t>
      </w:r>
    </w:p>
    <w:p w:rsidR="0078783C" w:rsidRDefault="0078783C" w:rsidP="0078783C">
      <w:pPr>
        <w:pStyle w:val="NormalWeb"/>
        <w:spacing w:before="0" w:beforeAutospacing="0" w:after="240" w:afterAutospacing="0" w:line="360" w:lineRule="auto"/>
      </w:pPr>
      <w:r>
        <w:t xml:space="preserve">Bourke, J.A., Hay-Smith, E.J.C., Snell, D.L. and </w:t>
      </w:r>
      <w:proofErr w:type="spellStart"/>
      <w:r>
        <w:t>Schluter</w:t>
      </w:r>
      <w:proofErr w:type="spellEnd"/>
      <w:r>
        <w:t xml:space="preserve">, P.J. (2017). Community inclusion of wheelchair users during the long-term recovery phase following the 2010/2011 Canterbury earthquakes. </w:t>
      </w:r>
      <w:r>
        <w:rPr>
          <w:i/>
          <w:iCs/>
        </w:rPr>
        <w:t>International Journal of Disaster Risk Reduction</w:t>
      </w:r>
      <w:r>
        <w:t xml:space="preserve">, 23(23), pp.169–177. </w:t>
      </w:r>
      <w:proofErr w:type="spellStart"/>
      <w:r>
        <w:t>doi:https</w:t>
      </w:r>
      <w:proofErr w:type="spellEnd"/>
      <w:r>
        <w:t>://doi.org/10.1016/j.ijdrr.2017.05.004.</w:t>
      </w:r>
    </w:p>
    <w:p w:rsidR="0078783C" w:rsidRDefault="0078783C" w:rsidP="0078783C">
      <w:pPr>
        <w:pStyle w:val="NormalWeb"/>
        <w:spacing w:before="0" w:beforeAutospacing="0" w:after="240" w:afterAutospacing="0" w:line="360" w:lineRule="auto"/>
      </w:pPr>
      <w:r>
        <w:t xml:space="preserve">Braun, V. and Clarke, V. (2021). </w:t>
      </w:r>
      <w:r>
        <w:rPr>
          <w:i/>
          <w:iCs/>
        </w:rPr>
        <w:t>Thematic analysis: A practical guide</w:t>
      </w:r>
      <w:r>
        <w:t>. London: SAGE.</w:t>
      </w:r>
    </w:p>
    <w:p w:rsidR="0078783C" w:rsidRDefault="0078783C" w:rsidP="0078783C">
      <w:pPr>
        <w:pStyle w:val="NormalWeb"/>
        <w:spacing w:before="0" w:beforeAutospacing="0" w:after="240" w:afterAutospacing="0" w:line="360" w:lineRule="auto"/>
      </w:pPr>
      <w:r>
        <w:t xml:space="preserve">Bryman, A. (2016). </w:t>
      </w:r>
      <w:r>
        <w:rPr>
          <w:i/>
          <w:iCs/>
        </w:rPr>
        <w:t>Social Research Methods</w:t>
      </w:r>
      <w:r>
        <w:t>. 5th ed. Oxford: Oxford University Press.</w:t>
      </w:r>
    </w:p>
    <w:p w:rsidR="0078783C" w:rsidRDefault="0078783C" w:rsidP="0078783C">
      <w:pPr>
        <w:pStyle w:val="NormalWeb"/>
        <w:spacing w:before="0" w:beforeAutospacing="0" w:after="240" w:afterAutospacing="0" w:line="360" w:lineRule="auto"/>
      </w:pPr>
      <w:bookmarkStart w:id="0" w:name="_GoBack"/>
      <w:bookmarkEnd w:id="0"/>
      <w:r>
        <w:t xml:space="preserve">Mace, R.L., </w:t>
      </w:r>
      <w:proofErr w:type="spellStart"/>
      <w:r>
        <w:t>Hardie</w:t>
      </w:r>
      <w:proofErr w:type="spellEnd"/>
      <w:r>
        <w:t xml:space="preserve">, G.J. and Place, J.P. (1991). </w:t>
      </w:r>
      <w:proofErr w:type="spellStart"/>
      <w:r>
        <w:rPr>
          <w:i/>
          <w:iCs/>
        </w:rPr>
        <w:t>Center</w:t>
      </w:r>
      <w:proofErr w:type="spellEnd"/>
      <w:r>
        <w:rPr>
          <w:i/>
          <w:iCs/>
        </w:rPr>
        <w:t xml:space="preserve"> for Accessible Housing </w:t>
      </w:r>
      <w:proofErr w:type="gramStart"/>
      <w:r>
        <w:rPr>
          <w:i/>
          <w:iCs/>
        </w:rPr>
        <w:t>Toward</w:t>
      </w:r>
      <w:proofErr w:type="gramEnd"/>
      <w:r>
        <w:rPr>
          <w:i/>
          <w:iCs/>
        </w:rPr>
        <w:t xml:space="preserve"> Universal Design</w:t>
      </w:r>
      <w:r>
        <w:t>. [</w:t>
      </w:r>
      <w:proofErr w:type="gramStart"/>
      <w:r>
        <w:t>online</w:t>
      </w:r>
      <w:proofErr w:type="gramEnd"/>
      <w:r>
        <w:t>] Available at: https://mn.gov/mnddc/parallels2/pdf/90s/90/90-AEN-CAH.pdf.</w:t>
      </w:r>
    </w:p>
    <w:p w:rsidR="0078783C" w:rsidRDefault="0078783C" w:rsidP="0078783C">
      <w:pPr>
        <w:pStyle w:val="NormalWeb"/>
        <w:spacing w:before="0" w:beforeAutospacing="0" w:after="240" w:afterAutospacing="0" w:line="360" w:lineRule="auto"/>
      </w:pPr>
      <w:r>
        <w:t xml:space="preserve">Creswell, J.W. and Clark, V.L.P. (2017). </w:t>
      </w:r>
      <w:r>
        <w:rPr>
          <w:i/>
          <w:iCs/>
        </w:rPr>
        <w:t>Designing and conducting mixed methods research</w:t>
      </w:r>
      <w:r>
        <w:t>. 3rd ed. Los Angeles: SAGE.</w:t>
      </w:r>
    </w:p>
    <w:p w:rsidR="0078783C" w:rsidRDefault="0078783C" w:rsidP="0078783C">
      <w:pPr>
        <w:pStyle w:val="NormalWeb"/>
        <w:spacing w:before="0" w:beforeAutospacing="0" w:after="240" w:afterAutospacing="0" w:line="360" w:lineRule="auto"/>
      </w:pPr>
      <w:proofErr w:type="spellStart"/>
      <w:r>
        <w:t>Divya</w:t>
      </w:r>
      <w:proofErr w:type="spellEnd"/>
      <w:r>
        <w:t xml:space="preserve"> Sreekumar (2024). </w:t>
      </w:r>
      <w:r>
        <w:rPr>
          <w:i/>
          <w:iCs/>
        </w:rPr>
        <w:t xml:space="preserve">What is Correlational Research: Definition, Types, and Examples | </w:t>
      </w:r>
      <w:proofErr w:type="spellStart"/>
      <w:r>
        <w:rPr>
          <w:i/>
          <w:iCs/>
        </w:rPr>
        <w:t>Researcher.Life</w:t>
      </w:r>
      <w:proofErr w:type="spellEnd"/>
      <w:r>
        <w:t>. [</w:t>
      </w:r>
      <w:proofErr w:type="gramStart"/>
      <w:r>
        <w:t>online</w:t>
      </w:r>
      <w:proofErr w:type="gramEnd"/>
      <w:r>
        <w:t xml:space="preserve">] </w:t>
      </w:r>
      <w:proofErr w:type="spellStart"/>
      <w:r>
        <w:t>Researcher.life</w:t>
      </w:r>
      <w:proofErr w:type="spellEnd"/>
      <w:r>
        <w:t>. Available at: https://researcher.life/blog/article/what-is-correlational-research-definition-and-examples/.</w:t>
      </w:r>
    </w:p>
    <w:p w:rsidR="0078783C" w:rsidRDefault="0078783C" w:rsidP="0078783C">
      <w:pPr>
        <w:pStyle w:val="NormalWeb"/>
        <w:spacing w:before="0" w:beforeAutospacing="0" w:after="240" w:afterAutospacing="0" w:line="360" w:lineRule="auto"/>
      </w:pPr>
      <w:proofErr w:type="spellStart"/>
      <w:r>
        <w:t>Europian</w:t>
      </w:r>
      <w:proofErr w:type="spellEnd"/>
      <w:r>
        <w:t xml:space="preserve"> Commission (2015). </w:t>
      </w:r>
      <w:r>
        <w:rPr>
          <w:i/>
          <w:iCs/>
        </w:rPr>
        <w:t>Mapping and Performance Check of the Supply of Accessible Tourism Services (220/PP/ENT/PPA/12/6491)</w:t>
      </w:r>
      <w:r>
        <w:t>. [</w:t>
      </w:r>
      <w:proofErr w:type="gramStart"/>
      <w:r>
        <w:t>online</w:t>
      </w:r>
      <w:proofErr w:type="gramEnd"/>
      <w:r>
        <w:t>] Available at: https://www.accessibletourism.org/resources/case-study-1-ec-london.pdf.</w:t>
      </w:r>
    </w:p>
    <w:p w:rsidR="0078783C" w:rsidRDefault="0078783C" w:rsidP="0078783C">
      <w:pPr>
        <w:pStyle w:val="NormalWeb"/>
        <w:spacing w:before="0" w:beforeAutospacing="0" w:after="240" w:afterAutospacing="0" w:line="360" w:lineRule="auto"/>
      </w:pPr>
      <w:r>
        <w:t xml:space="preserve">Grönroos, C. (2007). </w:t>
      </w:r>
      <w:r>
        <w:rPr>
          <w:i/>
          <w:iCs/>
        </w:rPr>
        <w:t>Service Management and marketing: Managing the Service Profit Logic</w:t>
      </w:r>
      <w:r>
        <w:t>. Hershey, Pa: John Wiley &amp; Sons, Inc.</w:t>
      </w:r>
    </w:p>
    <w:p w:rsidR="0078783C" w:rsidRDefault="0078783C" w:rsidP="0078783C">
      <w:pPr>
        <w:pStyle w:val="NormalWeb"/>
        <w:spacing w:before="0" w:beforeAutospacing="0" w:after="240" w:afterAutospacing="0" w:line="360" w:lineRule="auto"/>
      </w:pPr>
      <w:r>
        <w:t xml:space="preserve">Jeffreys, L. (2019). </w:t>
      </w:r>
      <w:r>
        <w:rPr>
          <w:i/>
          <w:iCs/>
        </w:rPr>
        <w:t>Equality and Inclusion Update</w:t>
      </w:r>
      <w:r>
        <w:t>. [</w:t>
      </w:r>
      <w:proofErr w:type="gramStart"/>
      <w:r>
        <w:t>online</w:t>
      </w:r>
      <w:proofErr w:type="gramEnd"/>
      <w:r>
        <w:t>] Available at: https://democracy.cityoflondon.gov.uk/documents/s119360/Equality%20and%20inclusion%20report%20July%202019%20-%20FINAL.pdf [Accessed 21 Feb. 2025].</w:t>
      </w:r>
    </w:p>
    <w:p w:rsidR="0078783C" w:rsidRDefault="0078783C" w:rsidP="0078783C">
      <w:pPr>
        <w:pStyle w:val="NormalWeb"/>
        <w:spacing w:before="0" w:beforeAutospacing="0" w:after="240" w:afterAutospacing="0" w:line="360" w:lineRule="auto"/>
      </w:pPr>
      <w:r>
        <w:lastRenderedPageBreak/>
        <w:t xml:space="preserve">Mace, R.L., </w:t>
      </w:r>
      <w:proofErr w:type="spellStart"/>
      <w:r>
        <w:t>Hardie</w:t>
      </w:r>
      <w:proofErr w:type="spellEnd"/>
      <w:r>
        <w:t xml:space="preserve">, G.J. and Place, J.P. (1991). </w:t>
      </w:r>
      <w:proofErr w:type="spellStart"/>
      <w:r>
        <w:rPr>
          <w:i/>
          <w:iCs/>
        </w:rPr>
        <w:t>Center</w:t>
      </w:r>
      <w:proofErr w:type="spellEnd"/>
      <w:r>
        <w:rPr>
          <w:i/>
          <w:iCs/>
        </w:rPr>
        <w:t xml:space="preserve"> for Accessible Housing </w:t>
      </w:r>
      <w:proofErr w:type="gramStart"/>
      <w:r>
        <w:rPr>
          <w:i/>
          <w:iCs/>
        </w:rPr>
        <w:t>Toward</w:t>
      </w:r>
      <w:proofErr w:type="gramEnd"/>
      <w:r>
        <w:rPr>
          <w:i/>
          <w:iCs/>
        </w:rPr>
        <w:t xml:space="preserve"> Universal Design</w:t>
      </w:r>
      <w:r>
        <w:t>. [</w:t>
      </w:r>
      <w:proofErr w:type="gramStart"/>
      <w:r>
        <w:t>online</w:t>
      </w:r>
      <w:proofErr w:type="gramEnd"/>
      <w:r>
        <w:t>] Available at: https://mn.gov/mnddc/parallels2/pdf/90s/90/90-AEN-CAH.pdf.</w:t>
      </w:r>
    </w:p>
    <w:p w:rsidR="0078783C" w:rsidRDefault="0078783C" w:rsidP="0078783C">
      <w:pPr>
        <w:pStyle w:val="NormalWeb"/>
        <w:spacing w:before="0" w:beforeAutospacing="0" w:after="240" w:afterAutospacing="0" w:line="360" w:lineRule="auto"/>
      </w:pPr>
      <w:r>
        <w:t xml:space="preserve">Patton, M.Q. (2015). </w:t>
      </w:r>
      <w:r>
        <w:rPr>
          <w:i/>
          <w:iCs/>
        </w:rPr>
        <w:t>Qualitative Research &amp; Evaluation methods: Integrating Theory and Practice</w:t>
      </w:r>
      <w:r>
        <w:t>. 4th ed. Thousand Oaks, California: Sage.</w:t>
      </w:r>
    </w:p>
    <w:p w:rsidR="0078783C" w:rsidRDefault="0078783C" w:rsidP="0078783C">
      <w:pPr>
        <w:pStyle w:val="NormalWeb"/>
        <w:spacing w:before="0" w:beforeAutospacing="0" w:after="240" w:afterAutospacing="0" w:line="360" w:lineRule="auto"/>
      </w:pPr>
      <w:r>
        <w:t xml:space="preserve">Roe, B.E. and Just, D.R. (2009). Internal and External Validity in Economics Research: </w:t>
      </w:r>
      <w:proofErr w:type="spellStart"/>
      <w:r>
        <w:t>Tradeoffs</w:t>
      </w:r>
      <w:proofErr w:type="spellEnd"/>
      <w:r>
        <w:t xml:space="preserve"> between Experiments, Field Experiments, Natural Experiments, and Field Data. </w:t>
      </w:r>
      <w:r>
        <w:rPr>
          <w:i/>
          <w:iCs/>
        </w:rPr>
        <w:t>American Journal of Agricultural Economics</w:t>
      </w:r>
      <w:r>
        <w:t>, [online] 91(5), pp.1266–1271. Available at: https://ideas.repec.org/a/oup/ajagec/v91y2009i5p1266-1271.html [Accessed 21 Feb. 2025].</w:t>
      </w:r>
    </w:p>
    <w:p w:rsidR="0078783C" w:rsidRDefault="0078783C" w:rsidP="0078783C">
      <w:pPr>
        <w:pStyle w:val="NormalWeb"/>
        <w:spacing w:before="0" w:beforeAutospacing="0" w:after="240" w:afterAutospacing="0" w:line="360" w:lineRule="auto"/>
      </w:pPr>
      <w:r>
        <w:t xml:space="preserve">Saunders, M., Lewis, P. and Thornhill, A. (2019). </w:t>
      </w:r>
      <w:r>
        <w:rPr>
          <w:i/>
          <w:iCs/>
        </w:rPr>
        <w:t>Research Methods for Business Students</w:t>
      </w:r>
      <w:r>
        <w:t xml:space="preserve">. 8th ed. United </w:t>
      </w:r>
      <w:proofErr w:type="gramStart"/>
      <w:r>
        <w:t>Kingdom :</w:t>
      </w:r>
      <w:proofErr w:type="gramEnd"/>
      <w:r>
        <w:t xml:space="preserve"> Pearson.</w:t>
      </w:r>
    </w:p>
    <w:p w:rsidR="0078783C" w:rsidRDefault="0078783C" w:rsidP="0078783C">
      <w:pPr>
        <w:pStyle w:val="NormalWeb"/>
        <w:spacing w:before="0" w:beforeAutospacing="0" w:after="240" w:afterAutospacing="0" w:line="360" w:lineRule="auto"/>
      </w:pPr>
      <w:r>
        <w:t xml:space="preserve">Sharma, C. (2025). </w:t>
      </w:r>
      <w:r>
        <w:rPr>
          <w:i/>
          <w:iCs/>
        </w:rPr>
        <w:t>TEXT BOOK OF RESEARCH METHODOLOGY</w:t>
      </w:r>
      <w:r>
        <w:t xml:space="preserve">. </w:t>
      </w:r>
      <w:proofErr w:type="spellStart"/>
      <w:r>
        <w:t>Shashwat</w:t>
      </w:r>
      <w:proofErr w:type="spellEnd"/>
      <w:r>
        <w:t xml:space="preserve"> Publication.</w:t>
      </w:r>
    </w:p>
    <w:p w:rsidR="0078783C" w:rsidRDefault="0078783C" w:rsidP="0078783C">
      <w:pPr>
        <w:pStyle w:val="NormalWeb"/>
        <w:spacing w:before="0" w:beforeAutospacing="0" w:after="240" w:afterAutospacing="0" w:line="360" w:lineRule="auto"/>
      </w:pPr>
      <w:proofErr w:type="spellStart"/>
      <w:r>
        <w:t>Sumeracki</w:t>
      </w:r>
      <w:proofErr w:type="spellEnd"/>
      <w:r>
        <w:t xml:space="preserve">, M. (2018). </w:t>
      </w:r>
      <w:r>
        <w:rPr>
          <w:i/>
          <w:iCs/>
        </w:rPr>
        <w:t>Different Research Methods: Strengths and Weaknesses</w:t>
      </w:r>
      <w:r>
        <w:t>. [</w:t>
      </w:r>
      <w:proofErr w:type="gramStart"/>
      <w:r>
        <w:t>online</w:t>
      </w:r>
      <w:proofErr w:type="gramEnd"/>
      <w:r>
        <w:t>] The Learning Scientists. Available at: https://www.learningscientists.org/blog/2018/3/8-1.</w:t>
      </w:r>
    </w:p>
    <w:p w:rsidR="0078783C" w:rsidRDefault="0078783C" w:rsidP="0078783C">
      <w:pPr>
        <w:pStyle w:val="NormalWeb"/>
        <w:spacing w:before="0" w:beforeAutospacing="0" w:after="240" w:afterAutospacing="0" w:line="360" w:lineRule="auto"/>
      </w:pPr>
      <w:r>
        <w:t xml:space="preserve">The Barbican (2022). </w:t>
      </w:r>
      <w:r>
        <w:rPr>
          <w:i/>
          <w:iCs/>
        </w:rPr>
        <w:t>Barbican Access Guide 3 2</w:t>
      </w:r>
      <w:r>
        <w:t>. [</w:t>
      </w:r>
      <w:proofErr w:type="gramStart"/>
      <w:r>
        <w:t>online</w:t>
      </w:r>
      <w:proofErr w:type="gramEnd"/>
      <w:r>
        <w:t>] Available at: https://www.barbican.org.uk/sites/default/files/documents/2022-09/Access%20Guide%20Sep%202022%20LR%20ONLINE%20VERSION.pdf [Accessed 21 Feb. 2025].</w:t>
      </w:r>
    </w:p>
    <w:p w:rsidR="0078783C" w:rsidRDefault="0078783C" w:rsidP="0078783C">
      <w:pPr>
        <w:pStyle w:val="NormalWeb"/>
        <w:spacing w:before="0" w:beforeAutospacing="0" w:after="240" w:afterAutospacing="0" w:line="360" w:lineRule="auto"/>
      </w:pPr>
      <w:r>
        <w:t xml:space="preserve">Vasileiou, K., Barnett, J., Thorpe, S. and Young, T. (2018). Characterising and Justifying Sample Size Sufficiency in interview-based studies: Systematic Analysis of Qualitative Health Research over a 15-year Period. </w:t>
      </w:r>
      <w:r>
        <w:rPr>
          <w:i/>
          <w:iCs/>
        </w:rPr>
        <w:t>BMC Medical Research Methodology</w:t>
      </w:r>
      <w:r>
        <w:t xml:space="preserve">, [online] 18(1), pp.1–18. </w:t>
      </w:r>
      <w:proofErr w:type="spellStart"/>
      <w:r>
        <w:t>doi:https</w:t>
      </w:r>
      <w:proofErr w:type="spellEnd"/>
      <w:r>
        <w:t>://doi.org/10.1186/s12874-018-0594-7.</w:t>
      </w:r>
    </w:p>
    <w:p w:rsidR="0078783C" w:rsidRDefault="0078783C" w:rsidP="0078783C">
      <w:pPr>
        <w:pStyle w:val="NormalWeb"/>
        <w:spacing w:before="0" w:beforeAutospacing="0" w:after="240" w:afterAutospacing="0" w:line="360" w:lineRule="auto"/>
      </w:pPr>
      <w:r>
        <w:t xml:space="preserve">W. Alex Edmonds and Kennedy, T.D. (2016). </w:t>
      </w:r>
      <w:r>
        <w:rPr>
          <w:i/>
          <w:iCs/>
        </w:rPr>
        <w:t>An Applied Guide to Research Designs</w:t>
      </w:r>
      <w:r>
        <w:t>. SAGE Publications.</w:t>
      </w:r>
    </w:p>
    <w:p w:rsidR="0078783C" w:rsidRDefault="0078783C" w:rsidP="0078783C">
      <w:pPr>
        <w:pStyle w:val="NormalWeb"/>
        <w:spacing w:before="0" w:beforeAutospacing="0" w:after="240" w:afterAutospacing="0" w:line="360" w:lineRule="auto"/>
      </w:pPr>
      <w:r>
        <w:t xml:space="preserve">Zeithaml, V.A., </w:t>
      </w:r>
      <w:proofErr w:type="spellStart"/>
      <w:r>
        <w:t>Parasuraman</w:t>
      </w:r>
      <w:proofErr w:type="spellEnd"/>
      <w:r>
        <w:t xml:space="preserve">, A. and Berry, L.L. (1990). </w:t>
      </w:r>
      <w:r>
        <w:rPr>
          <w:i/>
          <w:iCs/>
        </w:rPr>
        <w:t xml:space="preserve">Delivering quality </w:t>
      </w:r>
      <w:proofErr w:type="gramStart"/>
      <w:r>
        <w:rPr>
          <w:i/>
          <w:iCs/>
        </w:rPr>
        <w:t>service :</w:t>
      </w:r>
      <w:proofErr w:type="gramEnd"/>
      <w:r>
        <w:rPr>
          <w:i/>
          <w:iCs/>
        </w:rPr>
        <w:t xml:space="preserve"> balancing customer perceptions and expectations</w:t>
      </w:r>
      <w:r>
        <w:t xml:space="preserve">. New York: Free </w:t>
      </w:r>
      <w:proofErr w:type="gramStart"/>
      <w:r>
        <w:t>Press ;</w:t>
      </w:r>
      <w:proofErr w:type="gramEnd"/>
      <w:r>
        <w:t xml:space="preserve"> London.</w:t>
      </w:r>
    </w:p>
    <w:p w:rsidR="0078783C" w:rsidRDefault="0078783C" w:rsidP="0078783C">
      <w:pPr>
        <w:pStyle w:val="NormalWeb"/>
        <w:spacing w:before="0" w:beforeAutospacing="0" w:after="240" w:afterAutospacing="0" w:line="360" w:lineRule="auto"/>
      </w:pPr>
      <w:r>
        <w:t xml:space="preserve">Zubair, A.M. (2023). </w:t>
      </w:r>
      <w:r>
        <w:rPr>
          <w:i/>
          <w:iCs/>
        </w:rPr>
        <w:t>Experimental Research Design-types &amp; process</w:t>
      </w:r>
      <w:r>
        <w:t>. [</w:t>
      </w:r>
      <w:proofErr w:type="gramStart"/>
      <w:r>
        <w:t>online</w:t>
      </w:r>
      <w:proofErr w:type="gramEnd"/>
      <w:r>
        <w:t xml:space="preserve">] </w:t>
      </w:r>
      <w:proofErr w:type="spellStart"/>
      <w:r>
        <w:t>ResearchGate</w:t>
      </w:r>
      <w:proofErr w:type="spellEnd"/>
      <w:r>
        <w:t xml:space="preserve">. Available at: </w:t>
      </w:r>
      <w:r>
        <w:lastRenderedPageBreak/>
        <w:t>https://www.researchgate.net/publication/367044021_Experimental_Research_Design-types_process.</w:t>
      </w:r>
    </w:p>
    <w:p w:rsidR="0078783C" w:rsidRPr="0078783C" w:rsidRDefault="0078783C" w:rsidP="00552987">
      <w:pPr>
        <w:pStyle w:val="ListParagraph"/>
        <w:spacing w:line="480" w:lineRule="auto"/>
        <w:jc w:val="both"/>
        <w:rPr>
          <w:rFonts w:ascii="Arial" w:hAnsi="Arial" w:cs="Arial"/>
          <w:sz w:val="24"/>
          <w:szCs w:val="24"/>
          <w:u w:val="single"/>
        </w:rPr>
      </w:pPr>
    </w:p>
    <w:p w:rsidR="00552987" w:rsidRPr="00552987" w:rsidRDefault="00552987" w:rsidP="006C6FF9">
      <w:pPr>
        <w:spacing w:line="480" w:lineRule="auto"/>
        <w:jc w:val="both"/>
        <w:rPr>
          <w:rFonts w:ascii="Arial" w:hAnsi="Arial" w:cs="Arial"/>
          <w:sz w:val="24"/>
          <w:szCs w:val="24"/>
        </w:rPr>
      </w:pPr>
    </w:p>
    <w:p w:rsidR="00D97178" w:rsidRPr="00D97178" w:rsidRDefault="00D97178" w:rsidP="0016516D">
      <w:pPr>
        <w:spacing w:line="480" w:lineRule="auto"/>
        <w:jc w:val="both"/>
        <w:rPr>
          <w:rFonts w:ascii="Arial" w:hAnsi="Arial" w:cs="Arial"/>
          <w:sz w:val="24"/>
          <w:szCs w:val="24"/>
        </w:rPr>
      </w:pPr>
    </w:p>
    <w:p w:rsidR="00992100" w:rsidRPr="00992100" w:rsidRDefault="00992100" w:rsidP="0016516D">
      <w:pPr>
        <w:spacing w:line="480" w:lineRule="auto"/>
        <w:jc w:val="both"/>
        <w:rPr>
          <w:rFonts w:ascii="Arial" w:hAnsi="Arial" w:cs="Arial"/>
          <w:sz w:val="24"/>
          <w:szCs w:val="24"/>
        </w:rPr>
      </w:pPr>
    </w:p>
    <w:p w:rsidR="00992100" w:rsidRPr="00992100" w:rsidRDefault="00992100" w:rsidP="0016516D">
      <w:pPr>
        <w:spacing w:line="480" w:lineRule="auto"/>
        <w:jc w:val="both"/>
        <w:rPr>
          <w:rFonts w:ascii="Arial" w:hAnsi="Arial" w:cs="Arial"/>
          <w:sz w:val="24"/>
          <w:szCs w:val="24"/>
        </w:rPr>
      </w:pPr>
    </w:p>
    <w:p w:rsidR="0091090B" w:rsidRPr="003D5AE1" w:rsidRDefault="0091090B" w:rsidP="0016516D">
      <w:pPr>
        <w:spacing w:line="480" w:lineRule="auto"/>
        <w:jc w:val="both"/>
        <w:rPr>
          <w:rFonts w:ascii="Arial" w:hAnsi="Arial" w:cs="Arial"/>
          <w:sz w:val="24"/>
          <w:szCs w:val="24"/>
        </w:rPr>
      </w:pPr>
    </w:p>
    <w:p w:rsidR="00583806" w:rsidRDefault="00583806" w:rsidP="002D1E45">
      <w:pPr>
        <w:spacing w:line="480" w:lineRule="auto"/>
        <w:jc w:val="both"/>
        <w:rPr>
          <w:rFonts w:ascii="Arial" w:hAnsi="Arial" w:cs="Arial"/>
          <w:sz w:val="24"/>
          <w:szCs w:val="24"/>
        </w:rPr>
      </w:pPr>
    </w:p>
    <w:p w:rsidR="00583806" w:rsidRDefault="00583806" w:rsidP="002D1E45">
      <w:pPr>
        <w:spacing w:line="480" w:lineRule="auto"/>
        <w:jc w:val="both"/>
        <w:rPr>
          <w:rFonts w:ascii="Arial" w:hAnsi="Arial" w:cs="Arial"/>
          <w:sz w:val="24"/>
          <w:szCs w:val="24"/>
        </w:rPr>
      </w:pPr>
    </w:p>
    <w:p w:rsidR="00583806" w:rsidRDefault="00583806" w:rsidP="002D1E45">
      <w:pPr>
        <w:spacing w:line="480" w:lineRule="auto"/>
        <w:jc w:val="both"/>
        <w:rPr>
          <w:rFonts w:ascii="Arial" w:hAnsi="Arial" w:cs="Arial"/>
          <w:sz w:val="24"/>
          <w:szCs w:val="24"/>
        </w:rPr>
      </w:pPr>
    </w:p>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2D1E45" w:rsidRDefault="002D1E45"/>
    <w:p w:rsidR="000215AD" w:rsidRDefault="000215AD"/>
    <w:sectPr w:rsidR="000215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40C58"/>
    <w:multiLevelType w:val="hybridMultilevel"/>
    <w:tmpl w:val="A7001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00EE3"/>
    <w:multiLevelType w:val="hybridMultilevel"/>
    <w:tmpl w:val="3926B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7B4AC6"/>
    <w:multiLevelType w:val="hybridMultilevel"/>
    <w:tmpl w:val="E3DE7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63905"/>
    <w:multiLevelType w:val="hybridMultilevel"/>
    <w:tmpl w:val="3CD66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E76DC5"/>
    <w:multiLevelType w:val="hybridMultilevel"/>
    <w:tmpl w:val="D04C9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5B0860"/>
    <w:multiLevelType w:val="hybridMultilevel"/>
    <w:tmpl w:val="78446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CC161D"/>
    <w:multiLevelType w:val="hybridMultilevel"/>
    <w:tmpl w:val="3AAE6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0D36FC"/>
    <w:multiLevelType w:val="hybridMultilevel"/>
    <w:tmpl w:val="84809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61158"/>
    <w:multiLevelType w:val="hybridMultilevel"/>
    <w:tmpl w:val="11CAE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6"/>
  </w:num>
  <w:num w:numId="4">
    <w:abstractNumId w:val="0"/>
  </w:num>
  <w:num w:numId="5">
    <w:abstractNumId w:val="1"/>
  </w:num>
  <w:num w:numId="6">
    <w:abstractNumId w:val="4"/>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D1B"/>
    <w:rsid w:val="000215AD"/>
    <w:rsid w:val="00094D1B"/>
    <w:rsid w:val="000D7A1C"/>
    <w:rsid w:val="00150C83"/>
    <w:rsid w:val="0016516D"/>
    <w:rsid w:val="001D2DEE"/>
    <w:rsid w:val="00276833"/>
    <w:rsid w:val="002C1349"/>
    <w:rsid w:val="002D1E45"/>
    <w:rsid w:val="0037007A"/>
    <w:rsid w:val="003A6F9E"/>
    <w:rsid w:val="003D5AE1"/>
    <w:rsid w:val="004025A3"/>
    <w:rsid w:val="0045073B"/>
    <w:rsid w:val="004B6643"/>
    <w:rsid w:val="004D1D1F"/>
    <w:rsid w:val="004E770D"/>
    <w:rsid w:val="00552987"/>
    <w:rsid w:val="00583806"/>
    <w:rsid w:val="005869EA"/>
    <w:rsid w:val="006C6FF9"/>
    <w:rsid w:val="00741FF7"/>
    <w:rsid w:val="0078783C"/>
    <w:rsid w:val="007D64A1"/>
    <w:rsid w:val="00807391"/>
    <w:rsid w:val="008C09EF"/>
    <w:rsid w:val="0091090B"/>
    <w:rsid w:val="00912161"/>
    <w:rsid w:val="00916671"/>
    <w:rsid w:val="00992100"/>
    <w:rsid w:val="0099688D"/>
    <w:rsid w:val="00A0208F"/>
    <w:rsid w:val="00A52271"/>
    <w:rsid w:val="00A56C03"/>
    <w:rsid w:val="00B57200"/>
    <w:rsid w:val="00BA5C41"/>
    <w:rsid w:val="00BF713D"/>
    <w:rsid w:val="00C4432E"/>
    <w:rsid w:val="00C7348E"/>
    <w:rsid w:val="00D416E7"/>
    <w:rsid w:val="00D50169"/>
    <w:rsid w:val="00D64509"/>
    <w:rsid w:val="00D93B63"/>
    <w:rsid w:val="00D97178"/>
    <w:rsid w:val="00E113EF"/>
    <w:rsid w:val="00E12B66"/>
    <w:rsid w:val="00EA7FB2"/>
    <w:rsid w:val="00EC49C4"/>
    <w:rsid w:val="00F46B99"/>
    <w:rsid w:val="00F74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32F4AC-85EF-4153-8B0F-65E5E99B4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713D"/>
    <w:pPr>
      <w:ind w:left="720"/>
      <w:contextualSpacing/>
    </w:pPr>
  </w:style>
  <w:style w:type="paragraph" w:styleId="NormalWeb">
    <w:name w:val="Normal (Web)"/>
    <w:basedOn w:val="Normal"/>
    <w:uiPriority w:val="99"/>
    <w:semiHidden/>
    <w:unhideWhenUsed/>
    <w:rsid w:val="00C734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34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3723020">
      <w:bodyDiv w:val="1"/>
      <w:marLeft w:val="0"/>
      <w:marRight w:val="0"/>
      <w:marTop w:val="0"/>
      <w:marBottom w:val="0"/>
      <w:divBdr>
        <w:top w:val="none" w:sz="0" w:space="0" w:color="auto"/>
        <w:left w:val="none" w:sz="0" w:space="0" w:color="auto"/>
        <w:bottom w:val="none" w:sz="0" w:space="0" w:color="auto"/>
        <w:right w:val="none" w:sz="0" w:space="0" w:color="auto"/>
      </w:divBdr>
      <w:divsChild>
        <w:div w:id="963653033">
          <w:marLeft w:val="0"/>
          <w:marRight w:val="0"/>
          <w:marTop w:val="0"/>
          <w:marBottom w:val="0"/>
          <w:divBdr>
            <w:top w:val="none" w:sz="0" w:space="0" w:color="auto"/>
            <w:left w:val="none" w:sz="0" w:space="0" w:color="auto"/>
            <w:bottom w:val="none" w:sz="0" w:space="0" w:color="auto"/>
            <w:right w:val="none" w:sz="0" w:space="0" w:color="auto"/>
          </w:divBdr>
        </w:div>
      </w:divsChild>
    </w:div>
    <w:div w:id="198195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3492</Words>
  <Characters>19908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2025-02-21T17:10:00Z</dcterms:created>
  <dcterms:modified xsi:type="dcterms:W3CDTF">2025-02-21T17:10:00Z</dcterms:modified>
</cp:coreProperties>
</file>