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844EBA0" w14:textId="206FD555" w:rsidR="021F216E" w:rsidRDefault="00B87CA3" w:rsidP="021F216E">
      <w:pPr>
        <w:jc w:val="center"/>
        <w:rPr>
          <w:rFonts w:ascii="Arial Nova" w:eastAsia="Arial Nova" w:hAnsi="Arial Nova" w:cs="Arial Nova"/>
          <w:sz w:val="72"/>
          <w:szCs w:val="72"/>
        </w:rPr>
      </w:pPr>
      <w:r>
        <w:rPr>
          <w:rFonts w:ascii="Arial Nova" w:eastAsia="Arial Nova" w:hAnsi="Arial Nova" w:cs="Arial Nova"/>
          <w:sz w:val="72"/>
          <w:szCs w:val="72"/>
        </w:rPr>
        <w:t>Samina Akhtar</w:t>
      </w:r>
    </w:p>
    <w:p w14:paraId="31D88A40" w14:textId="11F67EEB" w:rsidR="00B87CA3" w:rsidRDefault="00B87CA3" w:rsidP="021F216E">
      <w:pPr>
        <w:jc w:val="center"/>
        <w:rPr>
          <w:rFonts w:ascii="Arial Nova" w:eastAsia="Arial Nova" w:hAnsi="Arial Nova" w:cs="Arial Nova"/>
          <w:sz w:val="72"/>
          <w:szCs w:val="72"/>
        </w:rPr>
      </w:pPr>
      <w:r>
        <w:rPr>
          <w:rFonts w:ascii="Arial Nova" w:eastAsia="Arial Nova" w:hAnsi="Arial Nova" w:cs="Arial Nova"/>
          <w:sz w:val="72"/>
          <w:szCs w:val="72"/>
        </w:rPr>
        <w:t>BMHP5014_BIRM</w:t>
      </w:r>
    </w:p>
    <w:p w14:paraId="30A3BDB6" w14:textId="4CB3687F" w:rsidR="00B87CA3" w:rsidRDefault="00B87CA3" w:rsidP="021F216E">
      <w:pPr>
        <w:jc w:val="center"/>
        <w:rPr>
          <w:rFonts w:ascii="Arial Nova" w:eastAsia="Arial Nova" w:hAnsi="Arial Nova" w:cs="Arial Nova"/>
          <w:sz w:val="72"/>
          <w:szCs w:val="72"/>
        </w:rPr>
      </w:pPr>
      <w:r>
        <w:rPr>
          <w:rFonts w:ascii="Arial Nova" w:eastAsia="Arial Nova" w:hAnsi="Arial Nova" w:cs="Arial Nova"/>
          <w:sz w:val="72"/>
          <w:szCs w:val="72"/>
        </w:rPr>
        <w:t>2427571</w:t>
      </w:r>
    </w:p>
    <w:p w14:paraId="159775AE" w14:textId="77777777" w:rsidR="000514D5" w:rsidRDefault="000514D5"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3A4BFC7D" w14:textId="77777777" w:rsidR="00C567C3" w:rsidRDefault="00C567C3" w:rsidP="021F216E">
      <w:pPr>
        <w:jc w:val="center"/>
        <w:rPr>
          <w:rFonts w:ascii="Arial Nova" w:eastAsia="Arial Nova" w:hAnsi="Arial Nova" w:cs="Arial Nova"/>
          <w:sz w:val="72"/>
          <w:szCs w:val="72"/>
        </w:rPr>
      </w:pPr>
    </w:p>
    <w:p w14:paraId="07F80AB6" w14:textId="77777777" w:rsidR="00C567C3" w:rsidRDefault="00C567C3" w:rsidP="021F216E">
      <w:pPr>
        <w:jc w:val="center"/>
        <w:rPr>
          <w:rFonts w:ascii="Arial Nova" w:eastAsia="Arial Nova" w:hAnsi="Arial Nova" w:cs="Arial Nova"/>
          <w:sz w:val="72"/>
          <w:szCs w:val="72"/>
        </w:rPr>
      </w:pPr>
    </w:p>
    <w:p w14:paraId="3E8A4A59" w14:textId="0086E6D9" w:rsidR="00C567C3" w:rsidRDefault="00C567C3" w:rsidP="021F216E">
      <w:pPr>
        <w:jc w:val="center"/>
        <w:rPr>
          <w:rFonts w:ascii="Arial Nova" w:eastAsia="Arial Nova" w:hAnsi="Arial Nova" w:cs="Arial Nova"/>
          <w:sz w:val="72"/>
          <w:szCs w:val="72"/>
        </w:rPr>
      </w:pPr>
    </w:p>
    <w:p w14:paraId="4D496928" w14:textId="02504DF3" w:rsidR="021F216E" w:rsidRDefault="00C567C3" w:rsidP="021F216E">
      <w:pPr>
        <w:jc w:val="center"/>
        <w:rPr>
          <w:rFonts w:ascii="Arial Nova" w:eastAsia="Arial Nova" w:hAnsi="Arial Nova" w:cs="Arial Nova"/>
          <w:sz w:val="72"/>
          <w:szCs w:val="72"/>
        </w:rPr>
      </w:pPr>
      <w:r w:rsidRPr="007E01F8">
        <mc:AlternateContent>
          <mc:Choice Requires="wps">
            <w:drawing>
              <wp:anchor distT="0" distB="0" distL="114300" distR="114300" simplePos="0" relativeHeight="251660288" behindDoc="0" locked="0" layoutInCell="1" allowOverlap="1" wp14:anchorId="15B6FCFA" wp14:editId="67A357A4">
                <wp:simplePos x="0" y="0"/>
                <wp:positionH relativeFrom="column">
                  <wp:posOffset>1112838</wp:posOffset>
                </wp:positionH>
                <wp:positionV relativeFrom="paragraph">
                  <wp:posOffset>237808</wp:posOffset>
                </wp:positionV>
                <wp:extent cx="3228654" cy="2013735"/>
                <wp:effectExtent l="0" t="2223" r="26988" b="26987"/>
                <wp:wrapNone/>
                <wp:docPr id="11" name="Rectangle 10">
                  <a:extLst xmlns:a="http://schemas.openxmlformats.org/drawingml/2006/main">
                    <a:ext uri="{FF2B5EF4-FFF2-40B4-BE49-F238E27FC236}">
                      <a16:creationId xmlns:a16="http://schemas.microsoft.com/office/drawing/2014/main" id="{A0AE2B52-A162-BCBE-4F87-713681BA99DA}"/>
                    </a:ext>
                  </a:extLst>
                </wp:docPr>
                <wp:cNvGraphicFramePr/>
                <a:graphic xmlns:a="http://schemas.openxmlformats.org/drawingml/2006/main">
                  <a:graphicData uri="http://schemas.microsoft.com/office/word/2010/wordprocessingShape">
                    <wps:wsp>
                      <wps:cNvSpPr/>
                      <wps:spPr>
                        <a:xfrm rot="5400000">
                          <a:off x="0" y="0"/>
                          <a:ext cx="3228654" cy="2013735"/>
                        </a:xfrm>
                        <a:prstGeom prst="rect">
                          <a:avLst/>
                        </a:prstGeom>
                      </wps:spPr>
                      <wps:style>
                        <a:lnRef idx="2">
                          <a:schemeClr val="dk1"/>
                        </a:lnRef>
                        <a:fillRef idx="1">
                          <a:schemeClr val="lt1"/>
                        </a:fillRef>
                        <a:effectRef idx="0">
                          <a:schemeClr val="dk1"/>
                        </a:effectRef>
                        <a:fontRef idx="minor">
                          <a:schemeClr val="dk1"/>
                        </a:fontRef>
                      </wps:style>
                      <wps:txbx>
                        <w:txbxContent>
                          <w:p w14:paraId="01C9E241" w14:textId="77777777" w:rsidR="00C567C3" w:rsidRPr="00C567C3" w:rsidRDefault="00C567C3" w:rsidP="00C567C3">
                            <w:pPr>
                              <w:rPr>
                                <w:rFonts w:hAnsi="Calibri"/>
                                <w:color w:val="000000" w:themeColor="dark1"/>
                                <w:kern w:val="24"/>
                                <w:sz w:val="28"/>
                                <w:szCs w:val="28"/>
                              </w:rPr>
                            </w:pPr>
                            <w:r w:rsidRPr="00C567C3">
                              <w:rPr>
                                <w:rFonts w:hAnsi="Calibri"/>
                                <w:color w:val="000000" w:themeColor="dark1"/>
                                <w:kern w:val="24"/>
                                <w:sz w:val="28"/>
                                <w:szCs w:val="28"/>
                              </w:rPr>
                              <w:t xml:space="preserve">Creativity acts as the central driver because it enables practitioners to move beyond routine or procedural thinking. In health and social care, practitioners often work with uncertainty, risk, trauma, and multifaceted needs. </w:t>
                            </w:r>
                          </w:p>
                        </w:txbxContent>
                      </wps:txbx>
                      <wps:bodyPr rtlCol="0" anchor="ctr"/>
                    </wps:wsp>
                  </a:graphicData>
                </a:graphic>
              </wp:anchor>
            </w:drawing>
          </mc:Choice>
          <mc:Fallback>
            <w:pict>
              <v:rect w14:anchorId="15B6FCFA" id="Rectangle 10" o:spid="_x0000_s1026" style="position:absolute;left:0;text-align:left;margin-left:87.65pt;margin-top:18.75pt;width:254.2pt;height:158.55pt;rotation:90;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" fillcolor="white [3201]" strokecolor="black [3200]" strokeweight="1pt">
                <v:textbox>
                  <w:txbxContent>
                    <w:p w14:paraId="01C9E241" w14:textId="77777777" w:rsidR="00C567C3" w:rsidRPr="00C567C3" w:rsidRDefault="00C567C3" w:rsidP="00C567C3">
                      <w:pPr>
                        <w:rPr>
                          <w:rFonts w:hAnsi="Calibri"/>
                          <w:color w:val="000000" w:themeColor="dark1"/>
                          <w:kern w:val="24"/>
                          <w:sz w:val="28"/>
                          <w:szCs w:val="28"/>
                        </w:rPr>
                      </w:pPr>
                      <w:r w:rsidRPr="00C567C3">
                        <w:rPr>
                          <w:rFonts w:hAnsi="Calibri"/>
                          <w:color w:val="000000" w:themeColor="dark1"/>
                          <w:kern w:val="24"/>
                          <w:sz w:val="28"/>
                          <w:szCs w:val="28"/>
                        </w:rPr>
                        <w:t xml:space="preserve">Creativity acts as the central driver because it enables practitioners to move beyond routine or procedural thinking. In health and social care, practitioners often work with uncertainty, risk, trauma, and multifaceted needs. </w:t>
                      </w:r>
                    </w:p>
                  </w:txbxContent>
                </v:textbox>
              </v:rect>
            </w:pict>
          </mc:Fallback>
        </mc:AlternateContent>
      </w:r>
      <w:r w:rsidRPr="007E01F8">
        <mc:AlternateContent>
          <mc:Choice Requires="wps">
            <w:drawing>
              <wp:anchor distT="0" distB="0" distL="114300" distR="114300" simplePos="0" relativeHeight="251662336" behindDoc="0" locked="0" layoutInCell="1" allowOverlap="1" wp14:anchorId="4596911D" wp14:editId="1F7690C6">
                <wp:simplePos x="0" y="0"/>
                <wp:positionH relativeFrom="column">
                  <wp:posOffset>3273266</wp:posOffset>
                </wp:positionH>
                <wp:positionV relativeFrom="paragraph">
                  <wp:posOffset>-168751</wp:posOffset>
                </wp:positionV>
                <wp:extent cx="3854132" cy="2630188"/>
                <wp:effectExtent l="2223" t="0" r="15557" b="15558"/>
                <wp:wrapNone/>
                <wp:docPr id="13" name="Rectangle 12">
                  <a:extLst xmlns:a="http://schemas.openxmlformats.org/drawingml/2006/main">
                    <a:ext uri="{FF2B5EF4-FFF2-40B4-BE49-F238E27FC236}">
                      <a16:creationId xmlns:a16="http://schemas.microsoft.com/office/drawing/2014/main" id="{88FE0623-8C28-B0EA-5461-4E4BFD442723}"/>
                    </a:ext>
                  </a:extLst>
                </wp:docPr>
                <wp:cNvGraphicFramePr/>
                <a:graphic xmlns:a="http://schemas.openxmlformats.org/drawingml/2006/main">
                  <a:graphicData uri="http://schemas.microsoft.com/office/word/2010/wordprocessingShape">
                    <wps:wsp>
                      <wps:cNvSpPr/>
                      <wps:spPr>
                        <a:xfrm rot="5400000">
                          <a:off x="0" y="0"/>
                          <a:ext cx="3854132" cy="2630188"/>
                        </a:xfrm>
                        <a:prstGeom prst="rect">
                          <a:avLst/>
                        </a:prstGeom>
                      </wps:spPr>
                      <wps:style>
                        <a:lnRef idx="2">
                          <a:schemeClr val="dk1"/>
                        </a:lnRef>
                        <a:fillRef idx="1">
                          <a:schemeClr val="lt1"/>
                        </a:fillRef>
                        <a:effectRef idx="0">
                          <a:schemeClr val="dk1"/>
                        </a:effectRef>
                        <a:fontRef idx="minor">
                          <a:schemeClr val="dk1"/>
                        </a:fontRef>
                      </wps:style>
                      <wps:txbx>
                        <w:txbxContent>
                          <w:p w14:paraId="33A1D6C8" w14:textId="77777777" w:rsidR="00C567C3" w:rsidRPr="00C567C3" w:rsidRDefault="00C567C3" w:rsidP="00C567C3">
                            <w:pPr>
                              <w:rPr>
                                <w:rFonts w:hAnsi="Calibri"/>
                                <w:color w:val="000000" w:themeColor="dark1"/>
                                <w:kern w:val="24"/>
                              </w:rPr>
                            </w:pPr>
                            <w:r w:rsidRPr="00C567C3">
                              <w:rPr>
                                <w:rFonts w:hAnsi="Calibri"/>
                                <w:color w:val="000000" w:themeColor="dark1"/>
                                <w:kern w:val="24"/>
                                <w:sz w:val="22"/>
                                <w:szCs w:val="22"/>
                              </w:rPr>
                              <w:t>Creativity, value creation, and health and social care improvements are increasingly recognised as interconnected components within modern practice. Creativity provides the cognitive and relational foundation for generating new ideas, reframing complex problems, and developing innovative approaches to care. Value creation represents the tangible benefits that emerge when creative thinking is applied effectively, such as improved outcomes, enhanced user experience, or more efficient use of resources. Health and social care improvements are the broader system</w:t>
                            </w:r>
                            <w:r w:rsidRPr="00C567C3">
                              <w:rPr>
                                <w:rFonts w:hAnsi="Calibri"/>
                                <w:color w:val="000000" w:themeColor="dark1"/>
                                <w:kern w:val="24"/>
                                <w:sz w:val="22"/>
                                <w:szCs w:val="22"/>
                              </w:rPr>
                              <w:noBreakHyphen/>
                              <w:t xml:space="preserve">level changes that occur when value is scaled, embedded, and sustained across services. </w:t>
                            </w:r>
                          </w:p>
                        </w:txbxContent>
                      </wps:txbx>
                      <wps:bodyPr wrap="square" rtlCol="0" anchor="ctr"/>
                    </wps:wsp>
                  </a:graphicData>
                </a:graphic>
                <wp14:sizeRelH relativeFrom="margin">
                  <wp14:pctWidth>0</wp14:pctWidth>
                </wp14:sizeRelH>
              </wp:anchor>
            </w:drawing>
          </mc:Choice>
          <mc:Fallback>
            <w:pict>
              <v:rect w14:anchorId="4596911D" id="Rectangle 12" o:spid="_x0000_s1027" style="position:absolute;left:0;text-align:left;margin-left:257.75pt;margin-top:-13.3pt;width:303.45pt;height:207.1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" fillcolor="white [3201]" strokecolor="black [3200]" strokeweight="1pt">
                <v:textbox>
                  <w:txbxContent>
                    <w:p w14:paraId="33A1D6C8" w14:textId="77777777" w:rsidR="00C567C3" w:rsidRPr="00C567C3" w:rsidRDefault="00C567C3" w:rsidP="00C567C3">
                      <w:pPr>
                        <w:rPr>
                          <w:rFonts w:hAnsi="Calibri"/>
                          <w:color w:val="000000" w:themeColor="dark1"/>
                          <w:kern w:val="24"/>
                        </w:rPr>
                      </w:pPr>
                      <w:r w:rsidRPr="00C567C3">
                        <w:rPr>
                          <w:rFonts w:hAnsi="Calibri"/>
                          <w:color w:val="000000" w:themeColor="dark1"/>
                          <w:kern w:val="24"/>
                          <w:sz w:val="22"/>
                          <w:szCs w:val="22"/>
                        </w:rPr>
                        <w:t>Creativity, value creation, and health and social care improvements are increasingly recognised as interconnected components within modern practice. Creativity provides the cognitive and relational foundation for generating new ideas, reframing complex problems, and developing innovative approaches to care. Value creation represents the tangible benefits that emerge when creative thinking is applied effectively, such as improved outcomes, enhanced user experience, or more efficient use of resources. Health and social care improvements are the broader system</w:t>
                      </w:r>
                      <w:r w:rsidRPr="00C567C3">
                        <w:rPr>
                          <w:rFonts w:hAnsi="Calibri"/>
                          <w:color w:val="000000" w:themeColor="dark1"/>
                          <w:kern w:val="24"/>
                          <w:sz w:val="22"/>
                          <w:szCs w:val="22"/>
                        </w:rPr>
                        <w:noBreakHyphen/>
                        <w:t xml:space="preserve">level changes that occur when value is scaled, embedded, and sustained across services. </w:t>
                      </w:r>
                    </w:p>
                  </w:txbxContent>
                </v:textbox>
              </v:rect>
            </w:pict>
          </mc:Fallback>
        </mc:AlternateContent>
      </w:r>
    </w:p>
    <w:p w14:paraId="0052A631" w14:textId="38294E32" w:rsidR="00337274" w:rsidRDefault="00337274" w:rsidP="021F216E">
      <w:pPr>
        <w:rPr>
          <w:rFonts w:ascii="Arial Nova" w:eastAsia="Arial Nova" w:hAnsi="Arial Nova" w:cs="Arial Nova"/>
          <w:sz w:val="72"/>
          <w:szCs w:val="72"/>
        </w:rPr>
      </w:pPr>
    </w:p>
    <w:p w14:paraId="3F468164" w14:textId="5631DD2E" w:rsidR="00933380" w:rsidRDefault="00933380" w:rsidP="021F216E">
      <w:pPr>
        <w:rPr>
          <w:rFonts w:ascii="Arial Nova" w:eastAsia="Arial Nova" w:hAnsi="Arial Nova" w:cs="Arial Nova"/>
          <w:sz w:val="72"/>
          <w:szCs w:val="72"/>
        </w:rPr>
      </w:pPr>
    </w:p>
    <w:p w14:paraId="38F99641" w14:textId="22A4073A" w:rsidR="00C567C3" w:rsidRDefault="00C567C3" w:rsidP="00C567C3"/>
    <w:p w14:paraId="11CB5BF1" w14:textId="318CD32E" w:rsidR="00933380" w:rsidRDefault="000514D5" w:rsidP="021F216E">
      <w:pPr>
        <w:rPr>
          <w:rFonts w:ascii="Arial Nova" w:eastAsia="Arial Nova" w:hAnsi="Arial Nova" w:cs="Arial Nova"/>
          <w:sz w:val="72"/>
          <w:szCs w:val="72"/>
        </w:rPr>
      </w:pPr>
      <w:r w:rsidRPr="007E01F8">
        <mc:AlternateContent>
          <mc:Choice Requires="wps">
            <w:drawing>
              <wp:anchor distT="0" distB="0" distL="114300" distR="114300" simplePos="0" relativeHeight="251659264" behindDoc="0" locked="0" layoutInCell="1" allowOverlap="1" wp14:anchorId="77844922" wp14:editId="129A70A1">
                <wp:simplePos x="0" y="0"/>
                <wp:positionH relativeFrom="column">
                  <wp:posOffset>1593533</wp:posOffset>
                </wp:positionH>
                <wp:positionV relativeFrom="paragraph">
                  <wp:posOffset>372428</wp:posOffset>
                </wp:positionV>
                <wp:extent cx="2372678" cy="2519363"/>
                <wp:effectExtent l="2857" t="0" r="11748" b="11747"/>
                <wp:wrapNone/>
                <wp:docPr id="4" name="Oval 3">
                  <a:extLst xmlns:a="http://schemas.openxmlformats.org/drawingml/2006/main">
                    <a:ext uri="{FF2B5EF4-FFF2-40B4-BE49-F238E27FC236}">
                      <a16:creationId xmlns:a16="http://schemas.microsoft.com/office/drawing/2014/main" id="{BBABCCA4-D304-37A7-187C-1542216E2B27}"/>
                    </a:ext>
                  </a:extLst>
                </wp:docPr>
                <wp:cNvGraphicFramePr/>
                <a:graphic xmlns:a="http://schemas.openxmlformats.org/drawingml/2006/main">
                  <a:graphicData uri="http://schemas.microsoft.com/office/word/2010/wordprocessingShape">
                    <wps:wsp>
                      <wps:cNvSpPr/>
                      <wps:spPr>
                        <a:xfrm rot="5400000">
                          <a:off x="0" y="0"/>
                          <a:ext cx="2372678" cy="2519363"/>
                        </a:xfrm>
                        <a:prstGeom prst="ellipse">
                          <a:avLst/>
                        </a:prstGeom>
                      </wps:spPr>
                      <wps:style>
                        <a:lnRef idx="2">
                          <a:schemeClr val="dk1"/>
                        </a:lnRef>
                        <a:fillRef idx="1">
                          <a:schemeClr val="lt1"/>
                        </a:fillRef>
                        <a:effectRef idx="0">
                          <a:schemeClr val="dk1"/>
                        </a:effectRef>
                        <a:fontRef idx="minor">
                          <a:schemeClr val="dk1"/>
                        </a:fontRef>
                      </wps:style>
                      <wps:txbx>
                        <w:txbxContent>
                          <w:p w14:paraId="62B98255" w14:textId="77777777" w:rsidR="00C567C3" w:rsidRDefault="00C567C3" w:rsidP="00C567C3">
                            <w:pPr>
                              <w:jc w:val="center"/>
                              <w:rPr>
                                <w:rFonts w:hAnsi="Calibri"/>
                                <w:color w:val="000000" w:themeColor="dark1"/>
                                <w:kern w:val="24"/>
                                <w:sz w:val="36"/>
                                <w:szCs w:val="36"/>
                              </w:rPr>
                            </w:pPr>
                            <w:r w:rsidRPr="00C567C3">
                              <w:rPr>
                                <w:rFonts w:hAnsi="Calibri"/>
                                <w:color w:val="000000" w:themeColor="dark1"/>
                                <w:kern w:val="24"/>
                                <w:sz w:val="28"/>
                                <w:szCs w:val="28"/>
                              </w:rPr>
                              <w:t>The relationship between creativity, value creation, and health and social care improvement</w:t>
                            </w:r>
                            <w:r>
                              <w:rPr>
                                <w:rFonts w:hAnsi="Calibri"/>
                                <w:color w:val="000000" w:themeColor="dark1"/>
                                <w:kern w:val="24"/>
                                <w:sz w:val="36"/>
                                <w:szCs w:val="36"/>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77844922" id="Oval 3" o:spid="_x0000_s1028" style="position:absolute;margin-left:125.5pt;margin-top:29.35pt;width:186.85pt;height:198.4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" fillcolor="white [3201]" strokecolor="black [3200]" strokeweight="1pt">
                <v:stroke joinstyle="miter"/>
                <v:textbox>
                  <w:txbxContent>
                    <w:p w14:paraId="62B98255" w14:textId="77777777" w:rsidR="00C567C3" w:rsidRDefault="00C567C3" w:rsidP="00C567C3">
                      <w:pPr>
                        <w:jc w:val="center"/>
                        <w:rPr>
                          <w:rFonts w:hAnsi="Calibri"/>
                          <w:color w:val="000000" w:themeColor="dark1"/>
                          <w:kern w:val="24"/>
                          <w:sz w:val="36"/>
                          <w:szCs w:val="36"/>
                        </w:rPr>
                      </w:pPr>
                      <w:r w:rsidRPr="00C567C3">
                        <w:rPr>
                          <w:rFonts w:hAnsi="Calibri"/>
                          <w:color w:val="000000" w:themeColor="dark1"/>
                          <w:kern w:val="24"/>
                          <w:sz w:val="28"/>
                          <w:szCs w:val="28"/>
                        </w:rPr>
                        <w:t>The relationship between creativity, value creation, and health and social care improvement</w:t>
                      </w:r>
                      <w:r>
                        <w:rPr>
                          <w:rFonts w:hAnsi="Calibri"/>
                          <w:color w:val="000000" w:themeColor="dark1"/>
                          <w:kern w:val="24"/>
                          <w:sz w:val="36"/>
                          <w:szCs w:val="36"/>
                        </w:rPr>
                        <w:t>.</w:t>
                      </w:r>
                    </w:p>
                  </w:txbxContent>
                </v:textbox>
              </v:oval>
            </w:pict>
          </mc:Fallback>
        </mc:AlternateContent>
      </w:r>
      <w:r w:rsidR="000231E0" w:rsidRPr="007E01F8">
        <mc:AlternateContent>
          <mc:Choice Requires="wps">
            <w:drawing>
              <wp:anchor distT="0" distB="0" distL="114300" distR="114300" simplePos="0" relativeHeight="251661312" behindDoc="0" locked="0" layoutInCell="1" allowOverlap="1" wp14:anchorId="5A060FC2" wp14:editId="3AE1E58E">
                <wp:simplePos x="0" y="0"/>
                <wp:positionH relativeFrom="margin">
                  <wp:posOffset>-4450080</wp:posOffset>
                </wp:positionH>
                <wp:positionV relativeFrom="paragraph">
                  <wp:posOffset>795020</wp:posOffset>
                </wp:positionV>
                <wp:extent cx="9768471" cy="1765005"/>
                <wp:effectExtent l="1270" t="0" r="24765" b="24765"/>
                <wp:wrapNone/>
                <wp:docPr id="12" name="Rectangle 11">
                  <a:extLst xmlns:a="http://schemas.openxmlformats.org/drawingml/2006/main">
                    <a:ext uri="{FF2B5EF4-FFF2-40B4-BE49-F238E27FC236}">
                      <a16:creationId xmlns:a16="http://schemas.microsoft.com/office/drawing/2014/main" id="{36610B90-1F96-E3AD-D149-B41993F14573}"/>
                    </a:ext>
                  </a:extLst>
                </wp:docPr>
                <wp:cNvGraphicFramePr/>
                <a:graphic xmlns:a="http://schemas.openxmlformats.org/drawingml/2006/main">
                  <a:graphicData uri="http://schemas.microsoft.com/office/word/2010/wordprocessingShape">
                    <wps:wsp>
                      <wps:cNvSpPr/>
                      <wps:spPr>
                        <a:xfrm rot="5400000">
                          <a:off x="0" y="0"/>
                          <a:ext cx="9768471" cy="1765005"/>
                        </a:xfrm>
                        <a:prstGeom prst="rect">
                          <a:avLst/>
                        </a:prstGeom>
                      </wps:spPr>
                      <wps:style>
                        <a:lnRef idx="2">
                          <a:schemeClr val="dk1"/>
                        </a:lnRef>
                        <a:fillRef idx="1">
                          <a:schemeClr val="lt1"/>
                        </a:fillRef>
                        <a:effectRef idx="0">
                          <a:schemeClr val="dk1"/>
                        </a:effectRef>
                        <a:fontRef idx="minor">
                          <a:schemeClr val="dk1"/>
                        </a:fontRef>
                      </wps:style>
                      <wps:txbx>
                        <w:txbxContent>
                          <w:p w14:paraId="5D284007" w14:textId="77777777" w:rsidR="00C567C3" w:rsidRPr="00C567C3" w:rsidRDefault="00C567C3" w:rsidP="00C567C3">
                            <w:pPr>
                              <w:jc w:val="center"/>
                              <w:rPr>
                                <w:rFonts w:hAnsi="Calibri"/>
                                <w:color w:val="000000" w:themeColor="dark1"/>
                                <w:kern w:val="24"/>
                                <w:sz w:val="36"/>
                                <w:szCs w:val="36"/>
                              </w:rPr>
                            </w:pPr>
                            <w:r w:rsidRPr="00C567C3">
                              <w:rPr>
                                <w:rFonts w:hAnsi="Calibri"/>
                                <w:color w:val="000000" w:themeColor="dark1"/>
                                <w:kern w:val="24"/>
                                <w:sz w:val="36"/>
                                <w:szCs w:val="36"/>
                              </w:rPr>
                              <w:t>The interaction between creativity, value creation, and health and social care improvements is cyclical rather than linear. Improvements in services often create conditions that encourage further creativity, such as better staff morale, clearer processes, or stronger inter</w:t>
                            </w:r>
                            <w:r w:rsidRPr="00C567C3">
                              <w:rPr>
                                <w:rFonts w:hAnsi="Calibri"/>
                                <w:color w:val="000000" w:themeColor="dark1"/>
                                <w:kern w:val="24"/>
                                <w:sz w:val="36"/>
                                <w:szCs w:val="36"/>
                              </w:rPr>
                              <w:noBreakHyphen/>
                              <w:t xml:space="preserve">professional relationships. In turn, renewed creativity generates additional value, which leads to ongoing improvements.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A060FC2" id="Rectangle 11" o:spid="_x0000_s1029" style="position:absolute;margin-left:-350.4pt;margin-top:62.6pt;width:769.15pt;height:139pt;rotation:9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" fillcolor="white [3201]" strokecolor="black [3200]" strokeweight="1pt">
                <v:textbox>
                  <w:txbxContent>
                    <w:p w14:paraId="5D284007" w14:textId="77777777" w:rsidR="00C567C3" w:rsidRPr="00C567C3" w:rsidRDefault="00C567C3" w:rsidP="00C567C3">
                      <w:pPr>
                        <w:jc w:val="center"/>
                        <w:rPr>
                          <w:rFonts w:hAnsi="Calibri"/>
                          <w:color w:val="000000" w:themeColor="dark1"/>
                          <w:kern w:val="24"/>
                          <w:sz w:val="36"/>
                          <w:szCs w:val="36"/>
                        </w:rPr>
                      </w:pPr>
                      <w:r w:rsidRPr="00C567C3">
                        <w:rPr>
                          <w:rFonts w:hAnsi="Calibri"/>
                          <w:color w:val="000000" w:themeColor="dark1"/>
                          <w:kern w:val="24"/>
                          <w:sz w:val="36"/>
                          <w:szCs w:val="36"/>
                        </w:rPr>
                        <w:t>The interaction between creativity, value creation, and health and social care improvements is cyclical rather than linear. Improvements in services often create conditions that encourage further creativity, such as better staff morale, clearer processes, or stronger inter</w:t>
                      </w:r>
                      <w:r w:rsidRPr="00C567C3">
                        <w:rPr>
                          <w:rFonts w:hAnsi="Calibri"/>
                          <w:color w:val="000000" w:themeColor="dark1"/>
                          <w:kern w:val="24"/>
                          <w:sz w:val="36"/>
                          <w:szCs w:val="36"/>
                        </w:rPr>
                        <w:noBreakHyphen/>
                        <w:t xml:space="preserve">professional relationships. In turn, renewed creativity generates additional value, which leads to ongoing improvements. </w:t>
                      </w:r>
                    </w:p>
                  </w:txbxContent>
                </v:textbox>
                <w10:wrap anchorx="margin"/>
              </v:rect>
            </w:pict>
          </mc:Fallback>
        </mc:AlternateContent>
      </w:r>
    </w:p>
    <w:p w14:paraId="0BC7D9FC" w14:textId="64F8EABC" w:rsidR="021F216E" w:rsidRDefault="021F216E" w:rsidP="021F216E">
      <w:pPr>
        <w:rPr>
          <w:rFonts w:ascii="Arial Nova" w:eastAsia="Arial Nova" w:hAnsi="Arial Nova" w:cs="Arial Nova"/>
          <w:i/>
          <w:iCs/>
          <w:color w:val="000000" w:themeColor="text1"/>
        </w:rPr>
      </w:pPr>
    </w:p>
    <w:p w14:paraId="783924C5" w14:textId="26530D03" w:rsidR="021F216E" w:rsidRDefault="021F216E" w:rsidP="021F216E">
      <w:pPr>
        <w:rPr>
          <w:rFonts w:ascii="Arial Nova" w:eastAsia="Arial Nova" w:hAnsi="Arial Nova" w:cs="Arial Nova"/>
          <w:i/>
          <w:iCs/>
          <w:color w:val="000000" w:themeColor="text1"/>
        </w:rPr>
      </w:pPr>
    </w:p>
    <w:p w14:paraId="1603AB69" w14:textId="28C86A6C" w:rsidR="021F216E" w:rsidRDefault="021F216E" w:rsidP="021F216E">
      <w:pPr>
        <w:rPr>
          <w:rFonts w:ascii="Arial Nova" w:eastAsia="Arial Nova" w:hAnsi="Arial Nova" w:cs="Arial Nova"/>
          <w:i/>
          <w:iCs/>
          <w:color w:val="000000" w:themeColor="text1"/>
        </w:rPr>
      </w:pPr>
    </w:p>
    <w:p w14:paraId="6CB48DB0" w14:textId="6877F09A" w:rsidR="021F216E" w:rsidRDefault="021F216E" w:rsidP="021F216E">
      <w:pPr>
        <w:rPr>
          <w:rFonts w:ascii="Arial Nova" w:eastAsia="Arial Nova" w:hAnsi="Arial Nova" w:cs="Arial Nova"/>
          <w:i/>
          <w:iCs/>
          <w:color w:val="000000" w:themeColor="text1"/>
        </w:rPr>
      </w:pPr>
    </w:p>
    <w:p w14:paraId="67185282" w14:textId="7DEA9CCF" w:rsidR="021F216E" w:rsidRDefault="000514D5" w:rsidP="021F216E">
      <w:pPr>
        <w:rPr>
          <w:rFonts w:ascii="Arial Nova" w:eastAsia="Arial Nova" w:hAnsi="Arial Nova" w:cs="Arial Nova"/>
          <w:i/>
          <w:iCs/>
          <w:color w:val="000000" w:themeColor="text1"/>
        </w:rPr>
      </w:pPr>
      <w:r w:rsidRPr="007E01F8">
        <mc:AlternateContent>
          <mc:Choice Requires="wps">
            <w:drawing>
              <wp:anchor distT="0" distB="0" distL="114300" distR="114300" simplePos="0" relativeHeight="251664384" behindDoc="0" locked="0" layoutInCell="1" allowOverlap="1" wp14:anchorId="5731BC9B" wp14:editId="2F8D5AAA">
                <wp:simplePos x="0" y="0"/>
                <wp:positionH relativeFrom="column">
                  <wp:posOffset>2713672</wp:posOffset>
                </wp:positionH>
                <wp:positionV relativeFrom="paragraph">
                  <wp:posOffset>193993</wp:posOffset>
                </wp:positionV>
                <wp:extent cx="5568315" cy="2285048"/>
                <wp:effectExtent l="3493" t="0" r="16827" b="16828"/>
                <wp:wrapNone/>
                <wp:docPr id="17" name="Rectangle 16">
                  <a:extLst xmlns:a="http://schemas.openxmlformats.org/drawingml/2006/main">
                    <a:ext uri="{FF2B5EF4-FFF2-40B4-BE49-F238E27FC236}">
                      <a16:creationId xmlns:a16="http://schemas.microsoft.com/office/drawing/2014/main" id="{F6AAA365-0B08-7660-71BF-A7AAADDAB85A}"/>
                    </a:ext>
                  </a:extLst>
                </wp:docPr>
                <wp:cNvGraphicFramePr/>
                <a:graphic xmlns:a="http://schemas.openxmlformats.org/drawingml/2006/main">
                  <a:graphicData uri="http://schemas.microsoft.com/office/word/2010/wordprocessingShape">
                    <wps:wsp>
                      <wps:cNvSpPr/>
                      <wps:spPr>
                        <a:xfrm rot="5400000">
                          <a:off x="0" y="0"/>
                          <a:ext cx="5568315" cy="2285048"/>
                        </a:xfrm>
                        <a:prstGeom prst="rect">
                          <a:avLst/>
                        </a:prstGeom>
                      </wps:spPr>
                      <wps:style>
                        <a:lnRef idx="2">
                          <a:schemeClr val="dk1"/>
                        </a:lnRef>
                        <a:fillRef idx="1">
                          <a:schemeClr val="lt1"/>
                        </a:fillRef>
                        <a:effectRef idx="0">
                          <a:schemeClr val="dk1"/>
                        </a:effectRef>
                        <a:fontRef idx="minor">
                          <a:schemeClr val="dk1"/>
                        </a:fontRef>
                      </wps:style>
                      <wps:txbx>
                        <w:txbxContent>
                          <w:p w14:paraId="1AA7D4F7" w14:textId="77777777" w:rsidR="00C567C3" w:rsidRPr="00C567C3" w:rsidRDefault="00C567C3" w:rsidP="00C567C3">
                            <w:pPr>
                              <w:rPr>
                                <w:rFonts w:hAnsi="Calibri"/>
                                <w:color w:val="000000" w:themeColor="dark1"/>
                                <w:kern w:val="24"/>
                                <w:sz w:val="32"/>
                                <w:szCs w:val="32"/>
                              </w:rPr>
                            </w:pPr>
                            <w:r w:rsidRPr="00C567C3">
                              <w:rPr>
                                <w:rFonts w:hAnsi="Calibri"/>
                                <w:color w:val="000000" w:themeColor="dark1"/>
                                <w:kern w:val="24"/>
                                <w:sz w:val="32"/>
                                <w:szCs w:val="32"/>
                              </w:rPr>
                              <w:t>When creative ideas are translated into practice, they produce value. Value creation can take many forms: better outcomes for individuals and families, more efficient workflows, improved staff wellbeing, or more personalised and accessible services. It reflects the point at which creativity becomes operational and begins to influence real</w:t>
                            </w:r>
                            <w:r w:rsidRPr="00C567C3">
                              <w:rPr>
                                <w:rFonts w:hAnsi="Calibri"/>
                                <w:color w:val="000000" w:themeColor="dark1"/>
                                <w:kern w:val="24"/>
                                <w:sz w:val="32"/>
                                <w:szCs w:val="32"/>
                              </w:rPr>
                              <w:noBreakHyphen/>
                              <w:t xml:space="preserve">world practice.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731BC9B" id="Rectangle 16" o:spid="_x0000_s1030" style="position:absolute;margin-left:213.65pt;margin-top:15.3pt;width:438.45pt;height:179.9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" fillcolor="white [3201]" strokecolor="black [3200]" strokeweight="1pt">
                <v:textbox>
                  <w:txbxContent>
                    <w:p w14:paraId="1AA7D4F7" w14:textId="77777777" w:rsidR="00C567C3" w:rsidRPr="00C567C3" w:rsidRDefault="00C567C3" w:rsidP="00C567C3">
                      <w:pPr>
                        <w:rPr>
                          <w:rFonts w:hAnsi="Calibri"/>
                          <w:color w:val="000000" w:themeColor="dark1"/>
                          <w:kern w:val="24"/>
                          <w:sz w:val="32"/>
                          <w:szCs w:val="32"/>
                        </w:rPr>
                      </w:pPr>
                      <w:r w:rsidRPr="00C567C3">
                        <w:rPr>
                          <w:rFonts w:hAnsi="Calibri"/>
                          <w:color w:val="000000" w:themeColor="dark1"/>
                          <w:kern w:val="24"/>
                          <w:sz w:val="32"/>
                          <w:szCs w:val="32"/>
                        </w:rPr>
                        <w:t>When creative ideas are translated into practice, they produce value. Value creation can take many forms: better outcomes for individuals and families, more efficient workflows, improved staff wellbeing, or more personalised and accessible services. It reflects the point at which creativity becomes operational and begins to influence real</w:t>
                      </w:r>
                      <w:r w:rsidRPr="00C567C3">
                        <w:rPr>
                          <w:rFonts w:hAnsi="Calibri"/>
                          <w:color w:val="000000" w:themeColor="dark1"/>
                          <w:kern w:val="24"/>
                          <w:sz w:val="32"/>
                          <w:szCs w:val="32"/>
                        </w:rPr>
                        <w:noBreakHyphen/>
                        <w:t xml:space="preserve">world practice. </w:t>
                      </w:r>
                    </w:p>
                  </w:txbxContent>
                </v:textbox>
              </v:rect>
            </w:pict>
          </mc:Fallback>
        </mc:AlternateContent>
      </w:r>
    </w:p>
    <w:p w14:paraId="203EF451" w14:textId="13B0BA5F" w:rsidR="021F216E" w:rsidRDefault="021F216E" w:rsidP="021F216E">
      <w:pPr>
        <w:rPr>
          <w:rFonts w:ascii="Arial Nova" w:eastAsia="Arial Nova" w:hAnsi="Arial Nova" w:cs="Arial Nova"/>
          <w:i/>
          <w:iCs/>
          <w:color w:val="000000" w:themeColor="text1"/>
        </w:rPr>
      </w:pPr>
    </w:p>
    <w:p w14:paraId="3A21BB8A" w14:textId="54098BC7" w:rsidR="021F216E" w:rsidRDefault="021F216E" w:rsidP="021F216E">
      <w:pPr>
        <w:rPr>
          <w:rFonts w:ascii="Arial Nova" w:eastAsia="Arial Nova" w:hAnsi="Arial Nova" w:cs="Arial Nova"/>
          <w:i/>
          <w:iCs/>
          <w:color w:val="000000" w:themeColor="text1"/>
        </w:rPr>
      </w:pPr>
    </w:p>
    <w:p w14:paraId="369F26C7" w14:textId="2FDDA039" w:rsidR="021F216E" w:rsidRDefault="021F216E" w:rsidP="021F216E">
      <w:pPr>
        <w:rPr>
          <w:rFonts w:ascii="Arial Nova" w:eastAsia="Arial Nova" w:hAnsi="Arial Nova" w:cs="Arial Nova"/>
          <w:i/>
          <w:iCs/>
          <w:color w:val="000000" w:themeColor="text1"/>
        </w:rPr>
      </w:pPr>
    </w:p>
    <w:p w14:paraId="4461F1A2" w14:textId="00334927" w:rsidR="021F216E" w:rsidRDefault="000514D5" w:rsidP="021F216E">
      <w:pPr>
        <w:rPr>
          <w:rFonts w:ascii="Arial Nova" w:eastAsia="Arial Nova" w:hAnsi="Arial Nova" w:cs="Arial Nova"/>
          <w:i/>
          <w:iCs/>
          <w:color w:val="000000" w:themeColor="text1"/>
        </w:rPr>
      </w:pPr>
      <w:r w:rsidRPr="007E01F8">
        <mc:AlternateContent>
          <mc:Choice Requires="wps">
            <w:drawing>
              <wp:anchor distT="0" distB="0" distL="114300" distR="114300" simplePos="0" relativeHeight="251663360" behindDoc="0" locked="0" layoutInCell="1" allowOverlap="1" wp14:anchorId="0E891190" wp14:editId="26330F3E">
                <wp:simplePos x="0" y="0"/>
                <wp:positionH relativeFrom="column">
                  <wp:posOffset>1405255</wp:posOffset>
                </wp:positionH>
                <wp:positionV relativeFrom="paragraph">
                  <wp:posOffset>140335</wp:posOffset>
                </wp:positionV>
                <wp:extent cx="3094990" cy="2009140"/>
                <wp:effectExtent l="0" t="9525" r="19685" b="19685"/>
                <wp:wrapNone/>
                <wp:docPr id="15" name="Rectangle 14">
                  <a:extLst xmlns:a="http://schemas.openxmlformats.org/drawingml/2006/main">
                    <a:ext uri="{FF2B5EF4-FFF2-40B4-BE49-F238E27FC236}">
                      <a16:creationId xmlns:a16="http://schemas.microsoft.com/office/drawing/2014/main" id="{46DDEB88-6C9E-D04B-5DD0-DB662292D8E9}"/>
                    </a:ext>
                  </a:extLst>
                </wp:docPr>
                <wp:cNvGraphicFramePr/>
                <a:graphic xmlns:a="http://schemas.openxmlformats.org/drawingml/2006/main">
                  <a:graphicData uri="http://schemas.microsoft.com/office/word/2010/wordprocessingShape">
                    <wps:wsp>
                      <wps:cNvSpPr/>
                      <wps:spPr>
                        <a:xfrm rot="5400000">
                          <a:off x="0" y="0"/>
                          <a:ext cx="3094990" cy="2009140"/>
                        </a:xfrm>
                        <a:prstGeom prst="rect">
                          <a:avLst/>
                        </a:prstGeom>
                      </wps:spPr>
                      <wps:style>
                        <a:lnRef idx="2">
                          <a:schemeClr val="dk1"/>
                        </a:lnRef>
                        <a:fillRef idx="1">
                          <a:schemeClr val="lt1"/>
                        </a:fillRef>
                        <a:effectRef idx="0">
                          <a:schemeClr val="dk1"/>
                        </a:effectRef>
                        <a:fontRef idx="minor">
                          <a:schemeClr val="dk1"/>
                        </a:fontRef>
                      </wps:style>
                      <wps:txbx>
                        <w:txbxContent>
                          <w:p w14:paraId="6C2D2315" w14:textId="77777777" w:rsidR="00C567C3" w:rsidRPr="00C567C3" w:rsidRDefault="00C567C3" w:rsidP="00C567C3">
                            <w:pPr>
                              <w:rPr>
                                <w:rFonts w:hAnsi="Calibri"/>
                                <w:color w:val="000000" w:themeColor="dark1"/>
                                <w:kern w:val="24"/>
                                <w:sz w:val="28"/>
                                <w:szCs w:val="28"/>
                              </w:rPr>
                            </w:pPr>
                            <w:r w:rsidRPr="00C567C3">
                              <w:rPr>
                                <w:rFonts w:hAnsi="Calibri"/>
                                <w:color w:val="000000" w:themeColor="dark1"/>
                                <w:kern w:val="24"/>
                                <w:sz w:val="28"/>
                                <w:szCs w:val="28"/>
                              </w:rPr>
                              <w:t xml:space="preserve">As value accumulates, it contributes to wider health and social care improvements. These improvements may include redesigned pathways, integrated working across agencies, enhanced safety, or more equitable access to services.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E891190" id="Rectangle 14" o:spid="_x0000_s1031" style="position:absolute;margin-left:110.65pt;margin-top:11.05pt;width:243.7pt;height:158.2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" fillcolor="white [3201]" strokecolor="black [3200]" strokeweight="1pt">
                <v:textbox>
                  <w:txbxContent>
                    <w:p w14:paraId="6C2D2315" w14:textId="77777777" w:rsidR="00C567C3" w:rsidRPr="00C567C3" w:rsidRDefault="00C567C3" w:rsidP="00C567C3">
                      <w:pPr>
                        <w:rPr>
                          <w:rFonts w:hAnsi="Calibri"/>
                          <w:color w:val="000000" w:themeColor="dark1"/>
                          <w:kern w:val="24"/>
                          <w:sz w:val="28"/>
                          <w:szCs w:val="28"/>
                        </w:rPr>
                      </w:pPr>
                      <w:r w:rsidRPr="00C567C3">
                        <w:rPr>
                          <w:rFonts w:hAnsi="Calibri"/>
                          <w:color w:val="000000" w:themeColor="dark1"/>
                          <w:kern w:val="24"/>
                          <w:sz w:val="28"/>
                          <w:szCs w:val="28"/>
                        </w:rPr>
                        <w:t xml:space="preserve">As value accumulates, it contributes to wider health and social care improvements. These improvements may include redesigned pathways, integrated working across agencies, enhanced safety, or more equitable access to services. </w:t>
                      </w:r>
                    </w:p>
                  </w:txbxContent>
                </v:textbox>
              </v:rect>
            </w:pict>
          </mc:Fallback>
        </mc:AlternateContent>
      </w:r>
    </w:p>
    <w:p w14:paraId="38E47A2C" w14:textId="5588E7D9" w:rsidR="021F216E" w:rsidRDefault="021F216E" w:rsidP="021F216E">
      <w:pPr>
        <w:rPr>
          <w:rFonts w:ascii="Arial Nova" w:eastAsia="Arial Nova" w:hAnsi="Arial Nova" w:cs="Arial Nova"/>
          <w:i/>
          <w:iCs/>
          <w:color w:val="000000" w:themeColor="text1"/>
        </w:rPr>
      </w:pPr>
    </w:p>
    <w:p w14:paraId="48B862CB" w14:textId="1191AF11" w:rsidR="021F216E" w:rsidRDefault="021F216E" w:rsidP="021F216E">
      <w:pPr>
        <w:rPr>
          <w:rFonts w:ascii="Arial Nova" w:eastAsia="Arial Nova" w:hAnsi="Arial Nova" w:cs="Arial Nova"/>
          <w:i/>
          <w:iCs/>
          <w:color w:val="000000" w:themeColor="text1"/>
        </w:rPr>
      </w:pPr>
    </w:p>
    <w:p w14:paraId="190E81BF" w14:textId="7F6F7D82" w:rsidR="021F216E" w:rsidRDefault="021F216E" w:rsidP="021F216E">
      <w:pPr>
        <w:rPr>
          <w:rFonts w:ascii="Arial Nova" w:eastAsia="Arial Nova" w:hAnsi="Arial Nova" w:cs="Arial Nova"/>
          <w:i/>
          <w:iCs/>
          <w:color w:val="000000" w:themeColor="text1"/>
        </w:rPr>
      </w:pPr>
    </w:p>
    <w:p w14:paraId="5E5B889B" w14:textId="16918909" w:rsidR="021F216E" w:rsidRDefault="021F216E" w:rsidP="021F216E">
      <w:pPr>
        <w:rPr>
          <w:rFonts w:ascii="Arial Nova" w:eastAsia="Arial Nova" w:hAnsi="Arial Nova" w:cs="Arial Nova"/>
          <w:i/>
          <w:iCs/>
          <w:color w:val="000000" w:themeColor="text1"/>
        </w:rPr>
      </w:pPr>
    </w:p>
    <w:p w14:paraId="78587690" w14:textId="2AE47BB0"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1E3525C5" w14:textId="50F1AC58" w:rsidR="00DC2C93" w:rsidRDefault="00DC2C93" w:rsidP="00DC2C93">
      <w:pPr>
        <w:rPr>
          <w:rFonts w:ascii="Arial Nova" w:eastAsia="Arial Nova" w:hAnsi="Arial Nova" w:cs="Arial Nova"/>
          <w:color w:val="000000" w:themeColor="text1"/>
        </w:rPr>
      </w:pPr>
      <w:r w:rsidRPr="00DC2C93">
        <w:rPr>
          <w:rFonts w:ascii="Arial Nova" w:eastAsia="Arial Nova" w:hAnsi="Arial Nova" w:cs="Arial Nova"/>
          <w:color w:val="000000" w:themeColor="text1"/>
        </w:rPr>
        <w:t xml:space="preserve">During the convergent and divergent thinking activity, I was asked to use a simple paperclip to generate as many creative uses as possible before narrowing these ideas down to the most practical ones. At first, I felt slightly unsure, as divergent thinking can feel exposing, especially when sharing ideas that may seem unrealistic or unconventional. </w:t>
      </w:r>
    </w:p>
    <w:p w14:paraId="4C3AB9AE" w14:textId="77777777" w:rsidR="00DC2C93" w:rsidRDefault="00DC2C93" w:rsidP="00DC2C93">
      <w:pPr>
        <w:rPr>
          <w:rFonts w:ascii="Arial Nova" w:eastAsia="Arial Nova" w:hAnsi="Arial Nova" w:cs="Arial Nova"/>
          <w:color w:val="000000" w:themeColor="text1"/>
        </w:rPr>
      </w:pPr>
      <w:r w:rsidRPr="00DC2C93">
        <w:rPr>
          <w:rFonts w:ascii="Arial Nova" w:eastAsia="Arial Nova" w:hAnsi="Arial Nova" w:cs="Arial Nova"/>
          <w:color w:val="000000" w:themeColor="text1"/>
        </w:rPr>
        <w:t xml:space="preserve">I recognised how relevant these thinking styles are to safeguarding and social work practice. Divergent thinking supports creativity, empathy, and the ability to consider alternative hypotheses. These skills are essential when exploring a child’s lived experience or assessing complex family situations. Convergent thinking, on the other hand, is crucial for analysing risk, prioritising concerns, and making clear, defensible decisions. This aligns with Guilford’s (1956) distinction between divergent thinking, which involves generating multiple possibilities, and convergent thinking, which involves narrowing ideas to reach a logical solution. </w:t>
      </w:r>
    </w:p>
    <w:p w14:paraId="33050A91" w14:textId="32296B1B" w:rsidR="00DC2C93" w:rsidRPr="00DC2C93" w:rsidRDefault="00DC2C93" w:rsidP="00DC2C93">
      <w:pPr>
        <w:rPr>
          <w:rFonts w:ascii="Arial Nova" w:eastAsia="Arial Nova" w:hAnsi="Arial Nova" w:cs="Arial Nova"/>
          <w:color w:val="000000" w:themeColor="text1"/>
        </w:rPr>
      </w:pPr>
      <w:r w:rsidRPr="00DC2C93">
        <w:rPr>
          <w:rFonts w:ascii="Arial Nova" w:eastAsia="Arial Nova" w:hAnsi="Arial Nova" w:cs="Arial Nova"/>
          <w:color w:val="000000" w:themeColor="text1"/>
        </w:rPr>
        <w:t xml:space="preserve">In conclusion, the activity helped me appreciate that creativity is not separate from professional practice. It enhances it. I learned the importance of generating multiple possibilities before narrowing them down and recognised the need to challenge my tendency to filter ideas too early. </w:t>
      </w:r>
    </w:p>
    <w:p w14:paraId="0FE39BA5" w14:textId="2743C99B" w:rsidR="021F216E" w:rsidRPr="000231E0" w:rsidRDefault="00DC2C93" w:rsidP="021F216E">
      <w:pPr>
        <w:rPr>
          <w:rFonts w:ascii="Arial Nova" w:eastAsia="Arial Nova" w:hAnsi="Arial Nova" w:cs="Arial Nova"/>
          <w:color w:val="000000" w:themeColor="text1"/>
        </w:rPr>
      </w:pPr>
      <w:r w:rsidRPr="00DC2C93">
        <w:rPr>
          <w:rFonts w:ascii="Arial Nova" w:eastAsia="Arial Nova" w:hAnsi="Arial Nova" w:cs="Arial Nova"/>
          <w:color w:val="000000" w:themeColor="text1"/>
        </w:rPr>
        <w:t xml:space="preserve">Moving forward, I plan to incorporate structured creative tools such as mind mapping, “what if” questions, drawings, and scaling exercises into my assessments. I will also practise pausing before evaluating ideas to allow space for creativity, engage in reflective exercises that challenge fixed thinking patterns, and use divergent thinking more intentionally in team discussions. </w:t>
      </w:r>
    </w:p>
    <w:p w14:paraId="75B46360" w14:textId="77777777" w:rsidR="00563EB8" w:rsidRDefault="00563EB8" w:rsidP="021F216E">
      <w:pPr>
        <w:rPr>
          <w:rFonts w:ascii="Arial Nova" w:eastAsia="Arial Nova" w:hAnsi="Arial Nova" w:cs="Arial Nova"/>
          <w:i/>
          <w:iCs/>
          <w:color w:val="000000" w:themeColor="text1"/>
        </w:rPr>
      </w:pPr>
    </w:p>
    <w:p w14:paraId="396CB849" w14:textId="77777777" w:rsidR="00DC2C93" w:rsidRDefault="00DC2C93" w:rsidP="47853A3C">
      <w:pPr>
        <w:rPr>
          <w:rFonts w:ascii="Arial Nova" w:eastAsia="Arial Nova" w:hAnsi="Arial Nova" w:cs="Arial Nova"/>
          <w:i/>
          <w:iCs/>
          <w:color w:val="000000" w:themeColor="text1"/>
        </w:rPr>
      </w:pPr>
    </w:p>
    <w:p w14:paraId="1BA7C3D7" w14:textId="77777777" w:rsidR="00DC2C93" w:rsidRDefault="00DC2C93" w:rsidP="47853A3C">
      <w:pPr>
        <w:rPr>
          <w:rFonts w:ascii="Arial Nova" w:eastAsia="Arial Nova" w:hAnsi="Arial Nova" w:cs="Arial Nova"/>
          <w:i/>
          <w:iCs/>
          <w:color w:val="000000" w:themeColor="text1"/>
        </w:rPr>
      </w:pPr>
    </w:p>
    <w:p w14:paraId="355E9048" w14:textId="77777777" w:rsidR="00DC2C93" w:rsidRDefault="00DC2C93" w:rsidP="47853A3C">
      <w:pPr>
        <w:rPr>
          <w:rFonts w:ascii="Arial Nova" w:eastAsia="Arial Nova" w:hAnsi="Arial Nova" w:cs="Arial Nova"/>
          <w:i/>
          <w:iCs/>
          <w:color w:val="000000" w:themeColor="text1"/>
        </w:rPr>
      </w:pPr>
    </w:p>
    <w:p w14:paraId="1D1A08D8" w14:textId="77777777" w:rsidR="00DC2C93" w:rsidRDefault="00DC2C93" w:rsidP="47853A3C">
      <w:pPr>
        <w:rPr>
          <w:rFonts w:ascii="Arial Nova" w:eastAsia="Arial Nova" w:hAnsi="Arial Nova" w:cs="Arial Nova"/>
          <w:i/>
          <w:iCs/>
          <w:color w:val="000000" w:themeColor="text1"/>
        </w:rPr>
      </w:pPr>
    </w:p>
    <w:p w14:paraId="37FAE1B8" w14:textId="77777777" w:rsidR="00DC2C93" w:rsidRDefault="00DC2C93" w:rsidP="47853A3C">
      <w:pPr>
        <w:rPr>
          <w:rFonts w:ascii="Arial Nova" w:eastAsia="Arial Nova" w:hAnsi="Arial Nova" w:cs="Arial Nova"/>
          <w:i/>
          <w:iCs/>
          <w:color w:val="000000" w:themeColor="text1"/>
        </w:rPr>
      </w:pPr>
    </w:p>
    <w:p w14:paraId="04352D68" w14:textId="77777777" w:rsidR="00DC2C93" w:rsidRDefault="00DC2C93" w:rsidP="47853A3C">
      <w:pPr>
        <w:rPr>
          <w:rFonts w:ascii="Arial Nova" w:eastAsia="Arial Nova" w:hAnsi="Arial Nova" w:cs="Arial Nova"/>
          <w:i/>
          <w:iCs/>
          <w:color w:val="000000" w:themeColor="text1"/>
        </w:rPr>
      </w:pPr>
    </w:p>
    <w:p w14:paraId="6C19ABB4" w14:textId="77777777" w:rsidR="000514D5" w:rsidRDefault="000514D5" w:rsidP="47853A3C">
      <w:pPr>
        <w:rPr>
          <w:rFonts w:ascii="Arial Nova" w:eastAsia="Arial Nova" w:hAnsi="Arial Nova" w:cs="Arial Nova"/>
          <w:color w:val="000000" w:themeColor="text1"/>
          <w:sz w:val="44"/>
          <w:szCs w:val="44"/>
        </w:rPr>
      </w:pPr>
    </w:p>
    <w:p w14:paraId="3D8E9ECA" w14:textId="1A69E8EE"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3 - </w:t>
      </w:r>
      <w:r w:rsidR="32ADAAF6" w:rsidRPr="47853A3C">
        <w:rPr>
          <w:rFonts w:ascii="Arial Nova" w:eastAsia="Arial Nova" w:hAnsi="Arial Nova" w:cs="Arial Nova"/>
          <w:color w:val="000000" w:themeColor="text1"/>
          <w:sz w:val="44"/>
          <w:szCs w:val="44"/>
        </w:rPr>
        <w:t>Case Study of a UK innovation</w:t>
      </w:r>
    </w:p>
    <w:p w14:paraId="1C15308C" w14:textId="77777777" w:rsidR="00DC2C93" w:rsidRPr="00DC2C93" w:rsidRDefault="00DC2C93" w:rsidP="00DC2C93">
      <w:pPr>
        <w:rPr>
          <w:lang w:val="en-GB"/>
        </w:rPr>
      </w:pPr>
      <w:r w:rsidRPr="00DC2C93">
        <w:rPr>
          <w:lang w:val="en-GB"/>
        </w:rPr>
        <w:t>The NHS Virtual Wards programme is a nationally scaled innovation that delivers hospital</w:t>
      </w:r>
      <w:r w:rsidRPr="00DC2C93">
        <w:rPr>
          <w:lang w:val="en-GB"/>
        </w:rPr>
        <w:noBreakHyphen/>
        <w:t>level care to patients in their own homes through remote monitoring, multidisciplinary oversight, and digital communication tools. Creativity was central to its development because it required reimagining what a “ward” could be and how acute care might be delivered outside traditional hospital settings.</w:t>
      </w:r>
    </w:p>
    <w:p w14:paraId="73F43B2E" w14:textId="77777777" w:rsidR="00DC2C93" w:rsidRPr="00DC2C93" w:rsidRDefault="00DC2C93" w:rsidP="00DC2C93">
      <w:pPr>
        <w:rPr>
          <w:lang w:val="en-GB"/>
        </w:rPr>
      </w:pPr>
      <w:r w:rsidRPr="00DC2C93">
        <w:rPr>
          <w:lang w:val="en-GB"/>
        </w:rPr>
        <w:t>Creativity first emerged through reframing the problem. Instead of expanding physical bed capacity, NHS teams explored how digital technology, wearable devices, and community</w:t>
      </w:r>
      <w:r w:rsidRPr="00DC2C93">
        <w:rPr>
          <w:lang w:val="en-GB"/>
        </w:rPr>
        <w:noBreakHyphen/>
        <w:t>based clinicians could replicate essential inpatient functions at home. This divergent thinking enabled experimentation with new models such as daily virtual rounds, remote vital</w:t>
      </w:r>
      <w:r w:rsidRPr="00DC2C93">
        <w:rPr>
          <w:lang w:val="en-GB"/>
        </w:rPr>
        <w:noBreakHyphen/>
        <w:t xml:space="preserve">sign monitoring, and hybrid clinical roles that blended community nursing with digital triage. Evidence shows that virtual wards were designed to address rising pressures on urgent and emergency care by offering safe alternatives to hospital admission. </w:t>
      </w:r>
    </w:p>
    <w:p w14:paraId="7B8F491F" w14:textId="3949FF06" w:rsidR="00DC2C93" w:rsidRPr="00DC2C93" w:rsidRDefault="00DC2C93" w:rsidP="00DC2C93">
      <w:pPr>
        <w:rPr>
          <w:lang w:val="en-GB"/>
        </w:rPr>
      </w:pPr>
      <w:r w:rsidRPr="00DC2C93">
        <w:rPr>
          <w:lang w:val="en-GB"/>
        </w:rPr>
        <w:t>A second creative element was co</w:t>
      </w:r>
      <w:r w:rsidRPr="00DC2C93">
        <w:rPr>
          <w:lang w:val="en-GB"/>
        </w:rPr>
        <w:noBreakHyphen/>
        <w:t>design with patients and carers, which shaped how the service operated. Feedback led to simplified digital interfaces, personalised monitoring plans, and flexible communication options. This collaborative creativity ensured the model was not only clinically effective but also emotionally supportive. Research indicates that patient satisfaction in virtual ward and hospital</w:t>
      </w:r>
      <w:r w:rsidRPr="00DC2C93">
        <w:rPr>
          <w:lang w:val="en-GB"/>
        </w:rPr>
        <w:noBreakHyphen/>
        <w:t>at</w:t>
      </w:r>
      <w:r w:rsidRPr="00DC2C93">
        <w:rPr>
          <w:lang w:val="en-GB"/>
        </w:rPr>
        <w:noBreakHyphen/>
        <w:t xml:space="preserve">home models is consistently high, with some studies reporting satisfaction ratings above 90 </w:t>
      </w:r>
      <w:r w:rsidR="006C7AB6">
        <w:rPr>
          <w:lang w:val="en-GB"/>
        </w:rPr>
        <w:t>per cent</w:t>
      </w:r>
      <w:r w:rsidRPr="00DC2C93">
        <w:rPr>
          <w:lang w:val="en-GB"/>
        </w:rPr>
        <w:t xml:space="preserve">. </w:t>
      </w:r>
    </w:p>
    <w:p w14:paraId="42F51C61" w14:textId="77777777" w:rsidR="00DC2C93" w:rsidRPr="00DC2C93" w:rsidRDefault="00DC2C93" w:rsidP="00DC2C93">
      <w:pPr>
        <w:rPr>
          <w:lang w:val="en-GB"/>
        </w:rPr>
      </w:pPr>
      <w:r w:rsidRPr="00DC2C93">
        <w:rPr>
          <w:lang w:val="en-GB"/>
        </w:rPr>
        <w:t>Additional evidence highlights how virtual wards have expanded to support diverse patient groups, including older adults living with frailty. Reviews show shorter lengths of stay compared with inpatient care and strong patient preference for home</w:t>
      </w:r>
      <w:r w:rsidRPr="00DC2C93">
        <w:rPr>
          <w:lang w:val="en-GB"/>
        </w:rPr>
        <w:noBreakHyphen/>
        <w:t xml:space="preserve">based treatment, although outcomes vary and emphasise the need for careful patient selection and consistent workforce training. </w:t>
      </w:r>
    </w:p>
    <w:p w14:paraId="504E814A" w14:textId="562EE455" w:rsidR="00DC2C93" w:rsidRPr="00DC2C93" w:rsidRDefault="00DC2C93" w:rsidP="00DC2C93">
      <w:pPr>
        <w:rPr>
          <w:lang w:val="en-GB"/>
        </w:rPr>
      </w:pPr>
      <w:r w:rsidRPr="00DC2C93">
        <w:rPr>
          <w:lang w:val="en-GB"/>
        </w:rPr>
        <w:t>The value created for patients and service users is significant. Virtual wards allow people to recover in familiar surroundings, reduce exposure to hospital</w:t>
      </w:r>
      <w:r w:rsidRPr="00DC2C93">
        <w:rPr>
          <w:lang w:val="en-GB"/>
        </w:rPr>
        <w:noBreakHyphen/>
        <w:t>acquired infections, and improve autonomy. Remote monitoring also enables earlier detection of deterioration, reducing emergency admissions and improving outcomes. For the NHS, the model helps relieve pressure on acute beds, supports more sustainable system flow, and</w:t>
      </w:r>
      <w:r w:rsidRPr="00DC2C93">
        <w:t xml:space="preserve"> </w:t>
      </w:r>
      <w:r w:rsidRPr="00DC2C93">
        <w:rPr>
          <w:lang w:val="en-GB"/>
        </w:rPr>
        <w:t>importantly</w:t>
      </w:r>
      <w:r w:rsidRPr="00DC2C93">
        <w:t xml:space="preserve"> </w:t>
      </w:r>
      <w:r w:rsidRPr="00DC2C93">
        <w:rPr>
          <w:lang w:val="en-GB"/>
        </w:rPr>
        <w:t xml:space="preserve">can prevent some patients from ever requiring an acute admission. </w:t>
      </w:r>
    </w:p>
    <w:p w14:paraId="6EC2DBBB" w14:textId="77777777" w:rsidR="00DC2C93" w:rsidRPr="00DC2C93" w:rsidRDefault="00DC2C93" w:rsidP="00DC2C93">
      <w:pPr>
        <w:rPr>
          <w:lang w:val="en-GB"/>
        </w:rPr>
      </w:pPr>
      <w:r w:rsidRPr="00DC2C93">
        <w:rPr>
          <w:lang w:val="en-GB"/>
        </w:rPr>
        <w:t xml:space="preserve">Overall, the Virtual Wards initiative demonstrates how creativity can drive meaningful change in UK health and social care. By challenging assumptions about where care must </w:t>
      </w:r>
      <w:r w:rsidRPr="00DC2C93">
        <w:rPr>
          <w:lang w:val="en-GB"/>
        </w:rPr>
        <w:lastRenderedPageBreak/>
        <w:t>take place, the NHS developed a flexible, person</w:t>
      </w:r>
      <w:r w:rsidRPr="00DC2C93">
        <w:rPr>
          <w:lang w:val="en-GB"/>
        </w:rPr>
        <w:noBreakHyphen/>
        <w:t>centred model that improves patient experience while strengthening system resilience.</w:t>
      </w:r>
    </w:p>
    <w:p w14:paraId="2CDF689B" w14:textId="30728786" w:rsidR="021F216E" w:rsidRDefault="021F216E"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4A7146EA" w14:textId="77777777" w:rsidR="006133C2" w:rsidRDefault="006133C2" w:rsidP="47853A3C">
      <w:pPr>
        <w:rPr>
          <w:rFonts w:ascii="Arial Nova" w:eastAsia="Arial Nova" w:hAnsi="Arial Nova" w:cs="Arial Nova"/>
          <w:color w:val="000000" w:themeColor="text1"/>
          <w:sz w:val="44"/>
          <w:szCs w:val="44"/>
        </w:rPr>
      </w:pPr>
    </w:p>
    <w:p w14:paraId="663FCAE1" w14:textId="77777777" w:rsidR="006133C2" w:rsidRDefault="006133C2" w:rsidP="47853A3C">
      <w:pPr>
        <w:rPr>
          <w:rFonts w:ascii="Arial Nova" w:eastAsia="Arial Nova" w:hAnsi="Arial Nova" w:cs="Arial Nova"/>
          <w:color w:val="000000" w:themeColor="text1"/>
          <w:sz w:val="44"/>
          <w:szCs w:val="44"/>
        </w:rPr>
      </w:pPr>
    </w:p>
    <w:p w14:paraId="7E7EEBF1" w14:textId="38571958"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85334CE" w14:textId="77777777" w:rsidR="006133C2" w:rsidRDefault="006133C2" w:rsidP="006133C2">
      <w:pPr>
        <w:rPr>
          <w:rFonts w:ascii="Arial Nova" w:eastAsia="Arial Nova" w:hAnsi="Arial Nova" w:cs="Arial Nova"/>
          <w:color w:val="000000" w:themeColor="text1"/>
          <w:lang w:val="en-GB"/>
        </w:rPr>
      </w:pPr>
      <w:r w:rsidRPr="006133C2">
        <w:rPr>
          <w:rFonts w:ascii="Arial Nova" w:eastAsia="Arial Nova" w:hAnsi="Arial Nova" w:cs="Arial Nova"/>
          <w:color w:val="000000" w:themeColor="text1"/>
          <w:lang w:val="en-GB"/>
        </w:rPr>
        <w:t xml:space="preserve">GP waiting times in the UK have become a persistent structural problem, and two major pieces of academic research help explain why these delays occur and why they matter. The first is Jerjes &amp; Majeed’s 2026 study on the Active Waiting Standard, which argues that the period between a GP referral and specialist treatment is wrongly treated as “inactive time.” Their research shows that patients frequently deteriorate while waiting, and this deterioration feeds directly back into general practice. </w:t>
      </w:r>
    </w:p>
    <w:p w14:paraId="11D3B2E2" w14:textId="5B1DB0CB" w:rsidR="006133C2" w:rsidRPr="006133C2" w:rsidRDefault="006133C2" w:rsidP="006133C2">
      <w:pPr>
        <w:rPr>
          <w:rFonts w:ascii="Arial Nova" w:eastAsia="Arial Nova" w:hAnsi="Arial Nova" w:cs="Arial Nova"/>
          <w:color w:val="000000" w:themeColor="text1"/>
          <w:lang w:val="en-GB"/>
        </w:rPr>
      </w:pPr>
      <w:r w:rsidRPr="006133C2">
        <w:rPr>
          <w:rFonts w:ascii="Arial Nova" w:eastAsia="Arial Nova" w:hAnsi="Arial Nova" w:cs="Arial Nova"/>
          <w:color w:val="000000" w:themeColor="text1"/>
          <w:lang w:val="en-GB"/>
        </w:rPr>
        <w:t>England recorded millions of referral</w:t>
      </w:r>
      <w:r w:rsidRPr="006133C2">
        <w:rPr>
          <w:rFonts w:ascii="Arial Nova" w:eastAsia="Arial Nova" w:hAnsi="Arial Nova" w:cs="Arial Nova"/>
          <w:color w:val="000000" w:themeColor="text1"/>
          <w:lang w:val="en-GB"/>
        </w:rPr>
        <w:noBreakHyphen/>
        <w:t>to</w:t>
      </w:r>
      <w:r w:rsidRPr="006133C2">
        <w:rPr>
          <w:rFonts w:ascii="Arial Nova" w:eastAsia="Arial Nova" w:hAnsi="Arial Nova" w:cs="Arial Nova"/>
          <w:color w:val="000000" w:themeColor="text1"/>
          <w:lang w:val="en-GB"/>
        </w:rPr>
        <w:noBreakHyphen/>
        <w:t>treatment pathways in 2025, with only around sixty percent seen within the 18</w:t>
      </w:r>
      <w:r w:rsidRPr="006133C2">
        <w:rPr>
          <w:rFonts w:ascii="Arial Nova" w:eastAsia="Arial Nova" w:hAnsi="Arial Nova" w:cs="Arial Nova"/>
          <w:color w:val="000000" w:themeColor="text1"/>
          <w:lang w:val="en-GB"/>
        </w:rPr>
        <w:noBreakHyphen/>
        <w:t>week target. During these waits, symptoms worsen, anxiety increases, and patients often return to their GP seeking reassurance or interim management. Jerjes &amp; Majeed highlight a core flaw: no one “owns” the waiting period. There are no scheduled check</w:t>
      </w:r>
      <w:r w:rsidRPr="006133C2">
        <w:rPr>
          <w:rFonts w:ascii="Arial Nova" w:eastAsia="Arial Nova" w:hAnsi="Arial Nova" w:cs="Arial Nova"/>
          <w:color w:val="000000" w:themeColor="text1"/>
          <w:lang w:val="en-GB"/>
        </w:rPr>
        <w:noBreakHyphen/>
        <w:t>ins, structured monitoring, or escalation triggers. As a result, GPs carry the burden of managing risk created elsewhere in the system, increasing pressure on appointment availability and lengthening waits for others.</w:t>
      </w:r>
    </w:p>
    <w:p w14:paraId="01825535" w14:textId="77777777" w:rsidR="006133C2" w:rsidRPr="006133C2" w:rsidRDefault="006133C2" w:rsidP="006133C2">
      <w:pPr>
        <w:rPr>
          <w:rFonts w:ascii="Arial Nova" w:eastAsia="Arial Nova" w:hAnsi="Arial Nova" w:cs="Arial Nova"/>
          <w:color w:val="000000" w:themeColor="text1"/>
          <w:lang w:val="en-GB"/>
        </w:rPr>
      </w:pPr>
      <w:r w:rsidRPr="006133C2">
        <w:rPr>
          <w:rFonts w:ascii="Arial Nova" w:eastAsia="Arial Nova" w:hAnsi="Arial Nova" w:cs="Arial Nova"/>
          <w:color w:val="000000" w:themeColor="text1"/>
          <w:lang w:val="en-GB"/>
        </w:rPr>
        <w:t>The second source, Scuffell &amp; Durbaba’s 2025 analysis of GP appointment systems, examines millions of appointments across thousands of practices and shows that waiting times are shaped not only by demand but by organisational design. Practices relying heavily on routine, pre</w:t>
      </w:r>
      <w:r w:rsidRPr="006133C2">
        <w:rPr>
          <w:rFonts w:ascii="Arial Nova" w:eastAsia="Arial Nova" w:hAnsi="Arial Nova" w:cs="Arial Nova"/>
          <w:color w:val="000000" w:themeColor="text1"/>
          <w:lang w:val="en-GB"/>
        </w:rPr>
        <w:noBreakHyphen/>
        <w:t>booked face</w:t>
      </w:r>
      <w:r w:rsidRPr="006133C2">
        <w:rPr>
          <w:rFonts w:ascii="Arial Nova" w:eastAsia="Arial Nova" w:hAnsi="Arial Nova" w:cs="Arial Nova"/>
          <w:color w:val="000000" w:themeColor="text1"/>
          <w:lang w:val="en-GB"/>
        </w:rPr>
        <w:noBreakHyphen/>
        <w:t>to</w:t>
      </w:r>
      <w:r w:rsidRPr="006133C2">
        <w:rPr>
          <w:rFonts w:ascii="Arial Nova" w:eastAsia="Arial Nova" w:hAnsi="Arial Nova" w:cs="Arial Nova"/>
          <w:color w:val="000000" w:themeColor="text1"/>
          <w:lang w:val="en-GB"/>
        </w:rPr>
        <w:noBreakHyphen/>
        <w:t>face appointments tend to have longer waits, especially when much of the care is delivered by non</w:t>
      </w:r>
      <w:r w:rsidRPr="006133C2">
        <w:rPr>
          <w:rFonts w:ascii="Arial Nova" w:eastAsia="Arial Nova" w:hAnsi="Arial Nova" w:cs="Arial Nova"/>
          <w:color w:val="000000" w:themeColor="text1"/>
          <w:lang w:val="en-GB"/>
        </w:rPr>
        <w:noBreakHyphen/>
        <w:t>GP clinicians. In contrast, practices using GP</w:t>
      </w:r>
      <w:r w:rsidRPr="006133C2">
        <w:rPr>
          <w:rFonts w:ascii="Arial Nova" w:eastAsia="Arial Nova" w:hAnsi="Arial Nova" w:cs="Arial Nova"/>
          <w:color w:val="000000" w:themeColor="text1"/>
          <w:lang w:val="en-GB"/>
        </w:rPr>
        <w:noBreakHyphen/>
        <w:t>led triage and same</w:t>
      </w:r>
      <w:r w:rsidRPr="006133C2">
        <w:rPr>
          <w:rFonts w:ascii="Arial Nova" w:eastAsia="Arial Nova" w:hAnsi="Arial Nova" w:cs="Arial Nova"/>
          <w:color w:val="000000" w:themeColor="text1"/>
          <w:lang w:val="en-GB"/>
        </w:rPr>
        <w:noBreakHyphen/>
        <w:t>day access models achieve significantly shorter waits. This variation creates inequity: two patients with identical needs may experience very different access depending on where they live and how their practice organises care.</w:t>
      </w:r>
    </w:p>
    <w:p w14:paraId="000B8236" w14:textId="7D265C79" w:rsidR="006133C2" w:rsidRPr="006133C2" w:rsidRDefault="006133C2" w:rsidP="006133C2">
      <w:pPr>
        <w:rPr>
          <w:rFonts w:ascii="Arial Nova" w:eastAsia="Arial Nova" w:hAnsi="Arial Nova" w:cs="Arial Nova"/>
          <w:b/>
          <w:bCs/>
          <w:color w:val="000000" w:themeColor="text1"/>
          <w:lang w:val="en-GB"/>
        </w:rPr>
      </w:pPr>
      <w:r w:rsidRPr="006133C2">
        <w:rPr>
          <w:rFonts w:ascii="Arial Nova" w:eastAsia="Arial Nova" w:hAnsi="Arial Nova" w:cs="Arial Nova"/>
          <w:color w:val="000000" w:themeColor="text1"/>
          <w:lang w:val="en-GB"/>
        </w:rPr>
        <w:t xml:space="preserve">Together, these studies show that GP waiting times are not simply a matter of high demand. They are the </w:t>
      </w:r>
      <w:r>
        <w:rPr>
          <w:rFonts w:ascii="Arial Nova" w:eastAsia="Arial Nova" w:hAnsi="Arial Nova" w:cs="Arial Nova"/>
          <w:color w:val="000000" w:themeColor="text1"/>
          <w:lang w:val="en-GB"/>
        </w:rPr>
        <w:t>result of unmanaged referral delays, workforce shortages, and inconsistent appointment models, which</w:t>
      </w:r>
      <w:r w:rsidRPr="006133C2">
        <w:rPr>
          <w:rFonts w:ascii="Arial Nova" w:eastAsia="Arial Nova" w:hAnsi="Arial Nova" w:cs="Arial Nova"/>
          <w:color w:val="000000" w:themeColor="text1"/>
          <w:lang w:val="en-GB"/>
        </w:rPr>
        <w:t xml:space="preserve"> create uneven access and rising clinical risk</w:t>
      </w:r>
      <w:r w:rsidRPr="006133C2">
        <w:rPr>
          <w:rFonts w:ascii="Arial Nova" w:eastAsia="Arial Nova" w:hAnsi="Arial Nova" w:cs="Arial Nova"/>
          <w:b/>
          <w:bCs/>
          <w:color w:val="000000" w:themeColor="text1"/>
          <w:lang w:val="en-GB"/>
        </w:rPr>
        <w:t>.</w:t>
      </w:r>
    </w:p>
    <w:p w14:paraId="0A496E4E" w14:textId="48E76F8E" w:rsidR="021F216E" w:rsidRPr="006133C2" w:rsidRDefault="021F216E" w:rsidP="021F216E">
      <w:pPr>
        <w:rPr>
          <w:rFonts w:ascii="Arial Nova" w:eastAsia="Arial Nova" w:hAnsi="Arial Nova" w:cs="Arial Nova"/>
          <w:b/>
          <w:bCs/>
          <w:color w:val="000000" w:themeColor="text1"/>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4D5BCDEF" w14:textId="77777777" w:rsidR="006133C2" w:rsidRDefault="006133C2" w:rsidP="47853A3C">
      <w:pPr>
        <w:rPr>
          <w:rFonts w:ascii="Arial Nova" w:eastAsia="Arial Nova" w:hAnsi="Arial Nova" w:cs="Arial Nova"/>
          <w:i/>
          <w:iCs/>
          <w:color w:val="000000" w:themeColor="text1"/>
        </w:rPr>
      </w:pPr>
    </w:p>
    <w:p w14:paraId="2CE45244" w14:textId="77777777" w:rsidR="006133C2" w:rsidRDefault="006133C2" w:rsidP="47853A3C">
      <w:pPr>
        <w:rPr>
          <w:rFonts w:ascii="Arial Nova" w:eastAsia="Arial Nova" w:hAnsi="Arial Nova" w:cs="Arial Nova"/>
          <w:i/>
          <w:iCs/>
          <w:color w:val="000000" w:themeColor="text1"/>
        </w:rPr>
      </w:pPr>
    </w:p>
    <w:p w14:paraId="443966C0" w14:textId="55F82D07"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9">
        <w:r w:rsidRPr="47853A3C">
          <w:rPr>
            <w:rStyle w:val="Hyperlink"/>
            <w:rFonts w:ascii="Arial Nova" w:eastAsia="Arial Nova" w:hAnsi="Arial Nova" w:cs="Arial Nova"/>
            <w:i/>
            <w:iCs/>
          </w:rPr>
          <w:t>https://www.rev.com/onlinevoic</w:t>
        </w:r>
        <w:r w:rsidRPr="47853A3C">
          <w:rPr>
            <w:rStyle w:val="Hyperlink"/>
            <w:rFonts w:ascii="Arial Nova" w:eastAsia="Arial Nova" w:hAnsi="Arial Nova" w:cs="Arial Nova"/>
            <w:i/>
            <w:iCs/>
          </w:rPr>
          <w:t>e</w:t>
        </w:r>
        <w:r w:rsidRPr="47853A3C">
          <w:rPr>
            <w:rStyle w:val="Hyperlink"/>
            <w:rFonts w:ascii="Arial Nova" w:eastAsia="Arial Nova" w:hAnsi="Arial Nova" w:cs="Arial Nova"/>
            <w:i/>
            <w:iCs/>
          </w:rPr>
          <w:t>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chromebook</w:t>
      </w:r>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2056293E" w14:textId="0FEF4183" w:rsidR="021F216E" w:rsidRDefault="00523701" w:rsidP="021F216E">
      <w:pPr>
        <w:rPr>
          <w:rFonts w:ascii="Arial Nova" w:eastAsia="Arial Nova" w:hAnsi="Arial Nova" w:cs="Arial Nova"/>
          <w:i/>
          <w:iCs/>
        </w:rPr>
      </w:pPr>
      <w:r>
        <w:rPr>
          <w:rFonts w:ascii="Arial Nova" w:eastAsia="Arial Nova" w:hAnsi="Arial Nova" w:cs="Arial Nova"/>
          <w:i/>
          <w:iCs/>
        </w:rPr>
        <w:object w:dxaOrig="2080" w:dyaOrig="830" w14:anchorId="7ABCA7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4pt;height:41.5pt" o:ole="">
            <v:imagedata r:id="rId10" o:title=""/>
          </v:shape>
          <o:OLEObject Type="Embed" ProgID="Package" ShapeID="_x0000_i1029" DrawAspect="Content" ObjectID="_1844774942" r:id="rId11"/>
        </w:object>
      </w: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6609F5F1" w14:textId="77777777" w:rsidR="00523701" w:rsidRDefault="00523701" w:rsidP="47853A3C">
      <w:pPr>
        <w:rPr>
          <w:rFonts w:ascii="Arial Nova" w:eastAsia="Arial Nova" w:hAnsi="Arial Nova" w:cs="Arial Nova"/>
          <w:color w:val="000000" w:themeColor="text1"/>
          <w:sz w:val="44"/>
          <w:szCs w:val="44"/>
        </w:rPr>
      </w:pPr>
    </w:p>
    <w:p w14:paraId="58A63EFA" w14:textId="68B0E9E5"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2226E00A" w14:textId="370A5CDC" w:rsidR="00CF7C18" w:rsidRPr="00CF7C18" w:rsidRDefault="00CF7C18" w:rsidP="00CF7C18">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t>T</w:t>
      </w:r>
      <w:r w:rsidRPr="00CF7C18">
        <w:rPr>
          <w:rFonts w:ascii="Arial Nova" w:eastAsia="Arial Nova" w:hAnsi="Arial Nova" w:cs="Arial Nova"/>
          <w:color w:val="000000" w:themeColor="text1"/>
          <w:lang w:val="en-GB"/>
        </w:rPr>
        <w:t>he NHS Leadership Framework sets out the behaviours, values and skills expected of leaders across the health service, ensuring leadership is consistent, compassionate and focused on improving patient care. Its key components include Personal Qualities, which emphasise self</w:t>
      </w:r>
      <w:r w:rsidRPr="00CF7C18">
        <w:rPr>
          <w:rFonts w:ascii="Arial Nova" w:eastAsia="Arial Nova" w:hAnsi="Arial Nova" w:cs="Arial Nova"/>
          <w:color w:val="000000" w:themeColor="text1"/>
          <w:lang w:val="en-GB"/>
        </w:rPr>
        <w:noBreakHyphen/>
        <w:t>awareness, emotional intelligence and resilience; Working with Others, which focuses on collaboration, communication and building positive relationships; Managing Services, which involves planning, resource allocation and monitoring performance; Improving Services, which encourages innovation, evaluation and continuous improvement; Setting Direction, which requires strategic thinking, evidence</w:t>
      </w:r>
      <w:r w:rsidRPr="00CF7C18">
        <w:rPr>
          <w:rFonts w:ascii="Arial Nova" w:eastAsia="Arial Nova" w:hAnsi="Arial Nova" w:cs="Arial Nova"/>
          <w:color w:val="000000" w:themeColor="text1"/>
          <w:lang w:val="en-GB"/>
        </w:rPr>
        <w:noBreakHyphen/>
        <w:t>based decision</w:t>
      </w:r>
      <w:r w:rsidRPr="00CF7C18">
        <w:rPr>
          <w:rFonts w:ascii="Arial Nova" w:eastAsia="Arial Nova" w:hAnsi="Arial Nova" w:cs="Arial Nova"/>
          <w:color w:val="000000" w:themeColor="text1"/>
          <w:lang w:val="en-GB"/>
        </w:rPr>
        <w:noBreakHyphen/>
        <w:t>making and clarity of purpose; and Creating the Vision, which centres on inspiring others, articulating shared goals and shaping a positive organisational culture. Research by West et al. (2015) shows that leadership behaviours such as compassion, collaboration and strategic clarity are strongly associated with better patient outcomes, improved staff wellbeing and more innovative practice. Storey and Holti (2013) similarly argue that effective NHS leadership depends on shared purpose, supportive relationships and the ability to mobilise staff around improvement. Together, these components provide a framework that helps leaders navigate complex systems, support teams and maintain safe, effective and patient</w:t>
      </w:r>
      <w:r w:rsidRPr="00CF7C18">
        <w:rPr>
          <w:rFonts w:ascii="Arial Nova" w:eastAsia="Arial Nova" w:hAnsi="Arial Nova" w:cs="Arial Nova"/>
          <w:color w:val="000000" w:themeColor="text1"/>
          <w:lang w:val="en-GB"/>
        </w:rPr>
        <w:noBreakHyphen/>
        <w:t>centred care.</w:t>
      </w:r>
    </w:p>
    <w:p w14:paraId="486D9F8C" w14:textId="12B8BFD2" w:rsidR="00CF7C18" w:rsidRPr="00CF7C18" w:rsidRDefault="00CF7C18" w:rsidP="00CF7C18">
      <w:pPr>
        <w:rPr>
          <w:rFonts w:ascii="Arial Nova" w:eastAsia="Arial Nova" w:hAnsi="Arial Nova" w:cs="Arial Nova"/>
          <w:color w:val="000000" w:themeColor="text1"/>
          <w:lang w:val="en-GB"/>
        </w:rPr>
      </w:pPr>
      <w:r w:rsidRPr="00CF7C18">
        <w:rPr>
          <w:rFonts w:ascii="Arial Nova" w:eastAsia="Arial Nova" w:hAnsi="Arial Nova" w:cs="Arial Nova"/>
          <w:color w:val="000000" w:themeColor="text1"/>
          <w:lang w:val="en-GB"/>
        </w:rPr>
        <w:t>One component</w:t>
      </w:r>
      <w:r w:rsidR="000514D5">
        <w:rPr>
          <w:rFonts w:ascii="Arial Nova" w:eastAsia="Arial Nova" w:hAnsi="Arial Nova" w:cs="Arial Nova"/>
          <w:color w:val="000000" w:themeColor="text1"/>
          <w:lang w:val="en-GB"/>
        </w:rPr>
        <w:t xml:space="preserve">, </w:t>
      </w:r>
      <w:r w:rsidRPr="00CF7C18">
        <w:rPr>
          <w:rFonts w:ascii="Arial Nova" w:eastAsia="Arial Nova" w:hAnsi="Arial Nova" w:cs="Arial Nova"/>
          <w:color w:val="000000" w:themeColor="text1"/>
          <w:lang w:val="en-GB"/>
        </w:rPr>
        <w:t>Improving Services</w:t>
      </w:r>
      <w:r w:rsidR="000514D5">
        <w:rPr>
          <w:rFonts w:ascii="Arial Nova" w:eastAsia="Arial Nova" w:hAnsi="Arial Nova" w:cs="Arial Nova"/>
          <w:color w:val="000000" w:themeColor="text1"/>
          <w:lang w:val="en-GB"/>
        </w:rPr>
        <w:t xml:space="preserve">, </w:t>
      </w:r>
      <w:r w:rsidRPr="00CF7C18">
        <w:rPr>
          <w:rFonts w:ascii="Arial Nova" w:eastAsia="Arial Nova" w:hAnsi="Arial Nova" w:cs="Arial Nova"/>
          <w:color w:val="000000" w:themeColor="text1"/>
          <w:lang w:val="en-GB"/>
        </w:rPr>
        <w:t>is particularly powerful for encouraging creativity and enhancing care quality. A leader using this element would begin by creating psychological safety, ensuring staff feel able to share ideas without fear of criticism. West et al. (2015) highlight that compassionate, inclusive leadership increases staff willingness to experiment and propose new solutions. A leader might run short idea</w:t>
      </w:r>
      <w:r w:rsidRPr="00CF7C18">
        <w:rPr>
          <w:rFonts w:ascii="Arial Nova" w:eastAsia="Arial Nova" w:hAnsi="Arial Nova" w:cs="Arial Nova"/>
          <w:color w:val="000000" w:themeColor="text1"/>
          <w:lang w:val="en-GB"/>
        </w:rPr>
        <w:noBreakHyphen/>
        <w:t>generation sessions, invite staff to identify small problems in daily practice, and support rapid</w:t>
      </w:r>
      <w:r w:rsidRPr="00CF7C18">
        <w:rPr>
          <w:rFonts w:ascii="Arial Nova" w:eastAsia="Arial Nova" w:hAnsi="Arial Nova" w:cs="Arial Nova"/>
          <w:color w:val="000000" w:themeColor="text1"/>
          <w:lang w:val="en-GB"/>
        </w:rPr>
        <w:noBreakHyphen/>
        <w:t>cycle testing such as Plan</w:t>
      </w:r>
      <w:r w:rsidRPr="00CF7C18">
        <w:rPr>
          <w:rFonts w:ascii="Arial Nova" w:eastAsia="Arial Nova" w:hAnsi="Arial Nova" w:cs="Arial Nova"/>
          <w:color w:val="000000" w:themeColor="text1"/>
          <w:lang w:val="en-GB"/>
        </w:rPr>
        <w:noBreakHyphen/>
        <w:t>Do</w:t>
      </w:r>
      <w:r w:rsidRPr="00CF7C18">
        <w:rPr>
          <w:rFonts w:ascii="Arial Nova" w:eastAsia="Arial Nova" w:hAnsi="Arial Nova" w:cs="Arial Nova"/>
          <w:color w:val="000000" w:themeColor="text1"/>
          <w:lang w:val="en-GB"/>
        </w:rPr>
        <w:noBreakHyphen/>
        <w:t>Study</w:t>
      </w:r>
      <w:r w:rsidRPr="00CF7C18">
        <w:rPr>
          <w:rFonts w:ascii="Arial Nova" w:eastAsia="Arial Nova" w:hAnsi="Arial Nova" w:cs="Arial Nova"/>
          <w:color w:val="000000" w:themeColor="text1"/>
          <w:lang w:val="en-GB"/>
        </w:rPr>
        <w:noBreakHyphen/>
        <w:t>Act cycles. Storey and Holti (2013) emphasise that leaders should remove barriers, such as rigid processes or unclear authority, that prevent staff from trying new approaches. By celebrating small successes, sharing learning openly and modelling curiosity, the leader signals that creativity is valued. Over time, this builds a culture where staff continuously refine care processes, leading to safer, more responsive and more patient</w:t>
      </w:r>
      <w:r w:rsidRPr="00CF7C18">
        <w:rPr>
          <w:rFonts w:ascii="Arial Nova" w:eastAsia="Arial Nova" w:hAnsi="Arial Nova" w:cs="Arial Nova"/>
          <w:color w:val="000000" w:themeColor="text1"/>
          <w:lang w:val="en-GB"/>
        </w:rPr>
        <w:noBreakHyphen/>
        <w:t>centred services.</w:t>
      </w:r>
    </w:p>
    <w:p w14:paraId="308E9560" w14:textId="51CD2BD7" w:rsidR="00CF7C18" w:rsidRDefault="00CF7C18" w:rsidP="00CF7C18">
      <w:pPr>
        <w:rPr>
          <w:rFonts w:ascii="Arial Nova" w:eastAsia="Arial Nova" w:hAnsi="Arial Nova" w:cs="Arial Nova"/>
          <w:color w:val="000000" w:themeColor="text1"/>
          <w:lang w:val="en-GB"/>
        </w:rPr>
      </w:pPr>
    </w:p>
    <w:p w14:paraId="74957271" w14:textId="77777777" w:rsidR="00CF7C18" w:rsidRDefault="00CF7C18" w:rsidP="00CF7C18">
      <w:pPr>
        <w:rPr>
          <w:rFonts w:ascii="Arial Nova" w:eastAsia="Arial Nova" w:hAnsi="Arial Nova" w:cs="Arial Nova"/>
          <w:color w:val="000000" w:themeColor="text1"/>
          <w:lang w:val="en-GB"/>
        </w:rPr>
      </w:pPr>
    </w:p>
    <w:p w14:paraId="53751E69" w14:textId="77777777" w:rsidR="00CF7C18" w:rsidRPr="00CF7C18" w:rsidRDefault="00CF7C18" w:rsidP="00CF7C18">
      <w:pPr>
        <w:rPr>
          <w:rFonts w:ascii="Arial Nova" w:eastAsia="Arial Nova" w:hAnsi="Arial Nova" w:cs="Arial Nova"/>
          <w:color w:val="000000" w:themeColor="text1"/>
          <w:lang w:val="en-GB"/>
        </w:rPr>
      </w:pPr>
    </w:p>
    <w:p w14:paraId="156F27C2" w14:textId="301D9C6F" w:rsidR="021F216E" w:rsidRPr="00CF7C18" w:rsidRDefault="021F216E" w:rsidP="021F216E">
      <w:pPr>
        <w:rPr>
          <w:rFonts w:ascii="Arial Nova" w:eastAsia="Arial Nova" w:hAnsi="Arial Nova" w:cs="Arial Nova"/>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0585E2FA" w14:textId="2A3B4F71" w:rsidR="00523701" w:rsidRPr="00523701" w:rsidRDefault="00523701" w:rsidP="00523701">
      <w:pPr>
        <w:rPr>
          <w:rFonts w:ascii="Arial Nova" w:eastAsia="Arial Nova" w:hAnsi="Arial Nova" w:cs="Arial Nova"/>
          <w:color w:val="000000" w:themeColor="text1"/>
          <w:lang w:val="en-GB"/>
        </w:rPr>
      </w:pPr>
      <w:r w:rsidRPr="00523701">
        <w:rPr>
          <w:rFonts w:ascii="Arial Nova" w:eastAsia="Arial Nova" w:hAnsi="Arial Nova" w:cs="Arial Nova"/>
          <w:color w:val="000000" w:themeColor="text1"/>
          <w:lang w:val="en-GB"/>
        </w:rPr>
        <w:t xml:space="preserve">Throughout this module, my understanding of creativity and value creation within Health and Social Care has developed significantly. I have learned that creativity is not simply about being artistic; it is both a cognitive and emotional process that involves connecting unrelated ideas to solve problems in original and effective ways. </w:t>
      </w:r>
      <w:r>
        <w:rPr>
          <w:rFonts w:ascii="Arial Nova" w:eastAsia="Arial Nova" w:hAnsi="Arial Nova" w:cs="Arial Nova"/>
          <w:color w:val="000000" w:themeColor="text1"/>
          <w:lang w:val="en-GB"/>
        </w:rPr>
        <w:t>I now</w:t>
      </w:r>
      <w:r w:rsidRPr="00523701">
        <w:rPr>
          <w:rFonts w:ascii="Arial Nova" w:eastAsia="Arial Nova" w:hAnsi="Arial Nova" w:cs="Arial Nova"/>
          <w:color w:val="000000" w:themeColor="text1"/>
          <w:lang w:val="en-GB"/>
        </w:rPr>
        <w:t xml:space="preserve"> understand that value creation bridges the gap between organisational goals and the needs of service users, creating benefits that extend beyond financial outcomes to include improved wellbeing, innovation, and better quality of care.</w:t>
      </w:r>
    </w:p>
    <w:p w14:paraId="7C61384E" w14:textId="49C7B305" w:rsidR="00523701" w:rsidRPr="00523701" w:rsidRDefault="00523701" w:rsidP="00523701">
      <w:pPr>
        <w:rPr>
          <w:rFonts w:ascii="Arial Nova" w:eastAsia="Arial Nova" w:hAnsi="Arial Nova" w:cs="Arial Nova"/>
          <w:color w:val="000000" w:themeColor="text1"/>
          <w:lang w:val="en-GB"/>
        </w:rPr>
      </w:pPr>
      <w:r w:rsidRPr="00523701">
        <w:rPr>
          <w:rFonts w:ascii="Arial Nova" w:eastAsia="Arial Nova" w:hAnsi="Arial Nova" w:cs="Arial Nova"/>
          <w:color w:val="000000" w:themeColor="text1"/>
          <w:lang w:val="en-GB"/>
        </w:rPr>
        <w:t xml:space="preserve">One of the most valuable lessons I have gained is that creativity promotes personal growth and </w:t>
      </w:r>
      <w:r>
        <w:rPr>
          <w:rFonts w:ascii="Arial Nova" w:eastAsia="Arial Nova" w:hAnsi="Arial Nova" w:cs="Arial Nova"/>
          <w:color w:val="000000" w:themeColor="text1"/>
          <w:lang w:val="en-GB"/>
        </w:rPr>
        <w:t>well-being</w:t>
      </w:r>
      <w:r w:rsidRPr="00523701">
        <w:rPr>
          <w:rFonts w:ascii="Arial Nova" w:eastAsia="Arial Nova" w:hAnsi="Arial Nova" w:cs="Arial Nova"/>
          <w:color w:val="000000" w:themeColor="text1"/>
          <w:lang w:val="en-GB"/>
        </w:rPr>
        <w:t>. It allows people to express emotions, discover hidden talents, reduce stress, and build confidenc</w:t>
      </w:r>
      <w:r>
        <w:rPr>
          <w:rFonts w:ascii="Arial Nova" w:eastAsia="Arial Nova" w:hAnsi="Arial Nova" w:cs="Arial Nova"/>
          <w:color w:val="000000" w:themeColor="text1"/>
          <w:lang w:val="en-GB"/>
        </w:rPr>
        <w:t>e</w:t>
      </w:r>
      <w:r w:rsidRPr="00523701">
        <w:rPr>
          <w:rFonts w:ascii="Arial Nova" w:eastAsia="Arial Nova" w:hAnsi="Arial Nova" w:cs="Arial Nova"/>
          <w:color w:val="000000" w:themeColor="text1"/>
          <w:lang w:val="en-GB"/>
        </w:rPr>
        <w:t xml:space="preserve"> and curiosity. I have also learned that creative thinking encourages innovation by enabling individuals and organisations to approach challenges from different perspectives, generating practical solut</w:t>
      </w:r>
      <w:r>
        <w:rPr>
          <w:rFonts w:ascii="Arial Nova" w:eastAsia="Arial Nova" w:hAnsi="Arial Nova" w:cs="Arial Nova"/>
          <w:color w:val="000000" w:themeColor="text1"/>
          <w:lang w:val="en-GB"/>
        </w:rPr>
        <w:t>ions.</w:t>
      </w:r>
    </w:p>
    <w:p w14:paraId="57D53A03" w14:textId="77777777" w:rsidR="00523701" w:rsidRDefault="00523701" w:rsidP="00523701">
      <w:pPr>
        <w:rPr>
          <w:rFonts w:ascii="Arial Nova" w:eastAsia="Arial Nova" w:hAnsi="Arial Nova" w:cs="Arial Nova"/>
          <w:color w:val="000000" w:themeColor="text1"/>
          <w:lang w:val="en-GB"/>
        </w:rPr>
      </w:pPr>
      <w:r w:rsidRPr="00523701">
        <w:rPr>
          <w:rFonts w:ascii="Arial Nova" w:eastAsia="Arial Nova" w:hAnsi="Arial Nova" w:cs="Arial Nova"/>
          <w:color w:val="000000" w:themeColor="text1"/>
          <w:lang w:val="en-GB"/>
        </w:rPr>
        <w:t>This learning has informed my professional practice by highlighting the importance of encouraging creative participation and collaborative problem-solving. I recognise that meaningful ideas only create value when they are effectively planned, resourced, and implemented.</w:t>
      </w:r>
    </w:p>
    <w:p w14:paraId="38B9FDF9" w14:textId="0BC5D5AA" w:rsidR="00523701" w:rsidRPr="00523701" w:rsidRDefault="00523701" w:rsidP="00523701">
      <w:pPr>
        <w:rPr>
          <w:rFonts w:ascii="Arial Nova" w:eastAsia="Arial Nova" w:hAnsi="Arial Nova" w:cs="Arial Nova"/>
          <w:color w:val="000000" w:themeColor="text1"/>
          <w:lang w:val="en-GB"/>
        </w:rPr>
      </w:pPr>
      <w:r w:rsidRPr="00523701">
        <w:rPr>
          <w:rFonts w:ascii="Arial Nova" w:eastAsia="Arial Nova" w:hAnsi="Arial Nova" w:cs="Arial Nova"/>
          <w:color w:val="000000" w:themeColor="text1"/>
          <w:lang w:val="en-GB"/>
        </w:rPr>
        <w:t xml:space="preserve"> In my future practice, I will strive to foster creativity, support teamwork, and develop innovative approaches that enhance both individual </w:t>
      </w:r>
      <w:r>
        <w:rPr>
          <w:rFonts w:ascii="Arial Nova" w:eastAsia="Arial Nova" w:hAnsi="Arial Nova" w:cs="Arial Nova"/>
          <w:color w:val="000000" w:themeColor="text1"/>
          <w:lang w:val="en-GB"/>
        </w:rPr>
        <w:t>well-being</w:t>
      </w:r>
      <w:r w:rsidRPr="00523701">
        <w:rPr>
          <w:rFonts w:ascii="Arial Nova" w:eastAsia="Arial Nova" w:hAnsi="Arial Nova" w:cs="Arial Nova"/>
          <w:color w:val="000000" w:themeColor="text1"/>
          <w:lang w:val="en-GB"/>
        </w:rPr>
        <w:t xml:space="preserve"> and the quality of services provided.</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141D9517" w14:textId="77777777" w:rsidR="005B5FAC" w:rsidRDefault="005B5FAC" w:rsidP="021F216E">
      <w:pPr>
        <w:rPr>
          <w:rFonts w:ascii="Arial Nova" w:eastAsia="Arial Nova" w:hAnsi="Arial Nova" w:cs="Arial Nova"/>
          <w:i/>
          <w:iCs/>
          <w:color w:val="000000" w:themeColor="text1"/>
        </w:rPr>
      </w:pPr>
    </w:p>
    <w:p w14:paraId="5E2803DD" w14:textId="4F1C84C0"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DED56F1" w14:textId="77777777" w:rsidR="00CF7C18" w:rsidRPr="00CF7C18" w:rsidRDefault="00CF7C18" w:rsidP="005B5FAC">
      <w:pPr>
        <w:rPr>
          <w:rFonts w:ascii="Arial Nova" w:eastAsia="Arial Nova" w:hAnsi="Arial Nova" w:cs="Arial Nova"/>
          <w:color w:val="000000" w:themeColor="text1"/>
          <w:lang w:val="en-GB"/>
        </w:rPr>
      </w:pPr>
      <w:r w:rsidRPr="00CF7C18">
        <w:rPr>
          <w:rFonts w:ascii="Arial Nova" w:eastAsia="Arial Nova" w:hAnsi="Arial Nova" w:cs="Arial Nova"/>
          <w:color w:val="000000" w:themeColor="text1"/>
          <w:lang w:val="en-GB"/>
        </w:rPr>
        <w:t xml:space="preserve">West, M. et al. (2015). </w:t>
      </w:r>
      <w:r w:rsidRPr="00CF7C18">
        <w:rPr>
          <w:rFonts w:ascii="Arial Nova" w:eastAsia="Arial Nova" w:hAnsi="Arial Nova" w:cs="Arial Nova"/>
          <w:i/>
          <w:iCs/>
          <w:color w:val="000000" w:themeColor="text1"/>
          <w:lang w:val="en-GB"/>
        </w:rPr>
        <w:t>Leadership in Health Care: A Review of the Evidence.</w:t>
      </w:r>
    </w:p>
    <w:p w14:paraId="252D2F3F" w14:textId="1F8A2D93" w:rsidR="00CF7C18" w:rsidRDefault="00CF7C18" w:rsidP="005B5FAC">
      <w:pPr>
        <w:rPr>
          <w:rFonts w:ascii="Arial Nova" w:eastAsia="Arial Nova" w:hAnsi="Arial Nova" w:cs="Arial Nova"/>
          <w:i/>
          <w:iCs/>
          <w:color w:val="000000" w:themeColor="text1"/>
          <w:lang w:val="en-GB"/>
        </w:rPr>
      </w:pPr>
      <w:r w:rsidRPr="00CF7C18">
        <w:rPr>
          <w:rFonts w:ascii="Arial Nova" w:eastAsia="Arial Nova" w:hAnsi="Arial Nova" w:cs="Arial Nova"/>
          <w:color w:val="000000" w:themeColor="text1"/>
          <w:lang w:val="en-GB"/>
        </w:rPr>
        <w:t xml:space="preserve">Storey, J. &amp; Holti, R. (2013). </w:t>
      </w:r>
      <w:r w:rsidRPr="00CF7C18">
        <w:rPr>
          <w:rFonts w:ascii="Arial Nova" w:eastAsia="Arial Nova" w:hAnsi="Arial Nova" w:cs="Arial Nova"/>
          <w:i/>
          <w:iCs/>
          <w:color w:val="000000" w:themeColor="text1"/>
          <w:lang w:val="en-GB"/>
        </w:rPr>
        <w:t>Towards a New Model of Leadership for the NHS.</w:t>
      </w:r>
    </w:p>
    <w:p w14:paraId="79CC6389" w14:textId="7175839B" w:rsidR="005B5FAC" w:rsidRDefault="005B5FAC" w:rsidP="005B5FAC">
      <w:pPr>
        <w:rPr>
          <w:rFonts w:ascii="Arial Nova" w:eastAsia="Arial Nova" w:hAnsi="Arial Nova" w:cs="Arial Nova"/>
          <w:color w:val="000000" w:themeColor="text1"/>
          <w:lang w:val="en-GB"/>
        </w:rPr>
      </w:pPr>
      <w:r w:rsidRPr="005B5FAC">
        <w:rPr>
          <w:rFonts w:ascii="Arial Nova" w:eastAsia="Arial Nova" w:hAnsi="Arial Nova" w:cs="Arial Nova"/>
          <w:color w:val="000000" w:themeColor="text1"/>
          <w:lang w:val="en-GB"/>
        </w:rPr>
        <w:t xml:space="preserve">Buchan, J., Charlesworth, A., Gershlick, B. and Seccombe, I. (2017). </w:t>
      </w:r>
      <w:r w:rsidRPr="005B5FAC">
        <w:rPr>
          <w:rFonts w:ascii="Arial Nova" w:eastAsia="Arial Nova" w:hAnsi="Arial Nova" w:cs="Arial Nova"/>
          <w:i/>
          <w:iCs/>
          <w:color w:val="000000" w:themeColor="text1"/>
          <w:lang w:val="en-GB"/>
        </w:rPr>
        <w:t>Rising pressure: The NHS workforce challenge Workforce profile and trends of the NHS in England</w:t>
      </w:r>
      <w:r w:rsidRPr="005B5FAC">
        <w:rPr>
          <w:rFonts w:ascii="Arial Nova" w:eastAsia="Arial Nova" w:hAnsi="Arial Nova" w:cs="Arial Nova"/>
          <w:color w:val="000000" w:themeColor="text1"/>
          <w:lang w:val="en-GB"/>
        </w:rPr>
        <w:t xml:space="preserve">. [online] Available at: </w:t>
      </w:r>
      <w:hyperlink r:id="rId12" w:history="1">
        <w:r w:rsidRPr="005B5FAC">
          <w:rPr>
            <w:rStyle w:val="Hyperlink"/>
            <w:rFonts w:ascii="Arial Nova" w:eastAsia="Arial Nova" w:hAnsi="Arial Nova" w:cs="Arial Nova"/>
            <w:lang w:val="en-GB"/>
          </w:rPr>
          <w:t>https://swsenate.nhs.uk/wp-content/uploads/2018/04/RisingPressureNHSWorkforceChallenge.pdf</w:t>
        </w:r>
      </w:hyperlink>
      <w:r w:rsidRPr="005B5FAC">
        <w:rPr>
          <w:rFonts w:ascii="Arial Nova" w:eastAsia="Arial Nova" w:hAnsi="Arial Nova" w:cs="Arial Nova"/>
          <w:color w:val="000000" w:themeColor="text1"/>
          <w:lang w:val="en-GB"/>
        </w:rPr>
        <w:t>.</w:t>
      </w:r>
    </w:p>
    <w:p w14:paraId="4EE2D2E9" w14:textId="77777777" w:rsidR="005B5FAC" w:rsidRPr="005B5FAC" w:rsidRDefault="005B5FAC" w:rsidP="005B5FAC">
      <w:pPr>
        <w:rPr>
          <w:rFonts w:ascii="Arial Nova" w:eastAsia="Arial Nova" w:hAnsi="Arial Nova" w:cs="Arial Nova"/>
          <w:color w:val="000000" w:themeColor="text1"/>
          <w:lang w:val="en-GB"/>
        </w:rPr>
      </w:pPr>
      <w:r w:rsidRPr="005B5FAC">
        <w:rPr>
          <w:rFonts w:ascii="Arial Nova" w:eastAsia="Arial Nova" w:hAnsi="Arial Nova" w:cs="Arial Nova"/>
          <w:color w:val="000000" w:themeColor="text1"/>
          <w:lang w:val="en-GB"/>
        </w:rPr>
        <w:t xml:space="preserve">Morgan, B. (2022). </w:t>
      </w:r>
      <w:r w:rsidRPr="005B5FAC">
        <w:rPr>
          <w:rFonts w:ascii="Arial Nova" w:eastAsia="Arial Nova" w:hAnsi="Arial Nova" w:cs="Arial Nova"/>
          <w:i/>
          <w:iCs/>
          <w:color w:val="000000" w:themeColor="text1"/>
          <w:lang w:val="en-GB"/>
        </w:rPr>
        <w:t>NHS staffing shortages Why do politicians struggle to give the NHS the staff it needs?</w:t>
      </w:r>
      <w:r w:rsidRPr="005B5FAC">
        <w:rPr>
          <w:rFonts w:ascii="Arial Nova" w:eastAsia="Arial Nova" w:hAnsi="Arial Nova" w:cs="Arial Nova"/>
          <w:color w:val="000000" w:themeColor="text1"/>
          <w:lang w:val="en-GB"/>
        </w:rPr>
        <w:t xml:space="preserve"> [online] Available at: https://assets.kingsfund.org.uk/f/256914/x/151509726c/nhs_staffing_shortages_engage_britain_2022.pdf.</w:t>
      </w:r>
    </w:p>
    <w:p w14:paraId="5B868844" w14:textId="2106DE3C" w:rsidR="005B5FAC" w:rsidRPr="005B5FAC" w:rsidRDefault="005B5FAC" w:rsidP="005B5FAC">
      <w:pPr>
        <w:rPr>
          <w:rFonts w:ascii="Arial Nova" w:eastAsia="Arial Nova" w:hAnsi="Arial Nova" w:cs="Arial Nova"/>
          <w:color w:val="000000" w:themeColor="text1"/>
          <w:lang w:val="en-GB"/>
        </w:rPr>
      </w:pPr>
      <w:r w:rsidRPr="005B5FAC">
        <w:rPr>
          <w:rFonts w:ascii="Arial Nova" w:eastAsia="Arial Nova" w:hAnsi="Arial Nova" w:cs="Arial Nova"/>
          <w:color w:val="000000" w:themeColor="text1"/>
          <w:lang w:val="en-GB"/>
        </w:rPr>
        <w:t xml:space="preserve">NHS England (2022). </w:t>
      </w:r>
      <w:r w:rsidRPr="005B5FAC">
        <w:rPr>
          <w:rFonts w:ascii="Arial Nova" w:eastAsia="Arial Nova" w:hAnsi="Arial Nova" w:cs="Arial Nova"/>
          <w:i/>
          <w:iCs/>
          <w:color w:val="000000" w:themeColor="text1"/>
          <w:lang w:val="en-GB"/>
        </w:rPr>
        <w:t>NHS England</w:t>
      </w:r>
      <w:r w:rsidR="00025BF0">
        <w:rPr>
          <w:rFonts w:ascii="Arial" w:eastAsia="Arial Nova" w:hAnsi="Arial" w:cs="Arial"/>
          <w:i/>
          <w:iCs/>
          <w:color w:val="000000" w:themeColor="text1"/>
          <w:lang w:val="en-GB"/>
        </w:rPr>
        <w:t>,</w:t>
      </w:r>
      <w:r w:rsidRPr="005B5FAC">
        <w:rPr>
          <w:rFonts w:ascii="Arial Nova" w:eastAsia="Arial Nova" w:hAnsi="Arial Nova" w:cs="Arial Nova"/>
          <w:i/>
          <w:iCs/>
          <w:color w:val="000000" w:themeColor="text1"/>
          <w:lang w:val="en-GB"/>
        </w:rPr>
        <w:t xml:space="preserve"> Virtual Wards</w:t>
      </w:r>
      <w:r w:rsidRPr="005B5FAC">
        <w:rPr>
          <w:rFonts w:ascii="Arial Nova" w:eastAsia="Arial Nova" w:hAnsi="Arial Nova" w:cs="Arial Nova"/>
          <w:color w:val="000000" w:themeColor="text1"/>
          <w:lang w:val="en-GB"/>
        </w:rPr>
        <w:t>. [online] Www.england.nhs.uk. Available at: https://www.england.nhs.uk/virtual-wards/.</w:t>
      </w:r>
    </w:p>
    <w:p w14:paraId="61416653" w14:textId="77777777" w:rsidR="006C7AB6" w:rsidRDefault="006C7AB6" w:rsidP="006C7AB6">
      <w:pPr>
        <w:rPr>
          <w:rFonts w:ascii="Arial Nova" w:eastAsia="Arial Nova" w:hAnsi="Arial Nova" w:cs="Arial Nova"/>
          <w:color w:val="000000" w:themeColor="text1"/>
        </w:rPr>
      </w:pPr>
      <w:r w:rsidRPr="006C7AB6">
        <w:rPr>
          <w:rFonts w:ascii="Arial Nova" w:eastAsia="Arial Nova" w:hAnsi="Arial Nova" w:cs="Arial Nova"/>
          <w:color w:val="000000" w:themeColor="text1"/>
        </w:rPr>
        <w:t xml:space="preserve">Guilford, J. P. (1956). </w:t>
      </w:r>
      <w:r w:rsidRPr="006C7AB6">
        <w:rPr>
          <w:rFonts w:ascii="Arial Nova" w:eastAsia="Arial Nova" w:hAnsi="Arial Nova" w:cs="Arial Nova"/>
          <w:i/>
          <w:iCs/>
          <w:color w:val="000000" w:themeColor="text1"/>
        </w:rPr>
        <w:t>The structure of intellect</w:t>
      </w:r>
      <w:r w:rsidRPr="006C7AB6">
        <w:rPr>
          <w:rFonts w:ascii="Arial Nova" w:eastAsia="Arial Nova" w:hAnsi="Arial Nova" w:cs="Arial Nova"/>
          <w:color w:val="000000" w:themeColor="text1"/>
        </w:rPr>
        <w:t>. Psychological Bulletin, 53(4), 267–293.</w:t>
      </w:r>
    </w:p>
    <w:p w14:paraId="222C6299" w14:textId="77777777" w:rsidR="008B7B3A" w:rsidRPr="008B7B3A" w:rsidRDefault="008B7B3A" w:rsidP="008B7B3A">
      <w:pPr>
        <w:rPr>
          <w:rFonts w:ascii="Arial Nova" w:eastAsia="Arial Nova" w:hAnsi="Arial Nova" w:cs="Arial Nova"/>
          <w:color w:val="000000" w:themeColor="text1"/>
          <w:lang w:val="en-GB"/>
        </w:rPr>
      </w:pPr>
      <w:r w:rsidRPr="008B7B3A">
        <w:rPr>
          <w:rFonts w:ascii="Arial Nova" w:eastAsia="Arial Nova" w:hAnsi="Arial Nova" w:cs="Arial Nova"/>
          <w:color w:val="000000" w:themeColor="text1"/>
          <w:lang w:val="en-GB"/>
        </w:rPr>
        <w:t xml:space="preserve">Jerjes, W. &amp; Majeed, A. (2026). </w:t>
      </w:r>
      <w:r w:rsidRPr="008B7B3A">
        <w:rPr>
          <w:rFonts w:ascii="Arial Nova" w:eastAsia="Arial Nova" w:hAnsi="Arial Nova" w:cs="Arial Nova"/>
          <w:i/>
          <w:iCs/>
          <w:color w:val="000000" w:themeColor="text1"/>
          <w:lang w:val="en-GB"/>
        </w:rPr>
        <w:t>The Active Waiting Standard: Managing Risk in Referral Pathways</w:t>
      </w:r>
      <w:r w:rsidRPr="008B7B3A">
        <w:rPr>
          <w:rFonts w:ascii="Arial Nova" w:eastAsia="Arial Nova" w:hAnsi="Arial Nova" w:cs="Arial Nova"/>
          <w:color w:val="000000" w:themeColor="text1"/>
          <w:lang w:val="en-GB"/>
        </w:rPr>
        <w:t>. Journal of Health Policy and Practice.</w:t>
      </w:r>
    </w:p>
    <w:p w14:paraId="1BCF3E5B" w14:textId="77777777" w:rsidR="008B7B3A" w:rsidRPr="008B7B3A" w:rsidRDefault="008B7B3A" w:rsidP="008B7B3A">
      <w:pPr>
        <w:rPr>
          <w:rFonts w:ascii="Arial Nova" w:eastAsia="Arial Nova" w:hAnsi="Arial Nova" w:cs="Arial Nova"/>
          <w:color w:val="000000" w:themeColor="text1"/>
          <w:lang w:val="en-GB"/>
        </w:rPr>
      </w:pPr>
      <w:r w:rsidRPr="008B7B3A">
        <w:rPr>
          <w:rFonts w:ascii="Arial Nova" w:eastAsia="Arial Nova" w:hAnsi="Arial Nova" w:cs="Arial Nova"/>
          <w:color w:val="000000" w:themeColor="text1"/>
          <w:lang w:val="en-GB"/>
        </w:rPr>
        <w:t xml:space="preserve">Scuffell, J. &amp; Durbaba, S. (2025). </w:t>
      </w:r>
      <w:r w:rsidRPr="008B7B3A">
        <w:rPr>
          <w:rFonts w:ascii="Arial Nova" w:eastAsia="Arial Nova" w:hAnsi="Arial Nova" w:cs="Arial Nova"/>
          <w:i/>
          <w:iCs/>
          <w:color w:val="000000" w:themeColor="text1"/>
          <w:lang w:val="en-GB"/>
        </w:rPr>
        <w:t>Patterns in GP Appointment Systems: A National Analysis of Access Models</w:t>
      </w:r>
      <w:r w:rsidRPr="008B7B3A">
        <w:rPr>
          <w:rFonts w:ascii="Arial Nova" w:eastAsia="Arial Nova" w:hAnsi="Arial Nova" w:cs="Arial Nova"/>
          <w:color w:val="000000" w:themeColor="text1"/>
          <w:lang w:val="en-GB"/>
        </w:rPr>
        <w:t>. British Journal of General Practice.</w:t>
      </w:r>
    </w:p>
    <w:p w14:paraId="38D2D437" w14:textId="77777777" w:rsidR="008B7B3A" w:rsidRPr="006C7AB6" w:rsidRDefault="008B7B3A" w:rsidP="006C7AB6">
      <w:pPr>
        <w:rPr>
          <w:rFonts w:ascii="Arial Nova" w:eastAsia="Arial Nova" w:hAnsi="Arial Nova" w:cs="Arial Nova"/>
          <w:color w:val="000000" w:themeColor="text1"/>
          <w:lang w:val="en-GB"/>
        </w:rPr>
      </w:pPr>
    </w:p>
    <w:p w14:paraId="3EE7EBBE" w14:textId="77777777" w:rsidR="005B5FAC" w:rsidRPr="005B5FAC" w:rsidRDefault="005B5FAC" w:rsidP="005B5FAC">
      <w:pPr>
        <w:rPr>
          <w:rFonts w:ascii="Arial Nova" w:eastAsia="Arial Nova" w:hAnsi="Arial Nova" w:cs="Arial Nova"/>
          <w:color w:val="000000" w:themeColor="text1"/>
          <w:lang w:val="en-GB"/>
        </w:rPr>
      </w:pPr>
    </w:p>
    <w:p w14:paraId="5DCC615B" w14:textId="77777777" w:rsidR="00CF7C18" w:rsidRPr="00CF7C18" w:rsidRDefault="00CF7C18" w:rsidP="005B5FAC">
      <w:pPr>
        <w:rPr>
          <w:rFonts w:ascii="Arial Nova" w:eastAsia="Arial Nova" w:hAnsi="Arial Nova" w:cs="Arial Nova"/>
          <w:color w:val="000000" w:themeColor="text1"/>
          <w:lang w:val="en-GB"/>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7AD68" w14:textId="77777777" w:rsidR="00D04F80" w:rsidRDefault="00D04F80" w:rsidP="00255A0D">
      <w:pPr>
        <w:spacing w:after="0" w:line="240" w:lineRule="auto"/>
      </w:pPr>
      <w:r>
        <w:separator/>
      </w:r>
    </w:p>
  </w:endnote>
  <w:endnote w:type="continuationSeparator" w:id="0">
    <w:p w14:paraId="11B684F5" w14:textId="77777777" w:rsidR="00D04F80" w:rsidRDefault="00D04F80"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79F9E" w14:textId="77777777" w:rsidR="00D04F80" w:rsidRDefault="00D04F80" w:rsidP="00255A0D">
      <w:pPr>
        <w:spacing w:after="0" w:line="240" w:lineRule="auto"/>
      </w:pPr>
      <w:r>
        <w:separator/>
      </w:r>
    </w:p>
  </w:footnote>
  <w:footnote w:type="continuationSeparator" w:id="0">
    <w:p w14:paraId="55765C6E" w14:textId="77777777" w:rsidR="00D04F80" w:rsidRDefault="00D04F80"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3AAE5AE6"/>
    <w:multiLevelType w:val="hybridMultilevel"/>
    <w:tmpl w:val="E0AA9C82"/>
    <w:lvl w:ilvl="0" w:tplc="AC84D906">
      <w:start w:val="1"/>
      <w:numFmt w:val="bullet"/>
      <w:lvlText w:val="•"/>
      <w:lvlJc w:val="left"/>
      <w:pPr>
        <w:tabs>
          <w:tab w:val="num" w:pos="720"/>
        </w:tabs>
        <w:ind w:left="720" w:hanging="360"/>
      </w:pPr>
      <w:rPr>
        <w:rFonts w:ascii="Arial" w:hAnsi="Arial" w:hint="default"/>
      </w:rPr>
    </w:lvl>
    <w:lvl w:ilvl="1" w:tplc="7A7099EC" w:tentative="1">
      <w:start w:val="1"/>
      <w:numFmt w:val="bullet"/>
      <w:lvlText w:val="•"/>
      <w:lvlJc w:val="left"/>
      <w:pPr>
        <w:tabs>
          <w:tab w:val="num" w:pos="1440"/>
        </w:tabs>
        <w:ind w:left="1440" w:hanging="360"/>
      </w:pPr>
      <w:rPr>
        <w:rFonts w:ascii="Arial" w:hAnsi="Arial" w:hint="default"/>
      </w:rPr>
    </w:lvl>
    <w:lvl w:ilvl="2" w:tplc="809C57B0" w:tentative="1">
      <w:start w:val="1"/>
      <w:numFmt w:val="bullet"/>
      <w:lvlText w:val="•"/>
      <w:lvlJc w:val="left"/>
      <w:pPr>
        <w:tabs>
          <w:tab w:val="num" w:pos="2160"/>
        </w:tabs>
        <w:ind w:left="2160" w:hanging="360"/>
      </w:pPr>
      <w:rPr>
        <w:rFonts w:ascii="Arial" w:hAnsi="Arial" w:hint="default"/>
      </w:rPr>
    </w:lvl>
    <w:lvl w:ilvl="3" w:tplc="551C701E" w:tentative="1">
      <w:start w:val="1"/>
      <w:numFmt w:val="bullet"/>
      <w:lvlText w:val="•"/>
      <w:lvlJc w:val="left"/>
      <w:pPr>
        <w:tabs>
          <w:tab w:val="num" w:pos="2880"/>
        </w:tabs>
        <w:ind w:left="2880" w:hanging="360"/>
      </w:pPr>
      <w:rPr>
        <w:rFonts w:ascii="Arial" w:hAnsi="Arial" w:hint="default"/>
      </w:rPr>
    </w:lvl>
    <w:lvl w:ilvl="4" w:tplc="8708BCC6" w:tentative="1">
      <w:start w:val="1"/>
      <w:numFmt w:val="bullet"/>
      <w:lvlText w:val="•"/>
      <w:lvlJc w:val="left"/>
      <w:pPr>
        <w:tabs>
          <w:tab w:val="num" w:pos="3600"/>
        </w:tabs>
        <w:ind w:left="3600" w:hanging="360"/>
      </w:pPr>
      <w:rPr>
        <w:rFonts w:ascii="Arial" w:hAnsi="Arial" w:hint="default"/>
      </w:rPr>
    </w:lvl>
    <w:lvl w:ilvl="5" w:tplc="7440205E" w:tentative="1">
      <w:start w:val="1"/>
      <w:numFmt w:val="bullet"/>
      <w:lvlText w:val="•"/>
      <w:lvlJc w:val="left"/>
      <w:pPr>
        <w:tabs>
          <w:tab w:val="num" w:pos="4320"/>
        </w:tabs>
        <w:ind w:left="4320" w:hanging="360"/>
      </w:pPr>
      <w:rPr>
        <w:rFonts w:ascii="Arial" w:hAnsi="Arial" w:hint="default"/>
      </w:rPr>
    </w:lvl>
    <w:lvl w:ilvl="6" w:tplc="0D92D5C6" w:tentative="1">
      <w:start w:val="1"/>
      <w:numFmt w:val="bullet"/>
      <w:lvlText w:val="•"/>
      <w:lvlJc w:val="left"/>
      <w:pPr>
        <w:tabs>
          <w:tab w:val="num" w:pos="5040"/>
        </w:tabs>
        <w:ind w:left="5040" w:hanging="360"/>
      </w:pPr>
      <w:rPr>
        <w:rFonts w:ascii="Arial" w:hAnsi="Arial" w:hint="default"/>
      </w:rPr>
    </w:lvl>
    <w:lvl w:ilvl="7" w:tplc="8F0EB230" w:tentative="1">
      <w:start w:val="1"/>
      <w:numFmt w:val="bullet"/>
      <w:lvlText w:val="•"/>
      <w:lvlJc w:val="left"/>
      <w:pPr>
        <w:tabs>
          <w:tab w:val="num" w:pos="5760"/>
        </w:tabs>
        <w:ind w:left="5760" w:hanging="360"/>
      </w:pPr>
      <w:rPr>
        <w:rFonts w:ascii="Arial" w:hAnsi="Arial" w:hint="default"/>
      </w:rPr>
    </w:lvl>
    <w:lvl w:ilvl="8" w:tplc="62BE692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E0B5FF6"/>
    <w:multiLevelType w:val="hybridMultilevel"/>
    <w:tmpl w:val="67940C82"/>
    <w:lvl w:ilvl="0" w:tplc="3E42B5DE">
      <w:start w:val="1"/>
      <w:numFmt w:val="bullet"/>
      <w:lvlText w:val="•"/>
      <w:lvlJc w:val="left"/>
      <w:pPr>
        <w:tabs>
          <w:tab w:val="num" w:pos="720"/>
        </w:tabs>
        <w:ind w:left="720" w:hanging="360"/>
      </w:pPr>
      <w:rPr>
        <w:rFonts w:ascii="Arial" w:hAnsi="Arial" w:hint="default"/>
      </w:rPr>
    </w:lvl>
    <w:lvl w:ilvl="1" w:tplc="98E0666C" w:tentative="1">
      <w:start w:val="1"/>
      <w:numFmt w:val="bullet"/>
      <w:lvlText w:val="•"/>
      <w:lvlJc w:val="left"/>
      <w:pPr>
        <w:tabs>
          <w:tab w:val="num" w:pos="1440"/>
        </w:tabs>
        <w:ind w:left="1440" w:hanging="360"/>
      </w:pPr>
      <w:rPr>
        <w:rFonts w:ascii="Arial" w:hAnsi="Arial" w:hint="default"/>
      </w:rPr>
    </w:lvl>
    <w:lvl w:ilvl="2" w:tplc="CE123234" w:tentative="1">
      <w:start w:val="1"/>
      <w:numFmt w:val="bullet"/>
      <w:lvlText w:val="•"/>
      <w:lvlJc w:val="left"/>
      <w:pPr>
        <w:tabs>
          <w:tab w:val="num" w:pos="2160"/>
        </w:tabs>
        <w:ind w:left="2160" w:hanging="360"/>
      </w:pPr>
      <w:rPr>
        <w:rFonts w:ascii="Arial" w:hAnsi="Arial" w:hint="default"/>
      </w:rPr>
    </w:lvl>
    <w:lvl w:ilvl="3" w:tplc="68A4B288" w:tentative="1">
      <w:start w:val="1"/>
      <w:numFmt w:val="bullet"/>
      <w:lvlText w:val="•"/>
      <w:lvlJc w:val="left"/>
      <w:pPr>
        <w:tabs>
          <w:tab w:val="num" w:pos="2880"/>
        </w:tabs>
        <w:ind w:left="2880" w:hanging="360"/>
      </w:pPr>
      <w:rPr>
        <w:rFonts w:ascii="Arial" w:hAnsi="Arial" w:hint="default"/>
      </w:rPr>
    </w:lvl>
    <w:lvl w:ilvl="4" w:tplc="A4D4FDD4" w:tentative="1">
      <w:start w:val="1"/>
      <w:numFmt w:val="bullet"/>
      <w:lvlText w:val="•"/>
      <w:lvlJc w:val="left"/>
      <w:pPr>
        <w:tabs>
          <w:tab w:val="num" w:pos="3600"/>
        </w:tabs>
        <w:ind w:left="3600" w:hanging="360"/>
      </w:pPr>
      <w:rPr>
        <w:rFonts w:ascii="Arial" w:hAnsi="Arial" w:hint="default"/>
      </w:rPr>
    </w:lvl>
    <w:lvl w:ilvl="5" w:tplc="5A8E5594" w:tentative="1">
      <w:start w:val="1"/>
      <w:numFmt w:val="bullet"/>
      <w:lvlText w:val="•"/>
      <w:lvlJc w:val="left"/>
      <w:pPr>
        <w:tabs>
          <w:tab w:val="num" w:pos="4320"/>
        </w:tabs>
        <w:ind w:left="4320" w:hanging="360"/>
      </w:pPr>
      <w:rPr>
        <w:rFonts w:ascii="Arial" w:hAnsi="Arial" w:hint="default"/>
      </w:rPr>
    </w:lvl>
    <w:lvl w:ilvl="6" w:tplc="65389C96" w:tentative="1">
      <w:start w:val="1"/>
      <w:numFmt w:val="bullet"/>
      <w:lvlText w:val="•"/>
      <w:lvlJc w:val="left"/>
      <w:pPr>
        <w:tabs>
          <w:tab w:val="num" w:pos="5040"/>
        </w:tabs>
        <w:ind w:left="5040" w:hanging="360"/>
      </w:pPr>
      <w:rPr>
        <w:rFonts w:ascii="Arial" w:hAnsi="Arial" w:hint="default"/>
      </w:rPr>
    </w:lvl>
    <w:lvl w:ilvl="7" w:tplc="C18A59D0" w:tentative="1">
      <w:start w:val="1"/>
      <w:numFmt w:val="bullet"/>
      <w:lvlText w:val="•"/>
      <w:lvlJc w:val="left"/>
      <w:pPr>
        <w:tabs>
          <w:tab w:val="num" w:pos="5760"/>
        </w:tabs>
        <w:ind w:left="5760" w:hanging="360"/>
      </w:pPr>
      <w:rPr>
        <w:rFonts w:ascii="Arial" w:hAnsi="Arial" w:hint="default"/>
      </w:rPr>
    </w:lvl>
    <w:lvl w:ilvl="8" w:tplc="E9449CC2" w:tentative="1">
      <w:start w:val="1"/>
      <w:numFmt w:val="bullet"/>
      <w:lvlText w:val="•"/>
      <w:lvlJc w:val="left"/>
      <w:pPr>
        <w:tabs>
          <w:tab w:val="num" w:pos="6480"/>
        </w:tabs>
        <w:ind w:left="6480" w:hanging="360"/>
      </w:pPr>
      <w:rPr>
        <w:rFonts w:ascii="Arial" w:hAnsi="Arial" w:hint="default"/>
      </w:rPr>
    </w:lvl>
  </w:abstractNum>
  <w:num w:numId="1" w16cid:durableId="1339774998">
    <w:abstractNumId w:val="0"/>
  </w:num>
  <w:num w:numId="2" w16cid:durableId="1626429860">
    <w:abstractNumId w:val="1"/>
  </w:num>
  <w:num w:numId="3" w16cid:durableId="840773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31E0"/>
    <w:rsid w:val="00024C23"/>
    <w:rsid w:val="00025BF0"/>
    <w:rsid w:val="000514D5"/>
    <w:rsid w:val="00094EFD"/>
    <w:rsid w:val="00166B58"/>
    <w:rsid w:val="001A0E8E"/>
    <w:rsid w:val="001C40BE"/>
    <w:rsid w:val="00255A0D"/>
    <w:rsid w:val="00337274"/>
    <w:rsid w:val="00352BC6"/>
    <w:rsid w:val="00456C61"/>
    <w:rsid w:val="004F6564"/>
    <w:rsid w:val="00523701"/>
    <w:rsid w:val="00563EB8"/>
    <w:rsid w:val="00577423"/>
    <w:rsid w:val="005B5FAC"/>
    <w:rsid w:val="006133C2"/>
    <w:rsid w:val="006C7AB6"/>
    <w:rsid w:val="007F0718"/>
    <w:rsid w:val="008B7B3A"/>
    <w:rsid w:val="008F2FE9"/>
    <w:rsid w:val="00933380"/>
    <w:rsid w:val="009C5459"/>
    <w:rsid w:val="00A507D8"/>
    <w:rsid w:val="00B87CA3"/>
    <w:rsid w:val="00C567C3"/>
    <w:rsid w:val="00CA384C"/>
    <w:rsid w:val="00CF7C18"/>
    <w:rsid w:val="00D04F80"/>
    <w:rsid w:val="00DC2C93"/>
    <w:rsid w:val="00DC2ECF"/>
    <w:rsid w:val="00E27A2D"/>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5B5F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wsenate.nhs.uk/wp-content/uploads/2018/04/RisingPressureNHSWorkforceChalleng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rev.com/onlinevoicerecord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35EC5-A800-4CF4-9B08-8019EC3AD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Samina Akhtar (2427571)</cp:lastModifiedBy>
  <cp:revision>3</cp:revision>
  <dcterms:created xsi:type="dcterms:W3CDTF">2026-07-05T15:41:00Z</dcterms:created>
  <dcterms:modified xsi:type="dcterms:W3CDTF">2026-07-05T15:42:00Z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e3f60936-d297-49a4-a027-c5d0a38b2e5b</vt:lpwstr>
  </property>
</Properties>
</file>